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6.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7.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5C" w:rsidRDefault="00FA455C" w:rsidP="00FA455C">
      <w:pPr>
        <w:pStyle w:val="Heading1"/>
      </w:pPr>
      <w:bookmarkStart w:id="0" w:name="_GoBack"/>
      <w:bookmarkEnd w:id="0"/>
      <w:r>
        <w:t>Department of Employment</w:t>
      </w:r>
      <w:r>
        <w:br/>
        <w:t>STATEMENT BY THE ACCOUNTABLE AUTHORITY AND CHIEF FINANCIAL OFFICER</w:t>
      </w:r>
    </w:p>
    <w:p w:rsidR="008835EB" w:rsidRDefault="008835EB" w:rsidP="008835EB">
      <w:pPr>
        <w:pStyle w:val="ReferenceText"/>
      </w:pPr>
    </w:p>
    <w:p w:rsidR="008835EB" w:rsidRDefault="008835EB" w:rsidP="008835EB">
      <w:pPr>
        <w:pStyle w:val="PolicytextDept"/>
        <w:pBdr>
          <w:bottom w:val="none" w:sz="0" w:space="0" w:color="auto"/>
        </w:pBdr>
        <w:spacing w:line="276" w:lineRule="auto"/>
        <w:contextualSpacing/>
      </w:pPr>
      <w:r>
        <w:t xml:space="preserve">In our opinion, the attached financial statements for the year ended </w:t>
      </w:r>
      <w:r w:rsidR="00FA455C">
        <w:t>30 June</w:t>
      </w:r>
      <w:r>
        <w:t xml:space="preserve"> </w:t>
      </w:r>
      <w:r w:rsidR="00FA455C">
        <w:t>2016</w:t>
      </w:r>
      <w:r>
        <w:t xml:space="preserve"> comply with subsection 42(2) of the </w:t>
      </w:r>
    </w:p>
    <w:p w:rsidR="008835EB" w:rsidRDefault="008835EB" w:rsidP="008835EB">
      <w:pPr>
        <w:pStyle w:val="PolicytextDept"/>
        <w:pBdr>
          <w:bottom w:val="none" w:sz="0" w:space="0" w:color="auto"/>
        </w:pBdr>
        <w:spacing w:line="276" w:lineRule="auto"/>
        <w:contextualSpacing/>
      </w:pPr>
      <w:r w:rsidRPr="00D55D65">
        <w:rPr>
          <w:i/>
        </w:rPr>
        <w:t>Public Governance, Performance and Accountability Act 2013</w:t>
      </w:r>
      <w:r>
        <w:t xml:space="preserve"> (</w:t>
      </w:r>
      <w:proofErr w:type="spellStart"/>
      <w:r>
        <w:t>PGPA</w:t>
      </w:r>
      <w:proofErr w:type="spellEnd"/>
      <w:r>
        <w:t xml:space="preserve"> Act), and are based on properly maintained financial records as per subsection 41 (2) of the </w:t>
      </w:r>
      <w:proofErr w:type="spellStart"/>
      <w:r>
        <w:t>PGPA</w:t>
      </w:r>
      <w:proofErr w:type="spellEnd"/>
      <w:r>
        <w:t xml:space="preserve"> Act.</w:t>
      </w:r>
    </w:p>
    <w:p w:rsidR="008835EB" w:rsidRPr="003E46FB" w:rsidRDefault="008835EB" w:rsidP="008835EB">
      <w:pPr>
        <w:pStyle w:val="PolicytextDept"/>
        <w:pBdr>
          <w:bottom w:val="none" w:sz="0" w:space="0" w:color="auto"/>
        </w:pBdr>
        <w:spacing w:line="276" w:lineRule="auto"/>
        <w:rPr>
          <w:sz w:val="2"/>
          <w:szCs w:val="2"/>
        </w:rPr>
      </w:pPr>
    </w:p>
    <w:p w:rsidR="008835EB" w:rsidRPr="003E50C6" w:rsidRDefault="008835EB" w:rsidP="008835EB">
      <w:pPr>
        <w:pStyle w:val="PolicytextDept"/>
        <w:pBdr>
          <w:bottom w:val="none" w:sz="0" w:space="0" w:color="auto"/>
        </w:pBdr>
        <w:spacing w:line="276" w:lineRule="auto"/>
      </w:pPr>
      <w:r>
        <w:t>In our opinion, at the date of this statement, there are reasonable grounds to believe that the Department of Employment will be able to pay its debts as and when they fall due.</w:t>
      </w:r>
    </w:p>
    <w:p w:rsidR="008835EB" w:rsidRDefault="008835EB" w:rsidP="008835EB">
      <w:pPr>
        <w:pStyle w:val="PolicytextDept"/>
        <w:pBdr>
          <w:bottom w:val="none" w:sz="0" w:space="0" w:color="auto"/>
        </w:pBdr>
      </w:pPr>
    </w:p>
    <w:p w:rsidR="008835EB" w:rsidRDefault="008835EB" w:rsidP="008835EB">
      <w:pPr>
        <w:pStyle w:val="PolicytextDept"/>
        <w:pBdr>
          <w:bottom w:val="none" w:sz="0" w:space="0" w:color="auto"/>
        </w:pBdr>
      </w:pPr>
    </w:p>
    <w:p w:rsidR="008835EB" w:rsidRDefault="008835EB" w:rsidP="008835EB">
      <w:pPr>
        <w:pStyle w:val="PolicytextDept"/>
        <w:pBdr>
          <w:bottom w:val="none" w:sz="0" w:space="0" w:color="auto"/>
        </w:pBdr>
      </w:pPr>
    </w:p>
    <w:p w:rsidR="008835EB" w:rsidRDefault="008835EB" w:rsidP="008835EB">
      <w:pPr>
        <w:pStyle w:val="PolicytextDept"/>
        <w:pBdr>
          <w:bottom w:val="none" w:sz="0" w:space="0" w:color="auto"/>
        </w:pBdr>
      </w:pPr>
    </w:p>
    <w:tbl>
      <w:tblPr>
        <w:tblStyle w:val="TableGrid"/>
        <w:tblW w:w="9089" w:type="dxa"/>
        <w:tblInd w:w="85" w:type="dxa"/>
        <w:tblBorders>
          <w:top w:val="none" w:sz="0" w:space="0" w:color="auto"/>
          <w:left w:val="single" w:sz="4" w:space="0" w:color="00746B"/>
          <w:bottom w:val="none" w:sz="0" w:space="0" w:color="auto"/>
          <w:right w:val="single" w:sz="4" w:space="0" w:color="00746B"/>
          <w:insideH w:val="none" w:sz="0" w:space="0" w:color="auto"/>
          <w:insideV w:val="none" w:sz="0" w:space="0" w:color="auto"/>
        </w:tblBorders>
        <w:tblLook w:val="01E0" w:firstRow="1" w:lastRow="1" w:firstColumn="1" w:lastColumn="1" w:noHBand="0" w:noVBand="0"/>
      </w:tblPr>
      <w:tblGrid>
        <w:gridCol w:w="4544"/>
        <w:gridCol w:w="4545"/>
      </w:tblGrid>
      <w:tr w:rsidR="008835EB" w:rsidRPr="00A80EAF" w:rsidTr="007E3F2E">
        <w:trPr>
          <w:trHeight w:val="225"/>
        </w:trPr>
        <w:tc>
          <w:tcPr>
            <w:tcW w:w="4920" w:type="dxa"/>
            <w:hideMark/>
          </w:tcPr>
          <w:p w:rsidR="008835EB" w:rsidRPr="00A80EAF" w:rsidRDefault="008835EB" w:rsidP="007E3F2E">
            <w:pPr>
              <w:rPr>
                <w:rFonts w:asciiTheme="minorHAnsi" w:eastAsia="Arial Unicode MS" w:hAnsiTheme="minorHAnsi" w:cs="Arial Unicode MS"/>
              </w:rPr>
            </w:pPr>
            <w:r w:rsidRPr="00A80EAF">
              <w:rPr>
                <w:rFonts w:asciiTheme="minorHAnsi" w:eastAsia="Arial Unicode MS" w:hAnsiTheme="minorHAnsi" w:cs="Arial Unicode MS"/>
              </w:rPr>
              <w:t>Signed................................</w:t>
            </w:r>
          </w:p>
        </w:tc>
        <w:tc>
          <w:tcPr>
            <w:tcW w:w="4921" w:type="dxa"/>
            <w:hideMark/>
          </w:tcPr>
          <w:p w:rsidR="008835EB" w:rsidRPr="00A80EAF" w:rsidRDefault="008835EB" w:rsidP="007E3F2E">
            <w:pPr>
              <w:rPr>
                <w:rFonts w:asciiTheme="minorHAnsi" w:eastAsia="Arial Unicode MS" w:hAnsiTheme="minorHAnsi" w:cs="Arial Unicode MS"/>
              </w:rPr>
            </w:pPr>
            <w:r w:rsidRPr="00A80EAF">
              <w:rPr>
                <w:rFonts w:asciiTheme="minorHAnsi" w:eastAsia="Arial Unicode MS" w:hAnsiTheme="minorHAnsi" w:cs="Arial Unicode MS"/>
              </w:rPr>
              <w:t>Signed................................</w:t>
            </w:r>
          </w:p>
        </w:tc>
      </w:tr>
      <w:tr w:rsidR="008835EB" w:rsidRPr="00A80EAF" w:rsidTr="007E3F2E">
        <w:trPr>
          <w:trHeight w:val="1609"/>
        </w:trPr>
        <w:tc>
          <w:tcPr>
            <w:tcW w:w="4920" w:type="dxa"/>
          </w:tcPr>
          <w:p w:rsidR="008835EB" w:rsidRPr="00A80EAF" w:rsidRDefault="008835EB" w:rsidP="007E3F2E">
            <w:pPr>
              <w:rPr>
                <w:rFonts w:asciiTheme="minorHAnsi" w:eastAsia="Arial Unicode MS" w:hAnsiTheme="minorHAnsi" w:cs="Arial Unicode MS"/>
              </w:rPr>
            </w:pPr>
          </w:p>
          <w:p w:rsidR="008835EB" w:rsidRPr="00A80EAF" w:rsidRDefault="008835EB" w:rsidP="007E3F2E">
            <w:pPr>
              <w:rPr>
                <w:rFonts w:asciiTheme="minorHAnsi" w:eastAsia="Arial Unicode MS" w:hAnsiTheme="minorHAnsi" w:cs="Arial Unicode MS"/>
              </w:rPr>
            </w:pPr>
            <w:proofErr w:type="spellStart"/>
            <w:r w:rsidRPr="00A80EAF">
              <w:rPr>
                <w:rFonts w:asciiTheme="minorHAnsi" w:eastAsia="Arial Unicode MS" w:hAnsiTheme="minorHAnsi" w:cs="Arial Unicode MS"/>
              </w:rPr>
              <w:t>Reneé</w:t>
            </w:r>
            <w:proofErr w:type="spellEnd"/>
            <w:r w:rsidRPr="00A80EAF">
              <w:rPr>
                <w:rFonts w:asciiTheme="minorHAnsi" w:eastAsia="Arial Unicode MS" w:hAnsiTheme="minorHAnsi" w:cs="Arial Unicode MS"/>
              </w:rPr>
              <w:t xml:space="preserve"> Leon </w:t>
            </w:r>
            <w:proofErr w:type="spellStart"/>
            <w:r w:rsidRPr="00A80EAF">
              <w:rPr>
                <w:rFonts w:asciiTheme="minorHAnsi" w:eastAsia="Arial Unicode MS" w:hAnsiTheme="minorHAnsi" w:cs="Arial Unicode MS"/>
              </w:rPr>
              <w:t>PSM</w:t>
            </w:r>
            <w:proofErr w:type="spellEnd"/>
          </w:p>
          <w:p w:rsidR="008835EB" w:rsidRPr="00A80EAF" w:rsidRDefault="008835EB" w:rsidP="007E3F2E">
            <w:pPr>
              <w:rPr>
                <w:rFonts w:asciiTheme="minorHAnsi" w:eastAsia="Arial Unicode MS" w:hAnsiTheme="minorHAnsi" w:cs="Arial Unicode MS"/>
              </w:rPr>
            </w:pPr>
            <w:r>
              <w:rPr>
                <w:rFonts w:asciiTheme="minorHAnsi" w:eastAsia="Arial Unicode MS" w:hAnsiTheme="minorHAnsi" w:cs="Arial Unicode MS"/>
              </w:rPr>
              <w:t>Accountable Authority</w:t>
            </w:r>
          </w:p>
          <w:p w:rsidR="008835EB" w:rsidRPr="00A80EAF" w:rsidRDefault="008835EB" w:rsidP="007E3F2E">
            <w:pPr>
              <w:rPr>
                <w:rFonts w:asciiTheme="minorHAnsi" w:eastAsia="Arial Unicode MS" w:hAnsiTheme="minorHAnsi" w:cs="Arial Unicode MS"/>
              </w:rPr>
            </w:pPr>
          </w:p>
          <w:p w:rsidR="008835EB" w:rsidRPr="00A80EAF" w:rsidRDefault="008835EB" w:rsidP="007E3F2E">
            <w:pPr>
              <w:rPr>
                <w:rFonts w:asciiTheme="minorHAnsi" w:eastAsia="Arial Unicode MS" w:hAnsiTheme="minorHAnsi" w:cs="Arial Unicode MS"/>
              </w:rPr>
            </w:pPr>
            <w:r w:rsidRPr="00A80EAF">
              <w:rPr>
                <w:rFonts w:asciiTheme="minorHAnsi" w:eastAsia="Arial Unicode MS" w:hAnsiTheme="minorHAnsi" w:cs="Arial Unicode MS"/>
              </w:rPr>
              <w:t>[Date]</w:t>
            </w:r>
          </w:p>
        </w:tc>
        <w:tc>
          <w:tcPr>
            <w:tcW w:w="4921" w:type="dxa"/>
          </w:tcPr>
          <w:p w:rsidR="008835EB" w:rsidRPr="00A80EAF" w:rsidRDefault="008835EB" w:rsidP="007E3F2E">
            <w:pPr>
              <w:rPr>
                <w:rFonts w:asciiTheme="minorHAnsi" w:eastAsia="Arial Unicode MS" w:hAnsiTheme="minorHAnsi" w:cs="Arial Unicode MS"/>
              </w:rPr>
            </w:pPr>
          </w:p>
          <w:p w:rsidR="008835EB" w:rsidRPr="00A80EAF" w:rsidRDefault="008835EB" w:rsidP="007E3F2E">
            <w:pPr>
              <w:rPr>
                <w:rFonts w:asciiTheme="minorHAnsi" w:eastAsia="Arial Unicode MS" w:hAnsiTheme="minorHAnsi" w:cs="Arial Unicode MS"/>
              </w:rPr>
            </w:pPr>
            <w:r w:rsidRPr="00A80EAF">
              <w:rPr>
                <w:rFonts w:asciiTheme="minorHAnsi" w:eastAsia="Arial Unicode MS" w:hAnsiTheme="minorHAnsi" w:cs="Arial Unicode MS"/>
              </w:rPr>
              <w:t xml:space="preserve">Glen </w:t>
            </w:r>
            <w:proofErr w:type="spellStart"/>
            <w:r w:rsidRPr="00A80EAF">
              <w:rPr>
                <w:rFonts w:asciiTheme="minorHAnsi" w:eastAsia="Arial Unicode MS" w:hAnsiTheme="minorHAnsi" w:cs="Arial Unicode MS"/>
              </w:rPr>
              <w:t>Casson</w:t>
            </w:r>
            <w:proofErr w:type="spellEnd"/>
          </w:p>
          <w:p w:rsidR="008835EB" w:rsidRPr="00A80EAF" w:rsidRDefault="008835EB" w:rsidP="007E3F2E">
            <w:pPr>
              <w:rPr>
                <w:rFonts w:asciiTheme="minorHAnsi" w:eastAsia="Arial Unicode MS" w:hAnsiTheme="minorHAnsi" w:cs="Arial Unicode MS"/>
              </w:rPr>
            </w:pPr>
            <w:r w:rsidRPr="00A80EAF">
              <w:rPr>
                <w:rFonts w:asciiTheme="minorHAnsi" w:eastAsia="Arial Unicode MS" w:hAnsiTheme="minorHAnsi" w:cs="Arial Unicode MS"/>
              </w:rPr>
              <w:t>Chief Financial Officer</w:t>
            </w:r>
          </w:p>
          <w:p w:rsidR="008835EB" w:rsidRPr="00A80EAF" w:rsidRDefault="008835EB" w:rsidP="007E3F2E">
            <w:pPr>
              <w:rPr>
                <w:rFonts w:asciiTheme="minorHAnsi" w:eastAsia="Arial Unicode MS" w:hAnsiTheme="minorHAnsi" w:cs="Arial Unicode MS"/>
              </w:rPr>
            </w:pPr>
          </w:p>
          <w:p w:rsidR="008835EB" w:rsidRPr="00A80EAF" w:rsidRDefault="008835EB" w:rsidP="007E3F2E">
            <w:pPr>
              <w:rPr>
                <w:rFonts w:asciiTheme="minorHAnsi" w:eastAsia="Arial Unicode MS" w:hAnsiTheme="minorHAnsi" w:cs="Arial Unicode MS"/>
              </w:rPr>
            </w:pPr>
            <w:r w:rsidRPr="00A80EAF">
              <w:rPr>
                <w:rFonts w:asciiTheme="minorHAnsi" w:eastAsia="Arial Unicode MS" w:hAnsiTheme="minorHAnsi" w:cs="Arial Unicode MS"/>
              </w:rPr>
              <w:t>[Date]</w:t>
            </w:r>
          </w:p>
        </w:tc>
      </w:tr>
    </w:tbl>
    <w:p w:rsidR="008835EB" w:rsidRDefault="008835EB" w:rsidP="008835EB">
      <w:pPr>
        <w:pStyle w:val="PolicytextDept"/>
        <w:pBdr>
          <w:top w:val="none" w:sz="0" w:space="0" w:color="auto"/>
        </w:pBdr>
        <w:spacing w:after="0"/>
      </w:pPr>
    </w:p>
    <w:p w:rsidR="008835EB" w:rsidRDefault="008835EB" w:rsidP="008835EB">
      <w:pPr>
        <w:pStyle w:val="PolicytextDept"/>
        <w:pBdr>
          <w:top w:val="none" w:sz="0" w:space="0" w:color="auto"/>
        </w:pBdr>
      </w:pPr>
    </w:p>
    <w:p w:rsidR="008835EB" w:rsidRDefault="008835EB" w:rsidP="008835EB">
      <w:pPr>
        <w:pStyle w:val="PolicytextDept"/>
        <w:pBdr>
          <w:top w:val="none" w:sz="0" w:space="0" w:color="auto"/>
        </w:pBdr>
      </w:pPr>
    </w:p>
    <w:p w:rsidR="008835EB" w:rsidRDefault="008835EB" w:rsidP="008835EB">
      <w:pPr>
        <w:pStyle w:val="PolicytextDept"/>
        <w:sectPr w:rsidR="008835EB" w:rsidSect="00F74C23">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958" w:footer="737" w:gutter="0"/>
          <w:cols w:space="720"/>
        </w:sectPr>
      </w:pPr>
    </w:p>
    <w:p w:rsidR="00FA455C" w:rsidRDefault="00FA455C" w:rsidP="00FA455C">
      <w:pPr>
        <w:pStyle w:val="Heading1"/>
      </w:pPr>
      <w:bookmarkStart w:id="1" w:name="Note_DPLTABLE1" w:colFirst="0" w:colLast="0"/>
      <w:r>
        <w:lastRenderedPageBreak/>
        <w:t>Department of Employment</w:t>
      </w:r>
      <w:r>
        <w:br/>
        <w:t>STATEMENT OF COMPREHENSIVE INCOME</w:t>
      </w:r>
      <w:r>
        <w:br/>
        <w:t>for the period ended 30 June 2016</w:t>
      </w:r>
    </w:p>
    <w:p w:rsidR="00FA455C" w:rsidRDefault="00FA455C" w:rsidP="007E3F2E">
      <w:pPr>
        <w:rPr>
          <w:rFonts w:cs="Calibri"/>
          <w:szCs w:val="18"/>
        </w:rPr>
        <w:sectPr w:rsidR="00FA455C" w:rsidSect="00F74C23">
          <w:headerReference w:type="even" r:id="rId14"/>
          <w:headerReference w:type="default" r:id="rId15"/>
          <w:footerReference w:type="default" r:id="rId16"/>
          <w:headerReference w:type="first" r:id="rId17"/>
          <w:pgSz w:w="11906" w:h="16838"/>
          <w:pgMar w:top="1134" w:right="1134" w:bottom="1134" w:left="1134" w:header="958" w:footer="737" w:gutter="0"/>
          <w:pgNumType w:start="1"/>
          <w:cols w:space="720"/>
        </w:sectPr>
      </w:pPr>
    </w:p>
    <w:tbl>
      <w:tblPr>
        <w:tblW w:w="9087" w:type="dxa"/>
        <w:tblInd w:w="80" w:type="dxa"/>
        <w:tblLayout w:type="fixed"/>
        <w:tblLook w:val="04A0" w:firstRow="1" w:lastRow="0" w:firstColumn="1" w:lastColumn="0" w:noHBand="0" w:noVBand="1"/>
      </w:tblPr>
      <w:tblGrid>
        <w:gridCol w:w="4330"/>
        <w:gridCol w:w="1092"/>
        <w:gridCol w:w="1116"/>
        <w:gridCol w:w="238"/>
        <w:gridCol w:w="1042"/>
        <w:gridCol w:w="238"/>
        <w:gridCol w:w="1031"/>
      </w:tblGrid>
      <w:tr w:rsidR="008835EB" w:rsidTr="007E3F2E">
        <w:trPr>
          <w:trHeight w:val="709"/>
        </w:trPr>
        <w:tc>
          <w:tcPr>
            <w:tcW w:w="428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lastRenderedPageBreak/>
              <w:t> </w:t>
            </w:r>
          </w:p>
        </w:tc>
        <w:tc>
          <w:tcPr>
            <w:tcW w:w="1081"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r>
      <w:bookmarkEnd w:id="1"/>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b/>
                <w:bCs/>
                <w:szCs w:val="18"/>
              </w:rPr>
            </w:pPr>
            <w:r>
              <w:rPr>
                <w:rFonts w:cs="Calibri"/>
                <w:b/>
                <w:bCs/>
                <w:szCs w:val="18"/>
              </w:rPr>
              <w:t>Notes</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NET COST OF SERVICES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EXPENSES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Employee benefits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1.1A</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203,275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181,679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218,026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Suppliers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1.1B</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101,847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123,520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86,213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 xml:space="preserve">Grants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1.1C</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1,439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Depreciation and amortisation</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3.2A</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21,861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27,875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34,072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Finance costs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1.1D</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474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Write-down and impairment of assets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1.1E</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371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848</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Losses from asset sales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463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224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70"/>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expenses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328,212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336,059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338,311</w:t>
            </w:r>
          </w:p>
        </w:tc>
      </w:tr>
      <w:tr w:rsidR="008835EB" w:rsidTr="007E3F2E">
        <w:trPr>
          <w:trHeight w:val="270"/>
        </w:trPr>
        <w:tc>
          <w:tcPr>
            <w:tcW w:w="428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OWN-SOURCE INCOME</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Own-source revenue</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Sale of goods and rendering of services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1.2A</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23,813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26,100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17,713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External audit</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460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460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460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own-source revenue</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24,273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26,560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18,173</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Gains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 gains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1.2B</w:t>
            </w:r>
            <w:proofErr w:type="spellEnd"/>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3,752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1,361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gains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3,752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1,361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70"/>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own-source income</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28,025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27,921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18,173</w:t>
            </w:r>
          </w:p>
        </w:tc>
      </w:tr>
      <w:tr w:rsidR="008835EB" w:rsidTr="007E3F2E">
        <w:trPr>
          <w:trHeight w:val="270"/>
        </w:trPr>
        <w:tc>
          <w:tcPr>
            <w:tcW w:w="428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 xml:space="preserve">Net cost of services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300,187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308,138</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320,138</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Revenue from Government</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280,305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295,989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286,066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Deficit attributable to the Australian Government</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(19,882)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(12,149)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(34,072)</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OTHER COMPREHENSIVE INCOME</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480"/>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Items not subject to subsequent reclassification to net cost of services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88"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Changes in asset revaluation surplus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6,876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comprehensive income</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6,876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428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70"/>
        </w:trPr>
        <w:tc>
          <w:tcPr>
            <w:tcW w:w="428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comprehensive loss</w:t>
            </w:r>
          </w:p>
        </w:tc>
        <w:tc>
          <w:tcPr>
            <w:tcW w:w="1081"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0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(13,006)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(12,149)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21"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(34,072)</w:t>
            </w:r>
          </w:p>
        </w:tc>
      </w:tr>
    </w:tbl>
    <w:p w:rsidR="008835EB" w:rsidRDefault="008835EB" w:rsidP="008835EB">
      <w:pPr>
        <w:spacing w:line="240" w:lineRule="auto"/>
        <w:rPr>
          <w:rFonts w:cs="Calibri"/>
          <w:szCs w:val="18"/>
        </w:rPr>
      </w:pPr>
    </w:p>
    <w:p w:rsidR="008835EB" w:rsidRPr="00F73BAA" w:rsidRDefault="008835EB" w:rsidP="008835EB">
      <w:pPr>
        <w:pStyle w:val="ListParagraph"/>
        <w:numPr>
          <w:ilvl w:val="0"/>
          <w:numId w:val="20"/>
        </w:numPr>
        <w:spacing w:line="240" w:lineRule="auto"/>
        <w:ind w:left="426" w:right="424"/>
        <w:rPr>
          <w:rFonts w:cs="Calibri"/>
          <w:szCs w:val="18"/>
        </w:rPr>
        <w:sectPr w:rsidR="008835EB" w:rsidRPr="00F73BAA" w:rsidSect="00FA455C">
          <w:type w:val="continuous"/>
          <w:pgSz w:w="11906" w:h="16838"/>
          <w:pgMar w:top="1134" w:right="1134" w:bottom="1134" w:left="1134" w:header="958" w:footer="737" w:gutter="0"/>
          <w:pgNumType w:start="1"/>
          <w:cols w:space="720"/>
        </w:sectPr>
      </w:pPr>
      <w:r w:rsidRPr="00F00DF9">
        <w:rPr>
          <w:rFonts w:cs="Calibri"/>
          <w:szCs w:val="18"/>
        </w:rPr>
        <w:t xml:space="preserve">Employment’s original budgeted financial statement that was first presented to parliament in respect of the reporting </w:t>
      </w:r>
      <w:r w:rsidRPr="00F73BAA">
        <w:rPr>
          <w:rFonts w:cs="Calibri"/>
          <w:szCs w:val="18"/>
        </w:rPr>
        <w:t>period was the 2015–16 Portfolio Budget Statements.</w:t>
      </w:r>
      <w:r>
        <w:br w:type="page"/>
      </w:r>
    </w:p>
    <w:p w:rsidR="00FA455C" w:rsidRDefault="00FA455C" w:rsidP="00FA455C">
      <w:pPr>
        <w:pStyle w:val="Heading1"/>
      </w:pPr>
      <w:bookmarkStart w:id="2" w:name="Note_DBSTABLE1" w:colFirst="0" w:colLast="0"/>
      <w:r>
        <w:lastRenderedPageBreak/>
        <w:t>Department of Employment</w:t>
      </w:r>
      <w:r>
        <w:br/>
        <w:t>STATEMENT OF FINANCIAL POSITION</w:t>
      </w:r>
      <w:r>
        <w:br/>
        <w:t>as at 30 June 2016</w:t>
      </w:r>
    </w:p>
    <w:p w:rsidR="00FA455C" w:rsidRDefault="00FA455C" w:rsidP="007E3F2E">
      <w:pPr>
        <w:rPr>
          <w:rFonts w:cs="Calibri"/>
          <w:szCs w:val="18"/>
        </w:rPr>
        <w:sectPr w:rsidR="00FA455C" w:rsidSect="00F74C23">
          <w:headerReference w:type="even" r:id="rId18"/>
          <w:headerReference w:type="default" r:id="rId19"/>
          <w:headerReference w:type="first" r:id="rId20"/>
          <w:pgSz w:w="11906" w:h="16838"/>
          <w:pgMar w:top="1134" w:right="1134" w:bottom="1134" w:left="1134" w:header="958" w:footer="737" w:gutter="0"/>
          <w:cols w:space="720"/>
        </w:sectPr>
      </w:pPr>
    </w:p>
    <w:tbl>
      <w:tblPr>
        <w:tblW w:w="9087" w:type="dxa"/>
        <w:tblInd w:w="80" w:type="dxa"/>
        <w:tblLayout w:type="fixed"/>
        <w:tblLook w:val="04A0" w:firstRow="1" w:lastRow="0" w:firstColumn="1" w:lastColumn="0" w:noHBand="0" w:noVBand="1"/>
      </w:tblPr>
      <w:tblGrid>
        <w:gridCol w:w="4605"/>
        <w:gridCol w:w="1159"/>
        <w:gridCol w:w="932"/>
        <w:gridCol w:w="239"/>
        <w:gridCol w:w="948"/>
        <w:gridCol w:w="239"/>
        <w:gridCol w:w="965"/>
      </w:tblGrid>
      <w:tr w:rsidR="008835EB" w:rsidTr="007E3F2E">
        <w:trPr>
          <w:trHeight w:val="525"/>
        </w:trPr>
        <w:tc>
          <w:tcPr>
            <w:tcW w:w="455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lastRenderedPageBreak/>
              <w:t> </w:t>
            </w:r>
          </w:p>
        </w:tc>
        <w:tc>
          <w:tcPr>
            <w:tcW w:w="114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r>
      <w:bookmarkEnd w:id="2"/>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b/>
                <w:bCs/>
                <w:szCs w:val="18"/>
              </w:rPr>
            </w:pPr>
            <w:r>
              <w:rPr>
                <w:rFonts w:cs="Calibri"/>
                <w:b/>
                <w:bCs/>
                <w:szCs w:val="18"/>
              </w:rPr>
              <w:t>Notes</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Financial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Cash and cash equivalents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3,876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6,321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2,768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Trade and other receivables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3.1A</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126,871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116,131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71,568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 financial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3.1B</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1,764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4,094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financial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132,511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126,546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74,336</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Non-financial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Leasehold improvements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3.2A</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23,274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20,260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20,173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Infrastructure, plant and equipment</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3.2A</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13,714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13,239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15,580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Intangibles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3.2A</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88,511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65,761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65,037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 non-financial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3.2B</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9,635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12,011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10,252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non-financial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135,134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111,271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111,042</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70"/>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267,645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237,817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185,378</w:t>
            </w:r>
          </w:p>
        </w:tc>
      </w:tr>
      <w:tr w:rsidR="008835EB" w:rsidTr="007E3F2E">
        <w:trPr>
          <w:trHeight w:val="270"/>
        </w:trPr>
        <w:tc>
          <w:tcPr>
            <w:tcW w:w="455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LIABILITIES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Payables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Suppliers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3.3A</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17,879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16,720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6,146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 payables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3.3B</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32,959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34,936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11,690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payables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50,838</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51,656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17,836</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Provisions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Employee provisions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6.1A</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67,329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62,596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65,128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 provisions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proofErr w:type="spellStart"/>
            <w:r>
              <w:rPr>
                <w:rFonts w:cs="Calibri"/>
                <w:szCs w:val="18"/>
              </w:rPr>
              <w:t>3.4A</w:t>
            </w:r>
            <w:proofErr w:type="spellEnd"/>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2,397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6,264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1,315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provisions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69,726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68,860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66,443</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70"/>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liabilities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120,564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120,516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84,279</w:t>
            </w:r>
          </w:p>
        </w:tc>
      </w:tr>
      <w:tr w:rsidR="008835EB" w:rsidTr="007E3F2E">
        <w:trPr>
          <w:trHeight w:val="270"/>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70"/>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Net assets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147,081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117,301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101,099</w:t>
            </w:r>
          </w:p>
        </w:tc>
      </w:tr>
      <w:tr w:rsidR="008835EB" w:rsidTr="007E3F2E">
        <w:trPr>
          <w:trHeight w:val="270"/>
        </w:trPr>
        <w:tc>
          <w:tcPr>
            <w:tcW w:w="455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EQUITY</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Contributed equity</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194,301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151,515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187,726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Reserves</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10,252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3,376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3,376 </w:t>
            </w:r>
          </w:p>
        </w:tc>
      </w:tr>
      <w:tr w:rsidR="008835EB" w:rsidTr="007E3F2E">
        <w:trPr>
          <w:trHeight w:val="255"/>
        </w:trPr>
        <w:tc>
          <w:tcPr>
            <w:tcW w:w="455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Accumulated deficit</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(57,472)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(37,590)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(90,003)</w:t>
            </w:r>
          </w:p>
        </w:tc>
      </w:tr>
      <w:tr w:rsidR="008835EB" w:rsidTr="007E3F2E">
        <w:trPr>
          <w:trHeight w:val="270"/>
        </w:trPr>
        <w:tc>
          <w:tcPr>
            <w:tcW w:w="455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equity</w:t>
            </w:r>
          </w:p>
        </w:tc>
        <w:tc>
          <w:tcPr>
            <w:tcW w:w="1147"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92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147,081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117,301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5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101,099</w:t>
            </w:r>
          </w:p>
        </w:tc>
      </w:tr>
    </w:tbl>
    <w:p w:rsidR="008835EB" w:rsidRDefault="008835EB" w:rsidP="008835EB">
      <w:pPr>
        <w:pStyle w:val="ListParagraph"/>
        <w:spacing w:line="240" w:lineRule="auto"/>
        <w:rPr>
          <w:rFonts w:cs="Calibri"/>
          <w:szCs w:val="18"/>
        </w:rPr>
      </w:pPr>
      <w:bookmarkStart w:id="3" w:name="RANGE!D6:H69"/>
      <w:bookmarkStart w:id="4" w:name="RANGE!D6:D69"/>
      <w:bookmarkStart w:id="5" w:name="RANGE!D6:H68"/>
      <w:bookmarkStart w:id="6" w:name="RANGE!D6:D68"/>
      <w:bookmarkStart w:id="7" w:name="RANGE!D6:H48"/>
      <w:bookmarkStart w:id="8" w:name="RANGE!D6:H41"/>
      <w:bookmarkStart w:id="9" w:name="RANGE!D6:H40"/>
      <w:bookmarkStart w:id="10" w:name="RANGE!D6:H42"/>
      <w:bookmarkStart w:id="11" w:name="RANGE!D6:H46"/>
      <w:bookmarkStart w:id="12" w:name="RANGE!D6:H45"/>
      <w:bookmarkEnd w:id="3"/>
      <w:bookmarkEnd w:id="4"/>
      <w:bookmarkEnd w:id="5"/>
      <w:bookmarkEnd w:id="6"/>
      <w:bookmarkEnd w:id="7"/>
      <w:bookmarkEnd w:id="8"/>
      <w:bookmarkEnd w:id="9"/>
      <w:bookmarkEnd w:id="10"/>
      <w:bookmarkEnd w:id="11"/>
      <w:bookmarkEnd w:id="12"/>
    </w:p>
    <w:p w:rsidR="008835EB" w:rsidRPr="00F73BAA" w:rsidRDefault="008835EB" w:rsidP="008835EB">
      <w:pPr>
        <w:pStyle w:val="ListParagraph"/>
        <w:numPr>
          <w:ilvl w:val="0"/>
          <w:numId w:val="21"/>
        </w:numPr>
        <w:spacing w:line="240" w:lineRule="auto"/>
        <w:ind w:left="426" w:right="424"/>
        <w:rPr>
          <w:rFonts w:cs="Calibri"/>
          <w:szCs w:val="18"/>
        </w:rPr>
        <w:sectPr w:rsidR="008835EB" w:rsidRPr="00F73BAA" w:rsidSect="00FA455C">
          <w:type w:val="continuous"/>
          <w:pgSz w:w="11906" w:h="16838"/>
          <w:pgMar w:top="1134" w:right="1134" w:bottom="1134" w:left="1134" w:header="958" w:footer="737" w:gutter="0"/>
          <w:cols w:space="720"/>
        </w:sectPr>
      </w:pPr>
      <w:r w:rsidRPr="00F00DF9">
        <w:rPr>
          <w:rFonts w:cs="Calibri"/>
          <w:szCs w:val="18"/>
        </w:rPr>
        <w:t xml:space="preserve">Employment’s original budgeted financial statement that was first presented to parliament in respect of the reporting </w:t>
      </w:r>
      <w:r w:rsidRPr="00F73BAA">
        <w:rPr>
          <w:rFonts w:cs="Calibri"/>
          <w:szCs w:val="18"/>
        </w:rPr>
        <w:t>period was the 2015–16 Portfolio Budget Statements.</w:t>
      </w:r>
      <w:r>
        <w:br w:type="page"/>
      </w:r>
    </w:p>
    <w:p w:rsidR="00FA455C" w:rsidRDefault="00FA455C" w:rsidP="00FA455C">
      <w:pPr>
        <w:pStyle w:val="Heading1"/>
      </w:pPr>
      <w:bookmarkStart w:id="13" w:name="Note_CEQTABLE1" w:colFirst="0" w:colLast="0"/>
      <w:r>
        <w:lastRenderedPageBreak/>
        <w:t>Department of Employment</w:t>
      </w:r>
      <w:r>
        <w:br/>
        <w:t>STATEMENT OF CHANGES IN EQUITY</w:t>
      </w:r>
      <w:r>
        <w:br/>
        <w:t>for the period ended 30 June 2016</w:t>
      </w:r>
    </w:p>
    <w:p w:rsidR="00FA455C" w:rsidRDefault="00FA455C" w:rsidP="007E3F2E">
      <w:pPr>
        <w:spacing w:line="240" w:lineRule="auto"/>
        <w:rPr>
          <w:rFonts w:ascii="Arial" w:hAnsi="Arial" w:cs="Arial"/>
          <w:szCs w:val="18"/>
        </w:rPr>
        <w:sectPr w:rsidR="00FA455C" w:rsidSect="00F74C23">
          <w:headerReference w:type="even" r:id="rId21"/>
          <w:headerReference w:type="default" r:id="rId22"/>
          <w:headerReference w:type="first" r:id="rId23"/>
          <w:pgSz w:w="16838" w:h="11906" w:orient="landscape"/>
          <w:pgMar w:top="1134" w:right="1134" w:bottom="1134" w:left="1134" w:header="958" w:footer="737" w:gutter="0"/>
          <w:cols w:space="720"/>
          <w:docGrid w:linePitch="245"/>
        </w:sectPr>
      </w:pPr>
    </w:p>
    <w:tbl>
      <w:tblPr>
        <w:tblW w:w="13991" w:type="dxa"/>
        <w:tblInd w:w="80" w:type="dxa"/>
        <w:tblLayout w:type="fixed"/>
        <w:tblLook w:val="04A0" w:firstRow="1" w:lastRow="0" w:firstColumn="1" w:lastColumn="0" w:noHBand="0" w:noVBand="1"/>
      </w:tblPr>
      <w:tblGrid>
        <w:gridCol w:w="3109"/>
        <w:gridCol w:w="912"/>
        <w:gridCol w:w="912"/>
        <w:gridCol w:w="921"/>
        <w:gridCol w:w="901"/>
        <w:gridCol w:w="911"/>
        <w:gridCol w:w="911"/>
        <w:gridCol w:w="920"/>
        <w:gridCol w:w="902"/>
        <w:gridCol w:w="907"/>
        <w:gridCol w:w="895"/>
        <w:gridCol w:w="895"/>
        <w:gridCol w:w="895"/>
      </w:tblGrid>
      <w:tr w:rsidR="008835EB" w:rsidTr="007E3F2E">
        <w:trPr>
          <w:trHeight w:val="255"/>
        </w:trPr>
        <w:tc>
          <w:tcPr>
            <w:tcW w:w="30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lastRenderedPageBreak/>
              <w:t> </w:t>
            </w:r>
          </w:p>
        </w:tc>
        <w:tc>
          <w:tcPr>
            <w:tcW w:w="2727" w:type="dxa"/>
            <w:gridSpan w:val="3"/>
            <w:tcBorders>
              <w:top w:val="nil"/>
              <w:left w:val="nil"/>
              <w:bottom w:val="nil"/>
              <w:right w:val="nil"/>
            </w:tcBorders>
            <w:shd w:val="clear" w:color="FFFFFF" w:fill="FFFFFF"/>
            <w:vAlign w:val="bottom"/>
            <w:hideMark/>
          </w:tcPr>
          <w:p w:rsidR="008835EB" w:rsidRDefault="008835EB" w:rsidP="007E3F2E">
            <w:pPr>
              <w:spacing w:line="240" w:lineRule="auto"/>
              <w:jc w:val="center"/>
              <w:rPr>
                <w:rFonts w:cs="Calibri"/>
                <w:b/>
                <w:bCs/>
                <w:szCs w:val="18"/>
              </w:rPr>
            </w:pPr>
            <w:r>
              <w:rPr>
                <w:rFonts w:cs="Calibri"/>
                <w:b/>
                <w:bCs/>
                <w:szCs w:val="18"/>
              </w:rPr>
              <w:t>Retained earnings</w:t>
            </w:r>
          </w:p>
        </w:tc>
        <w:tc>
          <w:tcPr>
            <w:tcW w:w="2708" w:type="dxa"/>
            <w:gridSpan w:val="3"/>
            <w:tcBorders>
              <w:top w:val="nil"/>
              <w:left w:val="nil"/>
              <w:bottom w:val="nil"/>
              <w:right w:val="nil"/>
            </w:tcBorders>
            <w:shd w:val="clear" w:color="FFFFFF" w:fill="FFFFFF"/>
            <w:vAlign w:val="bottom"/>
            <w:hideMark/>
          </w:tcPr>
          <w:p w:rsidR="008835EB" w:rsidRDefault="008835EB" w:rsidP="007E3F2E">
            <w:pPr>
              <w:spacing w:line="240" w:lineRule="auto"/>
              <w:jc w:val="center"/>
              <w:rPr>
                <w:rFonts w:cs="Calibri"/>
                <w:b/>
                <w:bCs/>
                <w:szCs w:val="18"/>
              </w:rPr>
            </w:pPr>
            <w:r>
              <w:rPr>
                <w:rFonts w:cs="Calibri"/>
                <w:b/>
                <w:bCs/>
                <w:szCs w:val="18"/>
              </w:rPr>
              <w:t>Asset revaluation surplus</w:t>
            </w:r>
          </w:p>
        </w:tc>
        <w:tc>
          <w:tcPr>
            <w:tcW w:w="2714" w:type="dxa"/>
            <w:gridSpan w:val="3"/>
            <w:tcBorders>
              <w:top w:val="nil"/>
              <w:left w:val="nil"/>
              <w:bottom w:val="nil"/>
              <w:right w:val="nil"/>
            </w:tcBorders>
            <w:shd w:val="clear" w:color="FFFFFF" w:fill="FFFFFF"/>
            <w:vAlign w:val="bottom"/>
            <w:hideMark/>
          </w:tcPr>
          <w:p w:rsidR="008835EB" w:rsidRDefault="008835EB" w:rsidP="007E3F2E">
            <w:pPr>
              <w:spacing w:line="240" w:lineRule="auto"/>
              <w:jc w:val="center"/>
              <w:rPr>
                <w:rFonts w:cs="Calibri"/>
                <w:b/>
                <w:bCs/>
                <w:szCs w:val="18"/>
              </w:rPr>
            </w:pPr>
            <w:r>
              <w:rPr>
                <w:rFonts w:cs="Calibri"/>
                <w:b/>
                <w:bCs/>
                <w:szCs w:val="18"/>
              </w:rPr>
              <w:t>Contributed equity/capital</w:t>
            </w:r>
          </w:p>
        </w:tc>
        <w:tc>
          <w:tcPr>
            <w:tcW w:w="2670" w:type="dxa"/>
            <w:gridSpan w:val="3"/>
            <w:tcBorders>
              <w:top w:val="nil"/>
              <w:left w:val="nil"/>
              <w:bottom w:val="nil"/>
              <w:right w:val="nil"/>
            </w:tcBorders>
            <w:shd w:val="clear" w:color="FFFFFF" w:fill="FFFFFF"/>
            <w:vAlign w:val="bottom"/>
            <w:hideMark/>
          </w:tcPr>
          <w:p w:rsidR="008835EB" w:rsidRDefault="008835EB" w:rsidP="007E3F2E">
            <w:pPr>
              <w:spacing w:line="240" w:lineRule="auto"/>
              <w:jc w:val="center"/>
              <w:rPr>
                <w:rFonts w:cs="Calibri"/>
                <w:b/>
                <w:bCs/>
                <w:szCs w:val="18"/>
              </w:rPr>
            </w:pPr>
            <w:r>
              <w:rPr>
                <w:rFonts w:cs="Calibri"/>
                <w:b/>
                <w:bCs/>
                <w:szCs w:val="18"/>
              </w:rPr>
              <w:t>Total equity</w:t>
            </w:r>
          </w:p>
        </w:tc>
      </w:tr>
      <w:bookmarkEnd w:id="13"/>
      <w:tr w:rsidR="008835EB" w:rsidTr="007E3F2E">
        <w:trPr>
          <w:trHeight w:val="255"/>
        </w:trPr>
        <w:tc>
          <w:tcPr>
            <w:tcW w:w="30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2016</w:t>
            </w:r>
          </w:p>
        </w:tc>
        <w:tc>
          <w:tcPr>
            <w:tcW w:w="90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2015</w:t>
            </w:r>
          </w:p>
        </w:tc>
        <w:tc>
          <w:tcPr>
            <w:tcW w:w="915"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c>
          <w:tcPr>
            <w:tcW w:w="89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2016</w:t>
            </w:r>
          </w:p>
        </w:tc>
        <w:tc>
          <w:tcPr>
            <w:tcW w:w="90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2015</w:t>
            </w:r>
          </w:p>
        </w:tc>
        <w:tc>
          <w:tcPr>
            <w:tcW w:w="90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c>
          <w:tcPr>
            <w:tcW w:w="915"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2016</w:t>
            </w:r>
          </w:p>
        </w:tc>
        <w:tc>
          <w:tcPr>
            <w:tcW w:w="897"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2015</w:t>
            </w:r>
          </w:p>
        </w:tc>
        <w:tc>
          <w:tcPr>
            <w:tcW w:w="902"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c>
          <w:tcPr>
            <w:tcW w:w="890"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2016</w:t>
            </w:r>
          </w:p>
        </w:tc>
        <w:tc>
          <w:tcPr>
            <w:tcW w:w="890"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2015</w:t>
            </w:r>
          </w:p>
        </w:tc>
        <w:tc>
          <w:tcPr>
            <w:tcW w:w="890"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r>
      <w:tr w:rsidR="008835EB" w:rsidTr="007E3F2E">
        <w:trPr>
          <w:trHeight w:val="255"/>
        </w:trPr>
        <w:tc>
          <w:tcPr>
            <w:tcW w:w="3090" w:type="dxa"/>
            <w:tcBorders>
              <w:top w:val="nil"/>
              <w:left w:val="nil"/>
              <w:bottom w:val="single" w:sz="4" w:space="0" w:color="auto"/>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90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915"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89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90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90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915"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897"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902"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890"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890"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890"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Opening balance</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Balance carried forward from previous period</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(37,590)</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(25,441)</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(55,931)</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3,376</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3,376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3,376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151,515</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96,504 </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151,515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117,301</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74,439</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98,960</w:t>
            </w:r>
          </w:p>
        </w:tc>
      </w:tr>
      <w:tr w:rsidR="008835EB" w:rsidTr="007E3F2E">
        <w:trPr>
          <w:trHeight w:val="255"/>
        </w:trPr>
        <w:tc>
          <w:tcPr>
            <w:tcW w:w="309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Adjusted opening balance</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(37,590)</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(25,441)</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(55,931)</w:t>
            </w:r>
          </w:p>
        </w:tc>
        <w:tc>
          <w:tcPr>
            <w:tcW w:w="89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3,376</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3,376</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3,376</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151,515</w:t>
            </w:r>
          </w:p>
        </w:tc>
        <w:tc>
          <w:tcPr>
            <w:tcW w:w="89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96,504</w:t>
            </w:r>
          </w:p>
        </w:tc>
        <w:tc>
          <w:tcPr>
            <w:tcW w:w="90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151,515</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117,301</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74,439</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98,960</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Comprehensive income</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Other comprehensive income</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6,876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6,876</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Deficit for the period</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(19,882)</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(12,149)</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(34,072)</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(19,882)</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(12,149)</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(34,072)</w:t>
            </w:r>
          </w:p>
        </w:tc>
      </w:tr>
      <w:tr w:rsidR="008835EB" w:rsidTr="007E3F2E">
        <w:trPr>
          <w:trHeight w:val="255"/>
        </w:trPr>
        <w:tc>
          <w:tcPr>
            <w:tcW w:w="309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comprehensive income</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(19,882)</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(12,149)</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(34,072)</w:t>
            </w:r>
          </w:p>
        </w:tc>
        <w:tc>
          <w:tcPr>
            <w:tcW w:w="89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6,876</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89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(13,006)</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(12,149)</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(34,072)</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Contributions by owners</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Equity injection - Appropriation</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15,408</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23,987</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9,333</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15,408</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23,987</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9,333</w:t>
            </w:r>
          </w:p>
        </w:tc>
      </w:tr>
      <w:tr w:rsidR="008835EB" w:rsidTr="007E3F2E">
        <w:trPr>
          <w:trHeight w:val="255"/>
        </w:trPr>
        <w:tc>
          <w:tcPr>
            <w:tcW w:w="3090"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Departmental capital budget</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27,378</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31,024</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26,878</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27,378</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31,024</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26,878</w:t>
            </w:r>
          </w:p>
        </w:tc>
      </w:tr>
      <w:tr w:rsidR="008835EB" w:rsidTr="007E3F2E">
        <w:trPr>
          <w:trHeight w:val="255"/>
        </w:trPr>
        <w:tc>
          <w:tcPr>
            <w:tcW w:w="309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Restructuring</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8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0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915"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897"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r>
      <w:tr w:rsidR="008835EB" w:rsidTr="007E3F2E">
        <w:trPr>
          <w:trHeight w:val="255"/>
        </w:trPr>
        <w:tc>
          <w:tcPr>
            <w:tcW w:w="309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Sub-total transactions with owners</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89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42,786</w:t>
            </w:r>
          </w:p>
        </w:tc>
        <w:tc>
          <w:tcPr>
            <w:tcW w:w="89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55,011</w:t>
            </w:r>
          </w:p>
        </w:tc>
        <w:tc>
          <w:tcPr>
            <w:tcW w:w="90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36,211</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42,786</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55,011</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36,211</w:t>
            </w:r>
          </w:p>
        </w:tc>
      </w:tr>
      <w:tr w:rsidR="008835EB" w:rsidTr="007E3F2E">
        <w:trPr>
          <w:trHeight w:val="255"/>
        </w:trPr>
        <w:tc>
          <w:tcPr>
            <w:tcW w:w="309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Closing balance attributable to Australian Government</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(57,472)</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(37,590)</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(90,003)</w:t>
            </w:r>
          </w:p>
        </w:tc>
        <w:tc>
          <w:tcPr>
            <w:tcW w:w="89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10,252</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3,376</w:t>
            </w:r>
          </w:p>
        </w:tc>
        <w:tc>
          <w:tcPr>
            <w:tcW w:w="90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3,376</w:t>
            </w:r>
          </w:p>
        </w:tc>
        <w:tc>
          <w:tcPr>
            <w:tcW w:w="9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194,301</w:t>
            </w:r>
          </w:p>
        </w:tc>
        <w:tc>
          <w:tcPr>
            <w:tcW w:w="89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151,515</w:t>
            </w:r>
          </w:p>
        </w:tc>
        <w:tc>
          <w:tcPr>
            <w:tcW w:w="90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187,726</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147,081</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117,301</w:t>
            </w:r>
          </w:p>
        </w:tc>
        <w:tc>
          <w:tcPr>
            <w:tcW w:w="89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101,099</w:t>
            </w:r>
          </w:p>
        </w:tc>
      </w:tr>
    </w:tbl>
    <w:p w:rsidR="008835EB" w:rsidRPr="00A410C6" w:rsidRDefault="008835EB" w:rsidP="008835EB">
      <w:pPr>
        <w:pStyle w:val="PolicyheadingDept"/>
        <w:numPr>
          <w:ilvl w:val="0"/>
          <w:numId w:val="30"/>
        </w:numPr>
        <w:pBdr>
          <w:top w:val="none" w:sz="0" w:space="0" w:color="auto"/>
          <w:left w:val="none" w:sz="0" w:space="0" w:color="auto"/>
          <w:bottom w:val="none" w:sz="0" w:space="0" w:color="auto"/>
          <w:right w:val="none" w:sz="0" w:space="0" w:color="auto"/>
        </w:pBdr>
        <w:ind w:left="426" w:hanging="426"/>
        <w:rPr>
          <w:b w:val="0"/>
        </w:rPr>
      </w:pPr>
      <w:bookmarkStart w:id="14" w:name="RANGE!E7:Q31"/>
      <w:bookmarkStart w:id="15" w:name="RANGE!E7:J111"/>
      <w:bookmarkStart w:id="16" w:name="RANGE!E7:J110"/>
      <w:bookmarkStart w:id="17" w:name="RANGE!E7:J109"/>
      <w:bookmarkStart w:id="18" w:name="RANGE!E7:I108"/>
      <w:bookmarkStart w:id="19" w:name="RANGE!E7:H108"/>
      <w:bookmarkStart w:id="20" w:name="RANGE!D6:H57"/>
      <w:bookmarkStart w:id="21" w:name="RANGE!D6:D57"/>
      <w:bookmarkStart w:id="22" w:name="RANGE!D6:D56"/>
      <w:bookmarkStart w:id="23" w:name="RANGE!D6:H53"/>
      <w:bookmarkStart w:id="24" w:name="RANGE!D6:H43"/>
      <w:bookmarkStart w:id="25" w:name="RANGE!D6:H44"/>
      <w:bookmarkStart w:id="26" w:name="RANGE!E7:M33"/>
      <w:bookmarkStart w:id="27" w:name="RANGE!E7:M32"/>
      <w:bookmarkStart w:id="28" w:name="RANGE!E6:M31"/>
      <w:bookmarkStart w:id="29" w:name="RANGE!E6:M30"/>
      <w:bookmarkStart w:id="30" w:name="RANGE!E6:M35"/>
      <w:bookmarkStart w:id="31" w:name="RANGE!E6:E37"/>
      <w:bookmarkStart w:id="32" w:name="RANGE!E6:M3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A410C6">
        <w:rPr>
          <w:b w:val="0"/>
        </w:rPr>
        <w:t xml:space="preserve">Employment’s original budgeted financial statement that was first presented to parliament in respect of the </w:t>
      </w:r>
      <w:r>
        <w:rPr>
          <w:b w:val="0"/>
        </w:rPr>
        <w:t>r</w:t>
      </w:r>
      <w:r w:rsidRPr="00A410C6">
        <w:rPr>
          <w:b w:val="0"/>
        </w:rPr>
        <w:t xml:space="preserve">eporting period was the </w:t>
      </w:r>
      <w:r>
        <w:rPr>
          <w:b w:val="0"/>
        </w:rPr>
        <w:t xml:space="preserve">2015–16 </w:t>
      </w:r>
      <w:r w:rsidRPr="00A410C6">
        <w:rPr>
          <w:b w:val="0"/>
        </w:rPr>
        <w:t>Por</w:t>
      </w:r>
      <w:r>
        <w:rPr>
          <w:b w:val="0"/>
        </w:rPr>
        <w:t>tfolio Budget Statements</w:t>
      </w:r>
      <w:r w:rsidRPr="00A410C6">
        <w:rPr>
          <w:b w:val="0"/>
        </w:rPr>
        <w:t>.</w:t>
      </w:r>
    </w:p>
    <w:p w:rsidR="008835EB" w:rsidRPr="00200687" w:rsidRDefault="008835EB" w:rsidP="008835EB">
      <w:pPr>
        <w:pStyle w:val="PolicyheadingDept"/>
      </w:pPr>
      <w:r>
        <w:t>Accounting Policy</w:t>
      </w:r>
    </w:p>
    <w:p w:rsidR="008835EB" w:rsidRPr="00200687" w:rsidRDefault="008835EB" w:rsidP="008835EB">
      <w:pPr>
        <w:pStyle w:val="Policytextunderline"/>
      </w:pPr>
      <w:r w:rsidRPr="00200687">
        <w:t>Equity Injections</w:t>
      </w:r>
    </w:p>
    <w:p w:rsidR="008835EB" w:rsidRPr="00A545AC" w:rsidRDefault="008835EB" w:rsidP="008835EB">
      <w:pPr>
        <w:pStyle w:val="PolicytextDept"/>
      </w:pPr>
      <w:r w:rsidRPr="00A545AC">
        <w:t>Amounts appropriated which are designated as ‘equity injections’ for a year (less any formal reductions) and Departmental Capital Budgets (</w:t>
      </w:r>
      <w:proofErr w:type="spellStart"/>
      <w:r w:rsidRPr="00A545AC">
        <w:t>DCBs</w:t>
      </w:r>
      <w:proofErr w:type="spellEnd"/>
      <w:r w:rsidRPr="00A545AC">
        <w:t>) are recognised directly in contributed equity in that year.</w:t>
      </w:r>
    </w:p>
    <w:p w:rsidR="008835EB" w:rsidRPr="00200687" w:rsidRDefault="008835EB" w:rsidP="008835EB">
      <w:pPr>
        <w:pStyle w:val="Policytextunderline"/>
      </w:pPr>
      <w:r w:rsidRPr="00200687">
        <w:t>Restructuring of Administrative Arrangements</w:t>
      </w:r>
    </w:p>
    <w:p w:rsidR="008835EB" w:rsidRPr="00A545AC" w:rsidRDefault="008835EB" w:rsidP="008835EB">
      <w:pPr>
        <w:pStyle w:val="PolicytextDept"/>
      </w:pPr>
      <w:r w:rsidRPr="00A545AC">
        <w:t>Net assets received from, or relinquished to, another Government entity under a restructuring of administrative arrangements are adjusted at their book value directly against contributed equity.</w:t>
      </w:r>
    </w:p>
    <w:p w:rsidR="008835EB" w:rsidRPr="00A545AC" w:rsidRDefault="008835EB" w:rsidP="008835EB">
      <w:pPr>
        <w:pStyle w:val="Policytextunderline"/>
      </w:pPr>
      <w:r w:rsidRPr="00A545AC">
        <w:t>Other Distributions to Owners</w:t>
      </w:r>
    </w:p>
    <w:p w:rsidR="008835EB" w:rsidRPr="00A545AC" w:rsidRDefault="008835EB" w:rsidP="008835EB">
      <w:pPr>
        <w:pStyle w:val="PolicytextDept"/>
      </w:pPr>
      <w:r>
        <w:t>The Financial Reporting Rule (</w:t>
      </w:r>
      <w:proofErr w:type="spellStart"/>
      <w:r>
        <w:t>FRR</w:t>
      </w:r>
      <w:proofErr w:type="spellEnd"/>
      <w:r>
        <w:t>)</w:t>
      </w:r>
      <w:r w:rsidRPr="00A545AC">
        <w:t xml:space="preserve"> </w:t>
      </w:r>
      <w:proofErr w:type="gramStart"/>
      <w:r w:rsidRPr="00A545AC">
        <w:t>require</w:t>
      </w:r>
      <w:proofErr w:type="gramEnd"/>
      <w:r w:rsidRPr="00A545AC">
        <w:t xml:space="preserve"> that distributions to owners be debited to contributed equity unless it is in the nature of a dividend.</w:t>
      </w:r>
    </w:p>
    <w:p w:rsidR="008835EB" w:rsidRDefault="008835EB" w:rsidP="008835EB">
      <w:pPr>
        <w:spacing w:line="240" w:lineRule="auto"/>
        <w:ind w:firstLine="426"/>
        <w:sectPr w:rsidR="008835EB" w:rsidSect="00FA455C">
          <w:type w:val="continuous"/>
          <w:pgSz w:w="16838" w:h="11906" w:orient="landscape"/>
          <w:pgMar w:top="1134" w:right="1134" w:bottom="1134" w:left="1134" w:header="958" w:footer="737" w:gutter="0"/>
          <w:cols w:space="720"/>
          <w:docGrid w:linePitch="245"/>
        </w:sectPr>
      </w:pPr>
    </w:p>
    <w:p w:rsidR="00FA455C" w:rsidRDefault="00FA455C" w:rsidP="00FA455C">
      <w:pPr>
        <w:pStyle w:val="Heading1"/>
      </w:pPr>
      <w:bookmarkStart w:id="33" w:name="Note_DCFTABLE1" w:colFirst="0" w:colLast="0"/>
      <w:r>
        <w:lastRenderedPageBreak/>
        <w:t>Department of Employment</w:t>
      </w:r>
      <w:r>
        <w:br/>
        <w:t>CASH FLOW STATEMENT</w:t>
      </w:r>
      <w:r>
        <w:br/>
        <w:t>for the period ended 30 June 2016</w:t>
      </w:r>
    </w:p>
    <w:p w:rsidR="00FA455C" w:rsidRDefault="00FA455C" w:rsidP="007E3F2E">
      <w:pPr>
        <w:rPr>
          <w:rFonts w:cs="Calibri"/>
          <w:szCs w:val="18"/>
        </w:rPr>
        <w:sectPr w:rsidR="00FA455C" w:rsidSect="00F74C23">
          <w:headerReference w:type="even" r:id="rId24"/>
          <w:headerReference w:type="default" r:id="rId25"/>
          <w:headerReference w:type="first" r:id="rId26"/>
          <w:pgSz w:w="11906" w:h="16838"/>
          <w:pgMar w:top="1134" w:right="1134" w:bottom="1134" w:left="1134" w:header="958" w:footer="737" w:gutter="0"/>
          <w:cols w:space="720"/>
        </w:sectPr>
      </w:pPr>
    </w:p>
    <w:tbl>
      <w:tblPr>
        <w:tblW w:w="9087" w:type="dxa"/>
        <w:tblInd w:w="80" w:type="dxa"/>
        <w:tblLayout w:type="fixed"/>
        <w:tblLook w:val="04A0" w:firstRow="1" w:lastRow="0" w:firstColumn="1" w:lastColumn="0" w:noHBand="0" w:noVBand="1"/>
      </w:tblPr>
      <w:tblGrid>
        <w:gridCol w:w="4504"/>
        <w:gridCol w:w="1136"/>
        <w:gridCol w:w="1129"/>
        <w:gridCol w:w="238"/>
        <w:gridCol w:w="930"/>
        <w:gridCol w:w="238"/>
        <w:gridCol w:w="912"/>
      </w:tblGrid>
      <w:tr w:rsidR="008835EB" w:rsidTr="007E3F2E">
        <w:trPr>
          <w:trHeight w:val="525"/>
        </w:trPr>
        <w:tc>
          <w:tcPr>
            <w:tcW w:w="445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lastRenderedPageBreak/>
              <w:t> </w:t>
            </w:r>
          </w:p>
        </w:tc>
        <w:tc>
          <w:tcPr>
            <w:tcW w:w="112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r>
      <w:bookmarkEnd w:id="33"/>
      <w:tr w:rsidR="008835EB" w:rsidTr="007E3F2E">
        <w:trPr>
          <w:trHeight w:val="255"/>
        </w:trPr>
        <w:tc>
          <w:tcPr>
            <w:tcW w:w="445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b/>
                <w:bCs/>
                <w:szCs w:val="18"/>
              </w:rPr>
            </w:pPr>
            <w:r>
              <w:rPr>
                <w:rFonts w:cs="Calibri"/>
                <w:b/>
                <w:bCs/>
                <w:szCs w:val="18"/>
              </w:rPr>
              <w:t>Notes</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445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OPERATING ACTIVITIES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Cash received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301,641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281,233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286,530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Sale of goods and rendering of services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24,465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28,130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17,923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Net GST received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13,571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13,559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7,354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Other</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cash received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339,680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322,922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311,807</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Cash used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40"/>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Employees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202,642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182,157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218,490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Suppliers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114,271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110,617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93,317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Grants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300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1,439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xml:space="preserve">Section 74 receipts transferred to the </w:t>
            </w:r>
            <w:proofErr w:type="spellStart"/>
            <w:r>
              <w:rPr>
                <w:rFonts w:cs="Calibri"/>
                <w:szCs w:val="18"/>
              </w:rPr>
              <w:t>OPA</w:t>
            </w:r>
            <w:proofErr w:type="spellEnd"/>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24,286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26,198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cash used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341,499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320,411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311,807</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70"/>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Net cash from operating activities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5.3</w:t>
            </w:r>
          </w:p>
        </w:tc>
        <w:tc>
          <w:tcPr>
            <w:tcW w:w="1117"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(1,819)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2,511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70"/>
        </w:trPr>
        <w:tc>
          <w:tcPr>
            <w:tcW w:w="445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INVESTING ACTIVITIES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Cash received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Proceeds from sales of infrastructure, plant and equipment</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23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54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cash received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54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445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Cash used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Purchase of infrastructure, plant and equipment</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3,932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4,591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6,990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Purchase / development of intangibles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37,538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41,634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23,065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Purchase of leasehold improvements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982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7,526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6,156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cash used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42,452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53,751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36,211</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70"/>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Net cash used by investing activities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(42,429)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(53,697)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(36,211)</w:t>
            </w:r>
          </w:p>
        </w:tc>
      </w:tr>
      <w:tr w:rsidR="008835EB" w:rsidTr="007E3F2E">
        <w:trPr>
          <w:trHeight w:val="270"/>
        </w:trPr>
        <w:tc>
          <w:tcPr>
            <w:tcW w:w="445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FINANCING ACTIVITIES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Cash received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Contributed equity - equity injection and capital budget</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41,803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51,838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36,211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cash received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41,803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51,838</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36,211</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70"/>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Net cash from financing activities</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41,803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51,838</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36,211</w:t>
            </w:r>
          </w:p>
        </w:tc>
      </w:tr>
      <w:tr w:rsidR="008835EB" w:rsidTr="007E3F2E">
        <w:trPr>
          <w:trHeight w:val="270"/>
        </w:trPr>
        <w:tc>
          <w:tcPr>
            <w:tcW w:w="445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Net increase in cash held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(2,445)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652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480"/>
        </w:trPr>
        <w:tc>
          <w:tcPr>
            <w:tcW w:w="4458"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Cash and cash equivalents at the beginning of the reporting period</w:t>
            </w:r>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6,321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5,669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2,768 </w:t>
            </w:r>
          </w:p>
        </w:tc>
      </w:tr>
      <w:tr w:rsidR="008835EB" w:rsidTr="007E3F2E">
        <w:trPr>
          <w:trHeight w:val="300"/>
        </w:trPr>
        <w:tc>
          <w:tcPr>
            <w:tcW w:w="4458"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 xml:space="preserve">Cash and cash equivalents at the end of the reporting </w:t>
            </w:r>
            <w:proofErr w:type="spellStart"/>
            <w:r>
              <w:rPr>
                <w:rFonts w:cs="Calibri"/>
                <w:b/>
                <w:bCs/>
                <w:i/>
                <w:iCs/>
                <w:szCs w:val="18"/>
              </w:rPr>
              <w:t>period</w:t>
            </w:r>
            <w:r>
              <w:rPr>
                <w:rFonts w:cs="Calibri"/>
                <w:b/>
                <w:bCs/>
                <w:i/>
                <w:iCs/>
                <w:szCs w:val="18"/>
                <w:vertAlign w:val="superscript"/>
              </w:rPr>
              <w:t>2</w:t>
            </w:r>
            <w:proofErr w:type="spellEnd"/>
          </w:p>
        </w:tc>
        <w:tc>
          <w:tcPr>
            <w:tcW w:w="1124" w:type="dxa"/>
            <w:tcBorders>
              <w:top w:val="nil"/>
              <w:left w:val="nil"/>
              <w:bottom w:val="nil"/>
              <w:right w:val="nil"/>
            </w:tcBorders>
            <w:shd w:val="clear" w:color="FFFFFF" w:fill="FFFFFF"/>
            <w:noWrap/>
            <w:vAlign w:val="bottom"/>
            <w:hideMark/>
          </w:tcPr>
          <w:p w:rsidR="008835EB" w:rsidRDefault="008835EB" w:rsidP="007E3F2E">
            <w:pPr>
              <w:jc w:val="center"/>
              <w:rPr>
                <w:rFonts w:cs="Calibri"/>
                <w:szCs w:val="18"/>
              </w:rPr>
            </w:pPr>
            <w:r>
              <w:rPr>
                <w:rFonts w:cs="Calibri"/>
                <w:szCs w:val="18"/>
              </w:rPr>
              <w:t> </w:t>
            </w:r>
          </w:p>
        </w:tc>
        <w:tc>
          <w:tcPr>
            <w:tcW w:w="1117"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3,876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2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6,321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903"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2,768</w:t>
            </w:r>
          </w:p>
        </w:tc>
      </w:tr>
    </w:tbl>
    <w:p w:rsidR="008835EB" w:rsidRDefault="008835EB" w:rsidP="008835EB">
      <w:pPr>
        <w:spacing w:line="240" w:lineRule="auto"/>
        <w:sectPr w:rsidR="008835EB" w:rsidSect="00FA455C">
          <w:type w:val="continuous"/>
          <w:pgSz w:w="11906" w:h="16838"/>
          <w:pgMar w:top="1134" w:right="1134" w:bottom="1134" w:left="1134" w:header="958" w:footer="737" w:gutter="0"/>
          <w:cols w:space="720"/>
        </w:sectPr>
      </w:pPr>
    </w:p>
    <w:p w:rsidR="00FA455C" w:rsidRDefault="00FA455C" w:rsidP="00FA455C">
      <w:pPr>
        <w:pStyle w:val="Heading1"/>
      </w:pPr>
      <w:r>
        <w:lastRenderedPageBreak/>
        <w:t>Department of Employment</w:t>
      </w:r>
      <w:r>
        <w:br/>
        <w:t>SCHEDULE OF COMMITMENTS</w:t>
      </w:r>
      <w:r>
        <w:br/>
        <w:t>as at 30 June 2016</w:t>
      </w:r>
    </w:p>
    <w:p w:rsidR="008835EB" w:rsidRDefault="008835EB" w:rsidP="008835EB">
      <w:pPr>
        <w:spacing w:line="240" w:lineRule="auto"/>
        <w:rPr>
          <w:rStyle w:val="FootnoteReference"/>
        </w:rPr>
      </w:pPr>
    </w:p>
    <w:p w:rsidR="008835EB" w:rsidRPr="00F73BAA" w:rsidRDefault="008835EB" w:rsidP="008835EB">
      <w:pPr>
        <w:pStyle w:val="ListParagraph"/>
        <w:numPr>
          <w:ilvl w:val="0"/>
          <w:numId w:val="24"/>
        </w:numPr>
        <w:spacing w:line="240" w:lineRule="auto"/>
        <w:ind w:left="426" w:right="424"/>
        <w:rPr>
          <w:rFonts w:cs="Calibri"/>
          <w:szCs w:val="18"/>
        </w:rPr>
      </w:pPr>
      <w:r w:rsidRPr="00F00DF9">
        <w:rPr>
          <w:rFonts w:cs="Calibri"/>
          <w:szCs w:val="18"/>
        </w:rPr>
        <w:t xml:space="preserve">Employment’s original budgeted financial statement that was first presented to parliament in respect of the reporting </w:t>
      </w:r>
      <w:r w:rsidRPr="00F73BAA">
        <w:rPr>
          <w:rFonts w:cs="Calibri"/>
          <w:szCs w:val="18"/>
        </w:rPr>
        <w:t>period was the 2015</w:t>
      </w:r>
      <w:r>
        <w:rPr>
          <w:rFonts w:cs="Calibri"/>
          <w:szCs w:val="18"/>
        </w:rPr>
        <w:t>–</w:t>
      </w:r>
      <w:r w:rsidRPr="00F73BAA">
        <w:rPr>
          <w:rFonts w:cs="Calibri"/>
          <w:szCs w:val="18"/>
        </w:rPr>
        <w:t>16 Portfolio Budget Statements.</w:t>
      </w:r>
    </w:p>
    <w:p w:rsidR="008835EB" w:rsidRPr="006A4045" w:rsidRDefault="008835EB" w:rsidP="008835EB">
      <w:pPr>
        <w:pStyle w:val="ListParagraph"/>
        <w:numPr>
          <w:ilvl w:val="0"/>
          <w:numId w:val="24"/>
        </w:numPr>
        <w:spacing w:line="240" w:lineRule="auto"/>
        <w:ind w:left="426"/>
        <w:rPr>
          <w:rFonts w:cs="Calibri"/>
          <w:szCs w:val="18"/>
        </w:rPr>
      </w:pPr>
      <w:r>
        <w:rPr>
          <w:rFonts w:cs="Calibri"/>
          <w:szCs w:val="18"/>
        </w:rPr>
        <w:t>As shown in the Statement of Financial Position.</w:t>
      </w:r>
      <w:r w:rsidRPr="006A4045">
        <w:rPr>
          <w:rFonts w:cs="Calibri"/>
          <w:szCs w:val="18"/>
        </w:rPr>
        <w:br w:type="page"/>
      </w:r>
      <w:bookmarkStart w:id="34" w:name="RANGE!E6:I53"/>
      <w:bookmarkStart w:id="35" w:name="RANGE!E6:I52"/>
      <w:bookmarkStart w:id="36" w:name="RANGE!E6:I59"/>
      <w:bookmarkStart w:id="37" w:name="RANGE!E6:E65"/>
      <w:bookmarkStart w:id="38" w:name="RANGE!E6:I65"/>
      <w:bookmarkStart w:id="39" w:name="RANGE!E6:E64"/>
      <w:bookmarkStart w:id="40" w:name="RANGE!E6:I64"/>
      <w:bookmarkEnd w:id="34"/>
      <w:bookmarkEnd w:id="35"/>
      <w:bookmarkEnd w:id="36"/>
      <w:bookmarkEnd w:id="37"/>
      <w:bookmarkEnd w:id="38"/>
      <w:bookmarkEnd w:id="39"/>
      <w:bookmarkEnd w:id="40"/>
    </w:p>
    <w:p w:rsidR="008835EB" w:rsidRPr="006A4045" w:rsidRDefault="008835EB" w:rsidP="008835EB">
      <w:pPr>
        <w:pStyle w:val="ListParagraph"/>
        <w:numPr>
          <w:ilvl w:val="0"/>
          <w:numId w:val="24"/>
        </w:numPr>
        <w:spacing w:line="240" w:lineRule="auto"/>
        <w:ind w:left="426"/>
        <w:rPr>
          <w:rFonts w:cs="Calibri"/>
          <w:szCs w:val="18"/>
        </w:rPr>
        <w:sectPr w:rsidR="008835EB" w:rsidRPr="006A4045" w:rsidSect="00F74C23">
          <w:headerReference w:type="even" r:id="rId27"/>
          <w:headerReference w:type="default" r:id="rId28"/>
          <w:footerReference w:type="default" r:id="rId29"/>
          <w:headerReference w:type="first" r:id="rId30"/>
          <w:type w:val="continuous"/>
          <w:pgSz w:w="11906" w:h="16838"/>
          <w:pgMar w:top="1134" w:right="1134" w:bottom="1134" w:left="1134" w:header="958" w:footer="737" w:gutter="0"/>
          <w:cols w:space="720"/>
        </w:sectPr>
      </w:pPr>
    </w:p>
    <w:p w:rsidR="00FA455C" w:rsidRDefault="00FA455C" w:rsidP="00FA455C">
      <w:pPr>
        <w:pStyle w:val="Heading1"/>
      </w:pPr>
      <w:bookmarkStart w:id="41" w:name="Note_APLTABLE1" w:colFirst="0" w:colLast="0"/>
      <w:r>
        <w:lastRenderedPageBreak/>
        <w:t>Department of Employment</w:t>
      </w:r>
      <w:r>
        <w:br/>
        <w:t>ADMINISTERED SCHEDULE OF COMPREHENSIVE INCOME</w:t>
      </w:r>
      <w:r>
        <w:br/>
        <w:t>for the period ended 30 June 2016</w:t>
      </w:r>
    </w:p>
    <w:p w:rsidR="00FA455C" w:rsidRDefault="00FA455C" w:rsidP="007E3F2E">
      <w:pPr>
        <w:rPr>
          <w:rFonts w:ascii="Arial" w:hAnsi="Arial" w:cs="Arial"/>
          <w:sz w:val="16"/>
          <w:szCs w:val="16"/>
        </w:rPr>
        <w:sectPr w:rsidR="00FA455C" w:rsidSect="00F74C23">
          <w:headerReference w:type="even" r:id="rId31"/>
          <w:headerReference w:type="default" r:id="rId32"/>
          <w:headerReference w:type="first" r:id="rId33"/>
          <w:pgSz w:w="11906" w:h="16838"/>
          <w:pgMar w:top="1134" w:right="1134" w:bottom="1134" w:left="1134" w:header="958" w:footer="737" w:gutter="0"/>
          <w:cols w:space="720"/>
        </w:sectPr>
      </w:pPr>
    </w:p>
    <w:tbl>
      <w:tblPr>
        <w:tblW w:w="9087" w:type="dxa"/>
        <w:tblInd w:w="80" w:type="dxa"/>
        <w:tblLayout w:type="fixed"/>
        <w:tblLook w:val="04A0" w:firstRow="1" w:lastRow="0" w:firstColumn="1" w:lastColumn="0" w:noHBand="0" w:noVBand="1"/>
      </w:tblPr>
      <w:tblGrid>
        <w:gridCol w:w="4283"/>
        <w:gridCol w:w="1080"/>
        <w:gridCol w:w="1110"/>
        <w:gridCol w:w="238"/>
        <w:gridCol w:w="1070"/>
        <w:gridCol w:w="238"/>
        <w:gridCol w:w="1068"/>
      </w:tblGrid>
      <w:tr w:rsidR="008835EB" w:rsidTr="007E3F2E">
        <w:trPr>
          <w:trHeight w:val="52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lastRenderedPageBreak/>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99" w:type="dxa"/>
            <w:tcBorders>
              <w:top w:val="nil"/>
              <w:left w:val="nil"/>
              <w:bottom w:val="single" w:sz="4" w:space="0" w:color="D9D9D9"/>
              <w:right w:val="single" w:sz="4" w:space="0" w:color="D9D9D9"/>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r>
      <w:bookmarkEnd w:id="41"/>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70" w:type="dxa"/>
            <w:tcBorders>
              <w:top w:val="nil"/>
              <w:left w:val="nil"/>
              <w:bottom w:val="single" w:sz="4" w:space="0" w:color="D9D9D9"/>
              <w:right w:val="single" w:sz="4" w:space="0" w:color="D9D9D9"/>
            </w:tcBorders>
            <w:shd w:val="clear" w:color="000000" w:fill="D9D9D9"/>
            <w:vAlign w:val="bottom"/>
            <w:hideMark/>
          </w:tcPr>
          <w:p w:rsidR="008835EB" w:rsidRDefault="008835EB" w:rsidP="007E3F2E">
            <w:pPr>
              <w:jc w:val="center"/>
              <w:rPr>
                <w:rFonts w:cs="Calibri"/>
                <w:b/>
                <w:bCs/>
                <w:szCs w:val="18"/>
              </w:rPr>
            </w:pPr>
            <w:r>
              <w:rPr>
                <w:rFonts w:cs="Calibri"/>
                <w:b/>
                <w:bCs/>
                <w:szCs w:val="18"/>
              </w:rPr>
              <w:t>Notes</w:t>
            </w:r>
          </w:p>
        </w:tc>
        <w:tc>
          <w:tcPr>
            <w:tcW w:w="1099" w:type="dxa"/>
            <w:tcBorders>
              <w:top w:val="nil"/>
              <w:left w:val="nil"/>
              <w:bottom w:val="single" w:sz="4" w:space="0" w:color="D9D9D9"/>
              <w:right w:val="single" w:sz="4" w:space="0" w:color="D9D9D9"/>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b/>
                <w:bCs/>
                <w:sz w:val="16"/>
                <w:szCs w:val="16"/>
              </w:rPr>
            </w:pPr>
            <w:r>
              <w:rPr>
                <w:rFonts w:ascii="Arial" w:hAnsi="Arial" w:cs="Arial"/>
                <w:b/>
                <w:bCs/>
                <w:sz w:val="16"/>
                <w:szCs w:val="16"/>
              </w:rPr>
              <w:t>NET COST OF SERVICES</w:t>
            </w:r>
          </w:p>
        </w:tc>
        <w:tc>
          <w:tcPr>
            <w:tcW w:w="1070" w:type="dxa"/>
            <w:tcBorders>
              <w:top w:val="nil"/>
              <w:left w:val="nil"/>
              <w:bottom w:val="nil"/>
              <w:right w:val="nil"/>
            </w:tcBorders>
            <w:shd w:val="clear" w:color="000000" w:fill="D9D9D9"/>
            <w:vAlign w:val="bottom"/>
            <w:hideMark/>
          </w:tcPr>
          <w:p w:rsidR="008835EB" w:rsidRDefault="008835EB" w:rsidP="007E3F2E">
            <w:pPr>
              <w:jc w:val="center"/>
              <w:rPr>
                <w:rFonts w:cs="Calibri"/>
                <w:b/>
                <w:bCs/>
                <w:szCs w:val="18"/>
              </w:rPr>
            </w:pPr>
            <w:r>
              <w:rPr>
                <w:rFonts w:cs="Calibri"/>
                <w:b/>
                <w:bCs/>
                <w:szCs w:val="18"/>
              </w:rPr>
              <w:t> </w:t>
            </w:r>
          </w:p>
        </w:tc>
        <w:tc>
          <w:tcPr>
            <w:tcW w:w="1099"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EXPENSES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Suppliers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2.1A</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1,004,221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1,187,868</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1,313,745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Subsidies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2.1B</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165,165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281,345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305,930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Personal benefits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2.1C</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337,814</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384,959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284,525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 xml:space="preserve">Grants </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2.1D</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90,833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89,773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82,959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Write-down and impairment of assets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2,293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155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Payments to corporate Commonwealth entities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7,727</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7,563</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7,727 </w:t>
            </w:r>
          </w:p>
        </w:tc>
      </w:tr>
      <w:tr w:rsidR="008835EB" w:rsidTr="007E3F2E">
        <w:trPr>
          <w:trHeight w:val="270"/>
        </w:trPr>
        <w:tc>
          <w:tcPr>
            <w:tcW w:w="4241" w:type="dxa"/>
            <w:tcBorders>
              <w:top w:val="nil"/>
              <w:left w:val="nil"/>
              <w:bottom w:val="single" w:sz="8" w:space="0" w:color="D9D9D9"/>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expenses administered on behalf of Government</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1,608,053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1,951,663</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1,994,886</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INCOME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Revenue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Taxation revenue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Other taxes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144,931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159,401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174,618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taxation revenue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144,931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159,401</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174,618</w:t>
            </w:r>
          </w:p>
        </w:tc>
      </w:tr>
      <w:tr w:rsidR="008835EB" w:rsidTr="007E3F2E">
        <w:trPr>
          <w:trHeight w:val="255"/>
        </w:trPr>
        <w:tc>
          <w:tcPr>
            <w:tcW w:w="4241"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 </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Non-taxation revenue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Interest</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Commonwealth asset recoveries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70,529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23,278</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14,732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Other revenue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25,237</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5,643</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3,963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non-taxation revenue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95,795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28,941</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18,695</w:t>
            </w:r>
          </w:p>
        </w:tc>
      </w:tr>
      <w:tr w:rsidR="008835EB" w:rsidTr="007E3F2E">
        <w:trPr>
          <w:trHeight w:val="270"/>
        </w:trPr>
        <w:tc>
          <w:tcPr>
            <w:tcW w:w="4241" w:type="dxa"/>
            <w:tcBorders>
              <w:top w:val="nil"/>
              <w:left w:val="nil"/>
              <w:bottom w:val="single" w:sz="8" w:space="0" w:color="D9D9D9"/>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revenue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240,726</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188,342</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193,313</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70"/>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income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240,726</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188,342</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193,313</w:t>
            </w:r>
          </w:p>
        </w:tc>
      </w:tr>
      <w:tr w:rsidR="008835EB" w:rsidTr="007E3F2E">
        <w:trPr>
          <w:trHeight w:val="270"/>
        </w:trPr>
        <w:tc>
          <w:tcPr>
            <w:tcW w:w="4241"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 </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70"/>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xml:space="preserve">Net cost of services </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(1,367,327)</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(1,763,321)</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(1,801,573)</w:t>
            </w:r>
          </w:p>
        </w:tc>
      </w:tr>
      <w:tr w:rsidR="008835EB" w:rsidTr="007E3F2E">
        <w:trPr>
          <w:trHeight w:val="270"/>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OTHER COMPREHENSIVE INCOME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480"/>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Items not subject to subsequent reclassification to net cost of services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leftChars="100" w:left="180"/>
              <w:rPr>
                <w:rFonts w:cs="Calibri"/>
                <w:szCs w:val="18"/>
              </w:rPr>
            </w:pPr>
            <w:r>
              <w:rPr>
                <w:rFonts w:cs="Calibri"/>
                <w:szCs w:val="18"/>
              </w:rPr>
              <w:t>Changes in asset revaluation surplus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16,239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79,181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other comprehensive income</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16,239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79,181</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99" w:type="dxa"/>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70"/>
        </w:trPr>
        <w:tc>
          <w:tcPr>
            <w:tcW w:w="4241"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comprehensive loss</w:t>
            </w:r>
          </w:p>
        </w:tc>
        <w:tc>
          <w:tcPr>
            <w:tcW w:w="1070"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99" w:type="dxa"/>
            <w:tcBorders>
              <w:top w:val="single" w:sz="4" w:space="0" w:color="auto"/>
              <w:left w:val="nil"/>
              <w:bottom w:val="doub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(1,351,088)</w:t>
            </w:r>
          </w:p>
        </w:tc>
        <w:tc>
          <w:tcPr>
            <w:tcW w:w="236"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(1,684,140)</w:t>
            </w:r>
          </w:p>
        </w:tc>
        <w:tc>
          <w:tcPr>
            <w:tcW w:w="236"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(1,801,573)</w:t>
            </w:r>
          </w:p>
        </w:tc>
      </w:tr>
    </w:tbl>
    <w:p w:rsidR="008835EB" w:rsidRDefault="008835EB" w:rsidP="008835EB">
      <w:pPr>
        <w:pStyle w:val="Policytextadminbold"/>
        <w:spacing w:after="0"/>
        <w:ind w:left="426" w:hanging="426"/>
        <w:rPr>
          <w:b w:val="0"/>
        </w:rPr>
      </w:pPr>
      <w:bookmarkStart w:id="42" w:name="RANGE!D7:H51"/>
      <w:bookmarkEnd w:id="42"/>
      <w:r w:rsidRPr="00097B03">
        <w:rPr>
          <w:b w:val="0"/>
          <w:bCs w:val="0"/>
        </w:rPr>
        <w:t>1.</w:t>
      </w:r>
      <w:r>
        <w:rPr>
          <w:b w:val="0"/>
          <w:bCs w:val="0"/>
        </w:rPr>
        <w:tab/>
      </w:r>
      <w:r w:rsidRPr="00097B03">
        <w:rPr>
          <w:b w:val="0"/>
        </w:rPr>
        <w:t>Employment’s original budgeted financial statement that was first presented to parliament</w:t>
      </w:r>
      <w:r>
        <w:rPr>
          <w:b w:val="0"/>
        </w:rPr>
        <w:t xml:space="preserve"> in respect of the </w:t>
      </w:r>
      <w:r w:rsidRPr="00097B03">
        <w:rPr>
          <w:b w:val="0"/>
        </w:rPr>
        <w:t>reporting period was the Portfolio Budget Statements 2015</w:t>
      </w:r>
      <w:r>
        <w:rPr>
          <w:b w:val="0"/>
        </w:rPr>
        <w:t>–</w:t>
      </w:r>
      <w:r w:rsidRPr="00097B03">
        <w:rPr>
          <w:b w:val="0"/>
        </w:rPr>
        <w:t>16</w:t>
      </w:r>
      <w:r>
        <w:rPr>
          <w:b w:val="0"/>
        </w:rPr>
        <w:t>.</w:t>
      </w:r>
    </w:p>
    <w:p w:rsidR="008835EB" w:rsidRPr="000621E7" w:rsidRDefault="008835EB" w:rsidP="008835EB">
      <w:pPr>
        <w:pStyle w:val="Policytextadminbold"/>
        <w:spacing w:after="0"/>
        <w:ind w:left="426" w:hanging="426"/>
        <w:rPr>
          <w:b w:val="0"/>
        </w:rPr>
      </w:pPr>
    </w:p>
    <w:p w:rsidR="008835EB" w:rsidRPr="000621E7" w:rsidRDefault="008835EB" w:rsidP="008835EB">
      <w:pPr>
        <w:pStyle w:val="Policytextadminbold"/>
      </w:pPr>
      <w:r w:rsidRPr="000621E7">
        <w:t>Accounting Policy</w:t>
      </w:r>
    </w:p>
    <w:p w:rsidR="008835EB" w:rsidRPr="008B022A" w:rsidRDefault="008835EB" w:rsidP="008835EB">
      <w:pPr>
        <w:pStyle w:val="Policytextadminunderline"/>
      </w:pPr>
      <w:r w:rsidRPr="008B022A">
        <w:t>Revenue</w:t>
      </w:r>
    </w:p>
    <w:p w:rsidR="008835EB" w:rsidRPr="008B022A" w:rsidRDefault="008835EB" w:rsidP="008835EB">
      <w:pPr>
        <w:pStyle w:val="PolicyTextAdmin"/>
        <w:rPr>
          <w:lang w:eastAsia="en-AU"/>
        </w:rPr>
      </w:pPr>
      <w:r w:rsidRPr="008B022A">
        <w:rPr>
          <w:lang w:eastAsia="en-AU"/>
        </w:rPr>
        <w:t>All administered revenues are revenues relating to the course of ordina</w:t>
      </w:r>
      <w:r>
        <w:rPr>
          <w:lang w:eastAsia="en-AU"/>
        </w:rPr>
        <w:t>ry activities performed by the D</w:t>
      </w:r>
      <w:r w:rsidRPr="008B022A">
        <w:rPr>
          <w:lang w:eastAsia="en-AU"/>
        </w:rPr>
        <w:t>epartment on behalf</w:t>
      </w:r>
      <w:r>
        <w:rPr>
          <w:lang w:eastAsia="en-AU"/>
        </w:rPr>
        <w:t xml:space="preserve"> of the Australian Government. </w:t>
      </w:r>
      <w:r w:rsidRPr="008B022A">
        <w:rPr>
          <w:lang w:eastAsia="en-AU"/>
        </w:rPr>
        <w:t>As such, administered appropriations are not revenues of the individual entity that oversees distribution or expenditure of the funds as directed.</w:t>
      </w:r>
    </w:p>
    <w:p w:rsidR="008835EB" w:rsidRDefault="008835EB" w:rsidP="008835EB">
      <w:pPr>
        <w:pStyle w:val="PolicyTextAdmin"/>
      </w:pPr>
      <w:r w:rsidRPr="008B022A">
        <w:rPr>
          <w:lang w:eastAsia="en-AU"/>
        </w:rPr>
        <w:t>Administered fee revenue is recognised</w:t>
      </w:r>
      <w:r>
        <w:rPr>
          <w:lang w:eastAsia="en-AU"/>
        </w:rPr>
        <w:t xml:space="preserve"> when the service is provided. </w:t>
      </w:r>
      <w:r w:rsidRPr="008B022A">
        <w:rPr>
          <w:lang w:eastAsia="en-AU"/>
        </w:rPr>
        <w:t>Collectability of the de</w:t>
      </w:r>
      <w:r>
        <w:rPr>
          <w:lang w:eastAsia="en-AU"/>
        </w:rPr>
        <w:t>bt is reviewed at balance date.</w:t>
      </w:r>
      <w:r w:rsidRPr="008B022A">
        <w:rPr>
          <w:lang w:eastAsia="en-AU"/>
        </w:rPr>
        <w:t xml:space="preserve"> Impairment allowances are made when collectability of the debt is judged to be less, rather than more, likely.</w:t>
      </w:r>
    </w:p>
    <w:p w:rsidR="008835EB" w:rsidRDefault="008835EB" w:rsidP="008835EB">
      <w:pPr>
        <w:spacing w:line="240" w:lineRule="auto"/>
        <w:ind w:firstLine="426"/>
        <w:sectPr w:rsidR="008835EB" w:rsidSect="00FA455C">
          <w:type w:val="continuous"/>
          <w:pgSz w:w="11906" w:h="16838"/>
          <w:pgMar w:top="1134" w:right="1134" w:bottom="1134" w:left="1134" w:header="958" w:footer="737" w:gutter="0"/>
          <w:cols w:space="720"/>
        </w:sectPr>
      </w:pPr>
    </w:p>
    <w:p w:rsidR="00FA455C" w:rsidRDefault="00FA455C" w:rsidP="00FA455C">
      <w:pPr>
        <w:pStyle w:val="Heading1"/>
      </w:pPr>
      <w:bookmarkStart w:id="43" w:name="Note_ABSTABLE1" w:colFirst="0" w:colLast="0"/>
      <w:r>
        <w:lastRenderedPageBreak/>
        <w:t>Department of Employment</w:t>
      </w:r>
      <w:r>
        <w:br/>
        <w:t>ADMINISTERED SCHEDULE OF ASSETS AND LIABILITIES</w:t>
      </w:r>
      <w:r>
        <w:br/>
        <w:t>as at 30 June 2016</w:t>
      </w:r>
    </w:p>
    <w:p w:rsidR="00FA455C" w:rsidRDefault="00FA455C" w:rsidP="007E3F2E">
      <w:pPr>
        <w:rPr>
          <w:rFonts w:ascii="Arial" w:hAnsi="Arial" w:cs="Arial"/>
          <w:sz w:val="16"/>
          <w:szCs w:val="16"/>
        </w:rPr>
        <w:sectPr w:rsidR="00FA455C" w:rsidSect="00F74C23">
          <w:headerReference w:type="even" r:id="rId34"/>
          <w:headerReference w:type="default" r:id="rId35"/>
          <w:headerReference w:type="first" r:id="rId36"/>
          <w:pgSz w:w="11906" w:h="16838"/>
          <w:pgMar w:top="1134" w:right="1134" w:bottom="1134" w:left="1134" w:header="958" w:footer="737" w:gutter="0"/>
          <w:cols w:space="720"/>
        </w:sectPr>
      </w:pPr>
    </w:p>
    <w:tbl>
      <w:tblPr>
        <w:tblW w:w="9087" w:type="dxa"/>
        <w:tblInd w:w="80" w:type="dxa"/>
        <w:tblLayout w:type="fixed"/>
        <w:tblLook w:val="04A0" w:firstRow="1" w:lastRow="0" w:firstColumn="1" w:lastColumn="0" w:noHBand="0" w:noVBand="1"/>
      </w:tblPr>
      <w:tblGrid>
        <w:gridCol w:w="4283"/>
        <w:gridCol w:w="1080"/>
        <w:gridCol w:w="1110"/>
        <w:gridCol w:w="238"/>
        <w:gridCol w:w="1070"/>
        <w:gridCol w:w="238"/>
        <w:gridCol w:w="1068"/>
      </w:tblGrid>
      <w:tr w:rsidR="008835EB" w:rsidTr="007E3F2E">
        <w:trPr>
          <w:trHeight w:val="52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lastRenderedPageBreak/>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99"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szCs w:val="18"/>
              </w:rPr>
            </w:pPr>
            <w:r>
              <w:rPr>
                <w:rFonts w:cs="Calibri"/>
                <w:szCs w:val="18"/>
              </w:rPr>
              <w:t xml:space="preserve">Original </w:t>
            </w:r>
            <w:proofErr w:type="spellStart"/>
            <w:r>
              <w:rPr>
                <w:rFonts w:cs="Calibri"/>
                <w:szCs w:val="18"/>
              </w:rPr>
              <w:t>Budget</w:t>
            </w:r>
            <w:r>
              <w:rPr>
                <w:rFonts w:cs="Calibri"/>
                <w:szCs w:val="18"/>
                <w:vertAlign w:val="superscript"/>
              </w:rPr>
              <w:t>1</w:t>
            </w:r>
            <w:proofErr w:type="spellEnd"/>
          </w:p>
        </w:tc>
      </w:tr>
      <w:bookmarkEnd w:id="43"/>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70" w:type="dxa"/>
            <w:tcBorders>
              <w:top w:val="nil"/>
              <w:left w:val="nil"/>
              <w:bottom w:val="single" w:sz="4" w:space="0" w:color="D9D9D9"/>
              <w:right w:val="nil"/>
            </w:tcBorders>
            <w:shd w:val="clear" w:color="000000" w:fill="D9D9D9"/>
            <w:vAlign w:val="bottom"/>
            <w:hideMark/>
          </w:tcPr>
          <w:p w:rsidR="008835EB" w:rsidRDefault="008835EB" w:rsidP="007E3F2E">
            <w:pPr>
              <w:jc w:val="center"/>
              <w:rPr>
                <w:rFonts w:cs="Calibri"/>
                <w:b/>
                <w:bCs/>
                <w:szCs w:val="18"/>
              </w:rPr>
            </w:pPr>
            <w:r>
              <w:rPr>
                <w:rFonts w:cs="Calibri"/>
                <w:b/>
                <w:bCs/>
                <w:szCs w:val="18"/>
              </w:rPr>
              <w:t>Notes</w:t>
            </w:r>
          </w:p>
        </w:tc>
        <w:tc>
          <w:tcPr>
            <w:tcW w:w="1099"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ASSETS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assets</w:t>
            </w:r>
          </w:p>
        </w:tc>
        <w:tc>
          <w:tcPr>
            <w:tcW w:w="1070"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Cash and cash equivalents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104</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Trade, taxation and other receivables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4.1A</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42,378</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32,165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23,336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Other investments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4.1B</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145,477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financial assets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283,279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256,927</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168,813</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Non-financial assets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Prepayments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5,321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5,014</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5,297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non-financial assets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5,321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5,014</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5,297</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70"/>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assets administered on behalf of Government</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288,600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261,941</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174,110</w:t>
            </w:r>
          </w:p>
        </w:tc>
      </w:tr>
      <w:tr w:rsidR="008835EB" w:rsidTr="007E3F2E">
        <w:trPr>
          <w:trHeight w:val="270"/>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LIABILITIES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Payables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Suppliers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4.2A</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99,476</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21,642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Subsidies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4.2B</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24,135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52,573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14,810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Personal benefits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4.2C</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2,753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6,692</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9,441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Grants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4.2D</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2,168</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459 </w:t>
            </w:r>
          </w:p>
        </w:tc>
      </w:tr>
      <w:tr w:rsidR="008835EB" w:rsidTr="007E3F2E">
        <w:trPr>
          <w:trHeight w:val="255"/>
        </w:trPr>
        <w:tc>
          <w:tcPr>
            <w:tcW w:w="4241"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Other payables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proofErr w:type="spellStart"/>
            <w:r>
              <w:rPr>
                <w:rFonts w:cs="Calibri"/>
                <w:szCs w:val="18"/>
              </w:rPr>
              <w:t>4.2E</w:t>
            </w:r>
            <w:proofErr w:type="spellEnd"/>
          </w:p>
        </w:tc>
        <w:tc>
          <w:tcPr>
            <w:tcW w:w="109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2,810,289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2,794,446</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2,779,135 </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payables</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2,900,325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2,953,187</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2,825,487</w:t>
            </w:r>
          </w:p>
        </w:tc>
      </w:tr>
      <w:tr w:rsidR="008835EB" w:rsidTr="007E3F2E">
        <w:trPr>
          <w:trHeight w:val="255"/>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70"/>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liabilities administered on behalf of Government</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2,900,325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2,953,187</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2,825,487</w:t>
            </w:r>
          </w:p>
        </w:tc>
      </w:tr>
      <w:tr w:rsidR="008835EB" w:rsidTr="007E3F2E">
        <w:trPr>
          <w:trHeight w:val="270"/>
        </w:trPr>
        <w:tc>
          <w:tcPr>
            <w:tcW w:w="4241"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70"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nil"/>
              <w:left w:val="nil"/>
              <w:bottom w:val="single" w:sz="4" w:space="0" w:color="auto"/>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70"/>
        </w:trPr>
        <w:tc>
          <w:tcPr>
            <w:tcW w:w="4241"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szCs w:val="18"/>
              </w:rPr>
            </w:pPr>
            <w:r>
              <w:rPr>
                <w:rFonts w:cs="Calibri"/>
                <w:b/>
                <w:bCs/>
                <w:szCs w:val="18"/>
              </w:rPr>
              <w:t>Net liabilities</w:t>
            </w:r>
          </w:p>
        </w:tc>
        <w:tc>
          <w:tcPr>
            <w:tcW w:w="1070"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099" w:type="dxa"/>
            <w:tcBorders>
              <w:top w:val="single" w:sz="4" w:space="0" w:color="auto"/>
              <w:left w:val="nil"/>
              <w:bottom w:val="doub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(2,611,725)</w:t>
            </w:r>
          </w:p>
        </w:tc>
        <w:tc>
          <w:tcPr>
            <w:tcW w:w="236"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6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(2,691,246)</w:t>
            </w:r>
          </w:p>
        </w:tc>
        <w:tc>
          <w:tcPr>
            <w:tcW w:w="236"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58"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(2,651,377)</w:t>
            </w:r>
          </w:p>
        </w:tc>
      </w:tr>
    </w:tbl>
    <w:p w:rsidR="008835EB" w:rsidRDefault="008835EB" w:rsidP="008835EB">
      <w:pPr>
        <w:pStyle w:val="GreyShadeTableBreak"/>
      </w:pPr>
      <w:bookmarkStart w:id="44" w:name="RANGE!D8:J34"/>
      <w:bookmarkStart w:id="45" w:name="RANGE!D8:H34"/>
      <w:bookmarkStart w:id="46" w:name="RANGE!D6:H80"/>
      <w:bookmarkStart w:id="47" w:name="RANGE!D6:H64"/>
      <w:bookmarkStart w:id="48" w:name="RANGE!D6:H50"/>
      <w:bookmarkStart w:id="49" w:name="RANGE!D6:H52"/>
      <w:bookmarkStart w:id="50" w:name="RANGE!D7:H53"/>
      <w:bookmarkStart w:id="51" w:name="RANGE!D7:H52"/>
      <w:bookmarkStart w:id="52" w:name="RANGE!D7:H33"/>
      <w:bookmarkStart w:id="53" w:name="RANGE!D7:H37"/>
      <w:bookmarkEnd w:id="44"/>
      <w:bookmarkEnd w:id="45"/>
      <w:bookmarkEnd w:id="46"/>
      <w:bookmarkEnd w:id="47"/>
      <w:bookmarkEnd w:id="48"/>
      <w:bookmarkEnd w:id="49"/>
      <w:bookmarkEnd w:id="50"/>
      <w:bookmarkEnd w:id="51"/>
      <w:bookmarkEnd w:id="52"/>
      <w:bookmarkEnd w:id="53"/>
    </w:p>
    <w:p w:rsidR="008835EB" w:rsidRDefault="008835EB" w:rsidP="008835EB">
      <w:pPr>
        <w:pStyle w:val="Policytextadminbold"/>
        <w:spacing w:after="0"/>
        <w:ind w:left="426" w:hanging="426"/>
        <w:rPr>
          <w:b w:val="0"/>
        </w:rPr>
      </w:pPr>
      <w:r w:rsidRPr="00097B03">
        <w:rPr>
          <w:b w:val="0"/>
          <w:bCs w:val="0"/>
        </w:rPr>
        <w:t>1.</w:t>
      </w:r>
      <w:r>
        <w:rPr>
          <w:b w:val="0"/>
          <w:bCs w:val="0"/>
        </w:rPr>
        <w:tab/>
      </w:r>
      <w:r w:rsidRPr="00097B03">
        <w:rPr>
          <w:b w:val="0"/>
        </w:rPr>
        <w:t>Employment’s original budgeted financial statement that was first presented to parliament</w:t>
      </w:r>
      <w:r>
        <w:rPr>
          <w:b w:val="0"/>
        </w:rPr>
        <w:t xml:space="preserve"> in respect of the </w:t>
      </w:r>
      <w:r w:rsidRPr="00097B03">
        <w:rPr>
          <w:b w:val="0"/>
        </w:rPr>
        <w:t>reporting period was the Portfolio Budget Statements 2015</w:t>
      </w:r>
      <w:r>
        <w:rPr>
          <w:b w:val="0"/>
        </w:rPr>
        <w:t>–</w:t>
      </w:r>
      <w:r w:rsidRPr="00097B03">
        <w:rPr>
          <w:b w:val="0"/>
        </w:rPr>
        <w:t>16</w:t>
      </w:r>
      <w:r>
        <w:rPr>
          <w:b w:val="0"/>
        </w:rPr>
        <w:t>.</w:t>
      </w:r>
    </w:p>
    <w:p w:rsidR="008835EB" w:rsidRPr="00097B03" w:rsidRDefault="008835EB" w:rsidP="008835EB">
      <w:pPr>
        <w:pStyle w:val="Policytextadminbold"/>
        <w:spacing w:after="0"/>
        <w:rPr>
          <w:b w:val="0"/>
        </w:rPr>
      </w:pPr>
    </w:p>
    <w:p w:rsidR="008835EB" w:rsidRDefault="008835EB" w:rsidP="008835EB">
      <w:pPr>
        <w:pStyle w:val="Policytextadminbold"/>
      </w:pPr>
      <w:r>
        <w:t>Accounting Policy</w:t>
      </w:r>
    </w:p>
    <w:p w:rsidR="008835EB" w:rsidRPr="008B022A" w:rsidRDefault="008835EB" w:rsidP="008835EB">
      <w:pPr>
        <w:pStyle w:val="Policytextadminunderline"/>
      </w:pPr>
      <w:r w:rsidRPr="008B022A">
        <w:t>Prepayments</w:t>
      </w:r>
    </w:p>
    <w:p w:rsidR="008835EB" w:rsidRPr="008B022A" w:rsidRDefault="008835EB" w:rsidP="008835EB">
      <w:pPr>
        <w:pStyle w:val="PolicyTextAdmin"/>
      </w:pPr>
      <w:r w:rsidRPr="008B022A">
        <w:t>All administered prepayments are current assets.</w:t>
      </w:r>
    </w:p>
    <w:p w:rsidR="008835EB" w:rsidRDefault="008835EB" w:rsidP="008835EB">
      <w:pPr>
        <w:spacing w:line="240" w:lineRule="auto"/>
        <w:ind w:firstLine="426"/>
        <w:sectPr w:rsidR="008835EB" w:rsidSect="00FA455C">
          <w:type w:val="continuous"/>
          <w:pgSz w:w="11906" w:h="16838"/>
          <w:pgMar w:top="1134" w:right="1134" w:bottom="1134" w:left="1134" w:header="958" w:footer="737" w:gutter="0"/>
          <w:cols w:space="720"/>
        </w:sectPr>
      </w:pPr>
    </w:p>
    <w:p w:rsidR="00FA455C" w:rsidRDefault="00FA455C" w:rsidP="00FA455C">
      <w:pPr>
        <w:pStyle w:val="Heading1"/>
      </w:pPr>
      <w:bookmarkStart w:id="54" w:name="RANGE!E7:E42"/>
      <w:bookmarkStart w:id="55" w:name="Note_AEQTABLE1" w:colFirst="0" w:colLast="0"/>
      <w:r>
        <w:lastRenderedPageBreak/>
        <w:t>Department of Employment</w:t>
      </w:r>
      <w:r>
        <w:br/>
        <w:t>ADMINISTERED RECONCILIATION SCHEDULE</w:t>
      </w:r>
    </w:p>
    <w:p w:rsidR="00FA455C" w:rsidRDefault="00FA455C" w:rsidP="007E3F2E">
      <w:pPr>
        <w:rPr>
          <w:rFonts w:ascii="Arial" w:hAnsi="Arial" w:cs="Arial"/>
          <w:sz w:val="16"/>
          <w:szCs w:val="16"/>
        </w:rPr>
        <w:sectPr w:rsidR="00FA455C" w:rsidSect="00F74C23">
          <w:headerReference w:type="even" r:id="rId37"/>
          <w:headerReference w:type="default" r:id="rId38"/>
          <w:headerReference w:type="first" r:id="rId39"/>
          <w:pgSz w:w="11906" w:h="16838"/>
          <w:pgMar w:top="1134" w:right="1134" w:bottom="1134" w:left="1134" w:header="958" w:footer="737" w:gutter="0"/>
          <w:cols w:space="720"/>
        </w:sectPr>
      </w:pPr>
    </w:p>
    <w:tbl>
      <w:tblPr>
        <w:tblW w:w="9087" w:type="dxa"/>
        <w:tblInd w:w="80" w:type="dxa"/>
        <w:tblLayout w:type="fixed"/>
        <w:tblLook w:val="04A0" w:firstRow="1" w:lastRow="0" w:firstColumn="1" w:lastColumn="0" w:noHBand="0" w:noVBand="1"/>
      </w:tblPr>
      <w:tblGrid>
        <w:gridCol w:w="5769"/>
        <w:gridCol w:w="386"/>
        <w:gridCol w:w="1544"/>
        <w:gridCol w:w="239"/>
        <w:gridCol w:w="1149"/>
      </w:tblGrid>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lastRenderedPageBreak/>
              <w:t> </w:t>
            </w:r>
            <w:bookmarkEnd w:id="54"/>
          </w:p>
        </w:tc>
        <w:tc>
          <w:tcPr>
            <w:tcW w:w="382"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528"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bookmarkStart w:id="56" w:name="RANGE!G7:G42"/>
            <w:r>
              <w:rPr>
                <w:rFonts w:cs="Calibri"/>
                <w:b/>
                <w:bCs/>
                <w:szCs w:val="18"/>
              </w:rPr>
              <w:t>2016</w:t>
            </w:r>
            <w:bookmarkEnd w:id="56"/>
          </w:p>
        </w:tc>
        <w:tc>
          <w:tcPr>
            <w:tcW w:w="236"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bookmarkEnd w:id="55"/>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382"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528"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570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38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52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37"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5708"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Opening assets less liabilities</w:t>
            </w:r>
          </w:p>
        </w:tc>
        <w:tc>
          <w:tcPr>
            <w:tcW w:w="382"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(2,691,246)</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(2,656,569)</w:t>
            </w:r>
          </w:p>
        </w:tc>
      </w:tr>
      <w:tr w:rsidR="008835EB" w:rsidTr="007E3F2E">
        <w:trPr>
          <w:trHeight w:val="255"/>
        </w:trPr>
        <w:tc>
          <w:tcPr>
            <w:tcW w:w="5708"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Adjustment for errors</w:t>
            </w:r>
          </w:p>
        </w:tc>
        <w:tc>
          <w:tcPr>
            <w:tcW w:w="382"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5,023 </w:t>
            </w:r>
          </w:p>
        </w:tc>
      </w:tr>
      <w:tr w:rsidR="008835EB" w:rsidTr="007E3F2E">
        <w:trPr>
          <w:trHeight w:val="255"/>
        </w:trPr>
        <w:tc>
          <w:tcPr>
            <w:tcW w:w="5708"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Adjusted opening assets less liabilities</w:t>
            </w:r>
          </w:p>
        </w:tc>
        <w:tc>
          <w:tcPr>
            <w:tcW w:w="38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(2,691,246)</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(2,651,546)</w:t>
            </w:r>
          </w:p>
        </w:tc>
      </w:tr>
      <w:tr w:rsidR="008835EB" w:rsidTr="007E3F2E">
        <w:trPr>
          <w:trHeight w:val="255"/>
        </w:trPr>
        <w:tc>
          <w:tcPr>
            <w:tcW w:w="570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38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52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37"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5708"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Net cost of services</w:t>
            </w:r>
          </w:p>
        </w:tc>
        <w:tc>
          <w:tcPr>
            <w:tcW w:w="38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Income</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240,726</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188,342</w:t>
            </w:r>
          </w:p>
        </w:tc>
      </w:tr>
      <w:tr w:rsidR="008835EB" w:rsidTr="007E3F2E">
        <w:trPr>
          <w:trHeight w:val="255"/>
        </w:trPr>
        <w:tc>
          <w:tcPr>
            <w:tcW w:w="5708"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Expenses</w:t>
            </w:r>
          </w:p>
        </w:tc>
        <w:tc>
          <w:tcPr>
            <w:tcW w:w="38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Payments to entities other than corporate Commonwealth entities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(1,600,326)</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(1,944,100)</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Payments to corporate Commonwealth entities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(7,727)</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(7,563)</w:t>
            </w:r>
          </w:p>
        </w:tc>
      </w:tr>
      <w:tr w:rsidR="008835EB" w:rsidTr="007E3F2E">
        <w:trPr>
          <w:trHeight w:val="255"/>
        </w:trPr>
        <w:tc>
          <w:tcPr>
            <w:tcW w:w="570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38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52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37"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5708"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Other comprehensive income</w:t>
            </w:r>
          </w:p>
        </w:tc>
        <w:tc>
          <w:tcPr>
            <w:tcW w:w="38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708"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Revaluations transferred to reserves</w:t>
            </w:r>
          </w:p>
        </w:tc>
        <w:tc>
          <w:tcPr>
            <w:tcW w:w="382"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16,239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79,181 </w:t>
            </w:r>
          </w:p>
        </w:tc>
      </w:tr>
      <w:tr w:rsidR="008835EB" w:rsidTr="007E3F2E">
        <w:trPr>
          <w:trHeight w:val="255"/>
        </w:trPr>
        <w:tc>
          <w:tcPr>
            <w:tcW w:w="570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38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52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37"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5708"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Transfers (to)/from the Australian Government</w:t>
            </w:r>
          </w:p>
        </w:tc>
        <w:tc>
          <w:tcPr>
            <w:tcW w:w="382"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b/>
                <w:bCs/>
                <w:sz w:val="16"/>
                <w:szCs w:val="16"/>
              </w:rPr>
            </w:pPr>
            <w:r>
              <w:rPr>
                <w:rFonts w:ascii="Arial" w:hAnsi="Arial" w:cs="Arial"/>
                <w:b/>
                <w:bCs/>
                <w:sz w:val="16"/>
                <w:szCs w:val="16"/>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b/>
                <w:bCs/>
                <w:sz w:val="16"/>
                <w:szCs w:val="16"/>
              </w:rPr>
            </w:pPr>
            <w:r>
              <w:rPr>
                <w:rFonts w:ascii="Arial" w:hAnsi="Arial" w:cs="Arial"/>
                <w:b/>
                <w:bCs/>
                <w:sz w:val="16"/>
                <w:szCs w:val="16"/>
              </w:rPr>
              <w:t> </w:t>
            </w:r>
          </w:p>
        </w:tc>
        <w:tc>
          <w:tcPr>
            <w:tcW w:w="1137"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70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38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52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37"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5708"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Appropriation transfers from Official Public Account</w:t>
            </w:r>
          </w:p>
        </w:tc>
        <w:tc>
          <w:tcPr>
            <w:tcW w:w="38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137"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Administered assets and liabilities appropriations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Annual appropriations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Payments to entities other than corporate Commonwealth entities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1,127,767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1,290,262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Payments to corporate Commonwealth entities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7,727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7,563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Special appropriations (unlimited)</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Payments to entities other than corporate Commonwealth entities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288,618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334,246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Payments to corporate Commonwealth entities</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182,146 </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198,110 </w:t>
            </w:r>
          </w:p>
        </w:tc>
      </w:tr>
      <w:tr w:rsidR="008835EB" w:rsidTr="007E3F2E">
        <w:trPr>
          <w:trHeight w:val="255"/>
        </w:trPr>
        <w:tc>
          <w:tcPr>
            <w:tcW w:w="570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38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52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37"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5708"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Appropriation transfers to Official Public Account</w:t>
            </w:r>
          </w:p>
        </w:tc>
        <w:tc>
          <w:tcPr>
            <w:tcW w:w="38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708"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Transfers to Official Public Account</w:t>
            </w:r>
          </w:p>
        </w:tc>
        <w:tc>
          <w:tcPr>
            <w:tcW w:w="382"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(175,649)</w:t>
            </w:r>
          </w:p>
        </w:tc>
        <w:tc>
          <w:tcPr>
            <w:tcW w:w="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(185,741)</w:t>
            </w:r>
          </w:p>
        </w:tc>
      </w:tr>
      <w:tr w:rsidR="008835EB" w:rsidTr="007E3F2E">
        <w:trPr>
          <w:trHeight w:val="255"/>
        </w:trPr>
        <w:tc>
          <w:tcPr>
            <w:tcW w:w="5708" w:type="dxa"/>
            <w:tcBorders>
              <w:top w:val="nil"/>
              <w:left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xml:space="preserve">Restructuring </w:t>
            </w:r>
          </w:p>
        </w:tc>
        <w:tc>
          <w:tcPr>
            <w:tcW w:w="382" w:type="dxa"/>
            <w:tcBorders>
              <w:top w:val="nil"/>
              <w:left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w:t>
            </w:r>
          </w:p>
        </w:tc>
        <w:tc>
          <w:tcPr>
            <w:tcW w:w="152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236" w:type="dxa"/>
            <w:tcBorders>
              <w:top w:val="nil"/>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1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70"/>
        </w:trPr>
        <w:tc>
          <w:tcPr>
            <w:tcW w:w="5708" w:type="dxa"/>
            <w:tcBorders>
              <w:top w:val="nil"/>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Closing assets less liabilities as at 30 June</w:t>
            </w:r>
          </w:p>
        </w:tc>
        <w:tc>
          <w:tcPr>
            <w:tcW w:w="382" w:type="dxa"/>
            <w:tcBorders>
              <w:top w:val="nil"/>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528"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(2,611,725)</w:t>
            </w:r>
          </w:p>
        </w:tc>
        <w:tc>
          <w:tcPr>
            <w:tcW w:w="236" w:type="dxa"/>
            <w:tcBorders>
              <w:top w:val="nil"/>
              <w:left w:val="nil"/>
              <w:bottom w:val="single" w:sz="24" w:space="0" w:color="D8D8D8"/>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137"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(2,691,246)</w:t>
            </w:r>
          </w:p>
        </w:tc>
      </w:tr>
    </w:tbl>
    <w:p w:rsidR="008835EB" w:rsidRDefault="008835EB" w:rsidP="008835EB">
      <w:pPr>
        <w:pStyle w:val="GreyShadeTableBreak"/>
      </w:pPr>
      <w:bookmarkStart w:id="57" w:name="RANGE!E7:I42"/>
      <w:bookmarkStart w:id="58" w:name="RANGE!E7:H42"/>
      <w:bookmarkStart w:id="59" w:name="RANGE!E7:H41"/>
      <w:bookmarkStart w:id="60" w:name="RANGE!E7:H40"/>
      <w:bookmarkStart w:id="61" w:name="RANGE!D6:H56"/>
      <w:bookmarkStart w:id="62" w:name="RANGE!D6:H37"/>
      <w:bookmarkStart w:id="63" w:name="RANGE!D6:H36"/>
      <w:bookmarkStart w:id="64" w:name="RANGE!E7:H31"/>
      <w:bookmarkStart w:id="65" w:name="RANGE!E6:H30"/>
      <w:bookmarkStart w:id="66" w:name="RANGE!E6:H34"/>
      <w:bookmarkStart w:id="67" w:name="RANGE!E6:M33"/>
      <w:bookmarkStart w:id="68" w:name="RANGE!E6:M36"/>
      <w:bookmarkEnd w:id="57"/>
      <w:bookmarkEnd w:id="58"/>
      <w:bookmarkEnd w:id="59"/>
      <w:bookmarkEnd w:id="60"/>
      <w:bookmarkEnd w:id="61"/>
      <w:bookmarkEnd w:id="62"/>
      <w:bookmarkEnd w:id="63"/>
      <w:bookmarkEnd w:id="64"/>
      <w:bookmarkEnd w:id="65"/>
      <w:bookmarkEnd w:id="66"/>
      <w:bookmarkEnd w:id="67"/>
      <w:bookmarkEnd w:id="68"/>
    </w:p>
    <w:p w:rsidR="008835EB" w:rsidRDefault="008835EB" w:rsidP="008835EB">
      <w:pPr>
        <w:pStyle w:val="Policytextadminbold"/>
      </w:pPr>
      <w:r>
        <w:t>Accounting Policy</w:t>
      </w:r>
    </w:p>
    <w:p w:rsidR="008835EB" w:rsidRPr="008B022A" w:rsidRDefault="008835EB" w:rsidP="008835EB">
      <w:pPr>
        <w:pStyle w:val="Policytextadminunderline"/>
      </w:pPr>
      <w:r w:rsidRPr="007E1C6E">
        <w:t>Administered Cash Transfers to and from the Official Public Account</w:t>
      </w:r>
    </w:p>
    <w:p w:rsidR="008835EB" w:rsidRPr="008B022A" w:rsidRDefault="008835EB" w:rsidP="008835EB">
      <w:pPr>
        <w:pStyle w:val="PolicyTextAdmin"/>
        <w:rPr>
          <w:rFonts w:cstheme="minorHAnsi"/>
          <w:lang w:eastAsia="en-AU"/>
        </w:rPr>
      </w:pPr>
      <w:r w:rsidRPr="008B022A">
        <w:rPr>
          <w:rFonts w:cstheme="minorHAnsi"/>
          <w:lang w:eastAsia="en-AU"/>
        </w:rPr>
        <w:t>Revenue collected by the department for use by the Government rather than the department is administered revenue. Collections are transferred to the Official Public Account (</w:t>
      </w:r>
      <w:proofErr w:type="spellStart"/>
      <w:r w:rsidRPr="008B022A">
        <w:rPr>
          <w:rFonts w:cstheme="minorHAnsi"/>
          <w:lang w:eastAsia="en-AU"/>
        </w:rPr>
        <w:t>OPA</w:t>
      </w:r>
      <w:proofErr w:type="spellEnd"/>
      <w:r w:rsidRPr="008B022A">
        <w:rPr>
          <w:rFonts w:cstheme="minorHAnsi"/>
          <w:lang w:eastAsia="en-AU"/>
        </w:rPr>
        <w:t xml:space="preserve">) maintained by the Department of Finance. Conversely, cash is drawn from the </w:t>
      </w:r>
      <w:proofErr w:type="spellStart"/>
      <w:r w:rsidRPr="008B022A">
        <w:rPr>
          <w:rFonts w:cstheme="minorHAnsi"/>
          <w:lang w:eastAsia="en-AU"/>
        </w:rPr>
        <w:t>OPA</w:t>
      </w:r>
      <w:proofErr w:type="spellEnd"/>
      <w:r w:rsidRPr="008B022A">
        <w:rPr>
          <w:rFonts w:cstheme="minorHAnsi"/>
          <w:lang w:eastAsia="en-AU"/>
        </w:rPr>
        <w:t xml:space="preserve"> to make payments under Parliamentary appropriation on behalf of Government. These transfers to and from the </w:t>
      </w:r>
      <w:proofErr w:type="spellStart"/>
      <w:r w:rsidRPr="008B022A">
        <w:rPr>
          <w:rFonts w:cstheme="minorHAnsi"/>
          <w:lang w:eastAsia="en-AU"/>
        </w:rPr>
        <w:t>OPA</w:t>
      </w:r>
      <w:proofErr w:type="spellEnd"/>
      <w:r w:rsidRPr="008B022A">
        <w:rPr>
          <w:rFonts w:cstheme="minorHAnsi"/>
          <w:lang w:eastAsia="en-AU"/>
        </w:rPr>
        <w:t xml:space="preserve"> are adjustments to the administered cash held by the department on behalf of the Government and reported as such i</w:t>
      </w:r>
      <w:r>
        <w:rPr>
          <w:rFonts w:cstheme="minorHAnsi"/>
          <w:lang w:eastAsia="en-AU"/>
        </w:rPr>
        <w:t>n the Schedule of Administered C</w:t>
      </w:r>
      <w:r w:rsidRPr="008B022A">
        <w:rPr>
          <w:rFonts w:cstheme="minorHAnsi"/>
          <w:lang w:eastAsia="en-AU"/>
        </w:rPr>
        <w:t xml:space="preserve">ash </w:t>
      </w:r>
      <w:r>
        <w:rPr>
          <w:rFonts w:cstheme="minorHAnsi"/>
          <w:lang w:eastAsia="en-AU"/>
        </w:rPr>
        <w:t>F</w:t>
      </w:r>
      <w:r w:rsidRPr="008B022A">
        <w:rPr>
          <w:rFonts w:cstheme="minorHAnsi"/>
          <w:lang w:eastAsia="en-AU"/>
        </w:rPr>
        <w:t>lows and in the Administered Reconciliation Schedule.</w:t>
      </w:r>
    </w:p>
    <w:p w:rsidR="008835EB" w:rsidRDefault="008835EB" w:rsidP="008835EB">
      <w:pPr>
        <w:spacing w:line="240" w:lineRule="auto"/>
        <w:ind w:firstLine="426"/>
        <w:sectPr w:rsidR="008835EB" w:rsidSect="00FA455C">
          <w:type w:val="continuous"/>
          <w:pgSz w:w="11906" w:h="16838"/>
          <w:pgMar w:top="1134" w:right="1134" w:bottom="1134" w:left="1134" w:header="958" w:footer="737" w:gutter="0"/>
          <w:cols w:space="720"/>
        </w:sectPr>
      </w:pPr>
    </w:p>
    <w:p w:rsidR="00FA455C" w:rsidRDefault="00FA455C" w:rsidP="00FA455C">
      <w:pPr>
        <w:pStyle w:val="Heading1"/>
      </w:pPr>
      <w:bookmarkStart w:id="69" w:name="RANGE!E7:E53"/>
      <w:bookmarkStart w:id="70" w:name="Note_ACFTABLE1" w:colFirst="0" w:colLast="0"/>
      <w:r>
        <w:lastRenderedPageBreak/>
        <w:t>Department of Employment</w:t>
      </w:r>
      <w:r>
        <w:br/>
        <w:t>ADMINISTERED CASH FLOW STATEMENT</w:t>
      </w:r>
      <w:r>
        <w:br/>
        <w:t>for the period ended 30 June 2016</w:t>
      </w:r>
    </w:p>
    <w:p w:rsidR="00FA455C" w:rsidRDefault="00FA455C" w:rsidP="007E3F2E">
      <w:pPr>
        <w:rPr>
          <w:rFonts w:ascii="Arial" w:hAnsi="Arial" w:cs="Arial"/>
          <w:sz w:val="16"/>
          <w:szCs w:val="16"/>
        </w:rPr>
        <w:sectPr w:rsidR="00FA455C" w:rsidSect="00F74C23">
          <w:headerReference w:type="even" r:id="rId40"/>
          <w:headerReference w:type="default" r:id="rId41"/>
          <w:headerReference w:type="first" r:id="rId42"/>
          <w:pgSz w:w="11906" w:h="16838"/>
          <w:pgMar w:top="1134" w:right="1134" w:bottom="1134" w:left="1134" w:header="958" w:footer="737" w:gutter="0"/>
          <w:cols w:space="720"/>
        </w:sectPr>
      </w:pPr>
    </w:p>
    <w:tbl>
      <w:tblPr>
        <w:tblW w:w="9087" w:type="dxa"/>
        <w:tblInd w:w="80" w:type="dxa"/>
        <w:tblLayout w:type="fixed"/>
        <w:tblLook w:val="04A0" w:firstRow="1" w:lastRow="0" w:firstColumn="1" w:lastColumn="0" w:noHBand="0" w:noVBand="1"/>
      </w:tblPr>
      <w:tblGrid>
        <w:gridCol w:w="5103"/>
        <w:gridCol w:w="1247"/>
        <w:gridCol w:w="1251"/>
        <w:gridCol w:w="239"/>
        <w:gridCol w:w="1247"/>
      </w:tblGrid>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lastRenderedPageBreak/>
              <w:t> </w:t>
            </w:r>
            <w:bookmarkEnd w:id="69"/>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ascii="Arial" w:hAnsi="Arial" w:cs="Arial"/>
                <w:b/>
                <w:bCs/>
                <w:szCs w:val="18"/>
              </w:rPr>
            </w:pPr>
            <w:r>
              <w:rPr>
                <w:rFonts w:ascii="Arial" w:hAnsi="Arial" w:cs="Arial"/>
                <w:b/>
                <w:bCs/>
                <w:szCs w:val="18"/>
              </w:rPr>
              <w:t> </w:t>
            </w:r>
          </w:p>
        </w:tc>
        <w:tc>
          <w:tcPr>
            <w:tcW w:w="1236" w:type="dxa"/>
            <w:tcBorders>
              <w:top w:val="nil"/>
              <w:left w:val="nil"/>
              <w:bottom w:val="single" w:sz="4" w:space="0" w:color="D9D9D9"/>
              <w:right w:val="single" w:sz="4" w:space="0" w:color="D9D9D9"/>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bookmarkEnd w:id="70"/>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cs="Calibri"/>
                <w:b/>
                <w:bCs/>
                <w:szCs w:val="18"/>
              </w:rPr>
            </w:pPr>
            <w:r>
              <w:rPr>
                <w:rFonts w:cs="Calibri"/>
                <w:b/>
                <w:bCs/>
                <w:szCs w:val="18"/>
              </w:rPr>
              <w:t>Notes</w:t>
            </w:r>
          </w:p>
        </w:tc>
        <w:tc>
          <w:tcPr>
            <w:tcW w:w="1236" w:type="dxa"/>
            <w:tcBorders>
              <w:top w:val="nil"/>
              <w:left w:val="nil"/>
              <w:bottom w:val="single" w:sz="4" w:space="0" w:color="D9D9D9"/>
              <w:right w:val="single" w:sz="4" w:space="0" w:color="D9D9D9"/>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OPERATING ACTIVITIES</w:t>
            </w:r>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jc w:val="center"/>
              <w:rPr>
                <w:rFonts w:ascii="Arial" w:hAnsi="Arial" w:cs="Arial"/>
                <w:b/>
                <w:bCs/>
                <w:szCs w:val="18"/>
              </w:rPr>
            </w:pPr>
            <w:r>
              <w:rPr>
                <w:rFonts w:ascii="Arial" w:hAnsi="Arial" w:cs="Arial"/>
                <w:b/>
                <w:bCs/>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Cash received</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Interest</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29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20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Net GST received</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105,330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111,982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Levies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146,970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158,606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Other</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95,859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28,982 </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cash received</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348,188</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299,590</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Cash used</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Suppliers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1,153,568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1,308,506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Subsidies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193,603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160,681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Personal benefits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357,863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387,719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Grants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73,662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71,792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vAlign w:val="bottom"/>
            <w:hideMark/>
          </w:tcPr>
          <w:p w:rsidR="008835EB" w:rsidRDefault="008835EB" w:rsidP="007E3F2E">
            <w:pPr>
              <w:rPr>
                <w:rFonts w:cs="Calibri"/>
                <w:szCs w:val="18"/>
              </w:rPr>
            </w:pPr>
            <w:r>
              <w:rPr>
                <w:rFonts w:cs="Calibri"/>
                <w:szCs w:val="18"/>
              </w:rPr>
              <w:t>Payments to corporate Commonwealth entities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7,727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7,563 </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cash used</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1,786,423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1,936,261</w:t>
            </w:r>
          </w:p>
        </w:tc>
      </w:tr>
      <w:tr w:rsidR="008835EB" w:rsidTr="007E3F2E">
        <w:trPr>
          <w:trHeight w:val="270"/>
        </w:trPr>
        <w:tc>
          <w:tcPr>
            <w:tcW w:w="5044" w:type="dxa"/>
            <w:tcBorders>
              <w:top w:val="nil"/>
              <w:left w:val="nil"/>
              <w:bottom w:val="single" w:sz="8" w:space="0" w:color="D9D9D9"/>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Net cash flows used by operating activities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5.3</w:t>
            </w:r>
          </w:p>
        </w:tc>
        <w:tc>
          <w:tcPr>
            <w:tcW w:w="1236" w:type="dxa"/>
            <w:tcBorders>
              <w:top w:val="nil"/>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(1,438,235)</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(1,636,671)</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single" w:sz="12" w:space="0" w:color="D9D9D9"/>
            </w:tcBorders>
            <w:shd w:val="clear" w:color="000000" w:fill="D9D9D9"/>
            <w:noWrap/>
            <w:vAlign w:val="bottom"/>
            <w:hideMark/>
          </w:tcPr>
          <w:p w:rsidR="008835EB" w:rsidRDefault="008835EB" w:rsidP="007E3F2E">
            <w:pPr>
              <w:rPr>
                <w:rFonts w:cs="Calibri"/>
                <w:szCs w:val="18"/>
              </w:rPr>
            </w:pPr>
            <w:r>
              <w:rPr>
                <w:rFonts w:cs="Calibri"/>
                <w:szCs w:val="18"/>
              </w:rPr>
              <w:t>Cash and cash equivalents at the beginning of the reporting period</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104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Cash from the Official Public Account for</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Appropriations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1,606,257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1,830,183 </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GST appropriations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106,756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115,076 </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cash from official public account</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1,713,013</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1,945,259</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Cash to the Official Public Account for</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Appropriations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(175,649)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(185,741)</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Return of GST appropriations</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(99,229)</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(122,743)</w:t>
            </w:r>
          </w:p>
        </w:tc>
      </w:tr>
      <w:tr w:rsidR="008835EB" w:rsidTr="007E3F2E">
        <w:trPr>
          <w:trHeight w:val="255"/>
        </w:trPr>
        <w:tc>
          <w:tcPr>
            <w:tcW w:w="504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cash to official public account</w:t>
            </w:r>
          </w:p>
        </w:tc>
        <w:tc>
          <w:tcPr>
            <w:tcW w:w="1233" w:type="dxa"/>
            <w:tcBorders>
              <w:top w:val="nil"/>
              <w:left w:val="nil"/>
              <w:bottom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(274,878)</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(308,484)</w:t>
            </w:r>
          </w:p>
        </w:tc>
      </w:tr>
      <w:tr w:rsidR="008835EB" w:rsidTr="007E3F2E">
        <w:trPr>
          <w:trHeight w:val="255"/>
        </w:trPr>
        <w:tc>
          <w:tcPr>
            <w:tcW w:w="504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top w:val="nil"/>
              <w:left w:val="nil"/>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300"/>
        </w:trPr>
        <w:tc>
          <w:tcPr>
            <w:tcW w:w="5044"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szCs w:val="18"/>
              </w:rPr>
            </w:pPr>
            <w:r>
              <w:rPr>
                <w:rFonts w:cs="Calibri"/>
                <w:b/>
                <w:bCs/>
                <w:szCs w:val="18"/>
              </w:rPr>
              <w:t xml:space="preserve">Cash and cash equivalents at the end of the reporting </w:t>
            </w:r>
            <w:proofErr w:type="spellStart"/>
            <w:r>
              <w:rPr>
                <w:rFonts w:cs="Calibri"/>
                <w:b/>
                <w:bCs/>
                <w:szCs w:val="18"/>
              </w:rPr>
              <w:t>period</w:t>
            </w:r>
            <w:r>
              <w:rPr>
                <w:rFonts w:cs="Calibri"/>
                <w:b/>
                <w:bCs/>
                <w:szCs w:val="18"/>
                <w:vertAlign w:val="superscript"/>
              </w:rPr>
              <w:t>1</w:t>
            </w:r>
            <w:proofErr w:type="spellEnd"/>
          </w:p>
        </w:tc>
        <w:tc>
          <w:tcPr>
            <w:tcW w:w="1233" w:type="dxa"/>
            <w:tcBorders>
              <w:top w:val="nil"/>
              <w:left w:val="nil"/>
              <w:bottom w:val="single" w:sz="24" w:space="0" w:color="D8D8D8"/>
              <w:right w:val="nil"/>
            </w:tcBorders>
            <w:shd w:val="clear" w:color="000000" w:fill="D9D9D9"/>
            <w:noWrap/>
            <w:vAlign w:val="bottom"/>
            <w:hideMark/>
          </w:tcPr>
          <w:p w:rsidR="008835EB" w:rsidRDefault="008835EB" w:rsidP="007E3F2E">
            <w:pPr>
              <w:jc w:val="cente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w:t>
            </w:r>
          </w:p>
        </w:tc>
        <w:tc>
          <w:tcPr>
            <w:tcW w:w="236"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2"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104</w:t>
            </w:r>
          </w:p>
        </w:tc>
      </w:tr>
    </w:tbl>
    <w:p w:rsidR="008835EB" w:rsidRDefault="008835EB" w:rsidP="008835EB">
      <w:pPr>
        <w:pStyle w:val="GreyShadeTableBreak"/>
      </w:pPr>
      <w:bookmarkStart w:id="71" w:name="RANGE!E7:I53"/>
      <w:bookmarkStart w:id="72" w:name="RANGE!E7:I52"/>
      <w:bookmarkStart w:id="73" w:name="RANGE!E6:I51"/>
      <w:bookmarkStart w:id="74" w:name="RANGE!E6:I54"/>
      <w:bookmarkEnd w:id="71"/>
      <w:bookmarkEnd w:id="72"/>
      <w:bookmarkEnd w:id="73"/>
      <w:bookmarkEnd w:id="74"/>
    </w:p>
    <w:p w:rsidR="008835EB" w:rsidRDefault="008835EB" w:rsidP="008835EB">
      <w:pPr>
        <w:pStyle w:val="GreyShadeTableBreak"/>
        <w:rPr>
          <w:rFonts w:asciiTheme="minorHAnsi" w:hAnsiTheme="minorHAnsi"/>
          <w:lang w:eastAsia="en-AU"/>
        </w:rPr>
      </w:pPr>
      <w:r w:rsidRPr="006405D6">
        <w:rPr>
          <w:rFonts w:asciiTheme="minorHAnsi" w:hAnsiTheme="minorHAnsi"/>
          <w:lang w:eastAsia="en-AU"/>
        </w:rPr>
        <w:t xml:space="preserve">1. </w:t>
      </w:r>
      <w:proofErr w:type="gramStart"/>
      <w:r w:rsidRPr="006405D6">
        <w:rPr>
          <w:rFonts w:asciiTheme="minorHAnsi" w:hAnsiTheme="minorHAnsi"/>
          <w:lang w:eastAsia="en-AU"/>
        </w:rPr>
        <w:t>As</w:t>
      </w:r>
      <w:proofErr w:type="gramEnd"/>
      <w:r w:rsidRPr="006405D6">
        <w:rPr>
          <w:rFonts w:asciiTheme="minorHAnsi" w:hAnsiTheme="minorHAnsi"/>
          <w:lang w:eastAsia="en-AU"/>
        </w:rPr>
        <w:t xml:space="preserve"> shown in the Statement of Financial Position</w:t>
      </w:r>
      <w:r>
        <w:rPr>
          <w:rFonts w:asciiTheme="minorHAnsi" w:hAnsiTheme="minorHAnsi"/>
          <w:lang w:eastAsia="en-AU"/>
        </w:rPr>
        <w:t>.</w:t>
      </w:r>
    </w:p>
    <w:p w:rsidR="008835EB" w:rsidRDefault="008835EB" w:rsidP="008835EB">
      <w:pPr>
        <w:sectPr w:rsidR="008835EB" w:rsidSect="00FA455C">
          <w:type w:val="continuous"/>
          <w:pgSz w:w="11906" w:h="16838"/>
          <w:pgMar w:top="1134" w:right="1134" w:bottom="1134" w:left="1134" w:header="958" w:footer="737" w:gutter="0"/>
          <w:cols w:space="720"/>
        </w:sectPr>
      </w:pPr>
    </w:p>
    <w:p w:rsidR="00FA455C" w:rsidRDefault="00FA455C" w:rsidP="00FA455C">
      <w:pPr>
        <w:pStyle w:val="Heading1"/>
      </w:pPr>
      <w:bookmarkStart w:id="75" w:name="_Toc454275376"/>
      <w:bookmarkStart w:id="76" w:name="_Toc456689839"/>
      <w:r>
        <w:lastRenderedPageBreak/>
        <w:t>Department of Employment</w:t>
      </w:r>
      <w:r>
        <w:br/>
        <w:t>NOTES TO AND FORMING PART OF THE FINANCIAL STATEMENTS</w:t>
      </w:r>
    </w:p>
    <w:p w:rsidR="008835EB" w:rsidRDefault="008835EB" w:rsidP="008835EB">
      <w:pPr>
        <w:pStyle w:val="SectionHeading"/>
        <w:numPr>
          <w:ilvl w:val="0"/>
          <w:numId w:val="0"/>
        </w:numPr>
        <w:tabs>
          <w:tab w:val="left" w:pos="9072"/>
        </w:tabs>
        <w:ind w:right="566"/>
        <w:outlineLvl w:val="9"/>
      </w:pPr>
      <w:r w:rsidRPr="007A7B55">
        <w:t>Budgetary Reports and Explanations of Major Variances</w:t>
      </w:r>
      <w:bookmarkStart w:id="77" w:name="RANGE!D7:D11"/>
      <w:bookmarkStart w:id="78" w:name="RANGE!D6:D11"/>
      <w:bookmarkEnd w:id="75"/>
      <w:bookmarkEnd w:id="76"/>
      <w:bookmarkEnd w:id="77"/>
      <w:bookmarkEnd w:id="78"/>
    </w:p>
    <w:p w:rsidR="008835EB" w:rsidRDefault="008835EB" w:rsidP="008835EB">
      <w:pPr>
        <w:pStyle w:val="ReportText"/>
      </w:pPr>
      <w:r w:rsidRPr="002A53DE">
        <w:t>The following tables provi</w:t>
      </w:r>
      <w:r>
        <w:t>de a comparison between the 2015–16</w:t>
      </w:r>
      <w:r w:rsidRPr="002A53DE">
        <w:t xml:space="preserve"> Portfolio Budget Statements (PBS) budget and the fin</w:t>
      </w:r>
      <w:r>
        <w:t>al financial outcome in the 2015–16 financial statements.</w:t>
      </w:r>
      <w:r w:rsidRPr="002A53DE">
        <w:t xml:space="preserve"> The Budget is not audited</w:t>
      </w:r>
      <w:r>
        <w:t xml:space="preserve"> </w:t>
      </w:r>
      <w:r w:rsidRPr="002A53DE">
        <w:t xml:space="preserve">and does not reflect budget estimates </w:t>
      </w:r>
      <w:r>
        <w:t>provided as part of the 2016–17</w:t>
      </w:r>
      <w:r w:rsidRPr="002A53DE">
        <w:t xml:space="preserve"> Portfolio Budget Statements (PBS). However, major changes in budget have been explained as part of the variance analysis where relevant.</w:t>
      </w:r>
      <w:bookmarkStart w:id="79" w:name="RANGE!D7:L56"/>
      <w:bookmarkStart w:id="80" w:name="RANGE!D7:D55"/>
      <w:bookmarkStart w:id="81" w:name="RANGE!D7:L55"/>
      <w:bookmarkStart w:id="82" w:name="RANGE!D7:D51"/>
      <w:bookmarkStart w:id="83" w:name="RANGE!D7:L51"/>
      <w:bookmarkStart w:id="84" w:name="RANGE!D7:J52"/>
      <w:bookmarkStart w:id="85" w:name="RANGE!D7:D50"/>
      <w:bookmarkStart w:id="86" w:name="RANGE!D11:D50"/>
      <w:bookmarkStart w:id="87" w:name="RANGE!D11:L50"/>
      <w:bookmarkEnd w:id="79"/>
      <w:bookmarkEnd w:id="80"/>
      <w:bookmarkEnd w:id="81"/>
      <w:bookmarkEnd w:id="82"/>
      <w:bookmarkEnd w:id="83"/>
      <w:bookmarkEnd w:id="84"/>
      <w:bookmarkEnd w:id="85"/>
      <w:bookmarkEnd w:id="86"/>
      <w:bookmarkEnd w:id="87"/>
    </w:p>
    <w:p w:rsidR="008835EB" w:rsidRPr="00526269" w:rsidRDefault="008835EB" w:rsidP="008835EB">
      <w:pPr>
        <w:pStyle w:val="ReportText"/>
        <w:spacing w:after="0"/>
        <w:ind w:right="567"/>
      </w:pPr>
      <w:bookmarkStart w:id="88" w:name="RANGE!D7:D39"/>
      <w:bookmarkStart w:id="89" w:name="RANGE!D7:T39"/>
      <w:bookmarkStart w:id="90" w:name="RANGE!D7:T38"/>
      <w:bookmarkStart w:id="91" w:name="RANGE!D7:D63"/>
      <w:bookmarkStart w:id="92" w:name="RANGE!D7:L63"/>
      <w:bookmarkStart w:id="93" w:name="RANGE!D7:D62"/>
      <w:bookmarkStart w:id="94" w:name="RANGE!D7:L62"/>
      <w:bookmarkStart w:id="95" w:name="RANGE!D7:D60"/>
      <w:bookmarkStart w:id="96" w:name="RANGE!D7:L60"/>
      <w:bookmarkStart w:id="97" w:name="RANGE!D11:D60"/>
      <w:bookmarkStart w:id="98" w:name="RANGE!D7:D56"/>
      <w:bookmarkEnd w:id="88"/>
      <w:bookmarkEnd w:id="89"/>
      <w:bookmarkEnd w:id="90"/>
      <w:bookmarkEnd w:id="91"/>
      <w:bookmarkEnd w:id="92"/>
      <w:bookmarkEnd w:id="93"/>
      <w:bookmarkEnd w:id="94"/>
      <w:bookmarkEnd w:id="95"/>
      <w:bookmarkEnd w:id="96"/>
      <w:bookmarkEnd w:id="97"/>
      <w:bookmarkEnd w:id="98"/>
      <w:r w:rsidRPr="00526269">
        <w:t>Variances are considered to be ‘major’ based on the following criteria:</w:t>
      </w:r>
    </w:p>
    <w:p w:rsidR="008835EB" w:rsidRPr="00526269" w:rsidRDefault="008835EB" w:rsidP="008835EB">
      <w:pPr>
        <w:pStyle w:val="ReportText"/>
        <w:numPr>
          <w:ilvl w:val="0"/>
          <w:numId w:val="19"/>
        </w:numPr>
        <w:tabs>
          <w:tab w:val="clear" w:pos="340"/>
          <w:tab w:val="num" w:pos="851"/>
        </w:tabs>
        <w:spacing w:before="0" w:after="0"/>
        <w:ind w:left="567" w:right="567"/>
      </w:pPr>
      <w:r w:rsidRPr="00526269">
        <w:t>the variance between budget and actual is greater than 10%; and</w:t>
      </w:r>
    </w:p>
    <w:p w:rsidR="008835EB" w:rsidRDefault="008835EB" w:rsidP="008835EB">
      <w:pPr>
        <w:pStyle w:val="ReportText"/>
        <w:numPr>
          <w:ilvl w:val="0"/>
          <w:numId w:val="19"/>
        </w:numPr>
        <w:tabs>
          <w:tab w:val="clear" w:pos="340"/>
          <w:tab w:val="num" w:pos="851"/>
        </w:tabs>
        <w:spacing w:before="0"/>
        <w:ind w:left="567"/>
      </w:pPr>
      <w:proofErr w:type="gramStart"/>
      <w:r w:rsidRPr="00526269">
        <w:t>an</w:t>
      </w:r>
      <w:proofErr w:type="gramEnd"/>
      <w:r w:rsidRPr="00526269">
        <w:t xml:space="preserve"> item below this threshold but is considered important for the reader’s understanding or is relevant to an assessment of the discharge of accountability and to an analysis of performance of an entity.</w:t>
      </w:r>
    </w:p>
    <w:p w:rsidR="008835EB" w:rsidRPr="00526269" w:rsidRDefault="008835EB" w:rsidP="008835EB">
      <w:pPr>
        <w:pStyle w:val="ReportText"/>
      </w:pPr>
      <w:r w:rsidRPr="00F444B9">
        <w:rPr>
          <w:b/>
          <w:u w:val="single"/>
        </w:rPr>
        <w:t>Departmental Major Budget Variances for 2016</w:t>
      </w:r>
    </w:p>
    <w:tbl>
      <w:tblPr>
        <w:tblpPr w:leftFromText="180" w:rightFromText="180" w:vertAnchor="text" w:tblpY="1"/>
        <w:tblOverlap w:val="never"/>
        <w:tblW w:w="9078" w:type="dxa"/>
        <w:tblLayout w:type="fixed"/>
        <w:tblCellMar>
          <w:left w:w="6" w:type="dxa"/>
          <w:right w:w="6" w:type="dxa"/>
        </w:tblCellMar>
        <w:tblLook w:val="04A0" w:firstRow="1" w:lastRow="0" w:firstColumn="1" w:lastColumn="0" w:noHBand="0" w:noVBand="1"/>
      </w:tblPr>
      <w:tblGrid>
        <w:gridCol w:w="6"/>
        <w:gridCol w:w="4820"/>
        <w:gridCol w:w="4252"/>
      </w:tblGrid>
      <w:tr w:rsidR="008835EB" w:rsidRPr="00DF46D0"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DF46D0" w:rsidRDefault="008835EB" w:rsidP="007E3F2E">
            <w:pPr>
              <w:spacing w:line="240" w:lineRule="auto"/>
              <w:rPr>
                <w:rFonts w:cs="Calibri"/>
                <w:b/>
                <w:bCs/>
                <w:szCs w:val="18"/>
              </w:rPr>
            </w:pPr>
            <w:r w:rsidRPr="00DF46D0">
              <w:rPr>
                <w:rFonts w:cs="Calibri"/>
                <w:b/>
                <w:bCs/>
                <w:szCs w:val="18"/>
              </w:rPr>
              <w:t>Explanations of major variances</w:t>
            </w:r>
          </w:p>
        </w:tc>
        <w:tc>
          <w:tcPr>
            <w:tcW w:w="4252" w:type="dxa"/>
            <w:tcBorders>
              <w:top w:val="single" w:sz="4" w:space="0" w:color="auto"/>
              <w:left w:val="single" w:sz="4" w:space="0" w:color="auto"/>
              <w:bottom w:val="single" w:sz="4" w:space="0" w:color="auto"/>
              <w:right w:val="nil"/>
            </w:tcBorders>
            <w:shd w:val="clear" w:color="FFFFFF" w:fill="FFFFFF"/>
            <w:noWrap/>
          </w:tcPr>
          <w:p w:rsidR="008835EB" w:rsidRPr="00DF46D0" w:rsidRDefault="008835EB" w:rsidP="007E3F2E">
            <w:pPr>
              <w:spacing w:line="240" w:lineRule="auto"/>
              <w:ind w:left="136"/>
              <w:rPr>
                <w:rFonts w:cs="Calibri"/>
                <w:b/>
                <w:szCs w:val="18"/>
              </w:rPr>
            </w:pPr>
            <w:r w:rsidRPr="00DF46D0">
              <w:rPr>
                <w:rFonts w:cs="Calibri"/>
                <w:b/>
                <w:szCs w:val="18"/>
              </w:rPr>
              <w:t>Affected line items (and schedule)</w:t>
            </w:r>
          </w:p>
        </w:tc>
      </w:tr>
      <w:tr w:rsidR="008835EB" w:rsidRPr="008224D4" w:rsidTr="007E3F2E">
        <w:trPr>
          <w:trHeight w:val="198"/>
        </w:trPr>
        <w:tc>
          <w:tcPr>
            <w:tcW w:w="4826" w:type="dxa"/>
            <w:gridSpan w:val="2"/>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 xml:space="preserve">The main variance is primarily due to lower than planned expenditure on Leave and Other Entitlements. </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Employee Benefits (Statement of Comprehensive Income),</w:t>
            </w:r>
          </w:p>
          <w:p w:rsidR="008835EB" w:rsidRPr="008224D4" w:rsidRDefault="008835EB" w:rsidP="007E3F2E">
            <w:pPr>
              <w:spacing w:line="240" w:lineRule="auto"/>
              <w:rPr>
                <w:rFonts w:cs="Calibri"/>
                <w:sz w:val="17"/>
                <w:szCs w:val="17"/>
              </w:rPr>
            </w:pPr>
            <w:r w:rsidRPr="008224D4">
              <w:rPr>
                <w:rFonts w:cs="Calibri"/>
                <w:sz w:val="17"/>
                <w:szCs w:val="17"/>
              </w:rPr>
              <w:t>Employees (Cash Flow Statement)</w:t>
            </w:r>
          </w:p>
        </w:tc>
      </w:tr>
      <w:tr w:rsidR="008835EB" w:rsidRPr="008224D4" w:rsidTr="007E3F2E">
        <w:trPr>
          <w:trHeight w:val="198"/>
        </w:trPr>
        <w:tc>
          <w:tcPr>
            <w:tcW w:w="4826" w:type="dxa"/>
            <w:gridSpan w:val="2"/>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 xml:space="preserve">Suppliers expense variance is primarily due an increase in expenses for staff training, additional work undertaken for research and analysis and strengthening of assurance activities. </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Suppliers (Statement of Comprehensive Income),</w:t>
            </w:r>
            <w:r>
              <w:rPr>
                <w:rFonts w:cs="Calibri"/>
                <w:sz w:val="17"/>
                <w:szCs w:val="17"/>
              </w:rPr>
              <w:t xml:space="preserve"> </w:t>
            </w:r>
            <w:r w:rsidRPr="008224D4">
              <w:rPr>
                <w:rFonts w:cs="Calibri"/>
                <w:sz w:val="17"/>
                <w:szCs w:val="17"/>
              </w:rPr>
              <w:t>Suppliers (Cash Flow Statement)</w:t>
            </w:r>
          </w:p>
        </w:tc>
      </w:tr>
      <w:tr w:rsidR="008835EB" w:rsidRPr="008224D4" w:rsidTr="007E3F2E">
        <w:trPr>
          <w:trHeight w:val="198"/>
        </w:trPr>
        <w:tc>
          <w:tcPr>
            <w:tcW w:w="4826" w:type="dxa"/>
            <w:gridSpan w:val="2"/>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The lower depreciation and amortisation expense compared to budget was mainly due to leases ending and extension of leases.</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Depreciation and amortisation (Statement of Comprehensive Income)</w:t>
            </w:r>
          </w:p>
        </w:tc>
      </w:tr>
      <w:tr w:rsidR="008835EB" w:rsidRPr="008224D4" w:rsidTr="007E3F2E">
        <w:trPr>
          <w:trHeight w:val="198"/>
        </w:trPr>
        <w:tc>
          <w:tcPr>
            <w:tcW w:w="4826" w:type="dxa"/>
            <w:gridSpan w:val="2"/>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Revenue from services and property sub leases contributed to the higher than expected own-source revenue.</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Own-source of revenue (Statement of Comprehensive income), Sale of goods and rendering of services (Cash Flow Statement).</w:t>
            </w:r>
          </w:p>
        </w:tc>
      </w:tr>
      <w:tr w:rsidR="008835EB" w:rsidRPr="008224D4" w:rsidTr="007E3F2E">
        <w:trPr>
          <w:trHeight w:val="198"/>
        </w:trPr>
        <w:tc>
          <w:tcPr>
            <w:tcW w:w="4826" w:type="dxa"/>
            <w:gridSpan w:val="2"/>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 xml:space="preserve">The Other gains </w:t>
            </w:r>
            <w:proofErr w:type="gramStart"/>
            <w:r w:rsidRPr="008224D4">
              <w:rPr>
                <w:rFonts w:cs="Calibri"/>
                <w:bCs/>
                <w:sz w:val="17"/>
                <w:szCs w:val="17"/>
              </w:rPr>
              <w:t>variance is due to the write back of surplus lease, property ownership movements due to Machinery of Government changes and write</w:t>
            </w:r>
            <w:proofErr w:type="gramEnd"/>
            <w:r w:rsidRPr="008224D4">
              <w:rPr>
                <w:rFonts w:cs="Calibri"/>
                <w:bCs/>
                <w:sz w:val="17"/>
                <w:szCs w:val="17"/>
              </w:rPr>
              <w:t xml:space="preserve"> off of a provision no longer required. These are one off revenues that were not budgeted for.</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Other gains (Statement of Comprehensive income)</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 xml:space="preserve">This variance is due to the revaluation of the </w:t>
            </w:r>
            <w:r>
              <w:rPr>
                <w:rFonts w:cs="Calibri"/>
                <w:bCs/>
                <w:sz w:val="17"/>
                <w:szCs w:val="17"/>
              </w:rPr>
              <w:t>D</w:t>
            </w:r>
            <w:r w:rsidRPr="008224D4">
              <w:rPr>
                <w:rFonts w:cs="Calibri"/>
                <w:bCs/>
                <w:sz w:val="17"/>
                <w:szCs w:val="17"/>
              </w:rPr>
              <w:t>epartment’s assets.</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Other Comprehensive income (Statement of Comprehensive income)</w:t>
            </w:r>
            <w:r>
              <w:rPr>
                <w:rFonts w:cs="Calibri"/>
                <w:sz w:val="17"/>
                <w:szCs w:val="17"/>
              </w:rPr>
              <w:t xml:space="preserve">, </w:t>
            </w:r>
            <w:r w:rsidRPr="008224D4">
              <w:rPr>
                <w:rFonts w:cs="Calibri"/>
                <w:sz w:val="17"/>
                <w:szCs w:val="17"/>
              </w:rPr>
              <w:t>Reserves</w:t>
            </w:r>
            <w:r>
              <w:rPr>
                <w:rFonts w:cs="Calibri"/>
                <w:sz w:val="17"/>
                <w:szCs w:val="17"/>
              </w:rPr>
              <w:t xml:space="preserve"> </w:t>
            </w:r>
            <w:r w:rsidRPr="008224D4">
              <w:rPr>
                <w:rFonts w:cs="Calibri"/>
                <w:sz w:val="17"/>
                <w:szCs w:val="17"/>
              </w:rPr>
              <w:t>(Statement of Financial Position)</w:t>
            </w:r>
            <w:r>
              <w:rPr>
                <w:rFonts w:cs="Calibri"/>
                <w:sz w:val="17"/>
                <w:szCs w:val="17"/>
              </w:rPr>
              <w:t xml:space="preserve">, </w:t>
            </w:r>
            <w:r>
              <w:rPr>
                <w:rFonts w:cs="Calibri"/>
                <w:sz w:val="17"/>
                <w:szCs w:val="17"/>
              </w:rPr>
              <w:br/>
            </w:r>
            <w:r w:rsidRPr="008224D4">
              <w:rPr>
                <w:rFonts w:cs="Calibri"/>
                <w:sz w:val="17"/>
                <w:szCs w:val="17"/>
              </w:rPr>
              <w:t>Asset Revaluation Surplus (Statement of Changes in Equity</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The Trade Debtors variance is due to increased appropriation receivable and lease incentives. This budget was adjusted to better reflect</w:t>
            </w:r>
            <w:r>
              <w:rPr>
                <w:rFonts w:cs="Calibri"/>
                <w:bCs/>
                <w:sz w:val="17"/>
                <w:szCs w:val="17"/>
              </w:rPr>
              <w:t xml:space="preserve"> the outcomes expected for the D</w:t>
            </w:r>
            <w:r w:rsidRPr="008224D4">
              <w:rPr>
                <w:rFonts w:cs="Calibri"/>
                <w:bCs/>
                <w:sz w:val="17"/>
                <w:szCs w:val="17"/>
              </w:rPr>
              <w:t>epartment. With this adjustment the variance relates to lease incentives.</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bCs/>
                <w:sz w:val="17"/>
                <w:szCs w:val="17"/>
              </w:rPr>
            </w:pPr>
            <w:r w:rsidRPr="008224D4">
              <w:rPr>
                <w:rFonts w:cs="Calibri"/>
                <w:sz w:val="17"/>
                <w:szCs w:val="17"/>
              </w:rPr>
              <w:t>Trade and other receivables</w:t>
            </w:r>
            <w:r w:rsidRPr="008224D4">
              <w:rPr>
                <w:rFonts w:cs="Calibri"/>
                <w:bCs/>
                <w:sz w:val="17"/>
                <w:szCs w:val="17"/>
              </w:rPr>
              <w:t xml:space="preserve"> (Statement of Financial Position)</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sz w:val="17"/>
                <w:szCs w:val="17"/>
              </w:rPr>
            </w:pPr>
            <w:r w:rsidRPr="008224D4">
              <w:rPr>
                <w:rFonts w:cs="Calibri"/>
                <w:bCs/>
                <w:sz w:val="17"/>
                <w:szCs w:val="17"/>
              </w:rPr>
              <w:t xml:space="preserve">Accrued Revenue received is lower than expected, as less </w:t>
            </w:r>
            <w:proofErr w:type="gramStart"/>
            <w:r>
              <w:rPr>
                <w:rFonts w:cs="Calibri"/>
                <w:bCs/>
                <w:sz w:val="17"/>
                <w:szCs w:val="17"/>
              </w:rPr>
              <w:t>receivables</w:t>
            </w:r>
            <w:proofErr w:type="gramEnd"/>
            <w:r>
              <w:rPr>
                <w:rFonts w:cs="Calibri"/>
                <w:bCs/>
                <w:sz w:val="17"/>
                <w:szCs w:val="17"/>
              </w:rPr>
              <w:t xml:space="preserve"> </w:t>
            </w:r>
            <w:r w:rsidRPr="008224D4">
              <w:rPr>
                <w:rFonts w:cs="Calibri"/>
                <w:bCs/>
                <w:sz w:val="17"/>
                <w:szCs w:val="17"/>
              </w:rPr>
              <w:t>have been accrued than forecast.</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Pr>
                <w:rFonts w:cs="Calibri"/>
                <w:sz w:val="17"/>
                <w:szCs w:val="17"/>
              </w:rPr>
              <w:t>Assets—</w:t>
            </w:r>
            <w:r w:rsidRPr="008224D4">
              <w:rPr>
                <w:rFonts w:cs="Calibri"/>
                <w:sz w:val="17"/>
                <w:szCs w:val="17"/>
              </w:rPr>
              <w:t>Other financial assets</w:t>
            </w:r>
            <w:r w:rsidRPr="008224D4">
              <w:rPr>
                <w:rFonts w:cs="Calibri"/>
                <w:bCs/>
                <w:sz w:val="17"/>
                <w:szCs w:val="17"/>
              </w:rPr>
              <w:t xml:space="preserve"> (Statement of Financial Position)</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sz w:val="17"/>
                <w:szCs w:val="17"/>
              </w:rPr>
            </w:pPr>
            <w:r w:rsidRPr="008224D4">
              <w:rPr>
                <w:rFonts w:cs="Calibri"/>
                <w:sz w:val="17"/>
                <w:szCs w:val="17"/>
              </w:rPr>
              <w:t>Leasehold asset values have been increased due to a revaluation as at 30 June 2016.</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Leasehold Improvements</w:t>
            </w:r>
            <w:r>
              <w:rPr>
                <w:rFonts w:cs="Calibri"/>
                <w:sz w:val="17"/>
                <w:szCs w:val="17"/>
              </w:rPr>
              <w:t xml:space="preserve"> </w:t>
            </w:r>
            <w:r w:rsidRPr="008224D4">
              <w:rPr>
                <w:rFonts w:cs="Calibri"/>
                <w:sz w:val="17"/>
                <w:szCs w:val="17"/>
              </w:rPr>
              <w:t>(Statement of Financial Position)</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sz w:val="17"/>
                <w:szCs w:val="17"/>
              </w:rPr>
            </w:pPr>
            <w:r w:rsidRPr="008224D4">
              <w:rPr>
                <w:rFonts w:cs="Calibri"/>
                <w:sz w:val="17"/>
                <w:szCs w:val="17"/>
              </w:rPr>
              <w:t>The variance relates to fit-out works planned for 2015</w:t>
            </w:r>
            <w:r>
              <w:rPr>
                <w:rFonts w:cs="Calibri"/>
                <w:sz w:val="17"/>
                <w:szCs w:val="17"/>
              </w:rPr>
              <w:t>–</w:t>
            </w:r>
            <w:r w:rsidRPr="008224D4">
              <w:rPr>
                <w:rFonts w:cs="Calibri"/>
                <w:sz w:val="17"/>
                <w:szCs w:val="17"/>
              </w:rPr>
              <w:t>16 that were delayed due to on-going lease negotiations.</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Leasehold Improvements</w:t>
            </w:r>
            <w:r>
              <w:rPr>
                <w:rFonts w:cs="Calibri"/>
                <w:sz w:val="17"/>
                <w:szCs w:val="17"/>
              </w:rPr>
              <w:t xml:space="preserve"> </w:t>
            </w:r>
            <w:r w:rsidRPr="008224D4">
              <w:rPr>
                <w:rFonts w:cs="Calibri"/>
                <w:sz w:val="17"/>
                <w:szCs w:val="17"/>
              </w:rPr>
              <w:t>(Cash Flow Statement)</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sz w:val="17"/>
                <w:szCs w:val="17"/>
              </w:rPr>
            </w:pPr>
            <w:r w:rsidRPr="008224D4">
              <w:rPr>
                <w:rFonts w:cs="Calibri"/>
                <w:sz w:val="17"/>
                <w:szCs w:val="17"/>
              </w:rPr>
              <w:t>Infrastructure expenditure is below budget due to delays in purchases.</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Infrastructure, Plant and Equipment (Statement of Financial Position) &amp; (Cash Flow Statement)</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sz w:val="17"/>
                <w:szCs w:val="17"/>
              </w:rPr>
            </w:pPr>
            <w:r w:rsidRPr="008224D4">
              <w:rPr>
                <w:rFonts w:cs="Calibri"/>
                <w:sz w:val="17"/>
                <w:szCs w:val="17"/>
              </w:rPr>
              <w:t xml:space="preserve">The variance relates to a higher value of internally developed software. </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Intangibles (Statement of Financial Position) &amp; (Cash Flow Statement)</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The Suppliers payable variance is due to increased accounts payable above what was originally budgeted. This budget was adjusted in the revised budget to better reflect the outcomes expected for the department. With this adjustment, the variance is on budget.</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Supplier payables</w:t>
            </w:r>
            <w:r>
              <w:rPr>
                <w:rFonts w:cs="Calibri"/>
                <w:sz w:val="17"/>
                <w:szCs w:val="17"/>
              </w:rPr>
              <w:t xml:space="preserve"> </w:t>
            </w:r>
            <w:r w:rsidRPr="008224D4">
              <w:rPr>
                <w:rFonts w:cs="Calibri"/>
                <w:sz w:val="17"/>
                <w:szCs w:val="17"/>
              </w:rPr>
              <w:t>(Statement of Financial Position)</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Other payables variance when compared to original budget is attributed to a lease incentive recognised and this has been adjusted in the revised budget. The variance to the revised budget relates to salary accruals at year end.</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Other payables</w:t>
            </w:r>
            <w:r>
              <w:rPr>
                <w:rFonts w:cs="Calibri"/>
                <w:sz w:val="17"/>
                <w:szCs w:val="17"/>
              </w:rPr>
              <w:t xml:space="preserve"> </w:t>
            </w:r>
            <w:r w:rsidRPr="008224D4">
              <w:rPr>
                <w:rFonts w:cs="Calibri"/>
                <w:sz w:val="17"/>
                <w:szCs w:val="17"/>
              </w:rPr>
              <w:t>(Statement of Financial Position)</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 xml:space="preserve">Higher Other </w:t>
            </w:r>
            <w:proofErr w:type="gramStart"/>
            <w:r w:rsidRPr="008224D4">
              <w:rPr>
                <w:rFonts w:cs="Calibri"/>
                <w:bCs/>
                <w:sz w:val="17"/>
                <w:szCs w:val="17"/>
              </w:rPr>
              <w:t>provisions is</w:t>
            </w:r>
            <w:proofErr w:type="gramEnd"/>
            <w:r w:rsidRPr="008224D4">
              <w:rPr>
                <w:rFonts w:cs="Calibri"/>
                <w:bCs/>
                <w:sz w:val="17"/>
                <w:szCs w:val="17"/>
              </w:rPr>
              <w:t xml:space="preserve"> mainly due to a provision for surplus lease recorded in 2014</w:t>
            </w:r>
            <w:r>
              <w:rPr>
                <w:rFonts w:cs="Calibri"/>
                <w:bCs/>
                <w:sz w:val="17"/>
                <w:szCs w:val="17"/>
              </w:rPr>
              <w:t>–</w:t>
            </w:r>
            <w:r w:rsidRPr="008224D4">
              <w:rPr>
                <w:rFonts w:cs="Calibri"/>
                <w:bCs/>
                <w:sz w:val="17"/>
                <w:szCs w:val="17"/>
              </w:rPr>
              <w:t xml:space="preserve">15 and an onerous contract on a lease. </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Other provisions</w:t>
            </w:r>
            <w:r>
              <w:rPr>
                <w:rFonts w:cs="Calibri"/>
                <w:sz w:val="17"/>
                <w:szCs w:val="17"/>
              </w:rPr>
              <w:t xml:space="preserve"> </w:t>
            </w:r>
            <w:r w:rsidRPr="008224D4">
              <w:rPr>
                <w:rFonts w:cs="Calibri"/>
                <w:sz w:val="17"/>
                <w:szCs w:val="17"/>
              </w:rPr>
              <w:t>(Statement of Financial Position)</w:t>
            </w:r>
          </w:p>
        </w:tc>
      </w:tr>
      <w:tr w:rsidR="008835EB" w:rsidRPr="008224D4" w:rsidTr="007E3F2E">
        <w:trPr>
          <w:gridBefore w:val="1"/>
          <w:wBefore w:w="6" w:type="dxa"/>
          <w:trHeight w:val="20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t>The variance relates to a small capital and operating surplus when compared to revised budget.</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Accumulated deficit</w:t>
            </w:r>
            <w:r>
              <w:rPr>
                <w:rFonts w:cs="Calibri"/>
                <w:sz w:val="17"/>
                <w:szCs w:val="17"/>
              </w:rPr>
              <w:t xml:space="preserve"> </w:t>
            </w:r>
            <w:r w:rsidRPr="008224D4">
              <w:rPr>
                <w:rFonts w:cs="Calibri"/>
                <w:sz w:val="17"/>
                <w:szCs w:val="17"/>
              </w:rPr>
              <w:t>(Statement of Financial Position)</w:t>
            </w:r>
            <w:r>
              <w:rPr>
                <w:rFonts w:cs="Calibri"/>
                <w:sz w:val="17"/>
                <w:szCs w:val="17"/>
              </w:rPr>
              <w:t xml:space="preserve">, </w:t>
            </w:r>
            <w:r w:rsidRPr="008224D4">
              <w:rPr>
                <w:rFonts w:cs="Calibri"/>
                <w:sz w:val="17"/>
                <w:szCs w:val="17"/>
              </w:rPr>
              <w:t>Retained Earnings</w:t>
            </w:r>
            <w:r>
              <w:rPr>
                <w:rFonts w:cs="Calibri"/>
                <w:sz w:val="17"/>
                <w:szCs w:val="17"/>
              </w:rPr>
              <w:t xml:space="preserve"> </w:t>
            </w:r>
            <w:r w:rsidRPr="008224D4">
              <w:rPr>
                <w:rFonts w:cs="Calibri"/>
                <w:sz w:val="17"/>
                <w:szCs w:val="17"/>
              </w:rPr>
              <w:t>(Statement of Changes in Equity)</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highlight w:val="yellow"/>
              </w:rPr>
            </w:pPr>
            <w:r w:rsidRPr="008224D4">
              <w:rPr>
                <w:rFonts w:cs="Calibri"/>
                <w:bCs/>
                <w:sz w:val="17"/>
                <w:szCs w:val="17"/>
              </w:rPr>
              <w:t xml:space="preserve">The </w:t>
            </w:r>
            <w:r>
              <w:rPr>
                <w:rFonts w:cs="Calibri"/>
                <w:bCs/>
                <w:sz w:val="17"/>
                <w:szCs w:val="17"/>
              </w:rPr>
              <w:t>D</w:t>
            </w:r>
            <w:r w:rsidRPr="008224D4">
              <w:rPr>
                <w:rFonts w:cs="Calibri"/>
                <w:bCs/>
                <w:sz w:val="17"/>
                <w:szCs w:val="17"/>
              </w:rPr>
              <w:t>epartment received additional Capital and Equity injections associated with new measures. This was amended in the revised budget.</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highlight w:val="yellow"/>
              </w:rPr>
            </w:pPr>
            <w:r w:rsidRPr="008224D4">
              <w:rPr>
                <w:rFonts w:cs="Calibri"/>
                <w:bCs/>
                <w:sz w:val="17"/>
                <w:szCs w:val="17"/>
              </w:rPr>
              <w:t xml:space="preserve">Contributed equity </w:t>
            </w:r>
            <w:r w:rsidRPr="008224D4">
              <w:rPr>
                <w:rFonts w:cs="Calibri"/>
                <w:sz w:val="17"/>
                <w:szCs w:val="17"/>
              </w:rPr>
              <w:t>(Statement of Financial Position)</w:t>
            </w:r>
            <w:r>
              <w:rPr>
                <w:rFonts w:cs="Calibri"/>
                <w:sz w:val="17"/>
                <w:szCs w:val="17"/>
              </w:rPr>
              <w:t xml:space="preserve">, </w:t>
            </w:r>
            <w:r w:rsidRPr="008224D4">
              <w:rPr>
                <w:rFonts w:cs="Calibri"/>
                <w:bCs/>
                <w:sz w:val="17"/>
                <w:szCs w:val="17"/>
              </w:rPr>
              <w:t>Contributed equity/capital</w:t>
            </w:r>
            <w:r>
              <w:rPr>
                <w:rFonts w:cs="Calibri"/>
                <w:bCs/>
                <w:sz w:val="17"/>
                <w:szCs w:val="17"/>
              </w:rPr>
              <w:t xml:space="preserve"> </w:t>
            </w:r>
            <w:r w:rsidRPr="008224D4">
              <w:rPr>
                <w:rFonts w:cs="Calibri"/>
                <w:sz w:val="17"/>
                <w:szCs w:val="17"/>
              </w:rPr>
              <w:t xml:space="preserve">(Statement of Changes in Equity) </w:t>
            </w:r>
            <w:r w:rsidRPr="008224D4">
              <w:rPr>
                <w:rFonts w:cs="Calibri"/>
                <w:bCs/>
                <w:sz w:val="17"/>
                <w:szCs w:val="17"/>
              </w:rPr>
              <w:t>Contributed equity - equity injection (Cash Flow Statement)</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highlight w:val="yellow"/>
              </w:rPr>
            </w:pPr>
            <w:r w:rsidRPr="008224D4">
              <w:rPr>
                <w:rFonts w:cs="Calibri"/>
                <w:bCs/>
                <w:sz w:val="17"/>
                <w:szCs w:val="17"/>
              </w:rPr>
              <w:t xml:space="preserve">GST received from the </w:t>
            </w:r>
            <w:proofErr w:type="spellStart"/>
            <w:r w:rsidRPr="008224D4">
              <w:rPr>
                <w:rFonts w:cs="Calibri"/>
                <w:bCs/>
                <w:sz w:val="17"/>
                <w:szCs w:val="17"/>
              </w:rPr>
              <w:t>ATO</w:t>
            </w:r>
            <w:proofErr w:type="spellEnd"/>
            <w:r w:rsidRPr="008224D4">
              <w:rPr>
                <w:rFonts w:cs="Calibri"/>
                <w:bCs/>
                <w:sz w:val="17"/>
                <w:szCs w:val="17"/>
              </w:rPr>
              <w:t xml:space="preserve"> was higher than the revised budget, </w:t>
            </w:r>
            <w:r w:rsidRPr="008224D4">
              <w:rPr>
                <w:rFonts w:cs="Calibri"/>
                <w:bCs/>
                <w:sz w:val="17"/>
                <w:szCs w:val="17"/>
              </w:rPr>
              <w:lastRenderedPageBreak/>
              <w:t>mainly due to higher than planned Supplier expenses.</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lastRenderedPageBreak/>
              <w:t xml:space="preserve">Net GST received </w:t>
            </w:r>
          </w:p>
          <w:p w:rsidR="008835EB" w:rsidRPr="008224D4" w:rsidRDefault="008835EB" w:rsidP="007E3F2E">
            <w:pPr>
              <w:spacing w:line="240" w:lineRule="auto"/>
              <w:rPr>
                <w:rFonts w:cs="Calibri"/>
                <w:sz w:val="17"/>
                <w:szCs w:val="17"/>
                <w:highlight w:val="yellow"/>
              </w:rPr>
            </w:pPr>
            <w:r w:rsidRPr="008224D4">
              <w:rPr>
                <w:rFonts w:cs="Calibri"/>
                <w:sz w:val="17"/>
                <w:szCs w:val="17"/>
              </w:rPr>
              <w:lastRenderedPageBreak/>
              <w:t>(Cash Flow Statement)</w:t>
            </w:r>
          </w:p>
        </w:tc>
      </w:tr>
      <w:tr w:rsidR="008835EB" w:rsidRPr="008224D4" w:rsidTr="007E3F2E">
        <w:trPr>
          <w:gridBefore w:val="1"/>
          <w:wBefore w:w="6" w:type="dxa"/>
          <w:trHeight w:val="198"/>
        </w:trPr>
        <w:tc>
          <w:tcPr>
            <w:tcW w:w="4820" w:type="dxa"/>
            <w:tcBorders>
              <w:top w:val="single" w:sz="4" w:space="0" w:color="auto"/>
              <w:left w:val="nil"/>
              <w:bottom w:val="single" w:sz="4" w:space="0" w:color="auto"/>
              <w:right w:val="single" w:sz="4" w:space="0" w:color="auto"/>
            </w:tcBorders>
            <w:shd w:val="clear" w:color="FFFFFF" w:fill="FFFFFF"/>
          </w:tcPr>
          <w:p w:rsidR="008835EB" w:rsidRPr="008224D4" w:rsidRDefault="008835EB" w:rsidP="007E3F2E">
            <w:pPr>
              <w:spacing w:line="240" w:lineRule="auto"/>
              <w:rPr>
                <w:rFonts w:cs="Calibri"/>
                <w:bCs/>
                <w:sz w:val="17"/>
                <w:szCs w:val="17"/>
              </w:rPr>
            </w:pPr>
            <w:r w:rsidRPr="008224D4">
              <w:rPr>
                <w:rFonts w:cs="Calibri"/>
                <w:bCs/>
                <w:sz w:val="17"/>
                <w:szCs w:val="17"/>
              </w:rPr>
              <w:lastRenderedPageBreak/>
              <w:t xml:space="preserve">There is no budget for the transfer of cash to the </w:t>
            </w:r>
            <w:proofErr w:type="spellStart"/>
            <w:r w:rsidRPr="008224D4">
              <w:rPr>
                <w:rFonts w:cs="Calibri"/>
                <w:bCs/>
                <w:sz w:val="17"/>
                <w:szCs w:val="17"/>
              </w:rPr>
              <w:t>OPA</w:t>
            </w:r>
            <w:proofErr w:type="spellEnd"/>
            <w:r w:rsidRPr="008224D4">
              <w:rPr>
                <w:rFonts w:cs="Calibri"/>
                <w:bCs/>
                <w:sz w:val="17"/>
                <w:szCs w:val="17"/>
              </w:rPr>
              <w:t xml:space="preserve"> from revenue received under Section 74 of the </w:t>
            </w:r>
            <w:r w:rsidRPr="008224D4">
              <w:rPr>
                <w:rFonts w:cs="Calibri"/>
                <w:bCs/>
                <w:i/>
                <w:sz w:val="17"/>
                <w:szCs w:val="17"/>
              </w:rPr>
              <w:t>Public Governance, Performance and Accountability Act 2013.</w:t>
            </w:r>
          </w:p>
        </w:tc>
        <w:tc>
          <w:tcPr>
            <w:tcW w:w="4252" w:type="dxa"/>
            <w:tcBorders>
              <w:top w:val="single" w:sz="4" w:space="0" w:color="auto"/>
              <w:left w:val="single" w:sz="4" w:space="0" w:color="auto"/>
              <w:bottom w:val="single" w:sz="4" w:space="0" w:color="auto"/>
              <w:right w:val="nil"/>
            </w:tcBorders>
            <w:shd w:val="clear" w:color="FFFFFF" w:fill="FFFFFF"/>
            <w:noWrap/>
            <w:tcMar>
              <w:left w:w="57" w:type="dxa"/>
            </w:tcMar>
          </w:tcPr>
          <w:p w:rsidR="008835EB" w:rsidRPr="008224D4" w:rsidRDefault="008835EB" w:rsidP="007E3F2E">
            <w:pPr>
              <w:spacing w:line="240" w:lineRule="auto"/>
              <w:rPr>
                <w:rFonts w:cs="Calibri"/>
                <w:sz w:val="17"/>
                <w:szCs w:val="17"/>
              </w:rPr>
            </w:pPr>
            <w:r w:rsidRPr="008224D4">
              <w:rPr>
                <w:rFonts w:cs="Calibri"/>
                <w:sz w:val="17"/>
                <w:szCs w:val="17"/>
              </w:rPr>
              <w:t xml:space="preserve">Section 74 transfers to the </w:t>
            </w:r>
            <w:proofErr w:type="spellStart"/>
            <w:r w:rsidRPr="008224D4">
              <w:rPr>
                <w:rFonts w:cs="Calibri"/>
                <w:sz w:val="17"/>
                <w:szCs w:val="17"/>
              </w:rPr>
              <w:t>OPA</w:t>
            </w:r>
            <w:proofErr w:type="spellEnd"/>
            <w:r w:rsidRPr="008224D4">
              <w:rPr>
                <w:rFonts w:cs="Calibri"/>
                <w:sz w:val="17"/>
                <w:szCs w:val="17"/>
              </w:rPr>
              <w:t xml:space="preserve"> (Cash Flow Statement)</w:t>
            </w:r>
          </w:p>
        </w:tc>
      </w:tr>
    </w:tbl>
    <w:p w:rsidR="008835EB" w:rsidRDefault="008835EB" w:rsidP="008835EB">
      <w:pPr>
        <w:spacing w:line="240" w:lineRule="auto"/>
        <w:rPr>
          <w:rFonts w:asciiTheme="minorHAnsi" w:hAnsiTheme="minorHAnsi"/>
          <w:b/>
          <w:sz w:val="20"/>
          <w:u w:val="single"/>
        </w:rPr>
      </w:pPr>
      <w:bookmarkStart w:id="99" w:name="RANGE!D7:D45"/>
      <w:bookmarkStart w:id="100" w:name="RANGE!D7:D44"/>
      <w:bookmarkStart w:id="101" w:name="RANGE!D7:D42"/>
      <w:bookmarkStart w:id="102" w:name="RANGE!D7:D53"/>
      <w:bookmarkStart w:id="103" w:name="RANGE!D7:D54"/>
      <w:bookmarkEnd w:id="99"/>
      <w:bookmarkEnd w:id="100"/>
      <w:bookmarkEnd w:id="101"/>
      <w:bookmarkEnd w:id="102"/>
      <w:bookmarkEnd w:id="103"/>
      <w:r>
        <w:br w:type="page"/>
      </w:r>
    </w:p>
    <w:p w:rsidR="008835EB" w:rsidRDefault="008835EB" w:rsidP="008835EB">
      <w:pPr>
        <w:pStyle w:val="NotesHeading-Level1"/>
        <w:rPr>
          <w:rFonts w:cs="Arial"/>
          <w:szCs w:val="18"/>
          <w:lang w:eastAsia="en-AU"/>
        </w:rPr>
      </w:pPr>
      <w:r>
        <w:lastRenderedPageBreak/>
        <w:t>Administered</w:t>
      </w:r>
      <w:r w:rsidRPr="00F444B9">
        <w:t xml:space="preserve"> Major Budget Variances for 2016</w:t>
      </w:r>
    </w:p>
    <w:p w:rsidR="008835EB" w:rsidRDefault="008835EB" w:rsidP="008835EB">
      <w:pPr>
        <w:spacing w:line="240" w:lineRule="auto"/>
        <w:rPr>
          <w:rFonts w:asciiTheme="minorHAnsi" w:hAnsiTheme="minorHAnsi" w:cs="Arial"/>
          <w:szCs w:val="18"/>
          <w:lang w:eastAsia="en-AU"/>
        </w:rPr>
      </w:pPr>
    </w:p>
    <w:tbl>
      <w:tblPr>
        <w:tblW w:w="9072" w:type="dxa"/>
        <w:tblInd w:w="6" w:type="dxa"/>
        <w:tblLayout w:type="fixed"/>
        <w:tblCellMar>
          <w:left w:w="28" w:type="dxa"/>
          <w:right w:w="28" w:type="dxa"/>
        </w:tblCellMar>
        <w:tblLook w:val="04A0" w:firstRow="1" w:lastRow="0" w:firstColumn="1" w:lastColumn="0" w:noHBand="0" w:noVBand="1"/>
      </w:tblPr>
      <w:tblGrid>
        <w:gridCol w:w="4820"/>
        <w:gridCol w:w="4252"/>
      </w:tblGrid>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FFFFFF" w:fill="FFFFFF"/>
            <w:vAlign w:val="bottom"/>
          </w:tcPr>
          <w:p w:rsidR="008835EB" w:rsidRDefault="008835EB" w:rsidP="007E3F2E">
            <w:pPr>
              <w:spacing w:line="240" w:lineRule="auto"/>
              <w:rPr>
                <w:rFonts w:cs="Calibri"/>
                <w:b/>
                <w:bCs/>
                <w:szCs w:val="18"/>
              </w:rPr>
            </w:pPr>
            <w:r>
              <w:rPr>
                <w:rFonts w:cs="Calibri"/>
                <w:b/>
                <w:bCs/>
                <w:szCs w:val="18"/>
              </w:rPr>
              <w:t>Explanations of major variances</w:t>
            </w:r>
          </w:p>
        </w:tc>
        <w:tc>
          <w:tcPr>
            <w:tcW w:w="4252" w:type="dxa"/>
            <w:tcBorders>
              <w:top w:val="single" w:sz="4" w:space="0" w:color="auto"/>
              <w:left w:val="single" w:sz="4" w:space="0" w:color="auto"/>
              <w:bottom w:val="single" w:sz="4" w:space="0" w:color="auto"/>
              <w:right w:val="nil"/>
            </w:tcBorders>
            <w:shd w:val="clear" w:color="FFFFFF" w:fill="FFFFFF"/>
            <w:noWrap/>
            <w:vAlign w:val="bottom"/>
          </w:tcPr>
          <w:p w:rsidR="008835EB" w:rsidRDefault="008835EB" w:rsidP="007E3F2E">
            <w:pPr>
              <w:spacing w:line="240" w:lineRule="auto"/>
              <w:rPr>
                <w:rFonts w:cs="Calibri"/>
                <w:b/>
                <w:bCs/>
                <w:szCs w:val="18"/>
              </w:rPr>
            </w:pPr>
            <w:r>
              <w:rPr>
                <w:rFonts w:cs="Calibri"/>
                <w:b/>
                <w:bCs/>
                <w:szCs w:val="18"/>
              </w:rPr>
              <w:t>Affected line items (and schedule)</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
                <w:bCs/>
                <w:szCs w:val="18"/>
              </w:rPr>
            </w:pPr>
            <w:r>
              <w:rPr>
                <w:rFonts w:cs="Calibri"/>
                <w:bCs/>
                <w:szCs w:val="18"/>
              </w:rPr>
              <w:t xml:space="preserve">The </w:t>
            </w:r>
            <w:r w:rsidRPr="00DD7160">
              <w:rPr>
                <w:rFonts w:cs="Calibri"/>
                <w:bCs/>
                <w:szCs w:val="18"/>
              </w:rPr>
              <w:t xml:space="preserve">Supplier </w:t>
            </w:r>
            <w:r>
              <w:rPr>
                <w:rFonts w:cs="Calibri"/>
                <w:bCs/>
                <w:szCs w:val="18"/>
              </w:rPr>
              <w:t xml:space="preserve">and Subsidies </w:t>
            </w:r>
            <w:r w:rsidRPr="00DD7160">
              <w:rPr>
                <w:rFonts w:cs="Calibri"/>
                <w:bCs/>
                <w:szCs w:val="18"/>
              </w:rPr>
              <w:t>expense</w:t>
            </w:r>
            <w:r>
              <w:rPr>
                <w:rFonts w:cs="Calibri"/>
                <w:bCs/>
                <w:szCs w:val="18"/>
              </w:rPr>
              <w:t xml:space="preserve"> variance</w:t>
            </w:r>
            <w:r w:rsidRPr="00DD7160">
              <w:rPr>
                <w:rFonts w:cs="Calibri"/>
                <w:bCs/>
                <w:szCs w:val="18"/>
              </w:rPr>
              <w:t xml:space="preserve"> primarily relates to lower than </w:t>
            </w:r>
            <w:r>
              <w:rPr>
                <w:rFonts w:cs="Calibri"/>
                <w:bCs/>
                <w:szCs w:val="18"/>
              </w:rPr>
              <w:t>planned</w:t>
            </w:r>
            <w:r w:rsidRPr="00DD7160">
              <w:rPr>
                <w:rFonts w:cs="Calibri"/>
                <w:bCs/>
                <w:szCs w:val="18"/>
              </w:rPr>
              <w:t xml:space="preserve"> job seeker commencements in jobactive due </w:t>
            </w:r>
            <w:r>
              <w:rPr>
                <w:rFonts w:cs="Calibri"/>
                <w:bCs/>
                <w:szCs w:val="18"/>
              </w:rPr>
              <w:t>to lower than forecast unemployment rate.</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uto"/>
              <w:rPr>
                <w:rFonts w:cs="Calibri"/>
              </w:rPr>
            </w:pPr>
            <w:r w:rsidRPr="00DD7160">
              <w:t xml:space="preserve">Suppliers </w:t>
            </w:r>
            <w:r>
              <w:t>&amp; Subsidies</w:t>
            </w:r>
            <w:r w:rsidRPr="00DD7160">
              <w:t>(Administered Schedule of Comprehensive Income)</w:t>
            </w:r>
          </w:p>
        </w:tc>
      </w:tr>
      <w:tr w:rsidR="008835EB" w:rsidRPr="00805AD7" w:rsidTr="007E3F2E">
        <w:trPr>
          <w:trHeight w:val="936"/>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sidRPr="00DD7160">
              <w:rPr>
                <w:rFonts w:cs="Calibri"/>
                <w:bCs/>
                <w:szCs w:val="18"/>
              </w:rPr>
              <w:t xml:space="preserve">Monthly levy collections for the </w:t>
            </w:r>
            <w:r w:rsidRPr="00DD7160">
              <w:rPr>
                <w:rFonts w:cs="Calibri"/>
                <w:bCs/>
                <w:i/>
                <w:szCs w:val="18"/>
              </w:rPr>
              <w:t>Coal Mining Industry</w:t>
            </w:r>
            <w:r w:rsidRPr="00DD7160">
              <w:rPr>
                <w:rFonts w:cs="Calibri"/>
                <w:bCs/>
                <w:szCs w:val="18"/>
              </w:rPr>
              <w:t xml:space="preserve"> (</w:t>
            </w:r>
            <w:r w:rsidRPr="00DD7160">
              <w:rPr>
                <w:rFonts w:cs="Calibri"/>
                <w:bCs/>
                <w:i/>
                <w:szCs w:val="18"/>
              </w:rPr>
              <w:t>LSL</w:t>
            </w:r>
            <w:r w:rsidRPr="00DD7160">
              <w:rPr>
                <w:rFonts w:cs="Calibri"/>
                <w:bCs/>
                <w:szCs w:val="18"/>
              </w:rPr>
              <w:t xml:space="preserve">) </w:t>
            </w:r>
            <w:r w:rsidRPr="00A837BF">
              <w:rPr>
                <w:rFonts w:cs="Calibri"/>
                <w:bCs/>
                <w:i/>
                <w:szCs w:val="18"/>
              </w:rPr>
              <w:t>Act</w:t>
            </w:r>
            <w:r w:rsidRPr="004260AD">
              <w:rPr>
                <w:rFonts w:cs="Calibri"/>
                <w:bCs/>
                <w:i/>
                <w:szCs w:val="18"/>
              </w:rPr>
              <w:t xml:space="preserve"> 1992</w:t>
            </w:r>
            <w:r w:rsidRPr="00DD7160">
              <w:rPr>
                <w:rFonts w:cs="Calibri"/>
                <w:bCs/>
                <w:szCs w:val="18"/>
              </w:rPr>
              <w:t xml:space="preserve"> (</w:t>
            </w:r>
            <w:proofErr w:type="spellStart"/>
            <w:r w:rsidRPr="00DD7160">
              <w:rPr>
                <w:rFonts w:cs="Calibri"/>
                <w:bCs/>
                <w:szCs w:val="18"/>
              </w:rPr>
              <w:t>CMIC</w:t>
            </w:r>
            <w:proofErr w:type="spellEnd"/>
            <w:r w:rsidRPr="00DD7160">
              <w:rPr>
                <w:rFonts w:cs="Calibri"/>
                <w:bCs/>
                <w:szCs w:val="18"/>
              </w:rPr>
              <w:t>) have been impacted by the reduced numbers of employees</w:t>
            </w:r>
            <w:r>
              <w:rPr>
                <w:rFonts w:cs="Calibri"/>
                <w:bCs/>
                <w:szCs w:val="18"/>
              </w:rPr>
              <w:t xml:space="preserve"> in the sector</w:t>
            </w:r>
            <w:r w:rsidRPr="00DD7160">
              <w:rPr>
                <w:rFonts w:cs="Calibri"/>
                <w:bCs/>
                <w:szCs w:val="18"/>
              </w:rPr>
              <w:t>. This is due to the industry moving from an expansion and construction phase to a more steady production phase.</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F44C2A" w:rsidRDefault="008835EB" w:rsidP="007E3F2E">
            <w:pPr>
              <w:spacing w:line="240" w:lineRule="auto"/>
            </w:pPr>
            <w:r w:rsidRPr="00DD7160">
              <w:t>Subsidies and Other Taxes (Administered Schedule of Comprehensive Income)</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sidRPr="00DD7160">
              <w:rPr>
                <w:rFonts w:cs="Calibri"/>
                <w:bCs/>
                <w:szCs w:val="18"/>
              </w:rPr>
              <w:t xml:space="preserve">Higher than planned Personal </w:t>
            </w:r>
            <w:r>
              <w:rPr>
                <w:rFonts w:cs="Calibri"/>
                <w:bCs/>
                <w:szCs w:val="18"/>
              </w:rPr>
              <w:t>B</w:t>
            </w:r>
            <w:r w:rsidRPr="00DD7160">
              <w:rPr>
                <w:rFonts w:cs="Calibri"/>
                <w:bCs/>
                <w:szCs w:val="18"/>
              </w:rPr>
              <w:t>enefits expense primarily relates to the Fair Entitlements Guarantee Program (</w:t>
            </w:r>
            <w:proofErr w:type="spellStart"/>
            <w:r w:rsidRPr="00DD7160">
              <w:rPr>
                <w:rFonts w:cs="Calibri"/>
                <w:bCs/>
                <w:szCs w:val="18"/>
              </w:rPr>
              <w:t>FEG</w:t>
            </w:r>
            <w:proofErr w:type="spellEnd"/>
            <w:r w:rsidRPr="00DD7160">
              <w:rPr>
                <w:rFonts w:cs="Calibri"/>
                <w:bCs/>
                <w:szCs w:val="18"/>
              </w:rPr>
              <w:t xml:space="preserve">). </w:t>
            </w:r>
            <w:r>
              <w:rPr>
                <w:rFonts w:cs="Calibri"/>
                <w:bCs/>
                <w:szCs w:val="18"/>
              </w:rPr>
              <w:t>T</w:t>
            </w:r>
            <w:r w:rsidRPr="00DD7160">
              <w:rPr>
                <w:rFonts w:cs="Calibri"/>
                <w:bCs/>
                <w:szCs w:val="18"/>
              </w:rPr>
              <w:t xml:space="preserve">he </w:t>
            </w:r>
            <w:r>
              <w:rPr>
                <w:rFonts w:cs="Calibri"/>
                <w:bCs/>
                <w:szCs w:val="18"/>
              </w:rPr>
              <w:t>average cost per claim was higher than the original budget estimate.</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F44C2A" w:rsidRDefault="008835EB" w:rsidP="007E3F2E">
            <w:pPr>
              <w:spacing w:line="240" w:lineRule="auto"/>
            </w:pPr>
            <w:r w:rsidRPr="00DD7160">
              <w:t>Personal Benefits (Administered Schedule of Comprehensive Income)</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sidRPr="00DD7160">
              <w:rPr>
                <w:rFonts w:cs="Calibri"/>
                <w:bCs/>
                <w:szCs w:val="18"/>
              </w:rPr>
              <w:t xml:space="preserve">The majority of </w:t>
            </w:r>
            <w:r>
              <w:rPr>
                <w:rFonts w:cs="Calibri"/>
                <w:bCs/>
                <w:szCs w:val="18"/>
              </w:rPr>
              <w:t>the</w:t>
            </w:r>
            <w:r w:rsidRPr="00DD7160">
              <w:rPr>
                <w:rFonts w:cs="Calibri"/>
                <w:bCs/>
                <w:szCs w:val="18"/>
              </w:rPr>
              <w:t xml:space="preserve"> variance </w:t>
            </w:r>
            <w:r>
              <w:rPr>
                <w:rFonts w:cs="Calibri"/>
                <w:bCs/>
                <w:szCs w:val="18"/>
              </w:rPr>
              <w:t xml:space="preserve">to budget </w:t>
            </w:r>
            <w:r w:rsidRPr="00DD7160">
              <w:rPr>
                <w:rFonts w:cs="Calibri"/>
                <w:bCs/>
                <w:szCs w:val="18"/>
              </w:rPr>
              <w:t xml:space="preserve">relates to one debt that was recognised </w:t>
            </w:r>
            <w:r>
              <w:rPr>
                <w:rFonts w:cs="Calibri"/>
                <w:bCs/>
                <w:szCs w:val="18"/>
              </w:rPr>
              <w:t xml:space="preserve">as doubtful </w:t>
            </w:r>
            <w:r w:rsidRPr="00DD7160">
              <w:rPr>
                <w:rFonts w:cs="Calibri"/>
                <w:bCs/>
                <w:szCs w:val="18"/>
              </w:rPr>
              <w:t xml:space="preserve">after the finalisation of </w:t>
            </w:r>
            <w:r>
              <w:rPr>
                <w:rFonts w:cs="Calibri"/>
                <w:bCs/>
                <w:szCs w:val="18"/>
              </w:rPr>
              <w:t>an</w:t>
            </w:r>
            <w:r w:rsidRPr="00DD7160">
              <w:rPr>
                <w:rFonts w:cs="Calibri"/>
                <w:bCs/>
                <w:szCs w:val="18"/>
              </w:rPr>
              <w:t xml:space="preserve"> insolvency process. </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uto"/>
            </w:pPr>
            <w:r w:rsidRPr="00DD7160">
              <w:t xml:space="preserve">Write-down and impairment of Assets (Administered Schedule of Comprehensive Income), </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Pr>
                <w:rFonts w:cs="Calibri"/>
                <w:bCs/>
                <w:szCs w:val="18"/>
              </w:rPr>
              <w:t xml:space="preserve">The variance relates to higher than planned recoveries relating to the </w:t>
            </w:r>
            <w:proofErr w:type="spellStart"/>
            <w:r>
              <w:rPr>
                <w:rFonts w:cs="Calibri"/>
                <w:bCs/>
                <w:szCs w:val="18"/>
              </w:rPr>
              <w:t>FEG</w:t>
            </w:r>
            <w:proofErr w:type="spellEnd"/>
            <w:r>
              <w:rPr>
                <w:rFonts w:cs="Calibri"/>
                <w:bCs/>
                <w:szCs w:val="18"/>
              </w:rPr>
              <w:t xml:space="preserve"> program including activities under the </w:t>
            </w:r>
            <w:proofErr w:type="spellStart"/>
            <w:r>
              <w:rPr>
                <w:rFonts w:cs="Calibri"/>
                <w:bCs/>
                <w:szCs w:val="18"/>
              </w:rPr>
              <w:t>FEG</w:t>
            </w:r>
            <w:proofErr w:type="spellEnd"/>
            <w:r>
              <w:rPr>
                <w:rFonts w:cs="Calibri"/>
                <w:bCs/>
                <w:szCs w:val="18"/>
              </w:rPr>
              <w:t xml:space="preserve"> Recovery program.</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uto"/>
              <w:rPr>
                <w:rFonts w:cs="Calibri"/>
              </w:rPr>
            </w:pPr>
            <w:r w:rsidRPr="00DD7160">
              <w:t>Commonwealth Asset Recoveries</w:t>
            </w:r>
            <w:r>
              <w:t xml:space="preserve"> </w:t>
            </w:r>
            <w:r w:rsidRPr="00DD7160">
              <w:t>(Administered Schedule of Comprehensive Income), Trade and Other receivables (Administered Schedule of Assets and Liabilities)</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sidRPr="00DD7160">
              <w:rPr>
                <w:rFonts w:cs="Calibri"/>
                <w:bCs/>
                <w:szCs w:val="18"/>
              </w:rPr>
              <w:t xml:space="preserve">Higher than planned Other Revenue relates to recoveries of asbestos settlement claims from </w:t>
            </w:r>
            <w:r>
              <w:rPr>
                <w:rFonts w:cs="Calibri"/>
                <w:bCs/>
                <w:szCs w:val="18"/>
              </w:rPr>
              <w:t>e</w:t>
            </w:r>
            <w:r w:rsidRPr="00DD7160">
              <w:rPr>
                <w:rFonts w:cs="Calibri"/>
                <w:bCs/>
                <w:szCs w:val="18"/>
              </w:rPr>
              <w:t xml:space="preserve">mployers for costs paid by the Commonwealth under the </w:t>
            </w:r>
            <w:r w:rsidRPr="004260AD">
              <w:rPr>
                <w:rFonts w:cs="Calibri"/>
                <w:bCs/>
                <w:i/>
                <w:szCs w:val="18"/>
              </w:rPr>
              <w:t>Asbestos Related Claims Act 2005</w:t>
            </w:r>
            <w:r w:rsidRPr="00DD7160">
              <w:rPr>
                <w:rFonts w:cs="Calibri"/>
                <w:bCs/>
                <w:szCs w:val="18"/>
              </w:rPr>
              <w:t xml:space="preserve">. The original budget was based on prior year outcomes, however by their </w:t>
            </w:r>
            <w:proofErr w:type="gramStart"/>
            <w:r w:rsidRPr="00DD7160">
              <w:rPr>
                <w:rFonts w:cs="Calibri"/>
                <w:bCs/>
                <w:szCs w:val="18"/>
              </w:rPr>
              <w:t>nature,</w:t>
            </w:r>
            <w:proofErr w:type="gramEnd"/>
            <w:r w:rsidRPr="00DD7160">
              <w:rPr>
                <w:rFonts w:cs="Calibri"/>
                <w:bCs/>
                <w:szCs w:val="18"/>
              </w:rPr>
              <w:t xml:space="preserve"> the recoveries vary from year to year.</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tLeast"/>
              <w:rPr>
                <w:rFonts w:cs="Calibri"/>
                <w:szCs w:val="18"/>
              </w:rPr>
            </w:pPr>
            <w:r w:rsidRPr="00DD7160">
              <w:t>Other Revenue</w:t>
            </w:r>
            <w:r>
              <w:t xml:space="preserve"> </w:t>
            </w:r>
            <w:r w:rsidRPr="00DD7160">
              <w:t>(Administered Schedule of Comprehensive Income)</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Pr>
                <w:rFonts w:cs="Calibri"/>
                <w:bCs/>
                <w:szCs w:val="18"/>
              </w:rPr>
              <w:t>Other revenue was higher than planned due to expenditure estimates from 2014–15 being lower in 2015–16 than expected. As such residual estimates to cover the expenditure have been moved from expenses.</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tLeast"/>
            </w:pPr>
            <w:r w:rsidRPr="00DD7160">
              <w:t>Other Revenue</w:t>
            </w:r>
            <w:r>
              <w:t xml:space="preserve"> </w:t>
            </w:r>
            <w:r w:rsidRPr="00DD7160">
              <w:t>(Administered Schedule of Comprehensive Income)</w:t>
            </w:r>
          </w:p>
        </w:tc>
      </w:tr>
      <w:tr w:rsidR="008835EB" w:rsidRPr="00805AD7" w:rsidTr="007E3F2E">
        <w:trPr>
          <w:trHeight w:val="43"/>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
                <w:bCs/>
                <w:szCs w:val="18"/>
              </w:rPr>
            </w:pPr>
            <w:r w:rsidRPr="00DD7160">
              <w:rPr>
                <w:rFonts w:cs="Calibri"/>
                <w:bCs/>
                <w:szCs w:val="18"/>
              </w:rPr>
              <w:t xml:space="preserve">Higher than planned Other Investments relates to the Government's holdings in </w:t>
            </w:r>
            <w:proofErr w:type="spellStart"/>
            <w:r>
              <w:rPr>
                <w:rFonts w:cs="Calibri"/>
                <w:bCs/>
                <w:szCs w:val="18"/>
              </w:rPr>
              <w:t>CMIC</w:t>
            </w:r>
            <w:proofErr w:type="spellEnd"/>
            <w:r w:rsidRPr="00DD7160">
              <w:rPr>
                <w:rFonts w:cs="Calibri"/>
                <w:bCs/>
                <w:szCs w:val="18"/>
              </w:rPr>
              <w:t xml:space="preserve">. </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tLeast"/>
            </w:pPr>
            <w:r w:rsidRPr="00DD7160">
              <w:t>Other Investments (Administered Schedule of Assets and Liabilities), Other Comprehensive Income</w:t>
            </w:r>
          </w:p>
          <w:p w:rsidR="008835EB" w:rsidRPr="00DD7160" w:rsidRDefault="008835EB" w:rsidP="007E3F2E">
            <w:pPr>
              <w:spacing w:line="240" w:lineRule="atLeast"/>
              <w:rPr>
                <w:rFonts w:cs="Calibri"/>
                <w:szCs w:val="18"/>
              </w:rPr>
            </w:pPr>
            <w:r w:rsidRPr="00DD7160">
              <w:t>(Administered Schedule of Comprehensive Income)</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sidRPr="00DD7160">
              <w:rPr>
                <w:rFonts w:cs="Calibri"/>
                <w:bCs/>
                <w:szCs w:val="18"/>
              </w:rPr>
              <w:t xml:space="preserve">Supplier payables relate to jobactive accruals for Wage Subsidies and Outcome Fees. The budget was </w:t>
            </w:r>
            <w:r>
              <w:rPr>
                <w:rFonts w:cs="Calibri"/>
                <w:bCs/>
                <w:szCs w:val="18"/>
              </w:rPr>
              <w:t xml:space="preserve">amended </w:t>
            </w:r>
            <w:r w:rsidRPr="00DD7160">
              <w:rPr>
                <w:rFonts w:cs="Calibri"/>
                <w:bCs/>
                <w:szCs w:val="18"/>
              </w:rPr>
              <w:t xml:space="preserve">at the </w:t>
            </w:r>
            <w:r>
              <w:rPr>
                <w:rFonts w:cs="Calibri"/>
                <w:bCs/>
                <w:szCs w:val="18"/>
              </w:rPr>
              <w:t xml:space="preserve">revised budget which was </w:t>
            </w:r>
            <w:r w:rsidRPr="00DD7160">
              <w:rPr>
                <w:rFonts w:cs="Calibri"/>
                <w:bCs/>
                <w:szCs w:val="18"/>
              </w:rPr>
              <w:t xml:space="preserve">based on previous year’s result. The accrual for jobactive is less than the </w:t>
            </w:r>
            <w:r>
              <w:rPr>
                <w:rFonts w:cs="Calibri"/>
                <w:bCs/>
                <w:szCs w:val="18"/>
              </w:rPr>
              <w:t xml:space="preserve">revised budget </w:t>
            </w:r>
            <w:r w:rsidRPr="00DD7160">
              <w:rPr>
                <w:rFonts w:cs="Calibri"/>
                <w:bCs/>
                <w:szCs w:val="18"/>
              </w:rPr>
              <w:t xml:space="preserve">mainly due to changes in the way outcome fees are </w:t>
            </w:r>
            <w:r>
              <w:rPr>
                <w:rFonts w:cs="Calibri"/>
                <w:bCs/>
                <w:szCs w:val="18"/>
              </w:rPr>
              <w:t>structured</w:t>
            </w:r>
            <w:r w:rsidRPr="00DD7160">
              <w:rPr>
                <w:rFonts w:cs="Calibri"/>
                <w:bCs/>
                <w:szCs w:val="18"/>
              </w:rPr>
              <w:t xml:space="preserve"> </w:t>
            </w:r>
            <w:r>
              <w:rPr>
                <w:rFonts w:cs="Calibri"/>
                <w:bCs/>
                <w:szCs w:val="18"/>
              </w:rPr>
              <w:t>under</w:t>
            </w:r>
            <w:r w:rsidRPr="00DD7160">
              <w:rPr>
                <w:rFonts w:cs="Calibri"/>
                <w:bCs/>
                <w:szCs w:val="18"/>
              </w:rPr>
              <w:t xml:space="preserve"> the new jobactive program</w:t>
            </w:r>
            <w:r>
              <w:rPr>
                <w:rFonts w:cs="Calibri"/>
                <w:bCs/>
                <w:szCs w:val="18"/>
              </w:rPr>
              <w:t>.</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tLeast"/>
              <w:rPr>
                <w:rFonts w:cs="Calibri"/>
                <w:szCs w:val="18"/>
              </w:rPr>
            </w:pPr>
            <w:r w:rsidRPr="00DD7160">
              <w:rPr>
                <w:szCs w:val="18"/>
              </w:rPr>
              <w:t>Suppliers Payable</w:t>
            </w:r>
            <w:r w:rsidRPr="00DD7160">
              <w:rPr>
                <w:rFonts w:cs="Calibri"/>
                <w:szCs w:val="18"/>
              </w:rPr>
              <w:t>(Administered Schedule of Assets and Liabilities)</w:t>
            </w:r>
          </w:p>
          <w:p w:rsidR="008835EB" w:rsidRPr="00DD7160" w:rsidRDefault="008835EB" w:rsidP="007E3F2E">
            <w:pPr>
              <w:spacing w:line="240" w:lineRule="atLeast"/>
              <w:rPr>
                <w:rFonts w:cs="Calibri"/>
                <w:szCs w:val="18"/>
              </w:rPr>
            </w:pP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Pr>
                <w:rFonts w:cs="Calibri"/>
                <w:bCs/>
                <w:szCs w:val="18"/>
              </w:rPr>
              <w:t xml:space="preserve">Subsidies payable relates to a higher than expected end of year accruals when compared to original budget. This was updated at the revised budget and the actuals are now on budget. </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tLeast"/>
              <w:rPr>
                <w:rFonts w:cs="Calibri"/>
                <w:szCs w:val="18"/>
              </w:rPr>
            </w:pPr>
            <w:r w:rsidRPr="00DD7160">
              <w:rPr>
                <w:szCs w:val="18"/>
              </w:rPr>
              <w:t xml:space="preserve">Subsidies Payable </w:t>
            </w:r>
            <w:r w:rsidRPr="00DD7160">
              <w:rPr>
                <w:rFonts w:cs="Calibri"/>
                <w:szCs w:val="18"/>
              </w:rPr>
              <w:t>(Administered Schedule of Assets and Liabilities)</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sidRPr="00DD7160">
              <w:rPr>
                <w:rFonts w:cs="Calibri"/>
                <w:bCs/>
                <w:szCs w:val="18"/>
              </w:rPr>
              <w:t>Due to changes in payment</w:t>
            </w:r>
            <w:r>
              <w:rPr>
                <w:rFonts w:cs="Calibri"/>
                <w:bCs/>
                <w:szCs w:val="18"/>
              </w:rPr>
              <w:t xml:space="preserve"> processing in 2016–</w:t>
            </w:r>
            <w:r w:rsidRPr="00DD7160">
              <w:rPr>
                <w:rFonts w:cs="Calibri"/>
                <w:bCs/>
                <w:szCs w:val="18"/>
              </w:rPr>
              <w:t xml:space="preserve">17 under the </w:t>
            </w:r>
            <w:proofErr w:type="spellStart"/>
            <w:r w:rsidRPr="00DD7160">
              <w:rPr>
                <w:rFonts w:cs="Calibri"/>
                <w:bCs/>
                <w:szCs w:val="18"/>
              </w:rPr>
              <w:t>FEG</w:t>
            </w:r>
            <w:proofErr w:type="spellEnd"/>
            <w:r w:rsidRPr="00DD7160">
              <w:rPr>
                <w:rFonts w:cs="Calibri"/>
                <w:bCs/>
                <w:szCs w:val="18"/>
              </w:rPr>
              <w:t xml:space="preserve"> program, all approved claims were paid in 2015</w:t>
            </w:r>
            <w:r>
              <w:rPr>
                <w:rFonts w:cs="Calibri"/>
                <w:bCs/>
                <w:szCs w:val="18"/>
              </w:rPr>
              <w:t>–</w:t>
            </w:r>
            <w:r w:rsidRPr="00DD7160">
              <w:rPr>
                <w:rFonts w:cs="Calibri"/>
                <w:bCs/>
                <w:szCs w:val="18"/>
              </w:rPr>
              <w:t>16 and there are no accruals in 2015</w:t>
            </w:r>
            <w:r>
              <w:rPr>
                <w:rFonts w:cs="Calibri"/>
                <w:bCs/>
                <w:szCs w:val="18"/>
              </w:rPr>
              <w:t>–</w:t>
            </w:r>
            <w:r w:rsidRPr="00DD7160">
              <w:rPr>
                <w:rFonts w:cs="Calibri"/>
                <w:bCs/>
                <w:szCs w:val="18"/>
              </w:rPr>
              <w:t>16.</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tLeast"/>
              <w:rPr>
                <w:szCs w:val="18"/>
              </w:rPr>
            </w:pPr>
            <w:r w:rsidRPr="00DD7160">
              <w:rPr>
                <w:szCs w:val="18"/>
              </w:rPr>
              <w:t xml:space="preserve">Personal Benefits Payable </w:t>
            </w:r>
            <w:r w:rsidRPr="00DD7160">
              <w:rPr>
                <w:rFonts w:cs="Calibri"/>
                <w:szCs w:val="18"/>
              </w:rPr>
              <w:t>(Administered Schedule of Assets and Liabilities)</w:t>
            </w:r>
          </w:p>
        </w:tc>
      </w:tr>
      <w:tr w:rsidR="008835EB" w:rsidRPr="00805AD7" w:rsidTr="007E3F2E">
        <w:trPr>
          <w:trHeight w:val="198"/>
        </w:trPr>
        <w:tc>
          <w:tcPr>
            <w:tcW w:w="4820" w:type="dxa"/>
            <w:tcBorders>
              <w:top w:val="single" w:sz="4" w:space="0" w:color="auto"/>
              <w:left w:val="nil"/>
              <w:bottom w:val="single" w:sz="4" w:space="0" w:color="auto"/>
              <w:right w:val="single" w:sz="4" w:space="0" w:color="auto"/>
            </w:tcBorders>
            <w:shd w:val="clear" w:color="auto" w:fill="BFBFBF" w:themeFill="background1" w:themeFillShade="BF"/>
          </w:tcPr>
          <w:p w:rsidR="008835EB" w:rsidRPr="00DD7160" w:rsidRDefault="008835EB" w:rsidP="007E3F2E">
            <w:pPr>
              <w:spacing w:line="240" w:lineRule="atLeast"/>
              <w:rPr>
                <w:rFonts w:cs="Calibri"/>
                <w:bCs/>
                <w:szCs w:val="18"/>
              </w:rPr>
            </w:pPr>
            <w:r w:rsidRPr="00DD7160">
              <w:rPr>
                <w:rFonts w:cs="Calibri"/>
                <w:bCs/>
                <w:szCs w:val="18"/>
              </w:rPr>
              <w:t>Grants payable actuals reflects grants that have been awarded but not yet paid. It was expected that the majority of the initial milestones would be paid by the end of the financial year.</w:t>
            </w:r>
          </w:p>
        </w:tc>
        <w:tc>
          <w:tcPr>
            <w:tcW w:w="4252" w:type="dxa"/>
            <w:tcBorders>
              <w:top w:val="single" w:sz="4" w:space="0" w:color="auto"/>
              <w:left w:val="single" w:sz="4" w:space="0" w:color="auto"/>
              <w:bottom w:val="single" w:sz="4" w:space="0" w:color="auto"/>
              <w:right w:val="nil"/>
            </w:tcBorders>
            <w:shd w:val="clear" w:color="auto" w:fill="BFBFBF" w:themeFill="background1" w:themeFillShade="BF"/>
            <w:noWrap/>
            <w:tcMar>
              <w:left w:w="57" w:type="dxa"/>
            </w:tcMar>
          </w:tcPr>
          <w:p w:rsidR="008835EB" w:rsidRPr="00DD7160" w:rsidRDefault="008835EB" w:rsidP="007E3F2E">
            <w:pPr>
              <w:spacing w:line="240" w:lineRule="atLeast"/>
              <w:rPr>
                <w:szCs w:val="18"/>
              </w:rPr>
            </w:pPr>
            <w:r w:rsidRPr="00DD7160">
              <w:rPr>
                <w:szCs w:val="18"/>
              </w:rPr>
              <w:t xml:space="preserve">Grants Payable </w:t>
            </w:r>
            <w:r w:rsidRPr="00DD7160">
              <w:rPr>
                <w:rFonts w:cs="Calibri"/>
                <w:szCs w:val="18"/>
              </w:rPr>
              <w:t>(Administered Schedule of Assets and Liabilities)</w:t>
            </w:r>
          </w:p>
        </w:tc>
      </w:tr>
    </w:tbl>
    <w:p w:rsidR="008835EB" w:rsidRPr="006405D6" w:rsidRDefault="008835EB" w:rsidP="008835EB">
      <w:pPr>
        <w:rPr>
          <w:lang w:eastAsia="en-AU"/>
        </w:rPr>
      </w:pPr>
      <w:r w:rsidRPr="006405D6">
        <w:br w:type="page"/>
      </w:r>
    </w:p>
    <w:p w:rsidR="008835EB" w:rsidRDefault="008835EB" w:rsidP="008835EB">
      <w:pPr>
        <w:spacing w:line="240" w:lineRule="auto"/>
        <w:sectPr w:rsidR="008835EB" w:rsidSect="00F74C23">
          <w:headerReference w:type="default" r:id="rId43"/>
          <w:footerReference w:type="default" r:id="rId44"/>
          <w:pgSz w:w="11906" w:h="16838"/>
          <w:pgMar w:top="1134" w:right="1134" w:bottom="1134" w:left="1134" w:header="958" w:footer="737" w:gutter="0"/>
          <w:cols w:space="720"/>
        </w:sectPr>
      </w:pPr>
    </w:p>
    <w:p w:rsidR="00FA455C" w:rsidRDefault="00FA455C" w:rsidP="008835EB">
      <w:pPr>
        <w:spacing w:line="240" w:lineRule="auto"/>
        <w:rPr>
          <w:rFonts w:asciiTheme="minorHAnsi" w:hAnsiTheme="minorHAnsi" w:cstheme="minorHAnsi"/>
        </w:rPr>
      </w:pPr>
      <w:r>
        <w:rPr>
          <w:rFonts w:asciiTheme="minorHAnsi" w:hAnsiTheme="minorHAnsi" w:cstheme="minorHAnsi"/>
        </w:rPr>
        <w:lastRenderedPageBreak/>
        <w:t>Budgetary Reports and Explanations of Major Variances</w:t>
      </w:r>
      <w:r>
        <w:rPr>
          <w:rFonts w:asciiTheme="minorHAnsi" w:hAnsiTheme="minorHAnsi" w:cstheme="minorHAnsi"/>
        </w:rPr>
        <w:tab/>
        <w:t>120</w:t>
      </w:r>
    </w:p>
    <w:p w:rsidR="00FA455C" w:rsidRDefault="00FA455C" w:rsidP="008835EB">
      <w:pPr>
        <w:spacing w:line="240" w:lineRule="auto"/>
        <w:rPr>
          <w:rFonts w:asciiTheme="minorHAnsi" w:hAnsiTheme="minorHAnsi" w:cstheme="minorHAnsi"/>
        </w:rPr>
      </w:pPr>
      <w:r>
        <w:rPr>
          <w:rFonts w:asciiTheme="minorHAnsi" w:hAnsiTheme="minorHAnsi" w:cstheme="minorHAnsi"/>
        </w:rPr>
        <w:t>Overview</w:t>
      </w:r>
      <w:r>
        <w:rPr>
          <w:rFonts w:asciiTheme="minorHAnsi" w:hAnsiTheme="minorHAnsi" w:cstheme="minorHAnsi"/>
        </w:rPr>
        <w:tab/>
      </w:r>
      <w:r>
        <w:rPr>
          <w:rFonts w:asciiTheme="minorHAnsi" w:hAnsiTheme="minorHAnsi" w:cstheme="minorHAnsi"/>
        </w:rPr>
        <w:tab/>
        <w:t>123</w:t>
      </w:r>
    </w:p>
    <w:p w:rsidR="00FA455C" w:rsidRDefault="00FA455C" w:rsidP="008835EB">
      <w:pPr>
        <w:spacing w:line="240" w:lineRule="auto"/>
        <w:rPr>
          <w:rFonts w:asciiTheme="minorHAnsi" w:hAnsiTheme="minorHAnsi" w:cstheme="minorHAnsi"/>
        </w:rPr>
      </w:pPr>
      <w:r>
        <w:rPr>
          <w:rFonts w:asciiTheme="minorHAnsi" w:hAnsiTheme="minorHAnsi" w:cstheme="minorHAnsi"/>
        </w:rPr>
        <w:t>1. Departmental Financial Performance</w:t>
      </w:r>
      <w:r>
        <w:rPr>
          <w:rFonts w:asciiTheme="minorHAnsi" w:hAnsiTheme="minorHAnsi" w:cstheme="minorHAnsi"/>
        </w:rPr>
        <w:tab/>
        <w:t xml:space="preserve">125 </w:t>
      </w:r>
    </w:p>
    <w:p w:rsidR="00FA455C" w:rsidRDefault="00FA455C" w:rsidP="008835EB">
      <w:pPr>
        <w:spacing w:line="240" w:lineRule="auto"/>
        <w:rPr>
          <w:rFonts w:asciiTheme="minorHAnsi" w:hAnsiTheme="minorHAnsi" w:cstheme="minorHAnsi"/>
        </w:rPr>
      </w:pPr>
      <w:r>
        <w:rPr>
          <w:rFonts w:asciiTheme="minorHAnsi" w:hAnsiTheme="minorHAnsi" w:cstheme="minorHAnsi"/>
        </w:rPr>
        <w:t>1.1.</w:t>
      </w:r>
      <w:r>
        <w:rPr>
          <w:rFonts w:asciiTheme="minorHAnsi" w:hAnsiTheme="minorHAnsi" w:cstheme="minorHAnsi"/>
        </w:rPr>
        <w:tab/>
        <w:t>Expenses</w:t>
      </w:r>
      <w:r>
        <w:rPr>
          <w:rFonts w:asciiTheme="minorHAnsi" w:hAnsiTheme="minorHAnsi" w:cstheme="minorHAnsi"/>
        </w:rPr>
        <w:tab/>
        <w:t xml:space="preserve">125 </w:t>
      </w:r>
    </w:p>
    <w:p w:rsidR="00FA455C" w:rsidRDefault="00FA455C" w:rsidP="008835EB">
      <w:pPr>
        <w:spacing w:line="240" w:lineRule="auto"/>
        <w:rPr>
          <w:rFonts w:asciiTheme="minorHAnsi" w:hAnsiTheme="minorHAnsi" w:cstheme="minorHAnsi"/>
        </w:rPr>
      </w:pPr>
      <w:r>
        <w:rPr>
          <w:rFonts w:asciiTheme="minorHAnsi" w:hAnsiTheme="minorHAnsi" w:cstheme="minorHAnsi"/>
        </w:rPr>
        <w:t>1.2.</w:t>
      </w:r>
      <w:r>
        <w:rPr>
          <w:rFonts w:asciiTheme="minorHAnsi" w:hAnsiTheme="minorHAnsi" w:cstheme="minorHAnsi"/>
        </w:rPr>
        <w:tab/>
        <w:t>Income</w:t>
      </w:r>
      <w:r>
        <w:rPr>
          <w:rFonts w:asciiTheme="minorHAnsi" w:hAnsiTheme="minorHAnsi" w:cstheme="minorHAnsi"/>
        </w:rPr>
        <w:tab/>
        <w:t>127</w:t>
      </w:r>
    </w:p>
    <w:p w:rsidR="00FA455C" w:rsidRDefault="00FA455C" w:rsidP="008835EB">
      <w:pPr>
        <w:spacing w:line="240" w:lineRule="auto"/>
        <w:rPr>
          <w:rFonts w:asciiTheme="minorHAnsi" w:hAnsiTheme="minorHAnsi" w:cstheme="minorHAnsi"/>
        </w:rPr>
      </w:pPr>
      <w:r>
        <w:rPr>
          <w:rFonts w:asciiTheme="minorHAnsi" w:hAnsiTheme="minorHAnsi" w:cstheme="minorHAnsi"/>
        </w:rPr>
        <w:t>2. Income and Expenses Administered on Behalf of Government</w:t>
      </w:r>
      <w:r>
        <w:rPr>
          <w:rFonts w:asciiTheme="minorHAnsi" w:hAnsiTheme="minorHAnsi" w:cstheme="minorHAnsi"/>
        </w:rPr>
        <w:tab/>
        <w:t>129</w:t>
      </w:r>
    </w:p>
    <w:p w:rsidR="00FA455C" w:rsidRDefault="00FA455C" w:rsidP="008835EB">
      <w:pPr>
        <w:spacing w:line="240" w:lineRule="auto"/>
        <w:rPr>
          <w:rFonts w:asciiTheme="minorHAnsi" w:hAnsiTheme="minorHAnsi" w:cstheme="minorHAnsi"/>
        </w:rPr>
      </w:pPr>
      <w:r>
        <w:rPr>
          <w:rFonts w:asciiTheme="minorHAnsi" w:hAnsiTheme="minorHAnsi" w:cstheme="minorHAnsi"/>
        </w:rPr>
        <w:t>2.1.</w:t>
      </w:r>
      <w:r>
        <w:rPr>
          <w:rFonts w:asciiTheme="minorHAnsi" w:hAnsiTheme="minorHAnsi" w:cstheme="minorHAnsi"/>
        </w:rPr>
        <w:tab/>
        <w:t>Administered—Expenses</w:t>
      </w:r>
      <w:r>
        <w:rPr>
          <w:rFonts w:asciiTheme="minorHAnsi" w:hAnsiTheme="minorHAnsi" w:cstheme="minorHAnsi"/>
        </w:rPr>
        <w:tab/>
        <w:t xml:space="preserve">129 </w:t>
      </w:r>
    </w:p>
    <w:p w:rsidR="00FA455C" w:rsidRDefault="00FA455C" w:rsidP="008835EB">
      <w:pPr>
        <w:spacing w:line="240" w:lineRule="auto"/>
        <w:rPr>
          <w:rFonts w:asciiTheme="minorHAnsi" w:hAnsiTheme="minorHAnsi" w:cstheme="minorHAnsi"/>
        </w:rPr>
      </w:pPr>
      <w:r>
        <w:rPr>
          <w:rFonts w:asciiTheme="minorHAnsi" w:hAnsiTheme="minorHAnsi" w:cstheme="minorHAnsi"/>
        </w:rPr>
        <w:t>3. Departmental Financial Position</w:t>
      </w:r>
      <w:r>
        <w:rPr>
          <w:rFonts w:asciiTheme="minorHAnsi" w:hAnsiTheme="minorHAnsi" w:cstheme="minorHAnsi"/>
        </w:rPr>
        <w:tab/>
        <w:t xml:space="preserve">130 </w:t>
      </w:r>
    </w:p>
    <w:p w:rsidR="00FA455C" w:rsidRDefault="00FA455C" w:rsidP="008835EB">
      <w:pPr>
        <w:spacing w:line="240" w:lineRule="auto"/>
        <w:rPr>
          <w:rFonts w:asciiTheme="minorHAnsi" w:hAnsiTheme="minorHAnsi" w:cstheme="minorHAnsi"/>
        </w:rPr>
      </w:pPr>
      <w:r>
        <w:rPr>
          <w:rFonts w:asciiTheme="minorHAnsi" w:hAnsiTheme="minorHAnsi" w:cstheme="minorHAnsi"/>
        </w:rPr>
        <w:t>3.1.</w:t>
      </w:r>
      <w:r>
        <w:rPr>
          <w:rFonts w:asciiTheme="minorHAnsi" w:hAnsiTheme="minorHAnsi" w:cstheme="minorHAnsi"/>
        </w:rPr>
        <w:tab/>
        <w:t xml:space="preserve">Financial Assets </w:t>
      </w:r>
      <w:r>
        <w:rPr>
          <w:rFonts w:asciiTheme="minorHAnsi" w:hAnsiTheme="minorHAnsi" w:cstheme="minorHAnsi"/>
        </w:rPr>
        <w:tab/>
        <w:t xml:space="preserve">130 </w:t>
      </w:r>
    </w:p>
    <w:p w:rsidR="00FA455C" w:rsidRDefault="00FA455C" w:rsidP="008835EB">
      <w:pPr>
        <w:spacing w:line="240" w:lineRule="auto"/>
        <w:rPr>
          <w:rFonts w:asciiTheme="minorHAnsi" w:hAnsiTheme="minorHAnsi" w:cstheme="minorHAnsi"/>
        </w:rPr>
      </w:pPr>
      <w:r>
        <w:rPr>
          <w:rFonts w:asciiTheme="minorHAnsi" w:hAnsiTheme="minorHAnsi" w:cstheme="minorHAnsi"/>
        </w:rPr>
        <w:t>3.2.</w:t>
      </w:r>
      <w:r>
        <w:rPr>
          <w:rFonts w:asciiTheme="minorHAnsi" w:hAnsiTheme="minorHAnsi" w:cstheme="minorHAnsi"/>
        </w:rPr>
        <w:tab/>
        <w:t>Non-Financial Assets</w:t>
      </w:r>
      <w:r>
        <w:rPr>
          <w:rFonts w:asciiTheme="minorHAnsi" w:hAnsiTheme="minorHAnsi" w:cstheme="minorHAnsi"/>
        </w:rPr>
        <w:tab/>
        <w:t xml:space="preserve">132 </w:t>
      </w:r>
    </w:p>
    <w:p w:rsidR="00FA455C" w:rsidRDefault="00FA455C" w:rsidP="008835EB">
      <w:pPr>
        <w:spacing w:line="240" w:lineRule="auto"/>
        <w:rPr>
          <w:rFonts w:asciiTheme="minorHAnsi" w:hAnsiTheme="minorHAnsi" w:cstheme="minorHAnsi"/>
        </w:rPr>
      </w:pPr>
      <w:r>
        <w:rPr>
          <w:rFonts w:asciiTheme="minorHAnsi" w:hAnsiTheme="minorHAnsi" w:cstheme="minorHAnsi"/>
        </w:rPr>
        <w:t>3.3.</w:t>
      </w:r>
      <w:r>
        <w:rPr>
          <w:rFonts w:asciiTheme="minorHAnsi" w:hAnsiTheme="minorHAnsi" w:cstheme="minorHAnsi"/>
        </w:rPr>
        <w:tab/>
        <w:t>Payables</w:t>
      </w:r>
      <w:r>
        <w:rPr>
          <w:rFonts w:asciiTheme="minorHAnsi" w:hAnsiTheme="minorHAnsi" w:cstheme="minorHAnsi"/>
        </w:rPr>
        <w:tab/>
        <w:t xml:space="preserve">137 </w:t>
      </w:r>
    </w:p>
    <w:p w:rsidR="00FA455C" w:rsidRDefault="00FA455C" w:rsidP="008835EB">
      <w:pPr>
        <w:spacing w:line="240" w:lineRule="auto"/>
        <w:rPr>
          <w:rFonts w:asciiTheme="minorHAnsi" w:hAnsiTheme="minorHAnsi" w:cstheme="minorHAnsi"/>
        </w:rPr>
      </w:pPr>
      <w:r>
        <w:rPr>
          <w:rFonts w:asciiTheme="minorHAnsi" w:hAnsiTheme="minorHAnsi" w:cstheme="minorHAnsi"/>
        </w:rPr>
        <w:t>3.4.</w:t>
      </w:r>
      <w:r>
        <w:rPr>
          <w:rFonts w:asciiTheme="minorHAnsi" w:hAnsiTheme="minorHAnsi" w:cstheme="minorHAnsi"/>
        </w:rPr>
        <w:tab/>
        <w:t>Other Provisions</w:t>
      </w:r>
      <w:r>
        <w:rPr>
          <w:rFonts w:asciiTheme="minorHAnsi" w:hAnsiTheme="minorHAnsi" w:cstheme="minorHAnsi"/>
        </w:rPr>
        <w:tab/>
        <w:t xml:space="preserve">138 </w:t>
      </w:r>
    </w:p>
    <w:p w:rsidR="00FA455C" w:rsidRDefault="00FA455C" w:rsidP="008835EB">
      <w:pPr>
        <w:spacing w:line="240" w:lineRule="auto"/>
        <w:rPr>
          <w:rFonts w:asciiTheme="minorHAnsi" w:hAnsiTheme="minorHAnsi" w:cstheme="minorHAnsi"/>
        </w:rPr>
      </w:pPr>
      <w:r>
        <w:rPr>
          <w:rFonts w:asciiTheme="minorHAnsi" w:hAnsiTheme="minorHAnsi" w:cstheme="minorHAnsi"/>
        </w:rPr>
        <w:t>4. Assets and Liabilities Administered on Behalf of Government</w:t>
      </w:r>
      <w:r>
        <w:rPr>
          <w:rFonts w:asciiTheme="minorHAnsi" w:hAnsiTheme="minorHAnsi" w:cstheme="minorHAnsi"/>
        </w:rPr>
        <w:tab/>
        <w:t xml:space="preserve">139 </w:t>
      </w:r>
    </w:p>
    <w:p w:rsidR="00FA455C" w:rsidRDefault="00FA455C" w:rsidP="008835EB">
      <w:pPr>
        <w:spacing w:line="240" w:lineRule="auto"/>
        <w:rPr>
          <w:rFonts w:asciiTheme="minorHAnsi" w:hAnsiTheme="minorHAnsi" w:cstheme="minorHAnsi"/>
        </w:rPr>
      </w:pPr>
      <w:r>
        <w:rPr>
          <w:rFonts w:asciiTheme="minorHAnsi" w:hAnsiTheme="minorHAnsi" w:cstheme="minorHAnsi"/>
        </w:rPr>
        <w:t>4.1.</w:t>
      </w:r>
      <w:r>
        <w:rPr>
          <w:rFonts w:asciiTheme="minorHAnsi" w:hAnsiTheme="minorHAnsi" w:cstheme="minorHAnsi"/>
        </w:rPr>
        <w:tab/>
        <w:t>Administered—Financial Assets</w:t>
      </w:r>
      <w:r>
        <w:rPr>
          <w:rFonts w:asciiTheme="minorHAnsi" w:hAnsiTheme="minorHAnsi" w:cstheme="minorHAnsi"/>
        </w:rPr>
        <w:tab/>
        <w:t xml:space="preserve">139 </w:t>
      </w:r>
    </w:p>
    <w:p w:rsidR="00FA455C" w:rsidRDefault="00FA455C" w:rsidP="008835EB">
      <w:pPr>
        <w:spacing w:line="240" w:lineRule="auto"/>
        <w:rPr>
          <w:rFonts w:asciiTheme="minorHAnsi" w:hAnsiTheme="minorHAnsi" w:cstheme="minorHAnsi"/>
        </w:rPr>
      </w:pPr>
      <w:r>
        <w:rPr>
          <w:rFonts w:asciiTheme="minorHAnsi" w:hAnsiTheme="minorHAnsi" w:cstheme="minorHAnsi"/>
        </w:rPr>
        <w:t>4.2.</w:t>
      </w:r>
      <w:r>
        <w:rPr>
          <w:rFonts w:asciiTheme="minorHAnsi" w:hAnsiTheme="minorHAnsi" w:cstheme="minorHAnsi"/>
        </w:rPr>
        <w:tab/>
        <w:t>Administered—Payables</w:t>
      </w:r>
      <w:r>
        <w:rPr>
          <w:rFonts w:asciiTheme="minorHAnsi" w:hAnsiTheme="minorHAnsi" w:cstheme="minorHAnsi"/>
        </w:rPr>
        <w:tab/>
        <w:t xml:space="preserve">140 </w:t>
      </w:r>
    </w:p>
    <w:p w:rsidR="00FA455C" w:rsidRDefault="00FA455C" w:rsidP="008835EB">
      <w:pPr>
        <w:spacing w:line="240" w:lineRule="auto"/>
        <w:rPr>
          <w:rFonts w:asciiTheme="minorHAnsi" w:hAnsiTheme="minorHAnsi" w:cstheme="minorHAnsi"/>
        </w:rPr>
      </w:pPr>
      <w:r>
        <w:rPr>
          <w:rFonts w:asciiTheme="minorHAnsi" w:hAnsiTheme="minorHAnsi" w:cstheme="minorHAnsi"/>
        </w:rPr>
        <w:t>5. Funding</w:t>
      </w:r>
      <w:r>
        <w:rPr>
          <w:rFonts w:asciiTheme="minorHAnsi" w:hAnsiTheme="minorHAnsi" w:cstheme="minorHAnsi"/>
        </w:rPr>
        <w:tab/>
      </w:r>
      <w:r>
        <w:rPr>
          <w:rFonts w:asciiTheme="minorHAnsi" w:hAnsiTheme="minorHAnsi" w:cstheme="minorHAnsi"/>
        </w:rPr>
        <w:tab/>
        <w:t xml:space="preserve">142 </w:t>
      </w:r>
    </w:p>
    <w:p w:rsidR="00FA455C" w:rsidRDefault="00FA455C" w:rsidP="008835EB">
      <w:pPr>
        <w:spacing w:line="240" w:lineRule="auto"/>
        <w:rPr>
          <w:rFonts w:asciiTheme="minorHAnsi" w:hAnsiTheme="minorHAnsi" w:cstheme="minorHAnsi"/>
        </w:rPr>
      </w:pPr>
      <w:r>
        <w:rPr>
          <w:rFonts w:asciiTheme="minorHAnsi" w:hAnsiTheme="minorHAnsi" w:cstheme="minorHAnsi"/>
        </w:rPr>
        <w:t>5.1.</w:t>
      </w:r>
      <w:r>
        <w:rPr>
          <w:rFonts w:asciiTheme="minorHAnsi" w:hAnsiTheme="minorHAnsi" w:cstheme="minorHAnsi"/>
        </w:rPr>
        <w:tab/>
        <w:t>Appropriations</w:t>
      </w:r>
      <w:r>
        <w:rPr>
          <w:rFonts w:asciiTheme="minorHAnsi" w:hAnsiTheme="minorHAnsi" w:cstheme="minorHAnsi"/>
        </w:rPr>
        <w:tab/>
        <w:t xml:space="preserve">142 </w:t>
      </w:r>
    </w:p>
    <w:p w:rsidR="00FA455C" w:rsidRDefault="00FA455C" w:rsidP="008835EB">
      <w:pPr>
        <w:spacing w:line="240" w:lineRule="auto"/>
        <w:rPr>
          <w:rFonts w:asciiTheme="minorHAnsi" w:hAnsiTheme="minorHAnsi" w:cstheme="minorHAnsi"/>
        </w:rPr>
      </w:pPr>
      <w:r>
        <w:rPr>
          <w:rFonts w:asciiTheme="minorHAnsi" w:hAnsiTheme="minorHAnsi" w:cstheme="minorHAnsi"/>
        </w:rPr>
        <w:t>5.2.</w:t>
      </w:r>
      <w:r>
        <w:rPr>
          <w:rFonts w:asciiTheme="minorHAnsi" w:hAnsiTheme="minorHAnsi" w:cstheme="minorHAnsi"/>
        </w:rPr>
        <w:tab/>
        <w:t>Net Cash Appropriation Arrangements</w:t>
      </w:r>
      <w:r>
        <w:rPr>
          <w:rFonts w:asciiTheme="minorHAnsi" w:hAnsiTheme="minorHAnsi" w:cstheme="minorHAnsi"/>
        </w:rPr>
        <w:tab/>
        <w:t xml:space="preserve">146 </w:t>
      </w:r>
    </w:p>
    <w:p w:rsidR="00FA455C" w:rsidRDefault="00FA455C" w:rsidP="008835EB">
      <w:pPr>
        <w:spacing w:line="240" w:lineRule="auto"/>
        <w:rPr>
          <w:rFonts w:asciiTheme="minorHAnsi" w:hAnsiTheme="minorHAnsi" w:cstheme="minorHAnsi"/>
        </w:rPr>
      </w:pPr>
      <w:r>
        <w:rPr>
          <w:rFonts w:asciiTheme="minorHAnsi" w:hAnsiTheme="minorHAnsi" w:cstheme="minorHAnsi"/>
        </w:rPr>
        <w:t>5.3.</w:t>
      </w:r>
      <w:r>
        <w:rPr>
          <w:rFonts w:asciiTheme="minorHAnsi" w:hAnsiTheme="minorHAnsi" w:cstheme="minorHAnsi"/>
        </w:rPr>
        <w:tab/>
        <w:t>Cash Flow Reconciliation</w:t>
      </w:r>
      <w:r>
        <w:rPr>
          <w:rFonts w:asciiTheme="minorHAnsi" w:hAnsiTheme="minorHAnsi" w:cstheme="minorHAnsi"/>
        </w:rPr>
        <w:tab/>
        <w:t xml:space="preserve">147 </w:t>
      </w:r>
    </w:p>
    <w:p w:rsidR="00FA455C" w:rsidRDefault="00FA455C" w:rsidP="008835EB">
      <w:pPr>
        <w:spacing w:line="240" w:lineRule="auto"/>
        <w:rPr>
          <w:rFonts w:asciiTheme="minorHAnsi" w:hAnsiTheme="minorHAnsi" w:cstheme="minorHAnsi"/>
        </w:rPr>
      </w:pPr>
      <w:r>
        <w:rPr>
          <w:rFonts w:asciiTheme="minorHAnsi" w:hAnsiTheme="minorHAnsi" w:cstheme="minorHAnsi"/>
        </w:rPr>
        <w:t>6. People and Relationships</w:t>
      </w:r>
      <w:r>
        <w:rPr>
          <w:rFonts w:asciiTheme="minorHAnsi" w:hAnsiTheme="minorHAnsi" w:cstheme="minorHAnsi"/>
        </w:rPr>
        <w:tab/>
        <w:t xml:space="preserve">148 </w:t>
      </w:r>
    </w:p>
    <w:p w:rsidR="00FA455C" w:rsidRDefault="00FA455C" w:rsidP="008835EB">
      <w:pPr>
        <w:spacing w:line="240" w:lineRule="auto"/>
        <w:rPr>
          <w:rFonts w:asciiTheme="minorHAnsi" w:hAnsiTheme="minorHAnsi" w:cstheme="minorHAnsi"/>
        </w:rPr>
      </w:pPr>
      <w:r>
        <w:rPr>
          <w:rFonts w:asciiTheme="minorHAnsi" w:hAnsiTheme="minorHAnsi" w:cstheme="minorHAnsi"/>
        </w:rPr>
        <w:t>6.1.</w:t>
      </w:r>
      <w:r>
        <w:rPr>
          <w:rFonts w:asciiTheme="minorHAnsi" w:hAnsiTheme="minorHAnsi" w:cstheme="minorHAnsi"/>
        </w:rPr>
        <w:tab/>
        <w:t>Employee Provisions</w:t>
      </w:r>
      <w:r>
        <w:rPr>
          <w:rFonts w:asciiTheme="minorHAnsi" w:hAnsiTheme="minorHAnsi" w:cstheme="minorHAnsi"/>
        </w:rPr>
        <w:tab/>
        <w:t xml:space="preserve">148 </w:t>
      </w:r>
    </w:p>
    <w:p w:rsidR="00FA455C" w:rsidRDefault="00FA455C" w:rsidP="008835EB">
      <w:pPr>
        <w:spacing w:line="240" w:lineRule="auto"/>
        <w:rPr>
          <w:rFonts w:asciiTheme="minorHAnsi" w:hAnsiTheme="minorHAnsi" w:cstheme="minorHAnsi"/>
        </w:rPr>
      </w:pPr>
      <w:r>
        <w:rPr>
          <w:rFonts w:asciiTheme="minorHAnsi" w:hAnsiTheme="minorHAnsi" w:cstheme="minorHAnsi"/>
        </w:rPr>
        <w:t>6.2.</w:t>
      </w:r>
      <w:r>
        <w:rPr>
          <w:rFonts w:asciiTheme="minorHAnsi" w:hAnsiTheme="minorHAnsi" w:cstheme="minorHAnsi"/>
        </w:rPr>
        <w:tab/>
        <w:t>Senior Management Personnel Remuneration</w:t>
      </w:r>
      <w:r>
        <w:rPr>
          <w:rFonts w:asciiTheme="minorHAnsi" w:hAnsiTheme="minorHAnsi" w:cstheme="minorHAnsi"/>
        </w:rPr>
        <w:tab/>
        <w:t xml:space="preserve">149 </w:t>
      </w:r>
    </w:p>
    <w:p w:rsidR="00FA455C" w:rsidRDefault="00FA455C" w:rsidP="008835EB">
      <w:pPr>
        <w:spacing w:line="240" w:lineRule="auto"/>
        <w:rPr>
          <w:rFonts w:asciiTheme="minorHAnsi" w:hAnsiTheme="minorHAnsi" w:cstheme="minorHAnsi"/>
        </w:rPr>
      </w:pPr>
      <w:r>
        <w:rPr>
          <w:rFonts w:asciiTheme="minorHAnsi" w:hAnsiTheme="minorHAnsi" w:cstheme="minorHAnsi"/>
        </w:rPr>
        <w:t>7. Managing Uncertainties</w:t>
      </w:r>
      <w:r>
        <w:rPr>
          <w:rFonts w:asciiTheme="minorHAnsi" w:hAnsiTheme="minorHAnsi" w:cstheme="minorHAnsi"/>
        </w:rPr>
        <w:tab/>
        <w:t xml:space="preserve">150 </w:t>
      </w:r>
    </w:p>
    <w:p w:rsidR="00FA455C" w:rsidRDefault="00FA455C" w:rsidP="008835EB">
      <w:pPr>
        <w:spacing w:line="240" w:lineRule="auto"/>
        <w:rPr>
          <w:rFonts w:asciiTheme="minorHAnsi" w:hAnsiTheme="minorHAnsi" w:cstheme="minorHAnsi"/>
        </w:rPr>
      </w:pPr>
      <w:r>
        <w:rPr>
          <w:rFonts w:asciiTheme="minorHAnsi" w:hAnsiTheme="minorHAnsi" w:cstheme="minorHAnsi"/>
        </w:rPr>
        <w:t>7.1.</w:t>
      </w:r>
      <w:r>
        <w:rPr>
          <w:rFonts w:asciiTheme="minorHAnsi" w:hAnsiTheme="minorHAnsi" w:cstheme="minorHAnsi"/>
        </w:rPr>
        <w:tab/>
        <w:t>Contingent Assets and Liabilities</w:t>
      </w:r>
      <w:r>
        <w:rPr>
          <w:rFonts w:asciiTheme="minorHAnsi" w:hAnsiTheme="minorHAnsi" w:cstheme="minorHAnsi"/>
        </w:rPr>
        <w:tab/>
        <w:t xml:space="preserve">151 </w:t>
      </w:r>
    </w:p>
    <w:p w:rsidR="00FA455C" w:rsidRDefault="00FA455C" w:rsidP="008835EB">
      <w:pPr>
        <w:spacing w:line="240" w:lineRule="auto"/>
        <w:rPr>
          <w:rFonts w:asciiTheme="minorHAnsi" w:hAnsiTheme="minorHAnsi" w:cstheme="minorHAnsi"/>
        </w:rPr>
      </w:pPr>
      <w:r>
        <w:rPr>
          <w:rFonts w:asciiTheme="minorHAnsi" w:hAnsiTheme="minorHAnsi" w:cstheme="minorHAnsi"/>
        </w:rPr>
        <w:t>7.2.</w:t>
      </w:r>
      <w:r>
        <w:rPr>
          <w:rFonts w:asciiTheme="minorHAnsi" w:hAnsiTheme="minorHAnsi" w:cstheme="minorHAnsi"/>
        </w:rPr>
        <w:tab/>
        <w:t>Financial Instruments</w:t>
      </w:r>
      <w:r>
        <w:rPr>
          <w:rFonts w:asciiTheme="minorHAnsi" w:hAnsiTheme="minorHAnsi" w:cstheme="minorHAnsi"/>
        </w:rPr>
        <w:tab/>
        <w:t xml:space="preserve">152 </w:t>
      </w:r>
    </w:p>
    <w:p w:rsidR="00FA455C" w:rsidRDefault="00FA455C" w:rsidP="008835EB">
      <w:pPr>
        <w:spacing w:line="240" w:lineRule="auto"/>
        <w:rPr>
          <w:rFonts w:asciiTheme="minorHAnsi" w:hAnsiTheme="minorHAnsi" w:cstheme="minorHAnsi"/>
        </w:rPr>
      </w:pPr>
      <w:r>
        <w:rPr>
          <w:rFonts w:asciiTheme="minorHAnsi" w:hAnsiTheme="minorHAnsi" w:cstheme="minorHAnsi"/>
        </w:rPr>
        <w:t>7.3.</w:t>
      </w:r>
      <w:r>
        <w:rPr>
          <w:rFonts w:asciiTheme="minorHAnsi" w:hAnsiTheme="minorHAnsi" w:cstheme="minorHAnsi"/>
        </w:rPr>
        <w:tab/>
        <w:t xml:space="preserve">Administered—Financial Instruments </w:t>
      </w:r>
      <w:r>
        <w:rPr>
          <w:rFonts w:asciiTheme="minorHAnsi" w:hAnsiTheme="minorHAnsi" w:cstheme="minorHAnsi"/>
        </w:rPr>
        <w:tab/>
        <w:t xml:space="preserve">156 </w:t>
      </w:r>
    </w:p>
    <w:p w:rsidR="00FA455C" w:rsidRDefault="00FA455C" w:rsidP="008835EB">
      <w:pPr>
        <w:spacing w:line="240" w:lineRule="auto"/>
        <w:rPr>
          <w:rFonts w:asciiTheme="minorHAnsi" w:hAnsiTheme="minorHAnsi" w:cstheme="minorHAnsi"/>
        </w:rPr>
      </w:pPr>
      <w:r>
        <w:rPr>
          <w:rFonts w:asciiTheme="minorHAnsi" w:hAnsiTheme="minorHAnsi" w:cstheme="minorHAnsi"/>
        </w:rPr>
        <w:t>7.4.</w:t>
      </w:r>
      <w:r>
        <w:rPr>
          <w:rFonts w:asciiTheme="minorHAnsi" w:hAnsiTheme="minorHAnsi" w:cstheme="minorHAnsi"/>
        </w:rPr>
        <w:tab/>
        <w:t>Fair Value Measurement</w:t>
      </w:r>
      <w:r>
        <w:rPr>
          <w:rFonts w:asciiTheme="minorHAnsi" w:hAnsiTheme="minorHAnsi" w:cstheme="minorHAnsi"/>
        </w:rPr>
        <w:tab/>
        <w:t xml:space="preserve">159 </w:t>
      </w:r>
    </w:p>
    <w:p w:rsidR="00FA455C" w:rsidRDefault="00FA455C" w:rsidP="008835EB">
      <w:pPr>
        <w:spacing w:line="240" w:lineRule="auto"/>
        <w:rPr>
          <w:rFonts w:asciiTheme="minorHAnsi" w:hAnsiTheme="minorHAnsi" w:cstheme="minorHAnsi"/>
        </w:rPr>
      </w:pPr>
      <w:r>
        <w:rPr>
          <w:rFonts w:asciiTheme="minorHAnsi" w:hAnsiTheme="minorHAnsi" w:cstheme="minorHAnsi"/>
        </w:rPr>
        <w:t>7.5.</w:t>
      </w:r>
      <w:r>
        <w:rPr>
          <w:rFonts w:asciiTheme="minorHAnsi" w:hAnsiTheme="minorHAnsi" w:cstheme="minorHAnsi"/>
        </w:rPr>
        <w:tab/>
        <w:t>Administered—Fair Value Measurement</w:t>
      </w:r>
      <w:r>
        <w:rPr>
          <w:rFonts w:asciiTheme="minorHAnsi" w:hAnsiTheme="minorHAnsi" w:cstheme="minorHAnsi"/>
        </w:rPr>
        <w:tab/>
        <w:t xml:space="preserve">162 </w:t>
      </w:r>
    </w:p>
    <w:p w:rsidR="00FA455C" w:rsidRDefault="00FA455C" w:rsidP="008835EB">
      <w:pPr>
        <w:spacing w:line="240" w:lineRule="auto"/>
        <w:rPr>
          <w:rFonts w:asciiTheme="minorHAnsi" w:hAnsiTheme="minorHAnsi" w:cstheme="minorHAnsi"/>
        </w:rPr>
      </w:pPr>
      <w:r>
        <w:rPr>
          <w:rFonts w:asciiTheme="minorHAnsi" w:hAnsiTheme="minorHAnsi" w:cstheme="minorHAnsi"/>
        </w:rPr>
        <w:t>8. Other Information</w:t>
      </w:r>
      <w:r>
        <w:rPr>
          <w:rFonts w:asciiTheme="minorHAnsi" w:hAnsiTheme="minorHAnsi" w:cstheme="minorHAnsi"/>
        </w:rPr>
        <w:tab/>
        <w:t xml:space="preserve">163 </w:t>
      </w:r>
    </w:p>
    <w:p w:rsidR="00FA455C" w:rsidRDefault="00FA455C" w:rsidP="008835EB">
      <w:pPr>
        <w:spacing w:line="240" w:lineRule="auto"/>
        <w:rPr>
          <w:rFonts w:asciiTheme="minorHAnsi" w:hAnsiTheme="minorHAnsi" w:cstheme="minorHAnsi"/>
        </w:rPr>
      </w:pPr>
      <w:r>
        <w:rPr>
          <w:rFonts w:asciiTheme="minorHAnsi" w:hAnsiTheme="minorHAnsi" w:cstheme="minorHAnsi"/>
        </w:rPr>
        <w:t>8.1.</w:t>
      </w:r>
      <w:r>
        <w:rPr>
          <w:rFonts w:asciiTheme="minorHAnsi" w:hAnsiTheme="minorHAnsi" w:cstheme="minorHAnsi"/>
        </w:rPr>
        <w:tab/>
        <w:t xml:space="preserve">Reporting of Outcomes </w:t>
      </w:r>
      <w:r>
        <w:rPr>
          <w:rFonts w:asciiTheme="minorHAnsi" w:hAnsiTheme="minorHAnsi" w:cstheme="minorHAnsi"/>
        </w:rPr>
        <w:tab/>
        <w:t xml:space="preserve">163 </w:t>
      </w:r>
    </w:p>
    <w:p w:rsidR="008835EB" w:rsidRPr="00EB0969" w:rsidRDefault="008835EB" w:rsidP="008835EB">
      <w:pPr>
        <w:spacing w:line="240" w:lineRule="auto"/>
        <w:rPr>
          <w:rFonts w:asciiTheme="minorHAnsi" w:hAnsiTheme="minorHAnsi" w:cstheme="minorHAnsi"/>
        </w:rPr>
      </w:pPr>
    </w:p>
    <w:p w:rsidR="008835EB" w:rsidRDefault="008835EB" w:rsidP="008835EB">
      <w:pPr>
        <w:spacing w:line="240" w:lineRule="auto"/>
        <w:sectPr w:rsidR="008835EB" w:rsidSect="00F74C23">
          <w:headerReference w:type="even" r:id="rId45"/>
          <w:headerReference w:type="default" r:id="rId46"/>
          <w:footerReference w:type="default" r:id="rId47"/>
          <w:headerReference w:type="first" r:id="rId48"/>
          <w:type w:val="continuous"/>
          <w:pgSz w:w="11906" w:h="16838"/>
          <w:pgMar w:top="1134" w:right="964" w:bottom="1134" w:left="1134" w:header="958" w:footer="737" w:gutter="0"/>
          <w:cols w:space="720"/>
          <w:docGrid w:linePitch="245"/>
        </w:sectPr>
      </w:pPr>
      <w:r>
        <w:rPr>
          <w:rFonts w:asciiTheme="minorHAnsi" w:hAnsiTheme="minorHAnsi" w:cstheme="minorHAnsi"/>
        </w:rPr>
        <w:br w:type="page"/>
      </w:r>
    </w:p>
    <w:p w:rsidR="008835EB" w:rsidRDefault="008835EB" w:rsidP="008835EB">
      <w:pPr>
        <w:pStyle w:val="SectionHeading"/>
        <w:numPr>
          <w:ilvl w:val="0"/>
          <w:numId w:val="0"/>
        </w:numPr>
      </w:pPr>
      <w:bookmarkStart w:id="104" w:name="_Toc456689840"/>
      <w:r>
        <w:lastRenderedPageBreak/>
        <w:t>Overview</w:t>
      </w:r>
      <w:bookmarkEnd w:id="104"/>
      <w:r>
        <w:t xml:space="preserve"> </w:t>
      </w:r>
    </w:p>
    <w:p w:rsidR="008835EB" w:rsidRPr="00F257CA" w:rsidRDefault="008835EB" w:rsidP="008835EB">
      <w:pPr>
        <w:pStyle w:val="Finnotesheading1"/>
      </w:pPr>
      <w:r w:rsidRPr="00F257CA">
        <w:t xml:space="preserve">Objectives of the </w:t>
      </w:r>
      <w:r w:rsidR="00FA455C">
        <w:t>Department of Employment</w:t>
      </w:r>
    </w:p>
    <w:p w:rsidR="008835EB" w:rsidRPr="00200687" w:rsidRDefault="008835EB" w:rsidP="008835EB">
      <w:pPr>
        <w:pStyle w:val="ReportText"/>
      </w:pPr>
      <w:r w:rsidRPr="00200687">
        <w:t xml:space="preserve">The </w:t>
      </w:r>
      <w:r w:rsidR="00FA455C">
        <w:t>Department of Employment</w:t>
      </w:r>
      <w:r w:rsidRPr="00200687">
        <w:t xml:space="preserve"> is an Australian</w:t>
      </w:r>
      <w:r>
        <w:t xml:space="preserve"> Government controlled entity. </w:t>
      </w:r>
      <w:r w:rsidRPr="00200687">
        <w:t>It is a not-for-profit entity.</w:t>
      </w:r>
    </w:p>
    <w:p w:rsidR="008835EB" w:rsidRPr="00200687" w:rsidRDefault="008835EB" w:rsidP="008835EB">
      <w:pPr>
        <w:pStyle w:val="ReportText"/>
      </w:pPr>
      <w:r>
        <w:t>The D</w:t>
      </w:r>
      <w:r w:rsidRPr="00200687">
        <w:t xml:space="preserve">epartment provides advice to the Government and administers programs to achieve the Government’s objectives to create more jobs and increase productivity. The </w:t>
      </w:r>
      <w:r>
        <w:t>D</w:t>
      </w:r>
      <w:r w:rsidRPr="00200687">
        <w:t xml:space="preserve">epartment works in partnership with the states and territories, </w:t>
      </w:r>
      <w:r>
        <w:br/>
      </w:r>
      <w:r w:rsidRPr="00200687">
        <w:t>non-gov</w:t>
      </w:r>
      <w:r>
        <w:t>ernment authorities, jobactive</w:t>
      </w:r>
      <w:r w:rsidRPr="00200687">
        <w:t xml:space="preserve"> providers and industry.</w:t>
      </w:r>
    </w:p>
    <w:p w:rsidR="008835EB" w:rsidRPr="00200687" w:rsidRDefault="008835EB" w:rsidP="008835EB">
      <w:pPr>
        <w:pStyle w:val="ReportText"/>
      </w:pPr>
      <w:r>
        <w:t>The D</w:t>
      </w:r>
      <w:r w:rsidRPr="00200687">
        <w:t>epartment is structured to meet the following outcomes:</w:t>
      </w:r>
    </w:p>
    <w:p w:rsidR="008835EB" w:rsidRPr="00EB056B" w:rsidRDefault="008835EB" w:rsidP="008835EB">
      <w:pPr>
        <w:pStyle w:val="ReportText"/>
        <w:ind w:left="1418" w:hanging="851"/>
      </w:pPr>
      <w:r w:rsidRPr="00EB056B">
        <w:t xml:space="preserve">Outcome 1: Fostering a productive and competitive labour market </w:t>
      </w:r>
      <w:r>
        <w:t xml:space="preserve">through employment policies and programs </w:t>
      </w:r>
      <w:r w:rsidRPr="00EB056B">
        <w:t>that assist job seekers into work, meet employer needs and</w:t>
      </w:r>
      <w:r>
        <w:t xml:space="preserve"> increase Australia’s workforce </w:t>
      </w:r>
      <w:r w:rsidRPr="00EB056B">
        <w:t>participation.</w:t>
      </w:r>
    </w:p>
    <w:p w:rsidR="008835EB" w:rsidRPr="00EB056B" w:rsidRDefault="008835EB" w:rsidP="008835EB">
      <w:pPr>
        <w:pStyle w:val="ReportText"/>
        <w:ind w:left="851" w:hanging="284"/>
      </w:pPr>
      <w:r w:rsidRPr="00EB056B">
        <w:t>Outcome 2: Facilitating jobs growth through policies that promote fair, productive and safe workplaces.</w:t>
      </w:r>
    </w:p>
    <w:p w:rsidR="008835EB" w:rsidRPr="00200687" w:rsidRDefault="008835EB" w:rsidP="008835EB">
      <w:pPr>
        <w:pStyle w:val="ReportText"/>
      </w:pPr>
      <w:r w:rsidRPr="00200687">
        <w:t>The continued existence of the department in its present form and with its present programs is dependent on Government policy and on continuing funding by Parliament for the department’s administration and programs.</w:t>
      </w:r>
    </w:p>
    <w:p w:rsidR="008835EB" w:rsidRPr="00200687" w:rsidRDefault="008835EB" w:rsidP="008835EB">
      <w:pPr>
        <w:pStyle w:val="ReportText"/>
        <w:ind w:right="567"/>
      </w:pPr>
      <w:r w:rsidRPr="00200687">
        <w:t xml:space="preserve">The </w:t>
      </w:r>
      <w:r>
        <w:t>D</w:t>
      </w:r>
      <w:r w:rsidRPr="00200687">
        <w:t>epartment’s activities contributing toward these outcomes are classified as either</w:t>
      </w:r>
      <w:r>
        <w:t xml:space="preserve"> departmental or administered. </w:t>
      </w:r>
      <w:r w:rsidRPr="00200687">
        <w:t>Departmental activities involve the use of assets, liabilities, income and expenses controlled or incurred by th</w:t>
      </w:r>
      <w:r>
        <w:t xml:space="preserve">e Department in its own right. </w:t>
      </w:r>
      <w:r w:rsidRPr="00200687">
        <w:t>Administered activities involve the management or oversight by the department, on behalf of the Government, of items controlled or incurred by the Government.</w:t>
      </w:r>
    </w:p>
    <w:p w:rsidR="008835EB" w:rsidRPr="00393F4E" w:rsidRDefault="008835EB" w:rsidP="008835EB">
      <w:pPr>
        <w:pStyle w:val="ReportText"/>
      </w:pPr>
      <w:r>
        <w:t>The D</w:t>
      </w:r>
      <w:r w:rsidRPr="00393F4E">
        <w:t>epartment conducts the following administered activities on behalf of the Government:</w:t>
      </w:r>
    </w:p>
    <w:p w:rsidR="008835EB" w:rsidRPr="00412C66" w:rsidRDefault="008835EB" w:rsidP="008835EB">
      <w:pPr>
        <w:pStyle w:val="ReportText"/>
        <w:numPr>
          <w:ilvl w:val="0"/>
          <w:numId w:val="12"/>
        </w:numPr>
        <w:tabs>
          <w:tab w:val="clear" w:pos="340"/>
          <w:tab w:val="num" w:pos="567"/>
        </w:tabs>
        <w:ind w:left="567"/>
      </w:pPr>
      <w:proofErr w:type="gramStart"/>
      <w:r w:rsidRPr="00412C66">
        <w:t>aid</w:t>
      </w:r>
      <w:proofErr w:type="gramEnd"/>
      <w:r w:rsidRPr="00412C66">
        <w:t xml:space="preserve"> the gaining of paid employment, delivering benefits for individuals, their families and t</w:t>
      </w:r>
      <w:r>
        <w:t>he community through jobactive</w:t>
      </w:r>
      <w:r w:rsidRPr="00412C66">
        <w:t xml:space="preserve"> providers.</w:t>
      </w:r>
    </w:p>
    <w:p w:rsidR="008835EB" w:rsidRPr="00412C66" w:rsidRDefault="008835EB" w:rsidP="008835EB">
      <w:pPr>
        <w:pStyle w:val="ReportText"/>
        <w:numPr>
          <w:ilvl w:val="0"/>
          <w:numId w:val="12"/>
        </w:numPr>
        <w:tabs>
          <w:tab w:val="clear" w:pos="340"/>
          <w:tab w:val="num" w:pos="567"/>
        </w:tabs>
        <w:ind w:left="567"/>
      </w:pPr>
      <w:proofErr w:type="gramStart"/>
      <w:r w:rsidRPr="00412C66">
        <w:t>provide</w:t>
      </w:r>
      <w:proofErr w:type="gramEnd"/>
      <w:r w:rsidRPr="00412C66">
        <w:t xml:space="preserve"> advice and support on the national workplace relations system that encourages employers and employees to agree, and productive and competitive working arrangements to support jobs growth, and advise on workplace health and safety and workers compensation.</w:t>
      </w:r>
    </w:p>
    <w:p w:rsidR="008835EB" w:rsidRPr="00F257CA" w:rsidRDefault="008835EB" w:rsidP="008835EB">
      <w:pPr>
        <w:pStyle w:val="Finnotesheading1"/>
      </w:pPr>
      <w:r w:rsidRPr="00F257CA">
        <w:t>Basis of Preparation of the Financial Statements</w:t>
      </w:r>
    </w:p>
    <w:p w:rsidR="008835EB" w:rsidRPr="00200687" w:rsidRDefault="008835EB" w:rsidP="008835EB">
      <w:pPr>
        <w:pStyle w:val="ReportText"/>
      </w:pPr>
      <w:r w:rsidRPr="00200687">
        <w:t xml:space="preserve">The financial statements are general purpose financial statements and are required by section 42 of the </w:t>
      </w:r>
      <w:r w:rsidRPr="00BD571A">
        <w:rPr>
          <w:i/>
        </w:rPr>
        <w:t>Public Governance, Performance and Accountability Act 2013</w:t>
      </w:r>
      <w:r w:rsidRPr="00200687">
        <w:t>.</w:t>
      </w:r>
    </w:p>
    <w:p w:rsidR="008835EB" w:rsidRPr="00200687" w:rsidRDefault="008835EB" w:rsidP="008835EB">
      <w:pPr>
        <w:pStyle w:val="ReportText"/>
      </w:pPr>
      <w:r w:rsidRPr="00200687">
        <w:t>The financial statements and notes have been prepared in accordance with:</w:t>
      </w:r>
    </w:p>
    <w:p w:rsidR="008835EB" w:rsidRPr="00200687" w:rsidRDefault="008835EB" w:rsidP="008835EB">
      <w:pPr>
        <w:pStyle w:val="ReportText"/>
        <w:numPr>
          <w:ilvl w:val="0"/>
          <w:numId w:val="11"/>
        </w:numPr>
        <w:tabs>
          <w:tab w:val="clear" w:pos="340"/>
          <w:tab w:val="num" w:pos="709"/>
        </w:tabs>
        <w:ind w:left="567"/>
      </w:pPr>
      <w:r w:rsidRPr="00200687">
        <w:t>Financial Reporting Rule (</w:t>
      </w:r>
      <w:proofErr w:type="spellStart"/>
      <w:r w:rsidRPr="00200687">
        <w:t>FRR</w:t>
      </w:r>
      <w:proofErr w:type="spellEnd"/>
      <w:r w:rsidRPr="00200687">
        <w:t>) for reporting period</w:t>
      </w:r>
      <w:r>
        <w:t xml:space="preserve">s ending on or after 1 July 2015; </w:t>
      </w:r>
      <w:r w:rsidRPr="00200687">
        <w:t>and</w:t>
      </w:r>
    </w:p>
    <w:p w:rsidR="008835EB" w:rsidRPr="00200687" w:rsidRDefault="008835EB" w:rsidP="008835EB">
      <w:pPr>
        <w:pStyle w:val="ReportText"/>
        <w:numPr>
          <w:ilvl w:val="0"/>
          <w:numId w:val="11"/>
        </w:numPr>
        <w:tabs>
          <w:tab w:val="clear" w:pos="340"/>
          <w:tab w:val="num" w:pos="709"/>
        </w:tabs>
        <w:ind w:left="567"/>
      </w:pPr>
      <w:r w:rsidRPr="00200687">
        <w:t>Australian Accounting Standards and Interpretations issued by the Australian Accounting Standards Board (</w:t>
      </w:r>
      <w:proofErr w:type="spellStart"/>
      <w:r w:rsidRPr="00200687">
        <w:t>AASB</w:t>
      </w:r>
      <w:proofErr w:type="spellEnd"/>
      <w:r w:rsidRPr="00200687">
        <w:t>) that apply for the reporting period.</w:t>
      </w:r>
    </w:p>
    <w:p w:rsidR="008835EB" w:rsidRPr="00EC4298" w:rsidRDefault="008835EB" w:rsidP="008835EB">
      <w:pPr>
        <w:pStyle w:val="ReportText"/>
      </w:pPr>
      <w:r w:rsidRPr="00EC4298">
        <w:t>The financial statements have been prepared on an accrual basis and are in accordance with the historical cost convention, except for certain assets and liabilities at fair value. Except where stated, no allowance is made for the effect of changing prices on the results or the financial position.</w:t>
      </w:r>
    </w:p>
    <w:p w:rsidR="008835EB" w:rsidRPr="00EC4298" w:rsidRDefault="008835EB" w:rsidP="008835EB">
      <w:pPr>
        <w:pStyle w:val="ReportText"/>
      </w:pPr>
      <w:r w:rsidRPr="00EC4298">
        <w:t>The financial statements are presented in Australian dollars and values are rounded to the nearest thousand dollars unless otherwise specified.</w:t>
      </w:r>
    </w:p>
    <w:p w:rsidR="008835EB" w:rsidRPr="00EC4298" w:rsidRDefault="008835EB" w:rsidP="008835EB">
      <w:pPr>
        <w:pStyle w:val="ReportText"/>
        <w:ind w:right="567"/>
      </w:pPr>
      <w:r w:rsidRPr="00EC4298">
        <w:t xml:space="preserve">Unless an alternative treatment is specifically required by an accounting standard or the </w:t>
      </w:r>
      <w:proofErr w:type="spellStart"/>
      <w:r w:rsidRPr="00EC4298">
        <w:t>FRRs</w:t>
      </w:r>
      <w:proofErr w:type="spellEnd"/>
      <w:r w:rsidRPr="00EC4298">
        <w:t>, assets and liabilities are recognised in the Statement of Financial Position when and only when it is probable that future economic benefits will flow to the department or a future sacrifice of economic benefits will be required and the amounts of the assets or liabil</w:t>
      </w:r>
      <w:r>
        <w:t>ities can be reliably measured.</w:t>
      </w:r>
      <w:r w:rsidRPr="00EC4298">
        <w:t xml:space="preserve"> However, assets and liabilities arising under executor contracts are not recognised unless required by an acco</w:t>
      </w:r>
      <w:r>
        <w:t>unting standard.</w:t>
      </w:r>
      <w:r w:rsidRPr="00EC4298">
        <w:t xml:space="preserve"> Liabilities and assets that are unrecognised are reported in the Schedule of Commitments or the Contingencies note.</w:t>
      </w:r>
    </w:p>
    <w:p w:rsidR="008835EB" w:rsidRDefault="008835EB" w:rsidP="008835EB">
      <w:pPr>
        <w:pStyle w:val="ReportText"/>
      </w:pPr>
      <w:proofErr w:type="gramStart"/>
      <w:r w:rsidRPr="00200687">
        <w:t>Unless alternative treatment is specifically required by an accounting standard, income and expenses are recognised in the Statement of Comprehensive Income when and only when the flow, consumption or loss of economic benefits has occurred and can be reliably measured.</w:t>
      </w:r>
      <w:proofErr w:type="gramEnd"/>
    </w:p>
    <w:p w:rsidR="008835EB" w:rsidRPr="00F257CA" w:rsidRDefault="008835EB" w:rsidP="008835EB">
      <w:pPr>
        <w:pStyle w:val="Finnotesheading1"/>
      </w:pPr>
      <w:r w:rsidRPr="00F257CA">
        <w:t>Significant Acco</w:t>
      </w:r>
      <w:r>
        <w:t>unting Judgements and Estimates</w:t>
      </w:r>
    </w:p>
    <w:p w:rsidR="008835EB" w:rsidRPr="00306508" w:rsidRDefault="008835EB" w:rsidP="008835EB">
      <w:pPr>
        <w:pStyle w:val="ReportText"/>
      </w:pPr>
      <w:r w:rsidRPr="00200687">
        <w:t>In the process of applying the accounting policies listed in this note, the department has made</w:t>
      </w:r>
      <w:r>
        <w:t xml:space="preserve"> and relied on </w:t>
      </w:r>
      <w:r w:rsidRPr="00200687">
        <w:t xml:space="preserve">the following judgements </w:t>
      </w:r>
      <w:r w:rsidRPr="00306508">
        <w:t>that have the most significant impact on the amounts recorded in the financial statements:</w:t>
      </w:r>
    </w:p>
    <w:p w:rsidR="008835EB" w:rsidRPr="00306508" w:rsidRDefault="008835EB" w:rsidP="008835EB">
      <w:pPr>
        <w:pStyle w:val="ReportText"/>
        <w:numPr>
          <w:ilvl w:val="0"/>
          <w:numId w:val="12"/>
        </w:numPr>
        <w:tabs>
          <w:tab w:val="clear" w:pos="340"/>
          <w:tab w:val="num" w:pos="567"/>
        </w:tabs>
        <w:spacing w:before="0" w:after="0"/>
        <w:ind w:left="567"/>
      </w:pPr>
      <w:r w:rsidRPr="00306508">
        <w:t>the fair value of leasehold improvements and infrastructure, plant and equipment has been taken to be the market value of similar items as determin</w:t>
      </w:r>
      <w:r>
        <w:t xml:space="preserve">ed by an independent </w:t>
      </w:r>
      <w:proofErr w:type="spellStart"/>
      <w:r>
        <w:t>valuer</w:t>
      </w:r>
      <w:proofErr w:type="spellEnd"/>
      <w:r>
        <w:t xml:space="preserve">; </w:t>
      </w:r>
    </w:p>
    <w:p w:rsidR="008835EB" w:rsidRDefault="008835EB" w:rsidP="008835EB">
      <w:pPr>
        <w:pStyle w:val="ReportText"/>
        <w:numPr>
          <w:ilvl w:val="0"/>
          <w:numId w:val="12"/>
        </w:numPr>
        <w:tabs>
          <w:tab w:val="clear" w:pos="340"/>
          <w:tab w:val="num" w:pos="567"/>
        </w:tabs>
        <w:spacing w:before="0" w:after="0"/>
        <w:ind w:left="567"/>
      </w:pPr>
      <w:proofErr w:type="gramStart"/>
      <w:r w:rsidRPr="00306508">
        <w:t>the</w:t>
      </w:r>
      <w:proofErr w:type="gramEnd"/>
      <w:r w:rsidRPr="00306508">
        <w:t xml:space="preserve"> liability for long service leave has been estimated using an actuarial assessment </w:t>
      </w:r>
      <w:r>
        <w:t xml:space="preserve">based on the </w:t>
      </w:r>
      <w:proofErr w:type="spellStart"/>
      <w:r>
        <w:t>FRR</w:t>
      </w:r>
      <w:proofErr w:type="spellEnd"/>
      <w:r>
        <w:t xml:space="preserve"> requirements. </w:t>
      </w:r>
      <w:r w:rsidRPr="00306508">
        <w:t>This takes into account expected salary growth, attrition and future discounting using the government bo</w:t>
      </w:r>
      <w:r>
        <w:t xml:space="preserve">nd rates; </w:t>
      </w:r>
    </w:p>
    <w:p w:rsidR="008835EB" w:rsidRDefault="008835EB" w:rsidP="008835EB">
      <w:pPr>
        <w:pStyle w:val="ReportText"/>
        <w:numPr>
          <w:ilvl w:val="0"/>
          <w:numId w:val="12"/>
        </w:numPr>
        <w:tabs>
          <w:tab w:val="clear" w:pos="340"/>
          <w:tab w:val="num" w:pos="567"/>
        </w:tabs>
        <w:spacing w:before="0" w:after="0"/>
        <w:ind w:left="567"/>
      </w:pPr>
      <w:r w:rsidRPr="00983425">
        <w:t xml:space="preserve">the jobactive and the Job Commitment Bonus accruals </w:t>
      </w:r>
      <w:r>
        <w:t xml:space="preserve">for Supplier and Subsidies expense, </w:t>
      </w:r>
      <w:r w:rsidRPr="00983425">
        <w:t>developed by the Department have been reviewed by an independent</w:t>
      </w:r>
      <w:r>
        <w:t xml:space="preserve"> actuary;</w:t>
      </w:r>
    </w:p>
    <w:p w:rsidR="008835EB" w:rsidRDefault="008835EB" w:rsidP="008835EB">
      <w:pPr>
        <w:pStyle w:val="ReportText"/>
        <w:numPr>
          <w:ilvl w:val="0"/>
          <w:numId w:val="12"/>
        </w:numPr>
        <w:tabs>
          <w:tab w:val="clear" w:pos="340"/>
          <w:tab w:val="num" w:pos="567"/>
        </w:tabs>
        <w:spacing w:before="0" w:after="0"/>
        <w:ind w:left="567"/>
      </w:pPr>
      <w:r>
        <w:lastRenderedPageBreak/>
        <w:t xml:space="preserve">the Department relies on the work of actuaries engaged by </w:t>
      </w:r>
      <w:proofErr w:type="spellStart"/>
      <w:r>
        <w:t>Comcare</w:t>
      </w:r>
      <w:proofErr w:type="spellEnd"/>
      <w:r>
        <w:t xml:space="preserve"> relating to balances for Other Payables; and</w:t>
      </w:r>
    </w:p>
    <w:p w:rsidR="008835EB" w:rsidRDefault="008835EB" w:rsidP="008835EB">
      <w:pPr>
        <w:pStyle w:val="ReportText"/>
        <w:numPr>
          <w:ilvl w:val="0"/>
          <w:numId w:val="12"/>
        </w:numPr>
        <w:tabs>
          <w:tab w:val="clear" w:pos="340"/>
          <w:tab w:val="num" w:pos="567"/>
        </w:tabs>
        <w:spacing w:before="0" w:after="0"/>
        <w:ind w:left="567"/>
      </w:pPr>
      <w:proofErr w:type="gramStart"/>
      <w:r>
        <w:t>the</w:t>
      </w:r>
      <w:proofErr w:type="gramEnd"/>
      <w:r>
        <w:t xml:space="preserve"> Department relies on the net asset position of the Coal Mining Industry Corporation for Other Investments.</w:t>
      </w:r>
    </w:p>
    <w:p w:rsidR="008835EB" w:rsidRDefault="008835EB" w:rsidP="008835EB">
      <w:pPr>
        <w:pStyle w:val="ReportText"/>
      </w:pPr>
      <w:r>
        <w:t>The D</w:t>
      </w:r>
      <w:r w:rsidRPr="00306508">
        <w:t>epartment made no other assumptions or estimates identified as having a significant risk of causing a material adjustment to the carrying amounts of assets and liabilities within the next reporting period.</w:t>
      </w:r>
    </w:p>
    <w:p w:rsidR="008835EB" w:rsidRPr="00EC4298" w:rsidRDefault="008835EB" w:rsidP="008835EB">
      <w:pPr>
        <w:pStyle w:val="GreyShadeTableBreak"/>
        <w:spacing w:before="120" w:after="120"/>
        <w:rPr>
          <w:rFonts w:asciiTheme="minorHAnsi" w:hAnsiTheme="minorHAnsi"/>
          <w:b/>
          <w:color w:val="00746B"/>
          <w:sz w:val="20"/>
        </w:rPr>
      </w:pPr>
      <w:r w:rsidRPr="00EC4298">
        <w:rPr>
          <w:rFonts w:asciiTheme="minorHAnsi" w:hAnsiTheme="minorHAnsi"/>
          <w:b/>
          <w:color w:val="00746B"/>
          <w:sz w:val="20"/>
        </w:rPr>
        <w:t xml:space="preserve">Reporting of Administered Activities </w:t>
      </w:r>
    </w:p>
    <w:p w:rsidR="008835EB" w:rsidRPr="005149D4" w:rsidRDefault="008835EB" w:rsidP="008835EB">
      <w:pPr>
        <w:pStyle w:val="GreyShadeTableBreak"/>
        <w:spacing w:after="120"/>
      </w:pPr>
      <w:r w:rsidRPr="005149D4">
        <w:t>Administered revenues, expenses, assets, liabilities and cash flows are disclosed in the administered schedules and related notes.</w:t>
      </w:r>
    </w:p>
    <w:p w:rsidR="008835EB" w:rsidRPr="002317D9" w:rsidRDefault="008835EB" w:rsidP="008835EB">
      <w:pPr>
        <w:pStyle w:val="GreyShadeTableBreak"/>
      </w:pPr>
      <w:r w:rsidRPr="005149D4">
        <w:t>Except where otherwise stated, administered items are accounted for on the same basis and using the same policies as for departmental items, including the application of Australian Accounting Standards.</w:t>
      </w:r>
    </w:p>
    <w:p w:rsidR="008835EB" w:rsidRPr="00F257CA" w:rsidRDefault="008835EB" w:rsidP="008835EB">
      <w:pPr>
        <w:pStyle w:val="Finnotesheading1"/>
      </w:pPr>
      <w:r w:rsidRPr="00F257CA">
        <w:t>New Australian Accounting Standards</w:t>
      </w:r>
    </w:p>
    <w:p w:rsidR="008835EB" w:rsidRPr="00306508" w:rsidRDefault="008835EB" w:rsidP="008835EB">
      <w:pPr>
        <w:pStyle w:val="ReportText"/>
        <w:rPr>
          <w:i/>
          <w:u w:val="single"/>
        </w:rPr>
      </w:pPr>
      <w:r w:rsidRPr="00306508">
        <w:rPr>
          <w:i/>
          <w:u w:val="single"/>
        </w:rPr>
        <w:t>Adoption of New Australian Accounting Standard Requirements</w:t>
      </w:r>
    </w:p>
    <w:p w:rsidR="008835EB" w:rsidRPr="00306508" w:rsidRDefault="008835EB" w:rsidP="008835EB">
      <w:pPr>
        <w:pStyle w:val="ReportText"/>
      </w:pPr>
      <w:r>
        <w:t>No</w:t>
      </w:r>
      <w:r w:rsidRPr="00306508">
        <w:t xml:space="preserve"> new and amended standards were issued prior to the signing of the statement by the </w:t>
      </w:r>
      <w:proofErr w:type="gramStart"/>
      <w:r w:rsidRPr="00306508">
        <w:t>accountable</w:t>
      </w:r>
      <w:proofErr w:type="gramEnd"/>
      <w:r w:rsidRPr="00306508">
        <w:t xml:space="preserve"> authority and chief financial officer, were applicable to the current reporting period and had a material effect on th</w:t>
      </w:r>
      <w:r>
        <w:t>e entity’s financial statements.</w:t>
      </w:r>
    </w:p>
    <w:p w:rsidR="008835EB" w:rsidRPr="00306508" w:rsidRDefault="008835EB" w:rsidP="008835EB">
      <w:pPr>
        <w:pStyle w:val="ReportText"/>
      </w:pPr>
      <w:r w:rsidRPr="00306508">
        <w:t xml:space="preserve">All other accounting standards that were issued prior to the sign-off date and are applicable to the current reporting period did not have a material effect, and are not expected to have a </w:t>
      </w:r>
      <w:r>
        <w:t>future material effect, on the D</w:t>
      </w:r>
      <w:r w:rsidRPr="00306508">
        <w:t>epartment’s financial statements.</w:t>
      </w:r>
    </w:p>
    <w:p w:rsidR="008835EB" w:rsidRPr="00306508" w:rsidRDefault="008835EB" w:rsidP="008835EB">
      <w:pPr>
        <w:pStyle w:val="ReportText"/>
        <w:rPr>
          <w:i/>
          <w:u w:val="single"/>
        </w:rPr>
      </w:pPr>
      <w:r w:rsidRPr="00306508">
        <w:rPr>
          <w:i/>
          <w:u w:val="single"/>
        </w:rPr>
        <w:t>Future Australian Accounting Standard Requirements</w:t>
      </w:r>
    </w:p>
    <w:p w:rsidR="008835EB" w:rsidRDefault="008835EB" w:rsidP="008835EB">
      <w:pPr>
        <w:pStyle w:val="ReportText"/>
      </w:pPr>
      <w:r w:rsidRPr="00306508">
        <w:t xml:space="preserve">The following new standards, revised standards, interpretations and amending standards were issued by the Australian Accounting Standards Board prior to the sign-off date and apply to future reporting periods, which are expected to have a material impact on the </w:t>
      </w:r>
      <w:r>
        <w:t>D</w:t>
      </w:r>
      <w:r w:rsidRPr="00306508">
        <w:t>epartment</w:t>
      </w:r>
      <w:r>
        <w:t>’</w:t>
      </w:r>
      <w:r w:rsidRPr="00306508">
        <w:t>s financial statements for future reporting periods: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513"/>
      </w:tblGrid>
      <w:tr w:rsidR="008835EB" w:rsidTr="007E3F2E">
        <w:trPr>
          <w:trHeight w:val="497"/>
        </w:trPr>
        <w:tc>
          <w:tcPr>
            <w:tcW w:w="1809" w:type="dxa"/>
          </w:tcPr>
          <w:p w:rsidR="008835EB" w:rsidRDefault="008835EB" w:rsidP="007E3F2E">
            <w:pPr>
              <w:pStyle w:val="ReportText"/>
              <w:spacing w:before="0" w:after="0"/>
              <w:ind w:right="567"/>
            </w:pPr>
            <w:proofErr w:type="spellStart"/>
            <w:r w:rsidRPr="00DB2EC7">
              <w:rPr>
                <w:rFonts w:cstheme="minorHAnsi"/>
                <w:color w:val="000000"/>
              </w:rPr>
              <w:t>AASB</w:t>
            </w:r>
            <w:proofErr w:type="spellEnd"/>
            <w:r w:rsidRPr="00DB2EC7">
              <w:rPr>
                <w:rFonts w:cstheme="minorHAnsi"/>
                <w:color w:val="000000"/>
              </w:rPr>
              <w:t xml:space="preserve"> 2015-6, </w:t>
            </w:r>
            <w:r w:rsidRPr="00DB2EC7">
              <w:rPr>
                <w:rFonts w:cstheme="minorHAnsi"/>
                <w:color w:val="000000"/>
              </w:rPr>
              <w:br/>
            </w:r>
            <w:proofErr w:type="spellStart"/>
            <w:r w:rsidRPr="00DB2EC7">
              <w:rPr>
                <w:rFonts w:cstheme="minorHAnsi"/>
                <w:color w:val="000000"/>
              </w:rPr>
              <w:t>AASB</w:t>
            </w:r>
            <w:proofErr w:type="spellEnd"/>
            <w:r w:rsidRPr="00DB2EC7">
              <w:rPr>
                <w:rFonts w:cstheme="minorHAnsi"/>
                <w:color w:val="000000"/>
              </w:rPr>
              <w:t xml:space="preserve"> 124</w:t>
            </w:r>
          </w:p>
        </w:tc>
        <w:tc>
          <w:tcPr>
            <w:tcW w:w="7513" w:type="dxa"/>
          </w:tcPr>
          <w:p w:rsidR="008835EB" w:rsidRDefault="008835EB" w:rsidP="007E3F2E">
            <w:pPr>
              <w:pStyle w:val="ReportText"/>
              <w:spacing w:before="0" w:after="0"/>
              <w:ind w:right="175"/>
            </w:pPr>
            <w:r w:rsidRPr="00DB2EC7">
              <w:rPr>
                <w:rFonts w:cstheme="minorHAnsi"/>
                <w:i/>
                <w:color w:val="000000"/>
              </w:rPr>
              <w:t>Amendments to Aust</w:t>
            </w:r>
            <w:r>
              <w:rPr>
                <w:rFonts w:cstheme="minorHAnsi"/>
                <w:i/>
                <w:color w:val="000000"/>
              </w:rPr>
              <w:t>ralian Accounting Standards—</w:t>
            </w:r>
            <w:r w:rsidRPr="00DB2EC7">
              <w:rPr>
                <w:rFonts w:cstheme="minorHAnsi"/>
                <w:i/>
                <w:color w:val="000000"/>
              </w:rPr>
              <w:t xml:space="preserve">Extending Related Party Disclosures to </w:t>
            </w:r>
            <w:r>
              <w:rPr>
                <w:rFonts w:cstheme="minorHAnsi"/>
                <w:i/>
                <w:color w:val="000000"/>
              </w:rPr>
              <w:br/>
            </w:r>
            <w:r w:rsidRPr="00DB2EC7">
              <w:rPr>
                <w:rFonts w:cstheme="minorHAnsi"/>
                <w:i/>
                <w:color w:val="000000"/>
              </w:rPr>
              <w:t>Not-for-Profit Public Sector Entities</w:t>
            </w:r>
          </w:p>
        </w:tc>
      </w:tr>
      <w:tr w:rsidR="008835EB" w:rsidTr="007E3F2E">
        <w:trPr>
          <w:trHeight w:val="451"/>
        </w:trPr>
        <w:tc>
          <w:tcPr>
            <w:tcW w:w="1809" w:type="dxa"/>
          </w:tcPr>
          <w:p w:rsidR="008835EB" w:rsidRDefault="008835EB" w:rsidP="007E3F2E">
            <w:pPr>
              <w:pStyle w:val="ReportText"/>
              <w:spacing w:before="0" w:after="0"/>
              <w:ind w:right="567"/>
            </w:pPr>
            <w:proofErr w:type="spellStart"/>
            <w:r w:rsidRPr="00DB2EC7">
              <w:rPr>
                <w:rFonts w:cstheme="minorHAnsi"/>
                <w:color w:val="000000"/>
              </w:rPr>
              <w:t>AASB</w:t>
            </w:r>
            <w:proofErr w:type="spellEnd"/>
            <w:r w:rsidRPr="00DB2EC7">
              <w:rPr>
                <w:rFonts w:cstheme="minorHAnsi"/>
                <w:color w:val="000000"/>
              </w:rPr>
              <w:t xml:space="preserve"> 15</w:t>
            </w:r>
          </w:p>
        </w:tc>
        <w:tc>
          <w:tcPr>
            <w:tcW w:w="7513" w:type="dxa"/>
          </w:tcPr>
          <w:p w:rsidR="008835EB" w:rsidRDefault="008835EB" w:rsidP="007E3F2E">
            <w:pPr>
              <w:pStyle w:val="ReportText"/>
              <w:spacing w:before="0" w:after="0"/>
              <w:ind w:right="34"/>
            </w:pPr>
            <w:r w:rsidRPr="00DB2EC7">
              <w:rPr>
                <w:rFonts w:cstheme="minorHAnsi"/>
                <w:i/>
                <w:color w:val="000000"/>
              </w:rPr>
              <w:t>Revenue from Contracts with Customers</w:t>
            </w:r>
            <w:r>
              <w:rPr>
                <w:rFonts w:cstheme="minorHAnsi"/>
                <w:color w:val="000000"/>
              </w:rPr>
              <w:t>—</w:t>
            </w:r>
            <w:r w:rsidRPr="00DB2EC7">
              <w:rPr>
                <w:rFonts w:cstheme="minorHAnsi"/>
                <w:color w:val="000000"/>
              </w:rPr>
              <w:t>specifies the accounting treatment for all revenue arising from contracts with customers</w:t>
            </w:r>
          </w:p>
        </w:tc>
      </w:tr>
      <w:tr w:rsidR="008835EB" w:rsidTr="007E3F2E">
        <w:trPr>
          <w:trHeight w:val="203"/>
        </w:trPr>
        <w:tc>
          <w:tcPr>
            <w:tcW w:w="1809" w:type="dxa"/>
          </w:tcPr>
          <w:p w:rsidR="008835EB" w:rsidRDefault="008835EB" w:rsidP="007E3F2E">
            <w:pPr>
              <w:pStyle w:val="ReportText"/>
              <w:spacing w:before="0" w:after="0"/>
              <w:ind w:right="567"/>
            </w:pPr>
            <w:proofErr w:type="spellStart"/>
            <w:r w:rsidRPr="00DB2EC7">
              <w:rPr>
                <w:rFonts w:cstheme="minorHAnsi"/>
                <w:color w:val="000000"/>
              </w:rPr>
              <w:t>AASB</w:t>
            </w:r>
            <w:proofErr w:type="spellEnd"/>
            <w:r w:rsidRPr="00DB2EC7">
              <w:rPr>
                <w:rFonts w:cstheme="minorHAnsi"/>
                <w:color w:val="000000"/>
              </w:rPr>
              <w:t xml:space="preserve"> 16</w:t>
            </w:r>
          </w:p>
        </w:tc>
        <w:tc>
          <w:tcPr>
            <w:tcW w:w="7513" w:type="dxa"/>
          </w:tcPr>
          <w:p w:rsidR="008835EB" w:rsidRDefault="008835EB" w:rsidP="007E3F2E">
            <w:pPr>
              <w:pStyle w:val="ReportText"/>
              <w:spacing w:before="0" w:after="0"/>
              <w:ind w:right="175"/>
            </w:pPr>
            <w:r w:rsidRPr="00223F8D">
              <w:rPr>
                <w:rFonts w:cstheme="minorHAnsi"/>
                <w:i/>
                <w:color w:val="000000"/>
              </w:rPr>
              <w:t>Leases</w:t>
            </w:r>
          </w:p>
        </w:tc>
      </w:tr>
    </w:tbl>
    <w:p w:rsidR="008835EB" w:rsidRPr="00306508" w:rsidRDefault="008835EB" w:rsidP="008835EB">
      <w:pPr>
        <w:pStyle w:val="ReportText"/>
      </w:pPr>
      <w:r w:rsidRPr="00306508">
        <w:t>All other new standards and interpretations that were issued prior to the sign-off date and are applicable to future reporting periods are not expected to have a future material impact on the entity’s financial statements.</w:t>
      </w:r>
    </w:p>
    <w:p w:rsidR="008835EB" w:rsidRDefault="008835EB" w:rsidP="008835EB">
      <w:pPr>
        <w:pStyle w:val="Finnotesheading1"/>
      </w:pPr>
      <w:r w:rsidRPr="00F257CA">
        <w:t>Taxation</w:t>
      </w:r>
    </w:p>
    <w:p w:rsidR="008835EB" w:rsidRPr="00200687" w:rsidRDefault="008835EB" w:rsidP="008835EB">
      <w:pPr>
        <w:pStyle w:val="ReportText"/>
      </w:pPr>
      <w:r>
        <w:t>The D</w:t>
      </w:r>
      <w:r w:rsidRPr="00200687">
        <w:t>epartment is exempt from all forms of taxation except Fringe Benefits Tax (</w:t>
      </w:r>
      <w:proofErr w:type="spellStart"/>
      <w:r w:rsidRPr="00200687">
        <w:t>FBT</w:t>
      </w:r>
      <w:proofErr w:type="spellEnd"/>
      <w:r w:rsidRPr="00200687">
        <w:t>) and the Goods and Services Tax (GST).</w:t>
      </w:r>
    </w:p>
    <w:p w:rsidR="008835EB" w:rsidRPr="00200687" w:rsidRDefault="008835EB" w:rsidP="008835EB">
      <w:pPr>
        <w:pStyle w:val="ReportText"/>
      </w:pPr>
      <w:r w:rsidRPr="00200687">
        <w:t>Revenues, expenses and non-financial assets are recognised net of GST except:</w:t>
      </w:r>
      <w:r w:rsidRPr="00200687">
        <w:tab/>
      </w:r>
    </w:p>
    <w:p w:rsidR="008835EB" w:rsidRPr="00EA7B71" w:rsidRDefault="008835EB" w:rsidP="008835EB">
      <w:pPr>
        <w:pStyle w:val="ReportText"/>
        <w:numPr>
          <w:ilvl w:val="0"/>
          <w:numId w:val="11"/>
        </w:numPr>
        <w:tabs>
          <w:tab w:val="clear" w:pos="340"/>
          <w:tab w:val="num" w:pos="709"/>
        </w:tabs>
        <w:spacing w:before="0" w:after="0"/>
        <w:ind w:left="567"/>
      </w:pPr>
      <w:r w:rsidRPr="00EA7B71">
        <w:t>where the amount of GST incurred is not recoverable from the Australian Taxation Office; and</w:t>
      </w:r>
    </w:p>
    <w:p w:rsidR="008835EB" w:rsidRPr="00714E45" w:rsidRDefault="008835EB" w:rsidP="008835EB">
      <w:pPr>
        <w:pStyle w:val="ReportText"/>
        <w:numPr>
          <w:ilvl w:val="0"/>
          <w:numId w:val="11"/>
        </w:numPr>
        <w:tabs>
          <w:tab w:val="clear" w:pos="340"/>
          <w:tab w:val="num" w:pos="709"/>
        </w:tabs>
        <w:spacing w:before="0" w:after="0"/>
        <w:ind w:left="567"/>
      </w:pPr>
      <w:proofErr w:type="gramStart"/>
      <w:r w:rsidRPr="00EA7B71">
        <w:t>for</w:t>
      </w:r>
      <w:proofErr w:type="gramEnd"/>
      <w:r w:rsidRPr="00EA7B71">
        <w:t xml:space="preserve"> receivables and payables.</w:t>
      </w:r>
    </w:p>
    <w:p w:rsidR="008835EB" w:rsidRPr="00F5487D" w:rsidRDefault="008835EB" w:rsidP="008835EB">
      <w:pPr>
        <w:pStyle w:val="Finnotesheading1"/>
      </w:pPr>
      <w:r>
        <w:t xml:space="preserve">2014–15 </w:t>
      </w:r>
      <w:r w:rsidRPr="00F5487D">
        <w:t xml:space="preserve">Comparatives </w:t>
      </w:r>
    </w:p>
    <w:p w:rsidR="008835EB" w:rsidRDefault="008835EB" w:rsidP="008835EB">
      <w:pPr>
        <w:spacing w:before="100" w:after="100" w:line="240" w:lineRule="auto"/>
        <w:rPr>
          <w:rFonts w:asciiTheme="minorHAnsi" w:hAnsiTheme="minorHAnsi" w:cs="Arial"/>
          <w:bCs/>
          <w:lang w:eastAsia="en-AU"/>
        </w:rPr>
      </w:pPr>
      <w:r>
        <w:rPr>
          <w:rFonts w:asciiTheme="minorHAnsi" w:hAnsiTheme="minorHAnsi" w:cs="Arial"/>
          <w:bCs/>
          <w:lang w:eastAsia="en-AU"/>
        </w:rPr>
        <w:t xml:space="preserve">Comparatives for the 2014–15 financial </w:t>
      </w:r>
      <w:proofErr w:type="gramStart"/>
      <w:r>
        <w:rPr>
          <w:rFonts w:asciiTheme="minorHAnsi" w:hAnsiTheme="minorHAnsi" w:cs="Arial"/>
          <w:bCs/>
          <w:lang w:eastAsia="en-AU"/>
        </w:rPr>
        <w:t>year</w:t>
      </w:r>
      <w:proofErr w:type="gramEnd"/>
      <w:r>
        <w:rPr>
          <w:rFonts w:asciiTheme="minorHAnsi" w:hAnsiTheme="minorHAnsi" w:cs="Arial"/>
          <w:bCs/>
          <w:lang w:eastAsia="en-AU"/>
        </w:rPr>
        <w:t xml:space="preserve"> have been amended. The changes relate to the mapping of General Ledger accounts only and have not changed the results for the 2014–15 financial </w:t>
      </w:r>
      <w:proofErr w:type="gramStart"/>
      <w:r>
        <w:rPr>
          <w:rFonts w:asciiTheme="minorHAnsi" w:hAnsiTheme="minorHAnsi" w:cs="Arial"/>
          <w:bCs/>
          <w:lang w:eastAsia="en-AU"/>
        </w:rPr>
        <w:t>year</w:t>
      </w:r>
      <w:proofErr w:type="gramEnd"/>
      <w:r>
        <w:rPr>
          <w:rFonts w:asciiTheme="minorHAnsi" w:hAnsiTheme="minorHAnsi" w:cs="Arial"/>
          <w:bCs/>
          <w:lang w:eastAsia="en-AU"/>
        </w:rPr>
        <w:t>. The main changes are:</w:t>
      </w:r>
    </w:p>
    <w:p w:rsidR="008835EB" w:rsidRPr="006A69B1" w:rsidRDefault="008835EB" w:rsidP="008835EB">
      <w:pPr>
        <w:pStyle w:val="ReportText"/>
        <w:numPr>
          <w:ilvl w:val="0"/>
          <w:numId w:val="11"/>
        </w:numPr>
        <w:tabs>
          <w:tab w:val="clear" w:pos="340"/>
          <w:tab w:val="num" w:pos="709"/>
        </w:tabs>
        <w:spacing w:before="0" w:after="0"/>
        <w:ind w:left="567"/>
      </w:pPr>
      <w:r w:rsidRPr="006A69B1">
        <w:t>balances were adjusted between Leave and other Entitlements and Wages and Salaries in the Employee benefits category in the Departmental Statement of Comprehensive Income;</w:t>
      </w:r>
    </w:p>
    <w:p w:rsidR="008835EB" w:rsidRDefault="008835EB" w:rsidP="008835EB">
      <w:pPr>
        <w:pStyle w:val="ReportText"/>
        <w:numPr>
          <w:ilvl w:val="0"/>
          <w:numId w:val="11"/>
        </w:numPr>
        <w:tabs>
          <w:tab w:val="clear" w:pos="340"/>
          <w:tab w:val="num" w:pos="709"/>
        </w:tabs>
        <w:spacing w:before="0" w:after="0"/>
        <w:ind w:left="567"/>
      </w:pPr>
      <w:r w:rsidRPr="006A69B1">
        <w:t>balances were adjusted between Suppliers and Subsidies in the Administered Schedule of Comprehensive Income;</w:t>
      </w:r>
    </w:p>
    <w:p w:rsidR="008835EB" w:rsidRPr="00EA33F9" w:rsidRDefault="008835EB" w:rsidP="008835EB">
      <w:pPr>
        <w:pStyle w:val="ReportText"/>
        <w:numPr>
          <w:ilvl w:val="0"/>
          <w:numId w:val="11"/>
        </w:numPr>
        <w:tabs>
          <w:tab w:val="clear" w:pos="340"/>
          <w:tab w:val="num" w:pos="709"/>
        </w:tabs>
        <w:spacing w:before="0" w:after="0"/>
        <w:ind w:left="567"/>
      </w:pPr>
      <w:r>
        <w:t xml:space="preserve">there have been prior year adjustments to the Short-term employee benefits category in the in the </w:t>
      </w:r>
      <w:r w:rsidRPr="00EA33F9">
        <w:t>Senior Management Personnel Remuneration</w:t>
      </w:r>
      <w:r>
        <w:t xml:space="preserve"> note;</w:t>
      </w:r>
    </w:p>
    <w:p w:rsidR="008835EB" w:rsidRPr="006A69B1" w:rsidRDefault="008835EB" w:rsidP="008835EB">
      <w:pPr>
        <w:pStyle w:val="ReportText"/>
        <w:numPr>
          <w:ilvl w:val="0"/>
          <w:numId w:val="11"/>
        </w:numPr>
        <w:tabs>
          <w:tab w:val="clear" w:pos="340"/>
          <w:tab w:val="num" w:pos="709"/>
        </w:tabs>
        <w:spacing w:before="0"/>
        <w:ind w:left="567"/>
      </w:pPr>
      <w:proofErr w:type="gramStart"/>
      <w:r w:rsidRPr="006A69B1">
        <w:t>there</w:t>
      </w:r>
      <w:proofErr w:type="gramEnd"/>
      <w:r w:rsidRPr="006A69B1">
        <w:t xml:space="preserve"> were other minor adjustments in the Departmental Statement of Comprehensive Income</w:t>
      </w:r>
      <w:r>
        <w:t>.</w:t>
      </w:r>
    </w:p>
    <w:p w:rsidR="008835EB" w:rsidRPr="005149D4" w:rsidRDefault="008835EB" w:rsidP="008835EB">
      <w:pPr>
        <w:pStyle w:val="Finnotesheading1"/>
      </w:pPr>
      <w:r>
        <w:t>Events a</w:t>
      </w:r>
      <w:r w:rsidRPr="005149D4">
        <w:t>fter the Reporting Period</w:t>
      </w:r>
    </w:p>
    <w:p w:rsidR="008835EB" w:rsidRPr="00306508" w:rsidRDefault="008835EB" w:rsidP="008835EB">
      <w:pPr>
        <w:pStyle w:val="ReportText"/>
      </w:pPr>
      <w:r>
        <w:t xml:space="preserve">There have been no events after balance </w:t>
      </w:r>
      <w:proofErr w:type="gramStart"/>
      <w:r>
        <w:t>date that have</w:t>
      </w:r>
      <w:proofErr w:type="gramEnd"/>
      <w:r>
        <w:t xml:space="preserve"> the potential to significantly affect the ongoing structure and financial activities of the Department.</w:t>
      </w:r>
      <w:bookmarkStart w:id="105" w:name="_Toc444065770"/>
      <w:bookmarkStart w:id="106" w:name="_Toc444077332"/>
      <w:r>
        <w:br w:type="page"/>
      </w:r>
    </w:p>
    <w:p w:rsidR="008835EB" w:rsidRPr="009E424E" w:rsidRDefault="008835EB" w:rsidP="008835EB">
      <w:pPr>
        <w:pStyle w:val="SectionHeading"/>
      </w:pPr>
      <w:bookmarkStart w:id="107" w:name="_Toc456689841"/>
      <w:r>
        <w:lastRenderedPageBreak/>
        <w:t xml:space="preserve">Departmental </w:t>
      </w:r>
      <w:r w:rsidRPr="00233767">
        <w:t>Financial</w:t>
      </w:r>
      <w:r>
        <w:t xml:space="preserve"> </w:t>
      </w:r>
      <w:r w:rsidRPr="00BE05B2">
        <w:t>Performance</w:t>
      </w:r>
      <w:bookmarkEnd w:id="105"/>
      <w:bookmarkEnd w:id="106"/>
      <w:bookmarkEnd w:id="107"/>
    </w:p>
    <w:p w:rsidR="008835EB" w:rsidRPr="00294B2B" w:rsidRDefault="008835EB" w:rsidP="008835EB">
      <w:pPr>
        <w:spacing w:after="120"/>
      </w:pPr>
      <w:bookmarkStart w:id="108" w:name="_Toc444065771"/>
      <w:r w:rsidRPr="00AE64B6">
        <w:t xml:space="preserve">This section analyses the financial performance of the </w:t>
      </w:r>
      <w:r w:rsidR="00FA455C">
        <w:t>Department of Employment</w:t>
      </w:r>
      <w:r w:rsidRPr="00AE64B6">
        <w:t xml:space="preserve"> for the year </w:t>
      </w:r>
      <w:r w:rsidRPr="00BE05B2">
        <w:t>ended</w:t>
      </w:r>
      <w:r>
        <w:t xml:space="preserve"> </w:t>
      </w:r>
      <w:r w:rsidR="00FA455C">
        <w:t>2016</w:t>
      </w:r>
      <w:r w:rsidRPr="00AE64B6">
        <w:t>.</w:t>
      </w:r>
      <w:bookmarkEnd w:id="108"/>
      <w:r>
        <w:t xml:space="preserve"> </w:t>
      </w:r>
    </w:p>
    <w:p w:rsidR="008835EB" w:rsidRDefault="008835EB" w:rsidP="008835EB">
      <w:pPr>
        <w:pStyle w:val="SubHeading"/>
      </w:pPr>
      <w:bookmarkStart w:id="109" w:name="_Toc443469523"/>
      <w:bookmarkStart w:id="110" w:name="_Toc444065772"/>
      <w:bookmarkStart w:id="111" w:name="_Toc444077333"/>
      <w:bookmarkStart w:id="112" w:name="_Toc456689842"/>
      <w:r w:rsidRPr="00BE05B2">
        <w:t>Expenses</w:t>
      </w:r>
      <w:bookmarkEnd w:id="109"/>
      <w:bookmarkEnd w:id="110"/>
      <w:bookmarkEnd w:id="111"/>
      <w:bookmarkEnd w:id="112"/>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98"/>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bookmarkStart w:id="113" w:name="RANGE!D7:D19"/>
            <w:bookmarkStart w:id="114" w:name="Note_EEXTABLE1" w:colFirst="0" w:colLast="0"/>
            <w:r>
              <w:rPr>
                <w:rFonts w:cs="Calibri"/>
                <w:szCs w:val="18"/>
              </w:rPr>
              <w:t> </w:t>
            </w:r>
            <w:bookmarkEnd w:id="113"/>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w:t>
            </w:r>
          </w:p>
        </w:tc>
      </w:tr>
      <w:bookmarkEnd w:id="114"/>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pStyle w:val="NotesHeading-Level1"/>
            </w:pPr>
            <w:r>
              <w:t xml:space="preserve">Note </w:t>
            </w:r>
            <w:proofErr w:type="spellStart"/>
            <w:r>
              <w:t>1.1A</w:t>
            </w:r>
            <w:proofErr w:type="spellEnd"/>
            <w:r>
              <w:t>: Employee Benefits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Wages and salaries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147,518</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135,974</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Superannuation</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Defined contribution plans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14,144</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12,392</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Defined benefit plans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17,577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16,391</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Leave and other entitlements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19,132</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14,989</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Separations and redundancies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3,167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540</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Other employee expenses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1,737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1,393</w:t>
            </w:r>
          </w:p>
        </w:tc>
      </w:tr>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i/>
                <w:iCs/>
                <w:szCs w:val="18"/>
              </w:rPr>
            </w:pPr>
            <w:r>
              <w:rPr>
                <w:rFonts w:cs="Calibri"/>
                <w:b/>
                <w:bCs/>
                <w:i/>
                <w:iCs/>
                <w:szCs w:val="18"/>
              </w:rPr>
              <w:t>Total employee benefits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203,275</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181,679</w:t>
            </w:r>
          </w:p>
        </w:tc>
      </w:tr>
    </w:tbl>
    <w:p w:rsidR="008835EB" w:rsidRDefault="008835EB" w:rsidP="008835EB"/>
    <w:p w:rsidR="008835EB" w:rsidRPr="004A43F1" w:rsidRDefault="008835EB" w:rsidP="008835EB">
      <w:pPr>
        <w:pStyle w:val="PolicyheadingDept"/>
      </w:pPr>
      <w:r w:rsidRPr="004A43F1">
        <w:t>Accounting Policy</w:t>
      </w:r>
    </w:p>
    <w:p w:rsidR="008835EB" w:rsidRPr="00BD045B" w:rsidRDefault="008835EB" w:rsidP="008835EB">
      <w:pPr>
        <w:pStyle w:val="PolicytextDept"/>
      </w:pPr>
      <w:r>
        <w:t>Accounting policies for employee related expenses is contained in the People and Relationships section.</w:t>
      </w:r>
    </w:p>
    <w:p w:rsidR="008835EB" w:rsidRDefault="008835EB" w:rsidP="008835EB">
      <w:pPr>
        <w:spacing w:line="240" w:lineRule="auto"/>
      </w:pP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bookmarkStart w:id="115" w:name="Note_SXPTABLE1" w:colFirst="0" w:colLast="0"/>
            <w:r>
              <w:rPr>
                <w:rFonts w:cs="Calibri"/>
                <w:szCs w:val="18"/>
              </w:rPr>
              <w:t> </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bookmarkEnd w:id="115"/>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pStyle w:val="NotesHeading-Level1"/>
            </w:pPr>
            <w:r>
              <w:t xml:space="preserve">Note </w:t>
            </w:r>
            <w:proofErr w:type="spellStart"/>
            <w:r>
              <w:t>1.1B</w:t>
            </w:r>
            <w:proofErr w:type="spellEnd"/>
            <w:r>
              <w:t>: Suppliers</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Goods and services supplied or rendered</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Consultants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15,464</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8,854</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Contractors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12,393</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8,980</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Travel</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3,881</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4,512</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IT services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19,273</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23,896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Property</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3,176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8,896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Resources provided free of charge</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460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460</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Legal</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2,501</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2,896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14,192</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14,332</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goods and services supplied or rendered</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71,340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72,826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Provision of goods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1,667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2,099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Rendering of services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69,673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70,727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goods and services supplied or rendered</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71,340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72,826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Expenses paid on behalf of portfolio agency</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19,315</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Other suppliers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Operating lease rentals in connection with</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Minimum lease repayments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29,247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27,938</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Workers compensation expenses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1,260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3,441</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other suppliers</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30,507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31,379</w:t>
            </w:r>
          </w:p>
        </w:tc>
      </w:tr>
      <w:tr w:rsidR="008835EB" w:rsidTr="007E3F2E">
        <w:trPr>
          <w:trHeight w:val="27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suppliers</w:t>
            </w:r>
          </w:p>
        </w:tc>
        <w:tc>
          <w:tcPr>
            <w:tcW w:w="1252"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101,847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123,520</w:t>
            </w:r>
          </w:p>
        </w:tc>
      </w:tr>
      <w:tr w:rsidR="008835EB" w:rsidTr="007E3F2E">
        <w:trPr>
          <w:trHeight w:val="27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bl>
    <w:p w:rsidR="008835EB" w:rsidRDefault="008835EB" w:rsidP="008835EB">
      <w:r>
        <w:br w:type="page"/>
      </w: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lastRenderedPageBreak/>
              <w:t>Leasing commitments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300"/>
        </w:trPr>
        <w:tc>
          <w:tcPr>
            <w:tcW w:w="9087" w:type="dxa"/>
            <w:gridSpan w:val="4"/>
            <w:tcBorders>
              <w:top w:val="nil"/>
              <w:left w:val="nil"/>
              <w:bottom w:val="nil"/>
              <w:right w:val="nil"/>
            </w:tcBorders>
            <w:shd w:val="clear" w:color="auto" w:fill="auto"/>
            <w:vAlign w:val="bottom"/>
            <w:hideMark/>
          </w:tcPr>
          <w:p w:rsidR="008835EB" w:rsidRDefault="008835EB" w:rsidP="007E3F2E">
            <w:pPr>
              <w:rPr>
                <w:rFonts w:cs="Calibri"/>
                <w:szCs w:val="18"/>
              </w:rPr>
            </w:pPr>
            <w:r>
              <w:rPr>
                <w:rFonts w:cs="Calibri"/>
                <w:szCs w:val="18"/>
              </w:rPr>
              <w:t>Leases for office accommodation. Lease payments are subject to periodic market value or indexed increases.</w:t>
            </w:r>
          </w:p>
        </w:tc>
      </w:tr>
      <w:tr w:rsidR="008835EB" w:rsidTr="007E3F2E">
        <w:trPr>
          <w:trHeight w:val="165"/>
        </w:trPr>
        <w:tc>
          <w:tcPr>
            <w:tcW w:w="9087" w:type="dxa"/>
            <w:gridSpan w:val="4"/>
            <w:tcBorders>
              <w:top w:val="nil"/>
              <w:left w:val="nil"/>
              <w:bottom w:val="nil"/>
              <w:right w:val="nil"/>
            </w:tcBorders>
            <w:shd w:val="clear" w:color="auto" w:fill="auto"/>
            <w:vAlign w:val="bottom"/>
            <w:hideMark/>
          </w:tcPr>
          <w:p w:rsidR="008835EB" w:rsidRDefault="008835EB" w:rsidP="007E3F2E">
            <w:pPr>
              <w:rPr>
                <w:rFonts w:cs="Calibri"/>
                <w:szCs w:val="18"/>
              </w:rPr>
            </w:pP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48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Commitments for minimum lease payments in relation to non-cancellable operating leases are payable as follows:</w:t>
            </w:r>
          </w:p>
        </w:tc>
        <w:tc>
          <w:tcPr>
            <w:tcW w:w="125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Within 1 year</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26,596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30,806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Between 1 to 5 years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84,475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78,273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More than 5 years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69,836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82,882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operating lease commitments</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180,907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191,961</w:t>
            </w:r>
          </w:p>
        </w:tc>
      </w:tr>
    </w:tbl>
    <w:p w:rsidR="008835EB" w:rsidRDefault="008835EB" w:rsidP="008835EB">
      <w:pPr>
        <w:spacing w:line="240" w:lineRule="auto"/>
        <w:rPr>
          <w:rFonts w:cs="Calibri"/>
          <w:szCs w:val="18"/>
        </w:rPr>
      </w:pPr>
      <w:bookmarkStart w:id="116" w:name="RANGE!D9:G45"/>
      <w:bookmarkStart w:id="117" w:name="RANGE!D7:G43"/>
      <w:bookmarkStart w:id="118" w:name="RANGE!D7:G41"/>
      <w:bookmarkStart w:id="119" w:name="RANGE!D7:G35"/>
      <w:bookmarkStart w:id="120" w:name="RANGE!D7:G34"/>
      <w:bookmarkStart w:id="121" w:name="RANGE!D7:G37"/>
      <w:bookmarkStart w:id="122" w:name="RANGE!D7:G32"/>
      <w:bookmarkStart w:id="123" w:name="RANGE!D6:G35"/>
      <w:bookmarkStart w:id="124" w:name="RANGE!D6:D34"/>
      <w:bookmarkStart w:id="125" w:name="RANGE!D6:G34"/>
      <w:bookmarkEnd w:id="116"/>
      <w:bookmarkEnd w:id="117"/>
      <w:bookmarkEnd w:id="118"/>
      <w:bookmarkEnd w:id="119"/>
      <w:bookmarkEnd w:id="120"/>
      <w:bookmarkEnd w:id="121"/>
      <w:bookmarkEnd w:id="122"/>
      <w:bookmarkEnd w:id="123"/>
      <w:bookmarkEnd w:id="124"/>
      <w:bookmarkEnd w:id="125"/>
    </w:p>
    <w:p w:rsidR="008835EB" w:rsidRPr="004A43F1" w:rsidRDefault="008835EB" w:rsidP="008835EB">
      <w:pPr>
        <w:pStyle w:val="PolicyheadingDept"/>
      </w:pPr>
      <w:r w:rsidRPr="004A43F1">
        <w:t>Accounting Policy</w:t>
      </w:r>
    </w:p>
    <w:p w:rsidR="008835EB" w:rsidRDefault="008835EB" w:rsidP="008835EB">
      <w:pPr>
        <w:pStyle w:val="Policytextunderline"/>
      </w:pPr>
      <w:r>
        <w:t>Leases</w:t>
      </w:r>
    </w:p>
    <w:p w:rsidR="008835EB" w:rsidRPr="00BD045B" w:rsidRDefault="008835EB" w:rsidP="008835EB">
      <w:pPr>
        <w:pStyle w:val="Policytextunderline"/>
        <w:rPr>
          <w:i w:val="0"/>
          <w:u w:val="none"/>
        </w:rPr>
      </w:pPr>
      <w:r w:rsidRPr="00BD045B">
        <w:rPr>
          <w:i w:val="0"/>
          <w:u w:val="none"/>
        </w:rPr>
        <w:t>An operating lease is a lease that is not a finance lease and where the lessor effectively retains substantially all such risks and benefits.</w:t>
      </w:r>
    </w:p>
    <w:p w:rsidR="008835EB" w:rsidRPr="00BD045B" w:rsidRDefault="008835EB" w:rsidP="008835EB">
      <w:pPr>
        <w:pStyle w:val="Policytextunderline"/>
        <w:rPr>
          <w:i w:val="0"/>
          <w:u w:val="none"/>
        </w:rPr>
      </w:pPr>
      <w:r w:rsidRPr="00BD045B">
        <w:rPr>
          <w:i w:val="0"/>
          <w:u w:val="none"/>
        </w:rPr>
        <w:t>Operating lease payments are expensed on a straight-line basis which is representative of the pattern of benefits derived from the leased assets.</w:t>
      </w:r>
      <w:r>
        <w:rPr>
          <w:i w:val="0"/>
          <w:u w:val="none"/>
        </w:rPr>
        <w:t xml:space="preserve"> </w:t>
      </w:r>
    </w:p>
    <w:p w:rsidR="008835EB" w:rsidRDefault="008835EB" w:rsidP="008835EB">
      <w:pPr>
        <w:spacing w:line="240" w:lineRule="auto"/>
        <w:rPr>
          <w:rFonts w:cs="Calibri"/>
          <w:szCs w:val="18"/>
        </w:rPr>
      </w:pP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bookmarkStart w:id="126" w:name="RANGE!D7:D14"/>
            <w:bookmarkStart w:id="127" w:name="Note_GRXTABLE1" w:colFirst="0" w:colLast="0"/>
            <w:r>
              <w:rPr>
                <w:rFonts w:cs="Calibri"/>
                <w:szCs w:val="18"/>
              </w:rPr>
              <w:t> </w:t>
            </w:r>
            <w:bookmarkEnd w:id="126"/>
          </w:p>
        </w:tc>
        <w:tc>
          <w:tcPr>
            <w:tcW w:w="123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bookmarkEnd w:id="127"/>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pStyle w:val="NotesHeading-Level1"/>
            </w:pPr>
            <w:r>
              <w:t xml:space="preserve">Note </w:t>
            </w:r>
            <w:proofErr w:type="spellStart"/>
            <w:r>
              <w:t>1.1C</w:t>
            </w:r>
            <w:proofErr w:type="spellEnd"/>
            <w:r>
              <w:t>: Grants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Private sector</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Non-profit organisations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215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423</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85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1,016</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grants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1,439</w:t>
            </w:r>
          </w:p>
        </w:tc>
      </w:tr>
    </w:tbl>
    <w:p w:rsidR="008835EB" w:rsidRDefault="008835EB" w:rsidP="008835EB">
      <w:bookmarkStart w:id="128" w:name="RANGE!D6:D20"/>
      <w:bookmarkStart w:id="129" w:name="RANGE!D6:G20"/>
      <w:bookmarkStart w:id="130" w:name="RANGE!D7:G14"/>
      <w:bookmarkStart w:id="131" w:name="RANGE!D7:G10"/>
      <w:bookmarkStart w:id="132" w:name="RANGE!D6:G8"/>
      <w:bookmarkStart w:id="133" w:name="RANGE!D6:D13"/>
      <w:bookmarkStart w:id="134" w:name="RANGE!D6:G13"/>
      <w:bookmarkEnd w:id="128"/>
      <w:bookmarkEnd w:id="129"/>
      <w:bookmarkEnd w:id="130"/>
      <w:bookmarkEnd w:id="131"/>
      <w:bookmarkEnd w:id="132"/>
      <w:bookmarkEnd w:id="133"/>
      <w:bookmarkEnd w:id="134"/>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pStyle w:val="NotesHeading-Level1"/>
            </w:pPr>
            <w:bookmarkStart w:id="135" w:name="Note_FCETABLE1" w:colFirst="0" w:colLast="0"/>
            <w:r>
              <w:t xml:space="preserve">Note </w:t>
            </w:r>
            <w:proofErr w:type="spellStart"/>
            <w:r>
              <w:t>1.1D</w:t>
            </w:r>
            <w:proofErr w:type="spellEnd"/>
            <w:r>
              <w:t>: Finance Costs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bookmarkEnd w:id="135"/>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8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Discount for restoration</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17</w:t>
            </w:r>
          </w:p>
        </w:tc>
      </w:tr>
      <w:tr w:rsidR="008835EB" w:rsidTr="007E3F2E">
        <w:trPr>
          <w:trHeight w:val="28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Discount for surplus lease space</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53</w:t>
            </w:r>
          </w:p>
        </w:tc>
      </w:tr>
      <w:tr w:rsidR="008835EB" w:rsidTr="007E3F2E">
        <w:trPr>
          <w:trHeight w:val="28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Discount for lease incentives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404</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finance costs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474</w:t>
            </w:r>
          </w:p>
        </w:tc>
      </w:tr>
    </w:tbl>
    <w:p w:rsidR="008835EB" w:rsidRDefault="008835EB" w:rsidP="008835EB"/>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pStyle w:val="NotesHeading-Level1"/>
            </w:pPr>
            <w:bookmarkStart w:id="136" w:name="Note_WDATABLE1" w:colFirst="0" w:colLast="0"/>
            <w:r>
              <w:t xml:space="preserve">Note </w:t>
            </w:r>
            <w:proofErr w:type="spellStart"/>
            <w:r>
              <w:t>1.1E</w:t>
            </w:r>
            <w:proofErr w:type="spellEnd"/>
            <w:r>
              <w:t>: Write-Down and Impairment of Assets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bookmarkEnd w:id="136"/>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Asset write-downs and impairments from</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Write-off of receivables—goods and services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Impairment of receivables—goods and services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Impairment of leasehold improvements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689</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Write-off of leasehold improvements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Write-off of infrastructure, plant and equipment</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81</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Write-off of intangibles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144</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58</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write-down and impairment of assets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371</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848</w:t>
            </w:r>
          </w:p>
        </w:tc>
      </w:tr>
    </w:tbl>
    <w:p w:rsidR="008835EB" w:rsidRDefault="008835EB" w:rsidP="008835EB">
      <w:pPr>
        <w:spacing w:line="240" w:lineRule="auto"/>
      </w:pPr>
      <w:bookmarkStart w:id="137" w:name="RANGE!D7:G18"/>
      <w:bookmarkStart w:id="138" w:name="RANGE!D6:D17"/>
      <w:bookmarkStart w:id="139" w:name="RANGE!D6:G17"/>
      <w:bookmarkStart w:id="140" w:name="RANGE!D6:D10"/>
      <w:bookmarkStart w:id="141" w:name="RANGE!D6:G10"/>
      <w:bookmarkEnd w:id="137"/>
      <w:bookmarkEnd w:id="138"/>
      <w:bookmarkEnd w:id="139"/>
      <w:bookmarkEnd w:id="140"/>
      <w:bookmarkEnd w:id="141"/>
    </w:p>
    <w:p w:rsidR="008835EB" w:rsidRDefault="008835EB" w:rsidP="008835EB">
      <w:pPr>
        <w:spacing w:line="240" w:lineRule="auto"/>
      </w:pPr>
      <w:r>
        <w:br w:type="page"/>
      </w:r>
    </w:p>
    <w:p w:rsidR="008835EB" w:rsidRDefault="008835EB" w:rsidP="008835EB">
      <w:pPr>
        <w:pStyle w:val="SubHeading"/>
      </w:pPr>
      <w:bookmarkStart w:id="142" w:name="RANGE!D6:G37"/>
      <w:bookmarkStart w:id="143" w:name="RANGE!D6:D38"/>
      <w:bookmarkStart w:id="144" w:name="RANGE!D6:G38"/>
      <w:bookmarkStart w:id="145" w:name="_Toc456689843"/>
      <w:bookmarkEnd w:id="142"/>
      <w:bookmarkEnd w:id="143"/>
      <w:bookmarkEnd w:id="144"/>
      <w:r>
        <w:lastRenderedPageBreak/>
        <w:t>Income</w:t>
      </w:r>
      <w:bookmarkEnd w:id="145"/>
    </w:p>
    <w:tbl>
      <w:tblPr>
        <w:tblW w:w="9087" w:type="dxa"/>
        <w:tblInd w:w="80" w:type="dxa"/>
        <w:tblLayout w:type="fixed"/>
        <w:tblLook w:val="04A0" w:firstRow="1" w:lastRow="0" w:firstColumn="1" w:lastColumn="0" w:noHBand="0" w:noVBand="1"/>
      </w:tblPr>
      <w:tblGrid>
        <w:gridCol w:w="5563"/>
        <w:gridCol w:w="1585"/>
        <w:gridCol w:w="354"/>
        <w:gridCol w:w="1585"/>
      </w:tblGrid>
      <w:tr w:rsidR="008835EB" w:rsidTr="007E3F2E">
        <w:trPr>
          <w:trHeight w:val="255"/>
        </w:trPr>
        <w:tc>
          <w:tcPr>
            <w:tcW w:w="5563"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bookmarkStart w:id="146" w:name="Note_GASTABLE1" w:colFirst="0" w:colLast="0"/>
            <w:r>
              <w:rPr>
                <w:rFonts w:cs="Calibri"/>
                <w:b/>
                <w:bCs/>
                <w:szCs w:val="18"/>
              </w:rPr>
              <w:t>OWN-SOURCE REVENUE</w:t>
            </w:r>
          </w:p>
        </w:tc>
        <w:tc>
          <w:tcPr>
            <w:tcW w:w="1585"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354"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585"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bookmarkEnd w:id="146"/>
      <w:tr w:rsidR="008835EB" w:rsidTr="007E3F2E">
        <w:trPr>
          <w:trHeight w:val="255"/>
        </w:trPr>
        <w:tc>
          <w:tcPr>
            <w:tcW w:w="5563"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585"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35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85"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5563" w:type="dxa"/>
            <w:tcBorders>
              <w:top w:val="nil"/>
              <w:left w:val="nil"/>
              <w:bottom w:val="nil"/>
              <w:right w:val="nil"/>
            </w:tcBorders>
            <w:shd w:val="clear" w:color="FFFFFF" w:fill="FFFFFF"/>
            <w:noWrap/>
            <w:vAlign w:val="bottom"/>
            <w:hideMark/>
          </w:tcPr>
          <w:p w:rsidR="008835EB" w:rsidRDefault="008835EB" w:rsidP="007E3F2E">
            <w:pPr>
              <w:pStyle w:val="NotesHeading-Level1"/>
            </w:pPr>
            <w:r>
              <w:t xml:space="preserve">Note </w:t>
            </w:r>
            <w:proofErr w:type="spellStart"/>
            <w:r>
              <w:t>1.2A</w:t>
            </w:r>
            <w:proofErr w:type="spellEnd"/>
            <w:r>
              <w:t>: Sale of Goods and Rendering of Services</w:t>
            </w:r>
          </w:p>
        </w:tc>
        <w:tc>
          <w:tcPr>
            <w:tcW w:w="158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35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8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563"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8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35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8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56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Sales of goods</w:t>
            </w:r>
          </w:p>
        </w:tc>
        <w:tc>
          <w:tcPr>
            <w:tcW w:w="158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42</w:t>
            </w:r>
          </w:p>
        </w:tc>
        <w:tc>
          <w:tcPr>
            <w:tcW w:w="35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w:t>
            </w:r>
          </w:p>
        </w:tc>
      </w:tr>
      <w:tr w:rsidR="008835EB" w:rsidTr="007E3F2E">
        <w:trPr>
          <w:trHeight w:val="255"/>
        </w:trPr>
        <w:tc>
          <w:tcPr>
            <w:tcW w:w="556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Rendering of services</w:t>
            </w:r>
          </w:p>
        </w:tc>
        <w:tc>
          <w:tcPr>
            <w:tcW w:w="158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23,771</w:t>
            </w:r>
          </w:p>
        </w:tc>
        <w:tc>
          <w:tcPr>
            <w:tcW w:w="35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26,084</w:t>
            </w:r>
          </w:p>
        </w:tc>
      </w:tr>
      <w:tr w:rsidR="008835EB" w:rsidTr="007E3F2E">
        <w:trPr>
          <w:trHeight w:val="270"/>
        </w:trPr>
        <w:tc>
          <w:tcPr>
            <w:tcW w:w="5563"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sale of goods and rendering of services</w:t>
            </w:r>
          </w:p>
        </w:tc>
        <w:tc>
          <w:tcPr>
            <w:tcW w:w="158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23,813</w:t>
            </w:r>
          </w:p>
        </w:tc>
        <w:tc>
          <w:tcPr>
            <w:tcW w:w="354"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8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26,100</w:t>
            </w:r>
          </w:p>
        </w:tc>
      </w:tr>
    </w:tbl>
    <w:p w:rsidR="008835EB" w:rsidRDefault="008835EB" w:rsidP="008835EB">
      <w:bookmarkStart w:id="147" w:name="RANGE!D6:D12"/>
      <w:bookmarkStart w:id="148" w:name="RANGE!D6:G12"/>
      <w:bookmarkEnd w:id="147"/>
      <w:bookmarkEnd w:id="148"/>
    </w:p>
    <w:p w:rsidR="008835EB" w:rsidRPr="004A43F1" w:rsidRDefault="008835EB" w:rsidP="008835EB">
      <w:pPr>
        <w:pStyle w:val="PolicyheadingDept"/>
      </w:pPr>
      <w:r w:rsidRPr="004A43F1">
        <w:t>Accounting Policy</w:t>
      </w:r>
    </w:p>
    <w:p w:rsidR="008835EB" w:rsidRPr="008025EC" w:rsidRDefault="008835EB" w:rsidP="008835EB">
      <w:pPr>
        <w:pStyle w:val="PolicytextDept"/>
      </w:pPr>
      <w:r w:rsidRPr="008025EC">
        <w:rPr>
          <w:lang w:eastAsia="en-AU"/>
        </w:rPr>
        <w:t>Revenue from the sale of goods is recognised when</w:t>
      </w:r>
      <w:r w:rsidRPr="008025EC">
        <w:t>:</w:t>
      </w:r>
    </w:p>
    <w:p w:rsidR="008835EB" w:rsidRPr="008025EC" w:rsidRDefault="008835EB" w:rsidP="008835EB">
      <w:pPr>
        <w:pStyle w:val="PolicytextDept"/>
        <w:numPr>
          <w:ilvl w:val="0"/>
          <w:numId w:val="8"/>
        </w:numPr>
        <w:spacing w:after="0"/>
      </w:pPr>
      <w:r w:rsidRPr="008025EC">
        <w:t>the risks and rewards of ownership have been transferred to the buyer;</w:t>
      </w:r>
    </w:p>
    <w:p w:rsidR="008835EB" w:rsidRPr="008025EC" w:rsidRDefault="008835EB" w:rsidP="008835EB">
      <w:pPr>
        <w:pStyle w:val="PolicytextDept"/>
        <w:numPr>
          <w:ilvl w:val="0"/>
          <w:numId w:val="8"/>
        </w:numPr>
        <w:spacing w:after="0"/>
      </w:pPr>
      <w:r w:rsidRPr="008025EC">
        <w:t>the department retains no managerial involvement or effective control over the goods;</w:t>
      </w:r>
    </w:p>
    <w:p w:rsidR="008835EB" w:rsidRPr="008025EC" w:rsidRDefault="008835EB" w:rsidP="008835EB">
      <w:pPr>
        <w:pStyle w:val="PolicytextDept"/>
        <w:numPr>
          <w:ilvl w:val="0"/>
          <w:numId w:val="8"/>
        </w:numPr>
        <w:spacing w:after="0"/>
      </w:pPr>
      <w:r w:rsidRPr="008025EC">
        <w:t>the revenue and transaction costs incurred can be reliably measured; and</w:t>
      </w:r>
    </w:p>
    <w:p w:rsidR="008835EB" w:rsidRPr="008025EC" w:rsidRDefault="008835EB" w:rsidP="008835EB">
      <w:pPr>
        <w:pStyle w:val="PolicytextDept"/>
        <w:numPr>
          <w:ilvl w:val="0"/>
          <w:numId w:val="8"/>
        </w:numPr>
        <w:rPr>
          <w:rFonts w:eastAsiaTheme="minorHAnsi"/>
        </w:rPr>
      </w:pPr>
      <w:proofErr w:type="gramStart"/>
      <w:r w:rsidRPr="008025EC">
        <w:t>it</w:t>
      </w:r>
      <w:proofErr w:type="gramEnd"/>
      <w:r w:rsidRPr="008025EC">
        <w:t xml:space="preserve"> is probable that the economic benefits associated with th</w:t>
      </w:r>
      <w:r>
        <w:t>e transaction will flow to the D</w:t>
      </w:r>
      <w:r w:rsidRPr="008025EC">
        <w:t>epartment.</w:t>
      </w:r>
    </w:p>
    <w:p w:rsidR="008835EB" w:rsidRPr="008025EC" w:rsidRDefault="008835EB" w:rsidP="008835EB">
      <w:pPr>
        <w:pStyle w:val="PolicytextDept"/>
      </w:pPr>
      <w:r w:rsidRPr="008025EC">
        <w:rPr>
          <w:lang w:eastAsia="en-AU"/>
        </w:rPr>
        <w:t>Revenue from rendering of services is recognised by reference to the stage of completion of co</w:t>
      </w:r>
      <w:r>
        <w:rPr>
          <w:lang w:eastAsia="en-AU"/>
        </w:rPr>
        <w:t xml:space="preserve">ntracts at the reporting date. </w:t>
      </w:r>
      <w:r w:rsidRPr="008025EC">
        <w:rPr>
          <w:lang w:eastAsia="en-AU"/>
        </w:rPr>
        <w:t>The revenue is recognised when</w:t>
      </w:r>
      <w:r w:rsidRPr="008025EC">
        <w:t>:</w:t>
      </w:r>
    </w:p>
    <w:p w:rsidR="008835EB" w:rsidRPr="008025EC" w:rsidRDefault="008835EB" w:rsidP="008835EB">
      <w:pPr>
        <w:pStyle w:val="PolicytextDept"/>
        <w:numPr>
          <w:ilvl w:val="0"/>
          <w:numId w:val="9"/>
        </w:numPr>
        <w:spacing w:after="0"/>
      </w:pPr>
      <w:r w:rsidRPr="008025EC">
        <w:t>the amount of revenue, stage of completion and transaction costs incurred can be reliably</w:t>
      </w:r>
      <w:r w:rsidRPr="008025EC">
        <w:br/>
        <w:t>measured; and</w:t>
      </w:r>
    </w:p>
    <w:p w:rsidR="008835EB" w:rsidRPr="008025EC" w:rsidRDefault="008835EB" w:rsidP="008835EB">
      <w:pPr>
        <w:pStyle w:val="PolicytextDept"/>
        <w:numPr>
          <w:ilvl w:val="0"/>
          <w:numId w:val="9"/>
        </w:numPr>
      </w:pPr>
      <w:proofErr w:type="gramStart"/>
      <w:r w:rsidRPr="008025EC">
        <w:t>the</w:t>
      </w:r>
      <w:proofErr w:type="gramEnd"/>
      <w:r w:rsidRPr="008025EC">
        <w:t xml:space="preserve"> probable economic benefits associated with the transaction will</w:t>
      </w:r>
      <w:r>
        <w:t xml:space="preserve"> flow to the D</w:t>
      </w:r>
      <w:r w:rsidRPr="008025EC">
        <w:t>epartment.</w:t>
      </w:r>
    </w:p>
    <w:p w:rsidR="008835EB" w:rsidRDefault="008835EB" w:rsidP="008835EB">
      <w:pPr>
        <w:pStyle w:val="PolicytextDept"/>
        <w:spacing w:after="0"/>
      </w:pPr>
      <w:r w:rsidRPr="008025EC">
        <w:t xml:space="preserve">The stage of completion of contracts at the reporting date is determined by reference to the proportion that costs incurred to date bear to the estimated </w:t>
      </w:r>
      <w:r>
        <w:t>total costs of the transaction.</w:t>
      </w:r>
    </w:p>
    <w:p w:rsidR="008835EB" w:rsidRPr="00C9579D" w:rsidRDefault="008835EB" w:rsidP="008835EB"/>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9087" w:type="dxa"/>
            <w:gridSpan w:val="4"/>
            <w:tcBorders>
              <w:top w:val="nil"/>
              <w:left w:val="nil"/>
              <w:bottom w:val="nil"/>
              <w:right w:val="nil"/>
            </w:tcBorders>
            <w:shd w:val="clear" w:color="FFFFFF" w:fill="FFFFFF"/>
            <w:vAlign w:val="bottom"/>
            <w:hideMark/>
          </w:tcPr>
          <w:p w:rsidR="008835EB" w:rsidRDefault="008835EB" w:rsidP="007E3F2E">
            <w:pPr>
              <w:rPr>
                <w:rFonts w:cs="Calibri"/>
                <w:b/>
                <w:bCs/>
                <w:szCs w:val="18"/>
              </w:rPr>
            </w:pPr>
            <w:bookmarkStart w:id="149" w:name="Note_SRCTABLE1" w:colFirst="0" w:colLast="0"/>
            <w:r>
              <w:rPr>
                <w:rFonts w:cs="Calibri"/>
                <w:b/>
                <w:bCs/>
                <w:szCs w:val="18"/>
              </w:rPr>
              <w:t>Subleasing rental income commitments</w:t>
            </w:r>
          </w:p>
        </w:tc>
      </w:tr>
      <w:bookmarkEnd w:id="149"/>
      <w:tr w:rsidR="008835EB" w:rsidTr="007E3F2E">
        <w:trPr>
          <w:trHeight w:val="527"/>
        </w:trPr>
        <w:tc>
          <w:tcPr>
            <w:tcW w:w="9087" w:type="dxa"/>
            <w:gridSpan w:val="4"/>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Sub lease revenue for office accommodation. Vacant office space is sub leased where possible. The total of future minimum lease payments expected to be received over the next five years is $3.93 million including GST.</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Pr="006B7639" w:rsidRDefault="008835EB" w:rsidP="008835EB">
            <w:pPr>
              <w:ind w:firstLineChars="100" w:firstLine="180"/>
              <w:rPr>
                <w:rFonts w:cs="Calibri"/>
                <w:szCs w:val="18"/>
              </w:rPr>
            </w:pP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Pr="006B7639" w:rsidRDefault="008835EB" w:rsidP="007E3F2E">
            <w:pPr>
              <w:rPr>
                <w:rFonts w:cs="Calibri"/>
                <w:szCs w:val="18"/>
              </w:rPr>
            </w:pPr>
            <w:r w:rsidRPr="006B7639">
              <w:rPr>
                <w:rFonts w:cs="Calibri"/>
                <w:szCs w:val="18"/>
              </w:rPr>
              <w:t> </w:t>
            </w:r>
          </w:p>
        </w:tc>
        <w:tc>
          <w:tcPr>
            <w:tcW w:w="1250" w:type="dxa"/>
            <w:tcBorders>
              <w:top w:val="nil"/>
              <w:left w:val="nil"/>
              <w:bottom w:val="nil"/>
              <w:right w:val="nil"/>
            </w:tcBorders>
            <w:shd w:val="clear" w:color="FFFFFF" w:fill="FFFFFF"/>
            <w:noWrap/>
            <w:vAlign w:val="bottom"/>
            <w:hideMark/>
          </w:tcPr>
          <w:p w:rsidR="008835EB" w:rsidRPr="006B7639" w:rsidRDefault="008835EB" w:rsidP="007E3F2E">
            <w:pPr>
              <w:jc w:val="right"/>
              <w:rPr>
                <w:rFonts w:cs="Calibri"/>
                <w:szCs w:val="18"/>
              </w:rPr>
            </w:pPr>
            <w:r w:rsidRPr="006B7639">
              <w:rPr>
                <w:rFonts w:cs="Calibri"/>
                <w:szCs w:val="18"/>
              </w:rPr>
              <w:t>2015</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Pr="006B7639" w:rsidRDefault="008835EB" w:rsidP="008835EB">
            <w:pPr>
              <w:ind w:firstLineChars="100" w:firstLine="180"/>
              <w:rPr>
                <w:rFonts w:cs="Calibri"/>
                <w:szCs w:val="18"/>
              </w:rPr>
            </w:pPr>
            <w:r w:rsidRPr="006B7639">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Pr="006B7639" w:rsidRDefault="008835EB" w:rsidP="007E3F2E">
            <w:pPr>
              <w:jc w:val="right"/>
              <w:rPr>
                <w:rFonts w:cs="Calibri"/>
                <w:szCs w:val="18"/>
              </w:rPr>
            </w:pPr>
            <w:r w:rsidRPr="006B7639">
              <w:rPr>
                <w:rFonts w:cs="Calibri"/>
                <w:szCs w:val="18"/>
              </w:rPr>
              <w:t>$'000</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Commitments for sublease rental income receivables are as follows: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Within 1 year</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(1,520)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(3,359)</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Between 1 to 5 years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(2,406)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(2,878)</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More than 5 years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(253)</w:t>
            </w:r>
          </w:p>
        </w:tc>
      </w:tr>
      <w:tr w:rsidR="008835EB" w:rsidTr="007E3F2E">
        <w:trPr>
          <w:trHeight w:val="27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sublease rental income commitments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(3,926)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(6,490)</w:t>
            </w:r>
          </w:p>
        </w:tc>
      </w:tr>
    </w:tbl>
    <w:p w:rsidR="008835EB" w:rsidRDefault="008835EB" w:rsidP="008835EB"/>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pStyle w:val="NotesHeading-Level1"/>
            </w:pPr>
            <w:bookmarkStart w:id="150" w:name="Note_OGATABLE1" w:colFirst="0" w:colLast="0"/>
            <w:r>
              <w:t xml:space="preserve">Note </w:t>
            </w:r>
            <w:proofErr w:type="spellStart"/>
            <w:r>
              <w:t>1.2B</w:t>
            </w:r>
            <w:proofErr w:type="spellEnd"/>
            <w:r>
              <w:t>: Other Gains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bookmarkEnd w:id="150"/>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Gain on write back of restoration provision</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1,172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229</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First time recognition of assets – infrastructure, plant and equipment</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266</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Write back of provision for surplus lease space</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1,098</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Write back of leaseholds impairment</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262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155</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Write back of intangibles impairment</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18</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Other</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1,152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700</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gains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3,752</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1,361</w:t>
            </w:r>
          </w:p>
        </w:tc>
      </w:tr>
    </w:tbl>
    <w:p w:rsidR="008835EB" w:rsidRDefault="008835EB" w:rsidP="008835EB">
      <w:pPr>
        <w:spacing w:line="240" w:lineRule="auto"/>
        <w:rPr>
          <w:rFonts w:ascii="Arial" w:hAnsi="Arial" w:cs="Arial"/>
          <w:b/>
          <w:bCs/>
          <w:szCs w:val="18"/>
        </w:rPr>
      </w:pPr>
      <w:bookmarkStart w:id="151" w:name="RANGE!D6:D14"/>
      <w:bookmarkStart w:id="152" w:name="RANGE!D6:G14"/>
      <w:bookmarkEnd w:id="151"/>
      <w:bookmarkEnd w:id="152"/>
      <w:r>
        <w:rPr>
          <w:rFonts w:ascii="Arial" w:hAnsi="Arial" w:cs="Arial"/>
          <w:b/>
          <w:bCs/>
          <w:szCs w:val="18"/>
        </w:rPr>
        <w:br w:type="page"/>
      </w:r>
    </w:p>
    <w:p w:rsidR="008835EB" w:rsidRDefault="008835EB" w:rsidP="008835EB">
      <w:pPr>
        <w:pStyle w:val="PolicyheadingDept"/>
      </w:pPr>
      <w:r>
        <w:lastRenderedPageBreak/>
        <w:t>Accounting Policy</w:t>
      </w:r>
    </w:p>
    <w:p w:rsidR="008835EB" w:rsidRPr="00200687" w:rsidRDefault="008835EB" w:rsidP="008835EB">
      <w:pPr>
        <w:pStyle w:val="Policytextunderline"/>
      </w:pPr>
      <w:r w:rsidRPr="00200687">
        <w:t>Revenue from Government</w:t>
      </w:r>
    </w:p>
    <w:p w:rsidR="008835EB" w:rsidRPr="00200687" w:rsidRDefault="008835EB" w:rsidP="008835EB">
      <w:pPr>
        <w:pStyle w:val="PolicytextDept"/>
      </w:pPr>
      <w:r w:rsidRPr="00200687">
        <w:t>Amounts appropriated for departmental appropriations for the year (adjusted for any formal additions and reductions) are recognised as Re</w:t>
      </w:r>
      <w:r>
        <w:t>venue from Government when the D</w:t>
      </w:r>
      <w:r w:rsidRPr="00200687">
        <w:t>epartment gains control of the appropriation, except for certain amounts that relate to activities that are reciprocal in nature, in which case revenue is recognised only when it has been earned. Appropriations receivable are recognised at their nominal amounts.</w:t>
      </w:r>
    </w:p>
    <w:p w:rsidR="008835EB" w:rsidRDefault="008835EB" w:rsidP="008835EB">
      <w:pPr>
        <w:pStyle w:val="PolicytextDept"/>
      </w:pPr>
      <w:r w:rsidRPr="00B0729E">
        <w:t>Funding received or receivable from non-corporate Commonwealth entities (appropriated to the non-corporate Commonwealth entity as a corporate Commonwealth entity payment item for payment to this entity) is recognised as Revenue from Government by the corporate Commonwealth entity unless the funding is in the nature of an equity injection or a loan.</w:t>
      </w:r>
    </w:p>
    <w:p w:rsidR="008835EB" w:rsidRPr="00947672" w:rsidRDefault="008835EB" w:rsidP="008835EB">
      <w:pPr>
        <w:pStyle w:val="Policytextunderline"/>
      </w:pPr>
      <w:r w:rsidRPr="00947672">
        <w:t>Resources Received Free of Charge</w:t>
      </w:r>
    </w:p>
    <w:p w:rsidR="008835EB" w:rsidRDefault="008835EB" w:rsidP="008835EB">
      <w:pPr>
        <w:pStyle w:val="PolicytextDept"/>
      </w:pPr>
      <w:r w:rsidRPr="00200687">
        <w:t>Resources received free of charge are recognised as revenue when, and only when, a fair value can be reliably determined and the services would have been purchased</w:t>
      </w:r>
      <w:r>
        <w:t xml:space="preserve"> if they had not been donated. </w:t>
      </w:r>
      <w:r w:rsidRPr="00200687">
        <w:t>Use of those resources is recognised as an expense. Resources received free of charge are recorded as either revenue or gains depending on their nature.</w:t>
      </w:r>
      <w:r>
        <w:t xml:space="preserve"> </w:t>
      </w:r>
    </w:p>
    <w:p w:rsidR="008835EB" w:rsidRPr="00200687" w:rsidRDefault="008835EB" w:rsidP="008835EB">
      <w:pPr>
        <w:pStyle w:val="PolicytextDept"/>
      </w:pPr>
      <w:r w:rsidRPr="00FB7807">
        <w:t xml:space="preserve">Contributions of assets at no cost of acquisition or for nominal consideration are recognised as gains at their fair value when the asset qualifies for recognition, unless received from another non-corporate or corporate Commonwealth entity as a consequence of a restructuring </w:t>
      </w:r>
      <w:r>
        <w:t>of administrative arrangements.</w:t>
      </w:r>
    </w:p>
    <w:p w:rsidR="008835EB" w:rsidRPr="00200687" w:rsidRDefault="008835EB" w:rsidP="008835EB">
      <w:pPr>
        <w:pStyle w:val="Policytextunderline"/>
      </w:pPr>
      <w:r>
        <w:t>Gains</w:t>
      </w:r>
    </w:p>
    <w:p w:rsidR="008835EB" w:rsidRPr="00200687" w:rsidRDefault="008835EB" w:rsidP="008835EB">
      <w:pPr>
        <w:pStyle w:val="PolicytextDept"/>
      </w:pPr>
      <w:r w:rsidRPr="00200687">
        <w:t xml:space="preserve">Contributions of assets at no cost of acquisition or for nominal consideration are recognised as gains at their fair value when the asset qualifies for recognition, unless received from another Government entity as a consequence of a restructuring of administrative arrangements (Refer to </w:t>
      </w:r>
      <w:r>
        <w:t>Accounting Policy for the Statement of Changes in Equity</w:t>
      </w:r>
      <w:r w:rsidRPr="00200687">
        <w:t>).</w:t>
      </w:r>
    </w:p>
    <w:p w:rsidR="008835EB" w:rsidRPr="00200687" w:rsidRDefault="008835EB" w:rsidP="008835EB">
      <w:pPr>
        <w:pStyle w:val="Policytextunderline"/>
      </w:pPr>
      <w:r w:rsidRPr="00200687">
        <w:t xml:space="preserve">Sale of </w:t>
      </w:r>
      <w:r>
        <w:t>A</w:t>
      </w:r>
      <w:r w:rsidRPr="00200687">
        <w:t>ssets</w:t>
      </w:r>
    </w:p>
    <w:p w:rsidR="008835EB" w:rsidRPr="00200687" w:rsidRDefault="008835EB" w:rsidP="008835EB">
      <w:pPr>
        <w:pStyle w:val="PolicytextDept"/>
      </w:pPr>
      <w:r w:rsidRPr="00200687">
        <w:rPr>
          <w:lang w:eastAsia="en-AU"/>
        </w:rPr>
        <w:t>Gains from disposal of assets are recognised when control of the asset has passed to the buyer</w:t>
      </w:r>
      <w:r w:rsidRPr="00200687">
        <w:t>.</w:t>
      </w:r>
    </w:p>
    <w:p w:rsidR="008835EB" w:rsidRDefault="008835EB" w:rsidP="008835EB">
      <w:pPr>
        <w:pStyle w:val="PolicytextDept"/>
        <w:rPr>
          <w:rFonts w:ascii="Arial" w:hAnsi="Arial" w:cs="Arial"/>
          <w:b/>
        </w:rPr>
        <w:sectPr w:rsidR="008835EB" w:rsidSect="00F74C23">
          <w:type w:val="continuous"/>
          <w:pgSz w:w="11906" w:h="16838"/>
          <w:pgMar w:top="1134" w:right="1134" w:bottom="1134" w:left="1134" w:header="958" w:footer="737" w:gutter="0"/>
          <w:cols w:space="720"/>
        </w:sectPr>
      </w:pPr>
    </w:p>
    <w:p w:rsidR="008835EB" w:rsidRDefault="008835EB" w:rsidP="008835EB">
      <w:pPr>
        <w:pStyle w:val="SectionHeading"/>
      </w:pPr>
      <w:bookmarkStart w:id="153" w:name="_Toc443469525"/>
      <w:bookmarkStart w:id="154" w:name="_Toc444065774"/>
      <w:bookmarkStart w:id="155" w:name="_Toc444077335"/>
      <w:bookmarkStart w:id="156" w:name="_Toc456689844"/>
      <w:r w:rsidRPr="00656D24">
        <w:lastRenderedPageBreak/>
        <w:t>Income</w:t>
      </w:r>
      <w:r>
        <w:t xml:space="preserve"> and Expenses Administered on Behalf of Government</w:t>
      </w:r>
      <w:bookmarkEnd w:id="153"/>
      <w:bookmarkEnd w:id="154"/>
      <w:bookmarkEnd w:id="155"/>
      <w:bookmarkEnd w:id="156"/>
    </w:p>
    <w:p w:rsidR="008835EB" w:rsidRDefault="008835EB" w:rsidP="008835EB">
      <w:pPr>
        <w:spacing w:after="120"/>
      </w:pPr>
      <w:bookmarkStart w:id="157" w:name="_Toc444065775"/>
      <w:r w:rsidRPr="00BE05B2">
        <w:t xml:space="preserve">This section analyses the activities that the </w:t>
      </w:r>
      <w:r w:rsidR="00FA455C">
        <w:t>Department of Employment</w:t>
      </w:r>
      <w:r>
        <w:t xml:space="preserve"> </w:t>
      </w:r>
      <w:r w:rsidRPr="00BE05B2">
        <w:t>does not control but administers on behalf of the Government. Unless otherwise noted, the accounting policies adopted are consistent with those applied for departmental reporting</w:t>
      </w:r>
      <w:bookmarkEnd w:id="157"/>
      <w:r>
        <w:t>.</w:t>
      </w:r>
    </w:p>
    <w:p w:rsidR="008835EB" w:rsidRDefault="008835EB" w:rsidP="008835EB">
      <w:pPr>
        <w:pStyle w:val="SubHeading"/>
      </w:pPr>
      <w:bookmarkStart w:id="158" w:name="_Toc456689845"/>
      <w:r>
        <w:t>Administered—Expenses</w:t>
      </w:r>
      <w:bookmarkEnd w:id="158"/>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bookmarkStart w:id="159" w:name="Note_ASXTABLE1" w:colFirst="0" w:colLast="0"/>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bookmarkEnd w:id="159"/>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2.1A</w:t>
            </w:r>
            <w:proofErr w:type="spellEnd"/>
            <w:r>
              <w:rPr>
                <w:rFonts w:cs="Calibri"/>
                <w:b/>
                <w:bCs/>
                <w:szCs w:val="18"/>
                <w:u w:val="single"/>
              </w:rPr>
              <w:t>: Suppliers</w:t>
            </w:r>
          </w:p>
        </w:tc>
        <w:tc>
          <w:tcPr>
            <w:tcW w:w="1252"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449"/>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Services rendered</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Labour market assistance to job seekers and industry</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983,296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1,170,216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Industrial relations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20,925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17,649 </w:t>
            </w:r>
          </w:p>
        </w:tc>
      </w:tr>
      <w:tr w:rsidR="008835EB" w:rsidTr="007E3F2E">
        <w:trPr>
          <w:trHeight w:val="270"/>
        </w:trPr>
        <w:tc>
          <w:tcPr>
            <w:tcW w:w="6346"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suppliers</w:t>
            </w:r>
          </w:p>
        </w:tc>
        <w:tc>
          <w:tcPr>
            <w:tcW w:w="1252"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1,004,221</w:t>
            </w:r>
          </w:p>
        </w:tc>
        <w:tc>
          <w:tcPr>
            <w:tcW w:w="239"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1,187,865</w:t>
            </w:r>
          </w:p>
        </w:tc>
      </w:tr>
    </w:tbl>
    <w:p w:rsidR="008835EB" w:rsidRDefault="008835EB" w:rsidP="008835EB">
      <w:pPr>
        <w:pStyle w:val="GreyShadeTableBreak"/>
      </w:pPr>
      <w:bookmarkStart w:id="160" w:name="RANGE!D7:G21"/>
      <w:bookmarkEnd w:id="160"/>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bookmarkStart w:id="161" w:name="RANGE!D7:D12"/>
            <w:bookmarkStart w:id="162" w:name="Note_ASUTABLE1" w:colFirst="0" w:colLast="0"/>
            <w:r>
              <w:rPr>
                <w:rFonts w:cs="Calibri"/>
                <w:b/>
                <w:bCs/>
                <w:szCs w:val="18"/>
                <w:u w:val="single"/>
              </w:rPr>
              <w:t xml:space="preserve">Note </w:t>
            </w:r>
            <w:proofErr w:type="spellStart"/>
            <w:r>
              <w:rPr>
                <w:rFonts w:cs="Calibri"/>
                <w:b/>
                <w:bCs/>
                <w:szCs w:val="18"/>
                <w:u w:val="single"/>
              </w:rPr>
              <w:t>2.1B</w:t>
            </w:r>
            <w:proofErr w:type="spellEnd"/>
            <w:r>
              <w:rPr>
                <w:rFonts w:cs="Calibri"/>
                <w:b/>
                <w:bCs/>
                <w:szCs w:val="18"/>
                <w:u w:val="single"/>
              </w:rPr>
              <w:t>: Subsidies</w:t>
            </w:r>
            <w:bookmarkEnd w:id="161"/>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bookmarkEnd w:id="162"/>
      <w:tr w:rsidR="008835EB" w:rsidTr="007E3F2E">
        <w:trPr>
          <w:trHeight w:val="447"/>
        </w:trPr>
        <w:tc>
          <w:tcPr>
            <w:tcW w:w="634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Subsidies in connection with</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Labour market assistance to job seekers and industry</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20,234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121,944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Industrial relations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144,931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159,401 </w:t>
            </w:r>
          </w:p>
        </w:tc>
      </w:tr>
      <w:tr w:rsidR="008835EB" w:rsidTr="007E3F2E">
        <w:trPr>
          <w:trHeight w:val="270"/>
        </w:trPr>
        <w:tc>
          <w:tcPr>
            <w:tcW w:w="6346"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subsidies</w:t>
            </w:r>
          </w:p>
        </w:tc>
        <w:tc>
          <w:tcPr>
            <w:tcW w:w="1252"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165,165</w:t>
            </w:r>
          </w:p>
        </w:tc>
        <w:tc>
          <w:tcPr>
            <w:tcW w:w="239"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281,345</w:t>
            </w:r>
          </w:p>
        </w:tc>
      </w:tr>
    </w:tbl>
    <w:p w:rsidR="008835EB" w:rsidRDefault="008835EB" w:rsidP="008835EB">
      <w:pPr>
        <w:pStyle w:val="GreyShadeTableBreak"/>
      </w:pPr>
      <w:bookmarkStart w:id="163" w:name="RANGE!D7:G16"/>
      <w:bookmarkEnd w:id="163"/>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bookmarkStart w:id="164" w:name="Note_APBTABLE1" w:colFirst="0" w:colLast="0"/>
            <w:r>
              <w:rPr>
                <w:rFonts w:cs="Calibri"/>
                <w:b/>
                <w:bCs/>
                <w:szCs w:val="18"/>
                <w:u w:val="single"/>
              </w:rPr>
              <w:t xml:space="preserve">Note </w:t>
            </w:r>
            <w:proofErr w:type="spellStart"/>
            <w:r>
              <w:rPr>
                <w:rFonts w:cs="Calibri"/>
                <w:b/>
                <w:bCs/>
                <w:szCs w:val="18"/>
                <w:u w:val="single"/>
              </w:rPr>
              <w:t>2.1C</w:t>
            </w:r>
            <w:proofErr w:type="spellEnd"/>
            <w:r>
              <w:rPr>
                <w:rFonts w:cs="Calibri"/>
                <w:b/>
                <w:bCs/>
                <w:szCs w:val="18"/>
                <w:u w:val="single"/>
              </w:rPr>
              <w:t>: Personal Benefits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8" w:space="0" w:color="D9D9D9"/>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bookmarkEnd w:id="164"/>
      <w:tr w:rsidR="008835EB" w:rsidTr="007E3F2E">
        <w:trPr>
          <w:trHeight w:val="417"/>
        </w:trPr>
        <w:tc>
          <w:tcPr>
            <w:tcW w:w="6346" w:type="dxa"/>
            <w:tcBorders>
              <w:top w:val="nil"/>
              <w:left w:val="nil"/>
              <w:bottom w:val="single" w:sz="4" w:space="0" w:color="D9D9D9"/>
              <w:right w:val="nil"/>
            </w:tcBorders>
            <w:shd w:val="clear" w:color="000000" w:fill="D9D9D9"/>
            <w:noWrap/>
            <w:vAlign w:val="bottom"/>
            <w:hideMark/>
          </w:tcPr>
          <w:p w:rsidR="008835EB" w:rsidRPr="006874D5" w:rsidRDefault="008835EB" w:rsidP="007E3F2E">
            <w:pPr>
              <w:rPr>
                <w:rFonts w:cs="Calibri"/>
                <w:b/>
                <w:bCs/>
                <w:szCs w:val="18"/>
              </w:rPr>
            </w:pPr>
            <w:r w:rsidRPr="006874D5">
              <w:rPr>
                <w:rFonts w:cs="Calibri"/>
                <w:b/>
                <w:bCs/>
                <w:szCs w:val="18"/>
              </w:rPr>
              <w:t>Direct</w:t>
            </w:r>
          </w:p>
        </w:tc>
        <w:tc>
          <w:tcPr>
            <w:tcW w:w="1252"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xml:space="preserve">Labour market assistance to job seekers and industry </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56,183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72,515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Indirect</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xml:space="preserve">Industrial relations </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281,631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312,444 </w:t>
            </w:r>
          </w:p>
        </w:tc>
      </w:tr>
      <w:tr w:rsidR="008835EB" w:rsidTr="007E3F2E">
        <w:trPr>
          <w:trHeight w:val="270"/>
        </w:trPr>
        <w:tc>
          <w:tcPr>
            <w:tcW w:w="6346"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personal benefits</w:t>
            </w:r>
          </w:p>
        </w:tc>
        <w:tc>
          <w:tcPr>
            <w:tcW w:w="1252"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337,814</w:t>
            </w:r>
          </w:p>
        </w:tc>
        <w:tc>
          <w:tcPr>
            <w:tcW w:w="239"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384,959</w:t>
            </w:r>
          </w:p>
        </w:tc>
      </w:tr>
    </w:tbl>
    <w:p w:rsidR="008835EB" w:rsidRPr="008B022A" w:rsidRDefault="008835EB" w:rsidP="008835EB">
      <w:pPr>
        <w:pStyle w:val="Policytextadminbold"/>
        <w:spacing w:after="60"/>
      </w:pPr>
      <w:bookmarkStart w:id="165" w:name="RANGE!D7:G25"/>
      <w:bookmarkEnd w:id="165"/>
      <w:r>
        <w:t>Accounting Policy</w:t>
      </w:r>
    </w:p>
    <w:p w:rsidR="008835EB" w:rsidRDefault="008835EB" w:rsidP="008835EB">
      <w:pPr>
        <w:pStyle w:val="PolicyTextAdmin"/>
        <w:spacing w:after="0"/>
      </w:pPr>
      <w:r w:rsidRPr="008B022A">
        <w:t>The department admini</w:t>
      </w:r>
      <w:r>
        <w:t>sters personal benefit program</w:t>
      </w:r>
      <w:r w:rsidRPr="008B022A">
        <w:t>s on behalf of the government that pr</w:t>
      </w:r>
      <w:r>
        <w:t>ovide entitlements to i</w:t>
      </w:r>
      <w:r w:rsidRPr="008B022A">
        <w:t xml:space="preserve">ndividuals.  Payments are determined in accordance with provisions of the </w:t>
      </w:r>
      <w:r w:rsidRPr="008B022A">
        <w:rPr>
          <w:i/>
        </w:rPr>
        <w:t xml:space="preserve">Fair Entitlements Guarantee Act 2012 </w:t>
      </w:r>
      <w:r w:rsidRPr="008B022A">
        <w:t>and the funding agreement</w:t>
      </w:r>
      <w:r w:rsidRPr="008B022A">
        <w:rPr>
          <w:i/>
        </w:rPr>
        <w:t xml:space="preserve"> </w:t>
      </w:r>
      <w:r w:rsidRPr="008B022A">
        <w:t>for the New Enterprise Incentive Scheme</w:t>
      </w:r>
      <w:r>
        <w:t xml:space="preserve"> under jobactive.</w:t>
      </w: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000000" w:fill="D9D9D9"/>
            <w:noWrap/>
          </w:tcPr>
          <w:p w:rsidR="008835EB" w:rsidRPr="00086429" w:rsidRDefault="008835EB" w:rsidP="007E3F2E">
            <w:pPr>
              <w:rPr>
                <w:rFonts w:cs="Calibri"/>
                <w:b/>
                <w:bCs/>
                <w:szCs w:val="18"/>
                <w:u w:val="single"/>
              </w:rPr>
            </w:pPr>
          </w:p>
        </w:tc>
        <w:tc>
          <w:tcPr>
            <w:tcW w:w="1252" w:type="dxa"/>
            <w:tcBorders>
              <w:top w:val="nil"/>
              <w:left w:val="nil"/>
              <w:bottom w:val="single" w:sz="4" w:space="0" w:color="D9D9D9"/>
              <w:right w:val="nil"/>
            </w:tcBorders>
            <w:shd w:val="clear" w:color="000000" w:fill="D9D9D9"/>
            <w:noWrap/>
            <w:vAlign w:val="bottom"/>
            <w:hideMark/>
          </w:tcPr>
          <w:p w:rsidR="008835EB" w:rsidRPr="00086429" w:rsidRDefault="008835EB" w:rsidP="007E3F2E">
            <w:pPr>
              <w:jc w:val="right"/>
              <w:rPr>
                <w:rFonts w:cs="Calibri"/>
                <w:b/>
                <w:bCs/>
                <w:szCs w:val="18"/>
              </w:rPr>
            </w:pPr>
            <w:r w:rsidRPr="00086429">
              <w:rPr>
                <w:rFonts w:cs="Calibri"/>
                <w:b/>
                <w:bCs/>
                <w:szCs w:val="18"/>
              </w:rPr>
              <w:t>2016</w:t>
            </w:r>
          </w:p>
        </w:tc>
        <w:tc>
          <w:tcPr>
            <w:tcW w:w="239" w:type="dxa"/>
            <w:tcBorders>
              <w:top w:val="nil"/>
              <w:left w:val="nil"/>
              <w:bottom w:val="single" w:sz="4" w:space="0" w:color="D9D9D9"/>
              <w:right w:val="nil"/>
            </w:tcBorders>
            <w:shd w:val="clear" w:color="000000" w:fill="D9D9D9"/>
            <w:noWrap/>
            <w:vAlign w:val="bottom"/>
            <w:hideMark/>
          </w:tcPr>
          <w:p w:rsidR="008835EB" w:rsidRPr="00086429" w:rsidRDefault="008835EB" w:rsidP="007E3F2E">
            <w:pPr>
              <w:jc w:val="right"/>
              <w:rPr>
                <w:rFonts w:cs="Calibri"/>
                <w:b/>
                <w:bCs/>
                <w:szCs w:val="18"/>
              </w:rPr>
            </w:pPr>
            <w:r w:rsidRPr="00086429">
              <w:rPr>
                <w:rFonts w:cs="Calibri"/>
                <w:b/>
                <w:bCs/>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Pr="00086429" w:rsidRDefault="008835EB" w:rsidP="007E3F2E">
            <w:pPr>
              <w:jc w:val="right"/>
              <w:rPr>
                <w:rFonts w:cs="Calibri"/>
                <w:bCs/>
                <w:szCs w:val="18"/>
              </w:rPr>
            </w:pPr>
            <w:r w:rsidRPr="00086429">
              <w:rPr>
                <w:rFonts w:cs="Calibri"/>
                <w:bCs/>
                <w:szCs w:val="18"/>
              </w:rPr>
              <w:t>2015</w:t>
            </w:r>
          </w:p>
        </w:tc>
      </w:tr>
      <w:tr w:rsidR="008835EB" w:rsidTr="007E3F2E">
        <w:trPr>
          <w:trHeight w:val="255"/>
        </w:trPr>
        <w:tc>
          <w:tcPr>
            <w:tcW w:w="6346" w:type="dxa"/>
            <w:tcBorders>
              <w:top w:val="nil"/>
              <w:left w:val="nil"/>
              <w:bottom w:val="nil"/>
              <w:right w:val="nil"/>
            </w:tcBorders>
            <w:shd w:val="clear" w:color="000000" w:fill="D9D9D9"/>
            <w:noWrap/>
          </w:tcPr>
          <w:p w:rsidR="008835EB" w:rsidRDefault="008835EB" w:rsidP="007E3F2E">
            <w:pPr>
              <w:rPr>
                <w:rFonts w:cs="Calibri"/>
                <w:b/>
                <w:bCs/>
                <w:szCs w:val="18"/>
                <w:u w:val="single"/>
              </w:rPr>
            </w:pPr>
          </w:p>
        </w:tc>
        <w:tc>
          <w:tcPr>
            <w:tcW w:w="1252" w:type="dxa"/>
            <w:tcBorders>
              <w:top w:val="nil"/>
              <w:left w:val="nil"/>
              <w:bottom w:val="single" w:sz="4" w:space="0" w:color="D9D9D9"/>
              <w:right w:val="nil"/>
            </w:tcBorders>
            <w:shd w:val="clear" w:color="000000" w:fill="D9D9D9"/>
            <w:noWrap/>
            <w:vAlign w:val="bottom"/>
            <w:hideMark/>
          </w:tcPr>
          <w:p w:rsidR="008835EB" w:rsidRPr="00086429" w:rsidRDefault="008835EB" w:rsidP="007E3F2E">
            <w:pPr>
              <w:jc w:val="right"/>
              <w:rPr>
                <w:rFonts w:cs="Calibri"/>
                <w:b/>
                <w:bCs/>
                <w:szCs w:val="18"/>
              </w:rPr>
            </w:pPr>
            <w:r w:rsidRPr="00086429">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8835EB" w:rsidRPr="00086429" w:rsidRDefault="008835EB" w:rsidP="007E3F2E">
            <w:pPr>
              <w:jc w:val="right"/>
              <w:rPr>
                <w:rFonts w:cs="Calibri"/>
                <w:b/>
                <w:bCs/>
                <w:szCs w:val="18"/>
              </w:rPr>
            </w:pPr>
            <w:r w:rsidRPr="00086429">
              <w:rPr>
                <w:rFonts w:cs="Calibri"/>
                <w:b/>
                <w:bCs/>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Pr="00086429" w:rsidRDefault="008835EB" w:rsidP="007E3F2E">
            <w:pPr>
              <w:jc w:val="right"/>
              <w:rPr>
                <w:rFonts w:cs="Calibri"/>
                <w:bCs/>
                <w:szCs w:val="18"/>
              </w:rPr>
            </w:pPr>
            <w:r w:rsidRPr="00086429">
              <w:rPr>
                <w:rFonts w:cs="Calibri"/>
                <w:bCs/>
                <w:szCs w:val="18"/>
              </w:rPr>
              <w:t>$'000</w:t>
            </w:r>
          </w:p>
        </w:tc>
      </w:tr>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bookmarkStart w:id="166" w:name="Note_AGRTABLE1" w:colFirst="0" w:colLast="0"/>
            <w:r>
              <w:rPr>
                <w:rFonts w:cs="Calibri"/>
                <w:b/>
                <w:bCs/>
                <w:szCs w:val="18"/>
                <w:u w:val="single"/>
              </w:rPr>
              <w:t xml:space="preserve">Note </w:t>
            </w:r>
            <w:proofErr w:type="spellStart"/>
            <w:r>
              <w:rPr>
                <w:rFonts w:cs="Calibri"/>
                <w:b/>
                <w:bCs/>
                <w:szCs w:val="18"/>
                <w:u w:val="single"/>
              </w:rPr>
              <w:t>2.1D</w:t>
            </w:r>
            <w:proofErr w:type="spellEnd"/>
            <w:r>
              <w:rPr>
                <w:rFonts w:cs="Calibri"/>
                <w:b/>
                <w:bCs/>
                <w:szCs w:val="18"/>
                <w:u w:val="single"/>
              </w:rPr>
              <w:t>: Grants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bookmarkEnd w:id="166"/>
      <w:tr w:rsidR="008835EB" w:rsidTr="007E3F2E">
        <w:trPr>
          <w:trHeight w:val="423"/>
        </w:trPr>
        <w:tc>
          <w:tcPr>
            <w:tcW w:w="634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Public sector</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Australian Government entities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78,812</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84,299</w:t>
            </w:r>
          </w:p>
        </w:tc>
      </w:tr>
      <w:tr w:rsidR="008835EB" w:rsidTr="007E3F2E">
        <w:trPr>
          <w:trHeight w:val="255"/>
        </w:trPr>
        <w:tc>
          <w:tcPr>
            <w:tcW w:w="634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Private sector</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Non-profit organisations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7,641</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957</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Other</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4,380</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4,517</w:t>
            </w:r>
          </w:p>
        </w:tc>
      </w:tr>
      <w:tr w:rsidR="008835EB" w:rsidTr="007E3F2E">
        <w:trPr>
          <w:trHeight w:val="270"/>
        </w:trPr>
        <w:tc>
          <w:tcPr>
            <w:tcW w:w="6346"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grants</w:t>
            </w:r>
          </w:p>
        </w:tc>
        <w:tc>
          <w:tcPr>
            <w:tcW w:w="1252"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90,833</w:t>
            </w:r>
          </w:p>
        </w:tc>
        <w:tc>
          <w:tcPr>
            <w:tcW w:w="239"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89,773</w:t>
            </w:r>
          </w:p>
        </w:tc>
      </w:tr>
    </w:tbl>
    <w:p w:rsidR="008835EB" w:rsidRDefault="008835EB" w:rsidP="008835EB">
      <w:pPr>
        <w:pStyle w:val="Policytextadminbold"/>
        <w:spacing w:after="60"/>
      </w:pPr>
      <w:bookmarkStart w:id="167" w:name="RANGE!D7:G11"/>
      <w:bookmarkStart w:id="168" w:name="RANGE!D6:G9"/>
      <w:bookmarkEnd w:id="167"/>
      <w:bookmarkEnd w:id="168"/>
      <w:r>
        <w:t>Accounting Policy</w:t>
      </w:r>
    </w:p>
    <w:p w:rsidR="008835EB" w:rsidRPr="008B022A" w:rsidRDefault="008835EB" w:rsidP="008835EB">
      <w:pPr>
        <w:pStyle w:val="PolicyTextAdmin"/>
        <w:spacing w:after="60"/>
      </w:pPr>
      <w:r w:rsidRPr="008B022A">
        <w:t>The department administers a number of grant and subsidy schemes on behalf of the Government.</w:t>
      </w:r>
    </w:p>
    <w:p w:rsidR="008835EB" w:rsidRPr="008B022A" w:rsidRDefault="008835EB" w:rsidP="008835EB">
      <w:pPr>
        <w:pStyle w:val="PolicyTextAdmin"/>
        <w:spacing w:after="0"/>
      </w:pPr>
      <w:r w:rsidRPr="008B022A">
        <w:t>Grant and subsidy liabilities are recognised to the extent that:</w:t>
      </w:r>
    </w:p>
    <w:p w:rsidR="008835EB" w:rsidRPr="008B022A" w:rsidRDefault="008835EB" w:rsidP="008835EB">
      <w:pPr>
        <w:pStyle w:val="PolicyTextAdmin"/>
        <w:tabs>
          <w:tab w:val="left" w:pos="284"/>
        </w:tabs>
        <w:spacing w:after="0"/>
      </w:pPr>
      <w:r>
        <w:t>—</w:t>
      </w:r>
      <w:r>
        <w:tab/>
      </w:r>
      <w:proofErr w:type="gramStart"/>
      <w:r w:rsidRPr="008B022A">
        <w:t>the</w:t>
      </w:r>
      <w:proofErr w:type="gramEnd"/>
      <w:r w:rsidRPr="008B022A">
        <w:t xml:space="preserve"> services required to be performed by the grantee have been performed; or </w:t>
      </w:r>
    </w:p>
    <w:p w:rsidR="008835EB" w:rsidRDefault="008835EB" w:rsidP="008835EB">
      <w:pPr>
        <w:pStyle w:val="PolicyTextAdmin"/>
        <w:tabs>
          <w:tab w:val="left" w:pos="284"/>
        </w:tabs>
        <w:spacing w:after="60"/>
        <w:ind w:left="284" w:hanging="284"/>
      </w:pPr>
      <w:r>
        <w:t>—</w:t>
      </w:r>
      <w:r>
        <w:tab/>
      </w:r>
      <w:proofErr w:type="gramStart"/>
      <w:r w:rsidRPr="008B022A">
        <w:t>the</w:t>
      </w:r>
      <w:proofErr w:type="gramEnd"/>
      <w:r w:rsidRPr="008B022A">
        <w:t xml:space="preserve"> grant eligibility criteria have been satisfied, but payments </w:t>
      </w:r>
      <w:r>
        <w:t xml:space="preserve">due have not been made. </w:t>
      </w:r>
      <w:r w:rsidRPr="008B022A">
        <w:t>A</w:t>
      </w:r>
      <w:r>
        <w:t xml:space="preserve"> commitment is recorded </w:t>
      </w:r>
      <w:r w:rsidRPr="008B022A">
        <w:t>when the Government enters into an agreement to make these grants but</w:t>
      </w:r>
      <w:r>
        <w:t xml:space="preserve"> </w:t>
      </w:r>
      <w:r w:rsidRPr="008B022A">
        <w:t>services have not been performed or criteria satisfied.</w:t>
      </w:r>
    </w:p>
    <w:p w:rsidR="008835EB" w:rsidRPr="00BD2972" w:rsidRDefault="008835EB" w:rsidP="008835EB">
      <w:pPr>
        <w:pStyle w:val="PolicyTextAdmin"/>
        <w:spacing w:after="0"/>
      </w:pPr>
      <w:r w:rsidRPr="008B022A">
        <w:t xml:space="preserve">The Australian Government continues to have regard to developments in case law, including the High Court’s most recent decision on Commonwealth expenditure in </w:t>
      </w:r>
      <w:r w:rsidRPr="008B022A">
        <w:rPr>
          <w:i/>
        </w:rPr>
        <w:t>Williams v Commonwealth [2014] HCA 23</w:t>
      </w:r>
      <w:r w:rsidRPr="008B022A">
        <w:t>, as they contribute to the larger body of law relevant to the development of Commonwealth programs. In accordance with its general practice, the Government will continue to monitor and assess risk and decide on any appropriate actions to respond to risks of expenditure not being consistent with constitution</w:t>
      </w:r>
      <w:r>
        <w:t>al or other legal requirements.</w:t>
      </w:r>
    </w:p>
    <w:p w:rsidR="008835EB" w:rsidRDefault="008835EB" w:rsidP="008835EB">
      <w:pPr>
        <w:rPr>
          <w:rFonts w:ascii="Arial" w:hAnsi="Arial" w:cs="Arial"/>
          <w:b/>
          <w:bCs/>
          <w:szCs w:val="18"/>
        </w:rPr>
        <w:sectPr w:rsidR="008835EB" w:rsidSect="00F74C23">
          <w:pgSz w:w="11906" w:h="16838"/>
          <w:pgMar w:top="1134" w:right="1134" w:bottom="1134" w:left="1134" w:header="958" w:footer="737" w:gutter="0"/>
          <w:cols w:space="720"/>
        </w:sectPr>
      </w:pPr>
    </w:p>
    <w:p w:rsidR="008835EB" w:rsidRDefault="008835EB" w:rsidP="008835EB">
      <w:pPr>
        <w:pStyle w:val="SectionHeading"/>
      </w:pPr>
      <w:bookmarkStart w:id="169" w:name="_Toc443469528"/>
      <w:bookmarkStart w:id="170" w:name="_Toc444065778"/>
      <w:bookmarkStart w:id="171" w:name="_Toc444077338"/>
      <w:bookmarkStart w:id="172" w:name="_Toc456689846"/>
      <w:r>
        <w:lastRenderedPageBreak/>
        <w:t xml:space="preserve">Departmental Financial </w:t>
      </w:r>
      <w:r w:rsidRPr="009E424E">
        <w:t>Position</w:t>
      </w:r>
      <w:bookmarkEnd w:id="169"/>
      <w:bookmarkEnd w:id="170"/>
      <w:bookmarkEnd w:id="171"/>
      <w:bookmarkEnd w:id="172"/>
    </w:p>
    <w:p w:rsidR="008835EB" w:rsidRPr="00BE05B2" w:rsidRDefault="008835EB" w:rsidP="008835EB">
      <w:pPr>
        <w:ind w:right="566"/>
      </w:pPr>
      <w:bookmarkStart w:id="173" w:name="_Toc444065779"/>
      <w:r w:rsidRPr="00BE05B2">
        <w:t>This section analyses the</w:t>
      </w:r>
      <w:r>
        <w:t xml:space="preserve"> </w:t>
      </w:r>
      <w:r w:rsidR="00FA455C">
        <w:t>Department of Employment</w:t>
      </w:r>
      <w:r>
        <w:t xml:space="preserve">’s </w:t>
      </w:r>
      <w:r w:rsidRPr="00BE05B2">
        <w:t xml:space="preserve">assets used to </w:t>
      </w:r>
      <w:r>
        <w:t>conduct its operations</w:t>
      </w:r>
      <w:r w:rsidRPr="00BE05B2">
        <w:t xml:space="preserve"> and the operating liabilities incurred as a result.</w:t>
      </w:r>
      <w:bookmarkEnd w:id="173"/>
    </w:p>
    <w:p w:rsidR="008835EB" w:rsidRDefault="008835EB" w:rsidP="008835EB">
      <w:pPr>
        <w:spacing w:after="120"/>
      </w:pPr>
      <w:bookmarkStart w:id="174" w:name="_Toc444065780"/>
      <w:r w:rsidRPr="00BE05B2">
        <w:t>Employee related information is disclosed in the People and Relationships section.</w:t>
      </w:r>
      <w:bookmarkEnd w:id="174"/>
    </w:p>
    <w:p w:rsidR="008835EB" w:rsidRDefault="008835EB" w:rsidP="008835EB">
      <w:pPr>
        <w:pStyle w:val="SubHeading"/>
      </w:pPr>
      <w:bookmarkStart w:id="175" w:name="_Toc456689847"/>
      <w:r>
        <w:t>Financial Assets</w:t>
      </w:r>
      <w:bookmarkEnd w:id="175"/>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bookmarkStart w:id="176" w:name="Note_RECTABLE1" w:colFirst="0" w:colLast="0"/>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2015</w:t>
            </w:r>
          </w:p>
        </w:tc>
      </w:tr>
      <w:bookmarkEnd w:id="176"/>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$'000</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b/>
                <w:bCs/>
                <w:szCs w:val="18"/>
                <w:u w:val="single"/>
              </w:rPr>
            </w:pPr>
            <w:r>
              <w:rPr>
                <w:rFonts w:cs="Calibri"/>
                <w:b/>
                <w:bCs/>
                <w:szCs w:val="18"/>
                <w:u w:val="single"/>
              </w:rPr>
              <w:t xml:space="preserve">Note </w:t>
            </w:r>
            <w:proofErr w:type="spellStart"/>
            <w:r>
              <w:rPr>
                <w:rFonts w:cs="Calibri"/>
                <w:b/>
                <w:bCs/>
                <w:szCs w:val="18"/>
                <w:u w:val="single"/>
              </w:rPr>
              <w:t>3.1A</w:t>
            </w:r>
            <w:proofErr w:type="spellEnd"/>
            <w:r>
              <w:rPr>
                <w:rFonts w:cs="Calibri"/>
                <w:b/>
                <w:bCs/>
                <w:szCs w:val="18"/>
                <w:u w:val="single"/>
              </w:rPr>
              <w:t>: Trade and Other Receivables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Goods and services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3,873</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4,722</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Appropriation receivables—for existing programs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113,140</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109,207</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GST receivable from the Australian Taxation Office</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2,297</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1,386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Lease incentives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7,510</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776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Other</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54</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50</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trade and other receivables (gross)</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126,874</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116,141</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Less impairment allowance account</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Goods and services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impairment allowance account</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trade and other receivables (net)</w:t>
            </w:r>
          </w:p>
        </w:tc>
        <w:tc>
          <w:tcPr>
            <w:tcW w:w="1252" w:type="dxa"/>
            <w:tcBorders>
              <w:top w:val="nil"/>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126,871</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116,131</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Trade and other receivables (net) expected to be recovered</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No more than 12 months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120,378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116,027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More than 12 months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6,493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104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trade and other receivables (net)</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126,871</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116,131</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Trade and other receivables (gross) aged as follows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Not overdue</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124,797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115,876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Overdue by</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270" w:firstLine="486"/>
              <w:rPr>
                <w:rFonts w:cs="Calibri"/>
                <w:szCs w:val="18"/>
              </w:rPr>
            </w:pPr>
            <w:r>
              <w:rPr>
                <w:rFonts w:cs="Calibri"/>
                <w:szCs w:val="18"/>
              </w:rPr>
              <w:t>0 to 30 days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341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20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270" w:firstLine="486"/>
              <w:rPr>
                <w:rFonts w:cs="Calibri"/>
                <w:szCs w:val="18"/>
              </w:rPr>
            </w:pPr>
            <w:r>
              <w:rPr>
                <w:rFonts w:cs="Calibri"/>
                <w:szCs w:val="18"/>
              </w:rPr>
              <w:t>31 to 60 days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1,058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60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270" w:firstLine="486"/>
              <w:rPr>
                <w:rFonts w:cs="Calibri"/>
                <w:szCs w:val="18"/>
              </w:rPr>
            </w:pPr>
            <w:r>
              <w:rPr>
                <w:rFonts w:cs="Calibri"/>
                <w:szCs w:val="18"/>
              </w:rPr>
              <w:t>61 to 90 days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165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28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270" w:firstLine="486"/>
              <w:rPr>
                <w:rFonts w:cs="Calibri"/>
                <w:szCs w:val="18"/>
              </w:rPr>
            </w:pPr>
            <w:r>
              <w:rPr>
                <w:rFonts w:cs="Calibri"/>
                <w:szCs w:val="18"/>
              </w:rPr>
              <w:t>More than 90 days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513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157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trade and other receivables (gross)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126,874</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116,141</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Impairment allowance account aged as follows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Overdue by:</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270" w:firstLine="486"/>
              <w:rPr>
                <w:rFonts w:cs="Calibri"/>
                <w:szCs w:val="18"/>
              </w:rPr>
            </w:pPr>
            <w:r>
              <w:rPr>
                <w:rFonts w:cs="Calibri"/>
                <w:szCs w:val="18"/>
              </w:rPr>
              <w:t>More than 90 days</w:t>
            </w:r>
          </w:p>
        </w:tc>
        <w:tc>
          <w:tcPr>
            <w:tcW w:w="1252"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impairment allowance</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w:t>
            </w:r>
          </w:p>
        </w:tc>
        <w:tc>
          <w:tcPr>
            <w:tcW w:w="239"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w:t>
            </w:r>
          </w:p>
        </w:tc>
      </w:tr>
    </w:tbl>
    <w:p w:rsidR="008835EB" w:rsidRDefault="008835EB" w:rsidP="008835EB">
      <w:pPr>
        <w:spacing w:before="240" w:after="120"/>
        <w:rPr>
          <w:rFonts w:cs="Arial"/>
          <w:szCs w:val="18"/>
        </w:rPr>
      </w:pPr>
      <w:bookmarkStart w:id="177" w:name="RANGE!D7:G46"/>
      <w:bookmarkStart w:id="178" w:name="RANGE!D7:G47"/>
      <w:bookmarkStart w:id="179" w:name="RANGE!D7:G45"/>
      <w:bookmarkStart w:id="180" w:name="RANGE!D7:G58"/>
      <w:bookmarkStart w:id="181" w:name="RANGE!D7:G57"/>
      <w:bookmarkStart w:id="182" w:name="RANGE!D7:G56"/>
      <w:bookmarkStart w:id="183" w:name="RANGE!D7:G55"/>
      <w:bookmarkStart w:id="184" w:name="RANGE!D7:G49"/>
      <w:bookmarkEnd w:id="177"/>
      <w:bookmarkEnd w:id="178"/>
      <w:bookmarkEnd w:id="179"/>
      <w:bookmarkEnd w:id="180"/>
      <w:bookmarkEnd w:id="181"/>
      <w:bookmarkEnd w:id="182"/>
      <w:bookmarkEnd w:id="183"/>
      <w:bookmarkEnd w:id="184"/>
      <w:r>
        <w:rPr>
          <w:rFonts w:cs="Arial"/>
          <w:szCs w:val="18"/>
        </w:rPr>
        <w:t>Credit terms are net 30 days.</w:t>
      </w:r>
    </w:p>
    <w:p w:rsidR="008835EB" w:rsidRDefault="008835EB" w:rsidP="008835EB">
      <w:pPr>
        <w:spacing w:line="240" w:lineRule="auto"/>
      </w:pPr>
      <w:r>
        <w:br w:type="page"/>
      </w:r>
    </w:p>
    <w:tbl>
      <w:tblPr>
        <w:tblW w:w="9087" w:type="dxa"/>
        <w:tblInd w:w="80" w:type="dxa"/>
        <w:tblLayout w:type="fixed"/>
        <w:tblLook w:val="04A0" w:firstRow="1" w:lastRow="0" w:firstColumn="1" w:lastColumn="0" w:noHBand="0" w:noVBand="1"/>
      </w:tblPr>
      <w:tblGrid>
        <w:gridCol w:w="5840"/>
        <w:gridCol w:w="1715"/>
        <w:gridCol w:w="1532"/>
      </w:tblGrid>
      <w:tr w:rsidR="008835EB" w:rsidTr="007E3F2E">
        <w:trPr>
          <w:trHeight w:val="240"/>
        </w:trPr>
        <w:tc>
          <w:tcPr>
            <w:tcW w:w="5840"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bookmarkStart w:id="185" w:name="Note_RIATABLE1" w:colFirst="0" w:colLast="0"/>
            <w:r>
              <w:rPr>
                <w:rFonts w:cs="Calibri"/>
                <w:b/>
                <w:bCs/>
                <w:szCs w:val="18"/>
              </w:rPr>
              <w:lastRenderedPageBreak/>
              <w:t>Reconciliation of the Impairment Allowance</w:t>
            </w:r>
          </w:p>
        </w:tc>
        <w:tc>
          <w:tcPr>
            <w:tcW w:w="171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bookmarkEnd w:id="185"/>
      <w:tr w:rsidR="008835EB" w:rsidTr="007E3F2E">
        <w:trPr>
          <w:trHeight w:val="350"/>
        </w:trPr>
        <w:tc>
          <w:tcPr>
            <w:tcW w:w="5840"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Movements in relation to 2016</w:t>
            </w:r>
          </w:p>
        </w:tc>
        <w:tc>
          <w:tcPr>
            <w:tcW w:w="1715"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60"/>
        </w:trPr>
        <w:tc>
          <w:tcPr>
            <w:tcW w:w="5840" w:type="dxa"/>
            <w:tcBorders>
              <w:top w:val="single" w:sz="4" w:space="0" w:color="auto"/>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715"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Goods and services</w:t>
            </w:r>
          </w:p>
        </w:tc>
        <w:tc>
          <w:tcPr>
            <w:tcW w:w="1532"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Total</w:t>
            </w:r>
          </w:p>
        </w:tc>
      </w:tr>
      <w:tr w:rsidR="008835EB" w:rsidTr="007E3F2E">
        <w:trPr>
          <w:trHeight w:val="240"/>
        </w:trPr>
        <w:tc>
          <w:tcPr>
            <w:tcW w:w="5840" w:type="dxa"/>
            <w:tcBorders>
              <w:top w:val="nil"/>
              <w:left w:val="nil"/>
              <w:bottom w:val="single" w:sz="4" w:space="0" w:color="auto"/>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715"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532"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40"/>
        </w:trPr>
        <w:tc>
          <w:tcPr>
            <w:tcW w:w="5840"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Opening balance</w:t>
            </w:r>
          </w:p>
        </w:tc>
        <w:tc>
          <w:tcPr>
            <w:tcW w:w="171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w:t>
            </w:r>
          </w:p>
        </w:tc>
        <w:tc>
          <w:tcPr>
            <w:tcW w:w="153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w:t>
            </w:r>
          </w:p>
        </w:tc>
      </w:tr>
      <w:tr w:rsidR="008835EB" w:rsidTr="007E3F2E">
        <w:trPr>
          <w:trHeight w:val="240"/>
        </w:trPr>
        <w:tc>
          <w:tcPr>
            <w:tcW w:w="58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Amounts written off</w:t>
            </w:r>
          </w:p>
        </w:tc>
        <w:tc>
          <w:tcPr>
            <w:tcW w:w="171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 </w:t>
            </w:r>
          </w:p>
        </w:tc>
        <w:tc>
          <w:tcPr>
            <w:tcW w:w="153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w:t>
            </w:r>
          </w:p>
        </w:tc>
      </w:tr>
      <w:tr w:rsidR="008835EB" w:rsidTr="007E3F2E">
        <w:trPr>
          <w:trHeight w:val="240"/>
        </w:trPr>
        <w:tc>
          <w:tcPr>
            <w:tcW w:w="58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Amounts recovered and reversed</w:t>
            </w:r>
          </w:p>
        </w:tc>
        <w:tc>
          <w:tcPr>
            <w:tcW w:w="171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10 </w:t>
            </w:r>
          </w:p>
        </w:tc>
        <w:tc>
          <w:tcPr>
            <w:tcW w:w="153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w:t>
            </w:r>
          </w:p>
        </w:tc>
      </w:tr>
      <w:tr w:rsidR="008835EB" w:rsidTr="007E3F2E">
        <w:trPr>
          <w:trHeight w:val="240"/>
        </w:trPr>
        <w:tc>
          <w:tcPr>
            <w:tcW w:w="58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Decrease recognised in net cost of services</w:t>
            </w:r>
          </w:p>
        </w:tc>
        <w:tc>
          <w:tcPr>
            <w:tcW w:w="171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w:t>
            </w:r>
          </w:p>
        </w:tc>
        <w:tc>
          <w:tcPr>
            <w:tcW w:w="153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w:t>
            </w:r>
          </w:p>
        </w:tc>
      </w:tr>
      <w:tr w:rsidR="008835EB" w:rsidTr="007E3F2E">
        <w:trPr>
          <w:trHeight w:val="240"/>
        </w:trPr>
        <w:tc>
          <w:tcPr>
            <w:tcW w:w="584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Closing balance</w:t>
            </w:r>
          </w:p>
        </w:tc>
        <w:tc>
          <w:tcPr>
            <w:tcW w:w="171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w:t>
            </w:r>
          </w:p>
        </w:tc>
        <w:tc>
          <w:tcPr>
            <w:tcW w:w="153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w:t>
            </w:r>
          </w:p>
        </w:tc>
      </w:tr>
      <w:tr w:rsidR="008835EB" w:rsidRPr="00543B5D" w:rsidTr="007E3F2E">
        <w:trPr>
          <w:trHeight w:val="431"/>
        </w:trPr>
        <w:tc>
          <w:tcPr>
            <w:tcW w:w="5840" w:type="dxa"/>
            <w:tcBorders>
              <w:top w:val="nil"/>
              <w:left w:val="nil"/>
              <w:bottom w:val="nil"/>
              <w:right w:val="nil"/>
            </w:tcBorders>
            <w:shd w:val="clear" w:color="FFFFFF" w:fill="FFFFFF"/>
            <w:vAlign w:val="bottom"/>
            <w:hideMark/>
          </w:tcPr>
          <w:p w:rsidR="008835EB" w:rsidRPr="00543B5D" w:rsidRDefault="008835EB" w:rsidP="007E3F2E">
            <w:pPr>
              <w:rPr>
                <w:rFonts w:cs="Calibri"/>
                <w:bCs/>
                <w:szCs w:val="18"/>
              </w:rPr>
            </w:pPr>
            <w:r w:rsidRPr="00543B5D">
              <w:rPr>
                <w:rFonts w:cs="Calibri"/>
                <w:bCs/>
                <w:szCs w:val="18"/>
              </w:rPr>
              <w:t>Movements in relation to 2015</w:t>
            </w:r>
          </w:p>
        </w:tc>
        <w:tc>
          <w:tcPr>
            <w:tcW w:w="1715" w:type="dxa"/>
            <w:tcBorders>
              <w:top w:val="nil"/>
              <w:left w:val="nil"/>
              <w:bottom w:val="nil"/>
              <w:right w:val="nil"/>
            </w:tcBorders>
            <w:shd w:val="clear" w:color="FFFFFF" w:fill="FFFFFF"/>
            <w:noWrap/>
            <w:vAlign w:val="bottom"/>
            <w:hideMark/>
          </w:tcPr>
          <w:p w:rsidR="008835EB" w:rsidRPr="00543B5D" w:rsidRDefault="008835EB" w:rsidP="007E3F2E">
            <w:pPr>
              <w:rPr>
                <w:rFonts w:cs="Calibri"/>
                <w:szCs w:val="18"/>
              </w:rPr>
            </w:pPr>
            <w:r w:rsidRPr="00543B5D">
              <w:rPr>
                <w:rFonts w:cs="Calibri"/>
                <w:szCs w:val="18"/>
              </w:rPr>
              <w:t> </w:t>
            </w:r>
          </w:p>
        </w:tc>
        <w:tc>
          <w:tcPr>
            <w:tcW w:w="1532" w:type="dxa"/>
            <w:tcBorders>
              <w:top w:val="nil"/>
              <w:left w:val="nil"/>
              <w:bottom w:val="nil"/>
              <w:right w:val="nil"/>
            </w:tcBorders>
            <w:shd w:val="clear" w:color="FFFFFF" w:fill="FFFFFF"/>
            <w:noWrap/>
            <w:vAlign w:val="bottom"/>
            <w:hideMark/>
          </w:tcPr>
          <w:p w:rsidR="008835EB" w:rsidRPr="00543B5D" w:rsidRDefault="008835EB" w:rsidP="007E3F2E">
            <w:pPr>
              <w:rPr>
                <w:rFonts w:cs="Calibri"/>
                <w:szCs w:val="18"/>
              </w:rPr>
            </w:pPr>
            <w:r w:rsidRPr="00543B5D">
              <w:rPr>
                <w:rFonts w:cs="Calibri"/>
                <w:szCs w:val="18"/>
              </w:rPr>
              <w:t> </w:t>
            </w:r>
          </w:p>
        </w:tc>
      </w:tr>
      <w:tr w:rsidR="008835EB" w:rsidRPr="00543B5D" w:rsidTr="007E3F2E">
        <w:trPr>
          <w:trHeight w:val="250"/>
        </w:trPr>
        <w:tc>
          <w:tcPr>
            <w:tcW w:w="5840" w:type="dxa"/>
            <w:tcBorders>
              <w:top w:val="single" w:sz="4" w:space="0" w:color="auto"/>
              <w:left w:val="nil"/>
              <w:bottom w:val="nil"/>
              <w:right w:val="nil"/>
            </w:tcBorders>
            <w:shd w:val="clear" w:color="FFFFFF" w:fill="FFFFFF"/>
            <w:noWrap/>
            <w:vAlign w:val="bottom"/>
            <w:hideMark/>
          </w:tcPr>
          <w:p w:rsidR="008835EB" w:rsidRPr="00543B5D" w:rsidRDefault="008835EB" w:rsidP="007E3F2E">
            <w:pPr>
              <w:rPr>
                <w:rFonts w:cs="Calibri"/>
                <w:szCs w:val="18"/>
              </w:rPr>
            </w:pPr>
            <w:r w:rsidRPr="00543B5D">
              <w:rPr>
                <w:rFonts w:cs="Calibri"/>
                <w:szCs w:val="18"/>
              </w:rPr>
              <w:t> </w:t>
            </w:r>
          </w:p>
        </w:tc>
        <w:tc>
          <w:tcPr>
            <w:tcW w:w="1715" w:type="dxa"/>
            <w:tcBorders>
              <w:top w:val="single" w:sz="4" w:space="0" w:color="auto"/>
              <w:left w:val="nil"/>
              <w:bottom w:val="nil"/>
              <w:right w:val="nil"/>
            </w:tcBorders>
            <w:shd w:val="clear" w:color="FFFFFF" w:fill="FFFFFF"/>
            <w:vAlign w:val="bottom"/>
            <w:hideMark/>
          </w:tcPr>
          <w:p w:rsidR="008835EB" w:rsidRPr="00543B5D" w:rsidRDefault="008835EB" w:rsidP="007E3F2E">
            <w:pPr>
              <w:jc w:val="right"/>
              <w:rPr>
                <w:rFonts w:cs="Calibri"/>
                <w:szCs w:val="18"/>
              </w:rPr>
            </w:pPr>
            <w:r w:rsidRPr="00543B5D">
              <w:rPr>
                <w:rFonts w:cs="Calibri"/>
                <w:szCs w:val="18"/>
              </w:rPr>
              <w:t>Goods and services</w:t>
            </w:r>
          </w:p>
        </w:tc>
        <w:tc>
          <w:tcPr>
            <w:tcW w:w="1532" w:type="dxa"/>
            <w:tcBorders>
              <w:top w:val="single" w:sz="4" w:space="0" w:color="auto"/>
              <w:left w:val="nil"/>
              <w:bottom w:val="nil"/>
              <w:right w:val="nil"/>
            </w:tcBorders>
            <w:shd w:val="clear" w:color="FFFFFF" w:fill="FFFFFF"/>
            <w:vAlign w:val="bottom"/>
            <w:hideMark/>
          </w:tcPr>
          <w:p w:rsidR="008835EB" w:rsidRPr="00543B5D" w:rsidRDefault="008835EB" w:rsidP="007E3F2E">
            <w:pPr>
              <w:jc w:val="right"/>
              <w:rPr>
                <w:rFonts w:cs="Calibri"/>
                <w:szCs w:val="18"/>
              </w:rPr>
            </w:pPr>
            <w:r w:rsidRPr="00543B5D">
              <w:rPr>
                <w:rFonts w:cs="Calibri"/>
                <w:szCs w:val="18"/>
              </w:rPr>
              <w:t>Total</w:t>
            </w:r>
          </w:p>
        </w:tc>
      </w:tr>
      <w:tr w:rsidR="008835EB" w:rsidRPr="00543B5D" w:rsidTr="007E3F2E">
        <w:trPr>
          <w:trHeight w:val="240"/>
        </w:trPr>
        <w:tc>
          <w:tcPr>
            <w:tcW w:w="5840" w:type="dxa"/>
            <w:tcBorders>
              <w:top w:val="nil"/>
              <w:left w:val="nil"/>
              <w:bottom w:val="single" w:sz="4" w:space="0" w:color="auto"/>
              <w:right w:val="nil"/>
            </w:tcBorders>
            <w:shd w:val="clear" w:color="FFFFFF" w:fill="FFFFFF"/>
            <w:noWrap/>
            <w:vAlign w:val="bottom"/>
            <w:hideMark/>
          </w:tcPr>
          <w:p w:rsidR="008835EB" w:rsidRPr="00543B5D" w:rsidRDefault="008835EB" w:rsidP="007E3F2E">
            <w:pPr>
              <w:rPr>
                <w:rFonts w:cs="Calibri"/>
                <w:szCs w:val="18"/>
              </w:rPr>
            </w:pPr>
            <w:r w:rsidRPr="00543B5D">
              <w:rPr>
                <w:rFonts w:cs="Calibri"/>
                <w:szCs w:val="18"/>
              </w:rPr>
              <w:t> </w:t>
            </w:r>
          </w:p>
        </w:tc>
        <w:tc>
          <w:tcPr>
            <w:tcW w:w="1715" w:type="dxa"/>
            <w:tcBorders>
              <w:top w:val="nil"/>
              <w:left w:val="nil"/>
              <w:bottom w:val="single" w:sz="4" w:space="0" w:color="auto"/>
              <w:right w:val="nil"/>
            </w:tcBorders>
            <w:shd w:val="clear" w:color="FFFFFF" w:fill="FFFFFF"/>
            <w:vAlign w:val="bottom"/>
            <w:hideMark/>
          </w:tcPr>
          <w:p w:rsidR="008835EB" w:rsidRPr="00543B5D" w:rsidRDefault="008835EB" w:rsidP="007E3F2E">
            <w:pPr>
              <w:jc w:val="right"/>
              <w:rPr>
                <w:rFonts w:cs="Calibri"/>
                <w:szCs w:val="18"/>
              </w:rPr>
            </w:pPr>
            <w:r w:rsidRPr="00543B5D">
              <w:rPr>
                <w:rFonts w:cs="Calibri"/>
                <w:szCs w:val="18"/>
              </w:rPr>
              <w:t>$'000</w:t>
            </w:r>
          </w:p>
        </w:tc>
        <w:tc>
          <w:tcPr>
            <w:tcW w:w="1532" w:type="dxa"/>
            <w:tcBorders>
              <w:top w:val="nil"/>
              <w:left w:val="nil"/>
              <w:bottom w:val="single" w:sz="4" w:space="0" w:color="auto"/>
              <w:right w:val="nil"/>
            </w:tcBorders>
            <w:shd w:val="clear" w:color="FFFFFF" w:fill="FFFFFF"/>
            <w:vAlign w:val="bottom"/>
            <w:hideMark/>
          </w:tcPr>
          <w:p w:rsidR="008835EB" w:rsidRPr="00543B5D" w:rsidRDefault="008835EB" w:rsidP="007E3F2E">
            <w:pPr>
              <w:jc w:val="right"/>
              <w:rPr>
                <w:rFonts w:cs="Calibri"/>
                <w:szCs w:val="18"/>
              </w:rPr>
            </w:pPr>
            <w:r w:rsidRPr="00543B5D">
              <w:rPr>
                <w:rFonts w:cs="Calibri"/>
                <w:szCs w:val="18"/>
              </w:rPr>
              <w:t>$'000</w:t>
            </w:r>
          </w:p>
        </w:tc>
      </w:tr>
      <w:tr w:rsidR="008835EB" w:rsidRPr="00543B5D" w:rsidTr="007E3F2E">
        <w:trPr>
          <w:trHeight w:val="240"/>
        </w:trPr>
        <w:tc>
          <w:tcPr>
            <w:tcW w:w="5840" w:type="dxa"/>
            <w:tcBorders>
              <w:top w:val="nil"/>
              <w:left w:val="nil"/>
              <w:bottom w:val="nil"/>
              <w:right w:val="nil"/>
            </w:tcBorders>
            <w:shd w:val="clear" w:color="FFFFFF" w:fill="FFFFFF"/>
            <w:vAlign w:val="bottom"/>
            <w:hideMark/>
          </w:tcPr>
          <w:p w:rsidR="008835EB" w:rsidRPr="00543B5D" w:rsidRDefault="008835EB" w:rsidP="007E3F2E">
            <w:pPr>
              <w:rPr>
                <w:rFonts w:cs="Calibri"/>
                <w:bCs/>
                <w:szCs w:val="18"/>
              </w:rPr>
            </w:pPr>
            <w:r w:rsidRPr="00543B5D">
              <w:rPr>
                <w:rFonts w:cs="Calibri"/>
                <w:bCs/>
                <w:szCs w:val="18"/>
              </w:rPr>
              <w:t>Opening balance</w:t>
            </w:r>
          </w:p>
        </w:tc>
        <w:tc>
          <w:tcPr>
            <w:tcW w:w="1715"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(10)</w:t>
            </w:r>
          </w:p>
        </w:tc>
        <w:tc>
          <w:tcPr>
            <w:tcW w:w="1532"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(10)</w:t>
            </w:r>
          </w:p>
        </w:tc>
      </w:tr>
      <w:tr w:rsidR="008835EB" w:rsidRPr="00543B5D" w:rsidTr="007E3F2E">
        <w:trPr>
          <w:trHeight w:val="240"/>
        </w:trPr>
        <w:tc>
          <w:tcPr>
            <w:tcW w:w="5840" w:type="dxa"/>
            <w:tcBorders>
              <w:top w:val="nil"/>
              <w:left w:val="nil"/>
              <w:bottom w:val="nil"/>
              <w:right w:val="nil"/>
            </w:tcBorders>
            <w:shd w:val="clear" w:color="FFFFFF" w:fill="FFFFFF"/>
            <w:noWrap/>
            <w:vAlign w:val="bottom"/>
            <w:hideMark/>
          </w:tcPr>
          <w:p w:rsidR="008835EB" w:rsidRPr="00543B5D" w:rsidRDefault="008835EB" w:rsidP="008835EB">
            <w:pPr>
              <w:ind w:firstLineChars="100" w:firstLine="180"/>
              <w:rPr>
                <w:rFonts w:cs="Calibri"/>
                <w:szCs w:val="18"/>
              </w:rPr>
            </w:pPr>
            <w:r w:rsidRPr="00543B5D">
              <w:rPr>
                <w:rFonts w:cs="Calibri"/>
                <w:szCs w:val="18"/>
              </w:rPr>
              <w:t>Amounts written off</w:t>
            </w:r>
          </w:p>
        </w:tc>
        <w:tc>
          <w:tcPr>
            <w:tcW w:w="1715"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 xml:space="preserve">10 </w:t>
            </w:r>
          </w:p>
        </w:tc>
        <w:tc>
          <w:tcPr>
            <w:tcW w:w="1532"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10</w:t>
            </w:r>
          </w:p>
        </w:tc>
      </w:tr>
      <w:tr w:rsidR="008835EB" w:rsidRPr="00543B5D" w:rsidTr="007E3F2E">
        <w:trPr>
          <w:trHeight w:val="240"/>
        </w:trPr>
        <w:tc>
          <w:tcPr>
            <w:tcW w:w="5840" w:type="dxa"/>
            <w:tcBorders>
              <w:top w:val="nil"/>
              <w:left w:val="nil"/>
              <w:bottom w:val="nil"/>
              <w:right w:val="nil"/>
            </w:tcBorders>
            <w:shd w:val="clear" w:color="FFFFFF" w:fill="FFFFFF"/>
            <w:noWrap/>
            <w:vAlign w:val="bottom"/>
            <w:hideMark/>
          </w:tcPr>
          <w:p w:rsidR="008835EB" w:rsidRPr="00543B5D" w:rsidRDefault="008835EB" w:rsidP="008835EB">
            <w:pPr>
              <w:ind w:firstLineChars="100" w:firstLine="180"/>
              <w:rPr>
                <w:rFonts w:cs="Calibri"/>
                <w:szCs w:val="18"/>
              </w:rPr>
            </w:pPr>
            <w:r w:rsidRPr="00543B5D">
              <w:rPr>
                <w:rFonts w:cs="Calibri"/>
                <w:szCs w:val="18"/>
              </w:rPr>
              <w:t>Amounts recovered and reversed</w:t>
            </w:r>
          </w:p>
        </w:tc>
        <w:tc>
          <w:tcPr>
            <w:tcW w:w="1715"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 xml:space="preserve"> -</w:t>
            </w:r>
          </w:p>
        </w:tc>
        <w:tc>
          <w:tcPr>
            <w:tcW w:w="1532"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w:t>
            </w:r>
          </w:p>
        </w:tc>
      </w:tr>
      <w:tr w:rsidR="008835EB" w:rsidRPr="00543B5D" w:rsidTr="007E3F2E">
        <w:trPr>
          <w:trHeight w:val="240"/>
        </w:trPr>
        <w:tc>
          <w:tcPr>
            <w:tcW w:w="5840" w:type="dxa"/>
            <w:tcBorders>
              <w:top w:val="nil"/>
              <w:left w:val="nil"/>
              <w:bottom w:val="nil"/>
              <w:right w:val="nil"/>
            </w:tcBorders>
            <w:shd w:val="clear" w:color="FFFFFF" w:fill="FFFFFF"/>
            <w:noWrap/>
            <w:vAlign w:val="bottom"/>
            <w:hideMark/>
          </w:tcPr>
          <w:p w:rsidR="008835EB" w:rsidRPr="00543B5D" w:rsidRDefault="008835EB" w:rsidP="008835EB">
            <w:pPr>
              <w:ind w:firstLineChars="100" w:firstLine="180"/>
              <w:rPr>
                <w:rFonts w:cs="Calibri"/>
                <w:szCs w:val="18"/>
              </w:rPr>
            </w:pPr>
            <w:r w:rsidRPr="00543B5D">
              <w:rPr>
                <w:rFonts w:cs="Calibri"/>
                <w:szCs w:val="18"/>
              </w:rPr>
              <w:t>Decrease recognised in net cost of services</w:t>
            </w:r>
          </w:p>
        </w:tc>
        <w:tc>
          <w:tcPr>
            <w:tcW w:w="1715"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(10)</w:t>
            </w:r>
          </w:p>
        </w:tc>
        <w:tc>
          <w:tcPr>
            <w:tcW w:w="1532" w:type="dxa"/>
            <w:tcBorders>
              <w:top w:val="nil"/>
              <w:left w:val="nil"/>
              <w:bottom w:val="nil"/>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(10)</w:t>
            </w:r>
          </w:p>
        </w:tc>
      </w:tr>
      <w:tr w:rsidR="008835EB" w:rsidRPr="00543B5D" w:rsidTr="007E3F2E">
        <w:trPr>
          <w:trHeight w:val="240"/>
        </w:trPr>
        <w:tc>
          <w:tcPr>
            <w:tcW w:w="5840" w:type="dxa"/>
            <w:tcBorders>
              <w:top w:val="single" w:sz="4" w:space="0" w:color="auto"/>
              <w:left w:val="nil"/>
              <w:bottom w:val="single" w:sz="4" w:space="0" w:color="auto"/>
              <w:right w:val="nil"/>
            </w:tcBorders>
            <w:shd w:val="clear" w:color="FFFFFF" w:fill="FFFFFF"/>
            <w:vAlign w:val="bottom"/>
            <w:hideMark/>
          </w:tcPr>
          <w:p w:rsidR="008835EB" w:rsidRPr="00543B5D" w:rsidRDefault="008835EB" w:rsidP="007E3F2E">
            <w:pPr>
              <w:rPr>
                <w:rFonts w:cs="Calibri"/>
                <w:bCs/>
                <w:szCs w:val="18"/>
              </w:rPr>
            </w:pPr>
            <w:r w:rsidRPr="00543B5D">
              <w:rPr>
                <w:rFonts w:cs="Calibri"/>
                <w:bCs/>
                <w:szCs w:val="18"/>
              </w:rPr>
              <w:t>Closing balance</w:t>
            </w:r>
          </w:p>
        </w:tc>
        <w:tc>
          <w:tcPr>
            <w:tcW w:w="1715" w:type="dxa"/>
            <w:tcBorders>
              <w:top w:val="single" w:sz="4" w:space="0" w:color="auto"/>
              <w:left w:val="nil"/>
              <w:bottom w:val="single" w:sz="4" w:space="0" w:color="auto"/>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(10)</w:t>
            </w:r>
          </w:p>
        </w:tc>
        <w:tc>
          <w:tcPr>
            <w:tcW w:w="1532" w:type="dxa"/>
            <w:tcBorders>
              <w:top w:val="single" w:sz="4" w:space="0" w:color="auto"/>
              <w:left w:val="nil"/>
              <w:bottom w:val="single" w:sz="4" w:space="0" w:color="auto"/>
              <w:right w:val="nil"/>
            </w:tcBorders>
            <w:shd w:val="clear" w:color="FFFFFF" w:fill="FFFFFF"/>
            <w:noWrap/>
            <w:vAlign w:val="bottom"/>
            <w:hideMark/>
          </w:tcPr>
          <w:p w:rsidR="008835EB" w:rsidRPr="00543B5D" w:rsidRDefault="008835EB" w:rsidP="007E3F2E">
            <w:pPr>
              <w:jc w:val="right"/>
              <w:rPr>
                <w:rFonts w:cs="Calibri"/>
                <w:szCs w:val="18"/>
              </w:rPr>
            </w:pPr>
            <w:r w:rsidRPr="00543B5D">
              <w:rPr>
                <w:rFonts w:cs="Calibri"/>
                <w:szCs w:val="18"/>
              </w:rPr>
              <w:t>(10)</w:t>
            </w:r>
          </w:p>
        </w:tc>
      </w:tr>
    </w:tbl>
    <w:p w:rsidR="008835EB" w:rsidRDefault="008835EB" w:rsidP="008835EB">
      <w:pPr>
        <w:pStyle w:val="PolicyheadingDept"/>
        <w:spacing w:before="240"/>
      </w:pPr>
      <w:r>
        <w:t>Accounting Policy</w:t>
      </w:r>
    </w:p>
    <w:p w:rsidR="008835EB" w:rsidRDefault="008835EB" w:rsidP="008835EB">
      <w:pPr>
        <w:pStyle w:val="PolicytextDept"/>
      </w:pPr>
      <w:r w:rsidRPr="00200687">
        <w:t>Receivables for goods and services, which have 30 day terms, are recognised at the nominal amounts due less any impairment allowance account. Collectability of debts is reviewed at the end of the reporting period. Allowances are made when collectability of the debt is no longer probable.</w:t>
      </w:r>
    </w:p>
    <w:p w:rsidR="008835EB" w:rsidRDefault="008835EB" w:rsidP="008835EB">
      <w:pPr>
        <w:pStyle w:val="PolicytextDept"/>
        <w:rPr>
          <w:u w:val="single"/>
        </w:rPr>
      </w:pPr>
      <w:r>
        <w:rPr>
          <w:u w:val="single"/>
        </w:rPr>
        <w:t xml:space="preserve">Cash </w:t>
      </w:r>
    </w:p>
    <w:p w:rsidR="008835EB" w:rsidRDefault="008835EB" w:rsidP="008835EB">
      <w:pPr>
        <w:pStyle w:val="PolicytextDept"/>
      </w:pPr>
      <w:r>
        <w:t>Cash is recognised at its nominal amount. Cash and cash equivalents include:</w:t>
      </w:r>
    </w:p>
    <w:p w:rsidR="008835EB" w:rsidRDefault="008835EB" w:rsidP="008835EB">
      <w:pPr>
        <w:pStyle w:val="PolicytextDept"/>
        <w:numPr>
          <w:ilvl w:val="0"/>
          <w:numId w:val="15"/>
        </w:numPr>
        <w:spacing w:after="0"/>
      </w:pPr>
      <w:r>
        <w:t>cash on hand;</w:t>
      </w:r>
    </w:p>
    <w:p w:rsidR="008835EB" w:rsidRDefault="008835EB" w:rsidP="008835EB">
      <w:pPr>
        <w:pStyle w:val="PolicytextDept"/>
        <w:numPr>
          <w:ilvl w:val="0"/>
          <w:numId w:val="15"/>
        </w:numPr>
        <w:spacing w:after="0"/>
      </w:pPr>
      <w:r>
        <w:t>cash held by outsiders; and</w:t>
      </w:r>
    </w:p>
    <w:p w:rsidR="008835EB" w:rsidRDefault="008835EB" w:rsidP="008835EB">
      <w:pPr>
        <w:pStyle w:val="PolicytextDept"/>
        <w:numPr>
          <w:ilvl w:val="0"/>
          <w:numId w:val="15"/>
        </w:numPr>
      </w:pPr>
      <w:proofErr w:type="gramStart"/>
      <w:r>
        <w:t>cash</w:t>
      </w:r>
      <w:proofErr w:type="gramEnd"/>
      <w:r>
        <w:t xml:space="preserve"> in special accounts. </w:t>
      </w:r>
    </w:p>
    <w:p w:rsidR="008835EB" w:rsidRDefault="008835EB" w:rsidP="008835EB">
      <w:pPr>
        <w:pStyle w:val="PolicytextDept"/>
      </w:pPr>
      <w:r>
        <w:rPr>
          <w:u w:val="single"/>
        </w:rPr>
        <w:t>Financial Assets</w:t>
      </w:r>
    </w:p>
    <w:p w:rsidR="008835EB" w:rsidRDefault="008835EB" w:rsidP="008835EB">
      <w:pPr>
        <w:pStyle w:val="PolicytextDept"/>
      </w:pPr>
      <w:r>
        <w:t>The Department classifies its financial assets in the following category:</w:t>
      </w:r>
    </w:p>
    <w:p w:rsidR="008835EB" w:rsidRPr="006405D6" w:rsidRDefault="008835EB" w:rsidP="008835EB">
      <w:pPr>
        <w:pStyle w:val="PolicytextDept"/>
        <w:numPr>
          <w:ilvl w:val="0"/>
          <w:numId w:val="14"/>
        </w:numPr>
      </w:pPr>
      <w:proofErr w:type="gramStart"/>
      <w:r>
        <w:t>loans</w:t>
      </w:r>
      <w:proofErr w:type="gramEnd"/>
      <w:r>
        <w:t xml:space="preserve"> and receivables.</w:t>
      </w:r>
    </w:p>
    <w:p w:rsidR="008835EB" w:rsidRDefault="008835EB" w:rsidP="008835EB">
      <w:pPr>
        <w:pStyle w:val="PolicytextDept"/>
      </w:pPr>
      <w:r>
        <w:t xml:space="preserve">The classification depends on the nature and purpose of the financial assets and is determined at the time of initial recognition. Financial assets are recognised and derecognised upon trade date. </w:t>
      </w:r>
    </w:p>
    <w:p w:rsidR="008835EB" w:rsidRPr="004A43F1" w:rsidRDefault="008835EB" w:rsidP="008835EB">
      <w:pPr>
        <w:pStyle w:val="PolicytextDept"/>
        <w:rPr>
          <w:u w:val="single"/>
        </w:rPr>
      </w:pPr>
      <w:r w:rsidRPr="004A43F1">
        <w:rPr>
          <w:u w:val="single"/>
        </w:rPr>
        <w:t>Loans and Receivables</w:t>
      </w:r>
    </w:p>
    <w:p w:rsidR="008835EB" w:rsidRDefault="008835EB" w:rsidP="008835EB">
      <w:pPr>
        <w:pStyle w:val="PolicytextDept"/>
      </w:pPr>
      <w:r>
        <w:t>Trade receivables, loans and other receivables that have fixed or determinable payments that are not quoted in an active market are classified as ‘loans and receivables’. The Department’s loans and receivables are measured at their nominal amount less impairment.</w:t>
      </w:r>
    </w:p>
    <w:p w:rsidR="008835EB" w:rsidRPr="004A43F1" w:rsidRDefault="008835EB" w:rsidP="008835EB">
      <w:pPr>
        <w:pStyle w:val="PolicytextDept"/>
        <w:rPr>
          <w:u w:val="single"/>
        </w:rPr>
      </w:pPr>
      <w:r w:rsidRPr="004A43F1">
        <w:rPr>
          <w:u w:val="single"/>
        </w:rPr>
        <w:t>Impairment of Financial Assets</w:t>
      </w:r>
    </w:p>
    <w:p w:rsidR="008835EB" w:rsidRDefault="008835EB" w:rsidP="008835EB">
      <w:pPr>
        <w:pStyle w:val="PolicytextDept"/>
      </w:pPr>
      <w:r>
        <w:t>Financial assets are assessed for impairment at the end of the reporting period.</w:t>
      </w:r>
    </w:p>
    <w:p w:rsidR="008835EB" w:rsidRPr="00200687" w:rsidRDefault="008835EB" w:rsidP="008835EB">
      <w:pPr>
        <w:pStyle w:val="PolicytextDept"/>
      </w:pPr>
      <w:r>
        <w:t>Financial assets held at cost—if there is objective evidence that an impairment loss has been incurred, the amount of the impairment loss is the difference between the carrying amount of the asset and the present value of the estimated future cash flows discounted at the current market rate for similar assets.</w:t>
      </w: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bookmarkStart w:id="186" w:name="Note_OFATABLE1" w:colFirst="0" w:colLast="0"/>
            <w:r>
              <w:rPr>
                <w:rFonts w:cs="Calibri"/>
                <w:b/>
                <w:bCs/>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bookmarkEnd w:id="186"/>
      <w:tr w:rsidR="008835EB" w:rsidTr="007E3F2E">
        <w:trPr>
          <w:trHeight w:val="240"/>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3.1B</w:t>
            </w:r>
            <w:proofErr w:type="spellEnd"/>
            <w:r>
              <w:rPr>
                <w:rFonts w:cs="Calibri"/>
                <w:b/>
                <w:bCs/>
                <w:szCs w:val="18"/>
                <w:u w:val="single"/>
              </w:rPr>
              <w:t>: Other Financial Assets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Accrued revenue</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1,764</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4,094</w:t>
            </w:r>
          </w:p>
        </w:tc>
      </w:tr>
      <w:tr w:rsidR="008835EB" w:rsidTr="007E3F2E">
        <w:trPr>
          <w:trHeight w:val="27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financial assets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1,764</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4,094</w:t>
            </w:r>
          </w:p>
        </w:tc>
      </w:tr>
    </w:tbl>
    <w:p w:rsidR="008835EB" w:rsidRDefault="008835EB" w:rsidP="008835EB">
      <w:pPr>
        <w:spacing w:line="240" w:lineRule="auto"/>
        <w:sectPr w:rsidR="008835EB" w:rsidSect="00F74C23">
          <w:pgSz w:w="11906" w:h="16838"/>
          <w:pgMar w:top="1134" w:right="1134" w:bottom="1134" w:left="1134" w:header="958" w:footer="737" w:gutter="0"/>
          <w:cols w:space="720"/>
        </w:sectPr>
      </w:pPr>
      <w:bookmarkStart w:id="187" w:name="RANGE!D7:D27"/>
      <w:bookmarkStart w:id="188" w:name="RANGE!D7:F27"/>
      <w:bookmarkStart w:id="189" w:name="RANGE!D7:D25"/>
      <w:bookmarkStart w:id="190" w:name="RANGE!D7:F25"/>
      <w:bookmarkStart w:id="191" w:name="RANGE!D8:D26"/>
      <w:bookmarkStart w:id="192" w:name="RANGE!D8:F26"/>
      <w:bookmarkStart w:id="193" w:name="RANGE!D8:G14"/>
      <w:bookmarkStart w:id="194" w:name="RANGE!D8:G16"/>
      <w:bookmarkStart w:id="195" w:name="RANGE!D7:G51"/>
      <w:bookmarkStart w:id="196" w:name="RANGE!D43:G74"/>
      <w:bookmarkStart w:id="197" w:name="RANGE!D44:G75"/>
      <w:bookmarkStart w:id="198" w:name="RANGE!D44:G74"/>
      <w:bookmarkStart w:id="199" w:name="RANGE!D44:G73"/>
      <w:bookmarkStart w:id="200" w:name="RANGE!D44:G72"/>
      <w:bookmarkStart w:id="201" w:name="RANGE!D53:H70"/>
      <w:bookmarkStart w:id="202" w:name="RANGE!D52:H69"/>
      <w:bookmarkStart w:id="203" w:name="RANGE!D59:H76"/>
      <w:bookmarkStart w:id="204" w:name="RANGE!D62:H80"/>
      <w:bookmarkStart w:id="205" w:name="RANGE!D7:G15"/>
      <w:bookmarkStart w:id="206" w:name="RANGE!D6:D63"/>
      <w:bookmarkStart w:id="207" w:name="RANGE!D6:H63"/>
      <w:bookmarkStart w:id="208" w:name="RANGE!D6:D28"/>
      <w:bookmarkStart w:id="209" w:name="RANGE!D6:H28"/>
      <w:bookmarkStart w:id="210" w:name="RANGE!D6:H13"/>
      <w:bookmarkStart w:id="211" w:name="RANGE!D6:H14"/>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All accrued revenue is expected to be received in no more than 12 months.</w:t>
      </w:r>
    </w:p>
    <w:p w:rsidR="008835EB" w:rsidRPr="0053787D" w:rsidRDefault="008835EB" w:rsidP="008835EB">
      <w:pPr>
        <w:pStyle w:val="SubHeading"/>
      </w:pPr>
      <w:bookmarkStart w:id="212" w:name="_Toc456689848"/>
      <w:r>
        <w:lastRenderedPageBreak/>
        <w:t>Non-Financial Assets</w:t>
      </w:r>
      <w:bookmarkStart w:id="213" w:name="RANGE!D6:G26"/>
      <w:bookmarkStart w:id="214" w:name="RANGE!D6:D27"/>
      <w:bookmarkStart w:id="215" w:name="RANGE!D6:G27"/>
      <w:bookmarkEnd w:id="212"/>
      <w:bookmarkEnd w:id="213"/>
      <w:bookmarkEnd w:id="214"/>
      <w:bookmarkEnd w:id="215"/>
    </w:p>
    <w:tbl>
      <w:tblPr>
        <w:tblW w:w="13606" w:type="dxa"/>
        <w:tblInd w:w="80" w:type="dxa"/>
        <w:tblLayout w:type="fixed"/>
        <w:tblCellMar>
          <w:left w:w="6" w:type="dxa"/>
          <w:right w:w="6" w:type="dxa"/>
        </w:tblCellMar>
        <w:tblLook w:val="04A0" w:firstRow="1" w:lastRow="0" w:firstColumn="1" w:lastColumn="0" w:noHBand="0" w:noVBand="1"/>
      </w:tblPr>
      <w:tblGrid>
        <w:gridCol w:w="5976"/>
        <w:gridCol w:w="1526"/>
        <w:gridCol w:w="1526"/>
        <w:gridCol w:w="1526"/>
        <w:gridCol w:w="1526"/>
        <w:gridCol w:w="1526"/>
      </w:tblGrid>
      <w:tr w:rsidR="008835EB" w:rsidTr="007E3F2E">
        <w:trPr>
          <w:trHeight w:val="255"/>
        </w:trPr>
        <w:tc>
          <w:tcPr>
            <w:tcW w:w="13516" w:type="dxa"/>
            <w:gridSpan w:val="6"/>
            <w:tcBorders>
              <w:top w:val="nil"/>
              <w:left w:val="nil"/>
              <w:bottom w:val="single" w:sz="4" w:space="0" w:color="auto"/>
              <w:right w:val="nil"/>
            </w:tcBorders>
            <w:shd w:val="clear" w:color="FFFFFF" w:fill="FFFFFF"/>
            <w:noWrap/>
            <w:vAlign w:val="bottom"/>
            <w:hideMark/>
          </w:tcPr>
          <w:p w:rsidR="008835EB" w:rsidRDefault="008835EB" w:rsidP="007E3F2E">
            <w:pPr>
              <w:spacing w:line="240" w:lineRule="auto"/>
              <w:rPr>
                <w:rFonts w:cs="Calibri"/>
                <w:b/>
                <w:bCs/>
                <w:szCs w:val="18"/>
                <w:u w:val="single"/>
              </w:rPr>
            </w:pPr>
            <w:bookmarkStart w:id="216" w:name="RANGE!E7:E54"/>
            <w:bookmarkStart w:id="217" w:name="Note_MTATABLE1" w:colFirst="0" w:colLast="0"/>
            <w:r>
              <w:rPr>
                <w:rFonts w:cs="Calibri"/>
                <w:b/>
                <w:bCs/>
                <w:szCs w:val="18"/>
                <w:u w:val="single"/>
              </w:rPr>
              <w:t xml:space="preserve">Note </w:t>
            </w:r>
            <w:proofErr w:type="spellStart"/>
            <w:r>
              <w:rPr>
                <w:rFonts w:cs="Calibri"/>
                <w:b/>
                <w:bCs/>
                <w:szCs w:val="18"/>
                <w:u w:val="single"/>
              </w:rPr>
              <w:t>3.2A</w:t>
            </w:r>
            <w:proofErr w:type="spellEnd"/>
            <w:r>
              <w:rPr>
                <w:rFonts w:cs="Calibri"/>
                <w:b/>
                <w:bCs/>
                <w:szCs w:val="18"/>
                <w:u w:val="single"/>
              </w:rPr>
              <w:t>: Reconciliation of the Opening and Closing Balances of Property, Plant and Equipment and Intangibles (2015–16)</w:t>
            </w:r>
            <w:bookmarkEnd w:id="216"/>
          </w:p>
        </w:tc>
      </w:tr>
      <w:bookmarkEnd w:id="217"/>
      <w:tr w:rsidR="008835EB" w:rsidTr="007E3F2E">
        <w:trPr>
          <w:trHeight w:val="255"/>
        </w:trPr>
        <w:tc>
          <w:tcPr>
            <w:tcW w:w="59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1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bookmarkStart w:id="218" w:name="RANGE!F8:G8"/>
            <w:r>
              <w:rPr>
                <w:rFonts w:cs="Calibri"/>
                <w:b/>
                <w:bCs/>
                <w:szCs w:val="18"/>
              </w:rPr>
              <w:t>Leasehold improvements</w:t>
            </w:r>
            <w:bookmarkEnd w:id="218"/>
          </w:p>
        </w:tc>
        <w:tc>
          <w:tcPr>
            <w:tcW w:w="151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Other plant &amp; equipment</w:t>
            </w:r>
          </w:p>
        </w:tc>
        <w:tc>
          <w:tcPr>
            <w:tcW w:w="151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Computer software internally developed</w:t>
            </w:r>
          </w:p>
        </w:tc>
        <w:tc>
          <w:tcPr>
            <w:tcW w:w="151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 xml:space="preserve">Computer </w:t>
            </w:r>
            <w:r>
              <w:rPr>
                <w:rFonts w:cs="Calibri"/>
                <w:b/>
                <w:bCs/>
                <w:szCs w:val="18"/>
              </w:rPr>
              <w:br/>
              <w:t xml:space="preserve">software </w:t>
            </w:r>
            <w:r>
              <w:rPr>
                <w:rFonts w:cs="Calibri"/>
                <w:b/>
                <w:bCs/>
                <w:szCs w:val="18"/>
              </w:rPr>
              <w:br/>
              <w:t>purchased</w:t>
            </w:r>
          </w:p>
        </w:tc>
        <w:tc>
          <w:tcPr>
            <w:tcW w:w="1516" w:type="dxa"/>
            <w:tcBorders>
              <w:top w:val="nil"/>
              <w:left w:val="nil"/>
              <w:bottom w:val="nil"/>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Total</w:t>
            </w:r>
          </w:p>
        </w:tc>
      </w:tr>
      <w:tr w:rsidR="008835EB" w:rsidTr="007E3F2E">
        <w:trPr>
          <w:trHeight w:val="255"/>
        </w:trPr>
        <w:tc>
          <w:tcPr>
            <w:tcW w:w="5936" w:type="dxa"/>
            <w:tcBorders>
              <w:top w:val="nil"/>
              <w:left w:val="nil"/>
              <w:bottom w:val="single" w:sz="4" w:space="0" w:color="auto"/>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1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151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151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151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c>
          <w:tcPr>
            <w:tcW w:w="151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b/>
                <w:bCs/>
                <w:szCs w:val="18"/>
              </w:rPr>
            </w:pPr>
            <w:r>
              <w:rPr>
                <w:rFonts w:cs="Calibri"/>
                <w:b/>
                <w:bCs/>
                <w:szCs w:val="18"/>
              </w:rPr>
              <w:t>$'000</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As at 30 June 2015</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Gross book value</w:t>
            </w:r>
          </w:p>
        </w:tc>
        <w:tc>
          <w:tcPr>
            <w:tcW w:w="1516" w:type="dxa"/>
            <w:tcBorders>
              <w:top w:val="nil"/>
              <w:left w:val="nil"/>
              <w:bottom w:val="nil"/>
              <w:right w:val="nil"/>
            </w:tcBorders>
            <w:shd w:val="clear" w:color="auto" w:fill="auto"/>
            <w:noWrap/>
            <w:vAlign w:val="bottom"/>
            <w:hideMark/>
          </w:tcPr>
          <w:p w:rsidR="008835EB" w:rsidRDefault="008835EB" w:rsidP="007E3F2E">
            <w:pPr>
              <w:spacing w:line="240" w:lineRule="auto"/>
              <w:jc w:val="right"/>
              <w:rPr>
                <w:rFonts w:cs="Calibri"/>
                <w:b/>
                <w:bCs/>
                <w:szCs w:val="18"/>
              </w:rPr>
            </w:pPr>
            <w:r>
              <w:rPr>
                <w:rFonts w:cs="Calibri"/>
                <w:b/>
                <w:bCs/>
                <w:szCs w:val="18"/>
              </w:rPr>
              <w:t>28,582</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23,697</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79,421</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701</w:t>
            </w:r>
          </w:p>
        </w:tc>
        <w:tc>
          <w:tcPr>
            <w:tcW w:w="1516" w:type="dxa"/>
            <w:tcBorders>
              <w:top w:val="nil"/>
              <w:left w:val="nil"/>
              <w:bottom w:val="nil"/>
              <w:right w:val="nil"/>
            </w:tcBorders>
            <w:shd w:val="clear" w:color="auto" w:fill="auto"/>
            <w:noWrap/>
            <w:vAlign w:val="bottom"/>
            <w:hideMark/>
          </w:tcPr>
          <w:p w:rsidR="008835EB" w:rsidRDefault="008835EB" w:rsidP="007E3F2E">
            <w:pPr>
              <w:spacing w:line="240" w:lineRule="auto"/>
              <w:jc w:val="right"/>
              <w:rPr>
                <w:rFonts w:cs="Calibri"/>
                <w:b/>
                <w:bCs/>
                <w:szCs w:val="18"/>
              </w:rPr>
            </w:pPr>
            <w:r>
              <w:rPr>
                <w:rFonts w:cs="Calibri"/>
                <w:b/>
                <w:bCs/>
                <w:szCs w:val="18"/>
              </w:rPr>
              <w:t>132,401</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Opening adjustment—gross book value</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depreciation and impairment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(8,322)</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(10,458)</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(14,011)</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(350)</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(33,141)</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Opening adjustment—accumulated depreciation and impairment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r>
      <w:tr w:rsidR="008835EB" w:rsidTr="007E3F2E">
        <w:trPr>
          <w:trHeight w:val="255"/>
        </w:trPr>
        <w:tc>
          <w:tcPr>
            <w:tcW w:w="5936"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Net book value 30 June 2015</w:t>
            </w:r>
          </w:p>
        </w:tc>
        <w:tc>
          <w:tcPr>
            <w:tcW w:w="151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20,260</w:t>
            </w:r>
          </w:p>
        </w:tc>
        <w:tc>
          <w:tcPr>
            <w:tcW w:w="151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13,239</w:t>
            </w:r>
          </w:p>
        </w:tc>
        <w:tc>
          <w:tcPr>
            <w:tcW w:w="151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65,410</w:t>
            </w:r>
          </w:p>
        </w:tc>
        <w:tc>
          <w:tcPr>
            <w:tcW w:w="151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351</w:t>
            </w:r>
          </w:p>
        </w:tc>
        <w:tc>
          <w:tcPr>
            <w:tcW w:w="151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99,260</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Additions</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8835EB">
            <w:pPr>
              <w:spacing w:line="240" w:lineRule="auto"/>
              <w:ind w:firstLineChars="100" w:firstLine="180"/>
              <w:rPr>
                <w:rFonts w:cs="Calibri"/>
                <w:szCs w:val="18"/>
              </w:rPr>
            </w:pPr>
            <w:r>
              <w:rPr>
                <w:rFonts w:cs="Calibri"/>
                <w:szCs w:val="18"/>
              </w:rPr>
              <w:t>Purchase or internally developed</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982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3,395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37,266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104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41,747</w:t>
            </w:r>
          </w:p>
        </w:tc>
      </w:tr>
      <w:tr w:rsidR="008835EB" w:rsidTr="007E3F2E">
        <w:trPr>
          <w:trHeight w:val="255"/>
        </w:trPr>
        <w:tc>
          <w:tcPr>
            <w:tcW w:w="593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First time recognition</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50</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auto" w:fill="auto"/>
            <w:noWrap/>
            <w:vAlign w:val="bottom"/>
            <w:hideMark/>
          </w:tcPr>
          <w:p w:rsidR="008835EB" w:rsidRDefault="008835EB" w:rsidP="007E3F2E">
            <w:pPr>
              <w:spacing w:line="240" w:lineRule="auto"/>
              <w:jc w:val="right"/>
              <w:rPr>
                <w:rFonts w:cs="Calibri"/>
                <w:b/>
                <w:bCs/>
                <w:szCs w:val="18"/>
              </w:rPr>
            </w:pPr>
            <w:r>
              <w:rPr>
                <w:rFonts w:cs="Calibri"/>
                <w:b/>
                <w:bCs/>
                <w:szCs w:val="18"/>
              </w:rPr>
              <w:t>50</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Reclassification</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(951)</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920</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34</w:t>
            </w:r>
          </w:p>
        </w:tc>
        <w:tc>
          <w:tcPr>
            <w:tcW w:w="1516" w:type="dxa"/>
            <w:tcBorders>
              <w:top w:val="nil"/>
              <w:left w:val="nil"/>
              <w:bottom w:val="nil"/>
              <w:right w:val="nil"/>
            </w:tcBorders>
            <w:shd w:val="clear" w:color="auto" w:fill="auto"/>
            <w:noWrap/>
            <w:vAlign w:val="bottom"/>
            <w:hideMark/>
          </w:tcPr>
          <w:p w:rsidR="008835EB" w:rsidRDefault="008835EB" w:rsidP="007E3F2E">
            <w:pPr>
              <w:spacing w:line="240" w:lineRule="auto"/>
              <w:jc w:val="right"/>
              <w:rPr>
                <w:rFonts w:cs="Calibri"/>
                <w:b/>
                <w:bCs/>
                <w:szCs w:val="18"/>
              </w:rPr>
            </w:pPr>
            <w:r>
              <w:rPr>
                <w:rFonts w:cs="Calibri"/>
                <w:b/>
                <w:bCs/>
                <w:szCs w:val="18"/>
              </w:rPr>
              <w:t>-</w:t>
            </w:r>
          </w:p>
        </w:tc>
      </w:tr>
      <w:tr w:rsidR="008835EB" w:rsidTr="007E3F2E">
        <w:trPr>
          <w:trHeight w:val="255"/>
        </w:trPr>
        <w:tc>
          <w:tcPr>
            <w:tcW w:w="59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Revaluations recognised in other comprehensive income</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6,128</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748</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auto" w:fill="auto"/>
            <w:noWrap/>
            <w:vAlign w:val="bottom"/>
            <w:hideMark/>
          </w:tcPr>
          <w:p w:rsidR="008835EB" w:rsidRDefault="008835EB" w:rsidP="007E3F2E">
            <w:pPr>
              <w:spacing w:line="240" w:lineRule="auto"/>
              <w:jc w:val="right"/>
              <w:rPr>
                <w:rFonts w:cs="Calibri"/>
                <w:b/>
                <w:bCs/>
                <w:szCs w:val="18"/>
              </w:rPr>
            </w:pPr>
            <w:r>
              <w:rPr>
                <w:rFonts w:cs="Calibri"/>
                <w:b/>
                <w:bCs/>
                <w:szCs w:val="18"/>
              </w:rPr>
              <w:t>6,876</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Impairments recognised in net cost of services</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(51)</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(144)</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(195)</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Reversal of impairments recognised in net cost of services</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262</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18</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280</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Depreciation/amortisation expense</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(3,031)</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(4,305)</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(14,455)</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(70)</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(21,861)</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Disposals</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r>
      <w:tr w:rsidR="008835EB" w:rsidTr="007E3F2E">
        <w:trPr>
          <w:trHeight w:val="255"/>
        </w:trPr>
        <w:tc>
          <w:tcPr>
            <w:tcW w:w="593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Other</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(155)</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(331)</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(486)</w:t>
            </w:r>
          </w:p>
        </w:tc>
      </w:tr>
      <w:tr w:rsidR="008835EB" w:rsidTr="007E3F2E">
        <w:trPr>
          <w:trHeight w:val="255"/>
        </w:trPr>
        <w:tc>
          <w:tcPr>
            <w:tcW w:w="593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Write-offs</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(170)</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(172)</w:t>
            </w:r>
          </w:p>
        </w:tc>
      </w:tr>
      <w:tr w:rsidR="008835EB" w:rsidTr="007E3F2E">
        <w:trPr>
          <w:trHeight w:val="255"/>
        </w:trPr>
        <w:tc>
          <w:tcPr>
            <w:tcW w:w="5936" w:type="dxa"/>
            <w:tcBorders>
              <w:top w:val="single" w:sz="4" w:space="0" w:color="auto"/>
              <w:left w:val="nil"/>
              <w:bottom w:val="double" w:sz="6"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as at 30 June 2016</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23,274</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13,714</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88,092</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419</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125,499</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as at 30 June 2016 represented by:</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Gross book value</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8835EB">
            <w:pPr>
              <w:spacing w:line="240" w:lineRule="auto"/>
              <w:ind w:firstLineChars="100" w:firstLine="180"/>
              <w:rPr>
                <w:rFonts w:cs="Calibri"/>
                <w:szCs w:val="18"/>
              </w:rPr>
            </w:pPr>
            <w:r>
              <w:rPr>
                <w:rFonts w:cs="Calibri"/>
                <w:szCs w:val="18"/>
              </w:rPr>
              <w:t>Fair Value</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23,586</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14,579</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113,208</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839</w:t>
            </w:r>
          </w:p>
        </w:tc>
        <w:tc>
          <w:tcPr>
            <w:tcW w:w="1516" w:type="dxa"/>
            <w:tcBorders>
              <w:top w:val="nil"/>
              <w:left w:val="nil"/>
              <w:bottom w:val="nil"/>
              <w:right w:val="nil"/>
            </w:tcBorders>
            <w:shd w:val="clear" w:color="auto" w:fill="auto"/>
            <w:noWrap/>
            <w:vAlign w:val="bottom"/>
            <w:hideMark/>
          </w:tcPr>
          <w:p w:rsidR="008835EB" w:rsidRDefault="008835EB" w:rsidP="007E3F2E">
            <w:pPr>
              <w:spacing w:line="240" w:lineRule="auto"/>
              <w:jc w:val="right"/>
              <w:rPr>
                <w:rFonts w:cs="Calibri"/>
                <w:b/>
                <w:bCs/>
                <w:szCs w:val="18"/>
              </w:rPr>
            </w:pPr>
            <w:r>
              <w:rPr>
                <w:rFonts w:cs="Calibri"/>
                <w:b/>
                <w:bCs/>
                <w:szCs w:val="18"/>
              </w:rPr>
              <w:t>152,212</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8835EB">
            <w:pPr>
              <w:spacing w:line="240" w:lineRule="auto"/>
              <w:ind w:firstLineChars="100" w:firstLine="180"/>
              <w:rPr>
                <w:rFonts w:cs="Calibri"/>
                <w:szCs w:val="18"/>
              </w:rPr>
            </w:pPr>
            <w:r>
              <w:rPr>
                <w:rFonts w:cs="Calibri"/>
                <w:szCs w:val="18"/>
              </w:rPr>
              <w:t>Work in progress</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8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2,910 </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 -</w:t>
            </w:r>
          </w:p>
        </w:tc>
        <w:tc>
          <w:tcPr>
            <w:tcW w:w="1516" w:type="dxa"/>
            <w:tcBorders>
              <w:top w:val="nil"/>
              <w:left w:val="nil"/>
              <w:bottom w:val="nil"/>
              <w:right w:val="nil"/>
            </w:tcBorders>
            <w:shd w:val="clear" w:color="auto" w:fill="auto"/>
            <w:noWrap/>
            <w:vAlign w:val="bottom"/>
            <w:hideMark/>
          </w:tcPr>
          <w:p w:rsidR="008835EB" w:rsidRDefault="008835EB" w:rsidP="007E3F2E">
            <w:pPr>
              <w:spacing w:line="240" w:lineRule="auto"/>
              <w:jc w:val="right"/>
              <w:rPr>
                <w:rFonts w:cs="Calibri"/>
                <w:b/>
                <w:bCs/>
                <w:szCs w:val="18"/>
              </w:rPr>
            </w:pPr>
            <w:r>
              <w:rPr>
                <w:rFonts w:cs="Calibri"/>
                <w:b/>
                <w:bCs/>
                <w:szCs w:val="18"/>
              </w:rPr>
              <w:t>2,918</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amortisation</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(27,585)</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(407)</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(27,992)</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depreciation</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(10)</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(102)</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(112)</w:t>
            </w:r>
          </w:p>
        </w:tc>
      </w:tr>
      <w:tr w:rsidR="008835EB" w:rsidTr="007E3F2E">
        <w:trPr>
          <w:trHeight w:val="255"/>
        </w:trPr>
        <w:tc>
          <w:tcPr>
            <w:tcW w:w="593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impairment</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(310)</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(763)</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(441)</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(13)</w:t>
            </w:r>
          </w:p>
        </w:tc>
        <w:tc>
          <w:tcPr>
            <w:tcW w:w="151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(1,527)</w:t>
            </w:r>
          </w:p>
        </w:tc>
      </w:tr>
      <w:tr w:rsidR="008835EB" w:rsidTr="007E3F2E">
        <w:trPr>
          <w:trHeight w:val="255"/>
        </w:trPr>
        <w:tc>
          <w:tcPr>
            <w:tcW w:w="5936" w:type="dxa"/>
            <w:tcBorders>
              <w:top w:val="single" w:sz="4" w:space="0" w:color="auto"/>
              <w:left w:val="nil"/>
              <w:bottom w:val="double" w:sz="6"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as at 30 June 2016</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23,274</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13,714</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88,092</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419</w:t>
            </w:r>
          </w:p>
        </w:tc>
        <w:tc>
          <w:tcPr>
            <w:tcW w:w="151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125,499</w:t>
            </w:r>
          </w:p>
        </w:tc>
      </w:tr>
    </w:tbl>
    <w:p w:rsidR="008835EB" w:rsidRDefault="008835EB" w:rsidP="008835EB">
      <w:pPr>
        <w:spacing w:line="240" w:lineRule="auto"/>
        <w:rPr>
          <w:rFonts w:asciiTheme="minorHAnsi" w:hAnsiTheme="minorHAnsi" w:cstheme="minorHAnsi"/>
          <w:sz w:val="10"/>
          <w:szCs w:val="10"/>
        </w:rPr>
      </w:pPr>
      <w:bookmarkStart w:id="219" w:name="RANGE!E7:J55"/>
      <w:bookmarkStart w:id="220" w:name="RANGE!E7:J54"/>
      <w:bookmarkStart w:id="221" w:name="RANGE!E7:J63"/>
      <w:bookmarkStart w:id="222" w:name="RANGE!E7:J61"/>
      <w:bookmarkStart w:id="223" w:name="RANGE!E7:J64"/>
      <w:bookmarkStart w:id="224" w:name="RANGE!E7:J65"/>
      <w:bookmarkStart w:id="225" w:name="RANGE!E7:L63"/>
      <w:bookmarkStart w:id="226" w:name="RANGE!E7:L65"/>
      <w:bookmarkStart w:id="227" w:name="RANGE!E7:L57"/>
      <w:bookmarkStart w:id="228" w:name="RANGE!E7:K55"/>
      <w:bookmarkStart w:id="229" w:name="RANGE!E7:K56"/>
      <w:bookmarkStart w:id="230" w:name="RANGE!E7:K52"/>
      <w:bookmarkStart w:id="231" w:name="RANGE!E7:K53"/>
      <w:bookmarkStart w:id="232" w:name="RANGE!E7:K49"/>
      <w:bookmarkStart w:id="233" w:name="RANGE!E6:K48"/>
      <w:bookmarkStart w:id="234" w:name="RANGE!E6:K47"/>
      <w:bookmarkStart w:id="235" w:name="RANGE!E6:K49"/>
      <w:bookmarkStart w:id="236" w:name="RANGE!E6:E50"/>
      <w:bookmarkStart w:id="237" w:name="RANGE!E6:K50"/>
      <w:bookmarkStart w:id="238" w:name="RANGE!E61:K87"/>
      <w:bookmarkStart w:id="239" w:name="RANGE!E60:K85"/>
      <w:bookmarkStart w:id="240" w:name="RANGE!E61:K86"/>
      <w:bookmarkStart w:id="241" w:name="RANGE!E57:K82"/>
      <w:bookmarkStart w:id="242" w:name="RANGE!E58:K83"/>
      <w:bookmarkStart w:id="243" w:name="RANGE!E57:K81"/>
      <w:bookmarkStart w:id="244" w:name="RANGE!E56:K79"/>
      <w:bookmarkStart w:id="245" w:name="RANGE!E58:K81"/>
      <w:bookmarkStart w:id="246" w:name="RANGE!E59:K82"/>
      <w:bookmarkStart w:id="247" w:name="RANGE!E59:K83"/>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8835EB" w:rsidRDefault="008835EB" w:rsidP="008835EB">
      <w:pPr>
        <w:spacing w:line="240" w:lineRule="auto"/>
        <w:rPr>
          <w:rFonts w:asciiTheme="minorHAnsi" w:hAnsiTheme="minorHAnsi" w:cstheme="minorHAnsi"/>
          <w:sz w:val="10"/>
          <w:szCs w:val="10"/>
        </w:rPr>
      </w:pPr>
      <w:r>
        <w:rPr>
          <w:rFonts w:asciiTheme="minorHAnsi" w:hAnsiTheme="minorHAnsi" w:cstheme="minorHAnsi"/>
          <w:sz w:val="10"/>
          <w:szCs w:val="10"/>
        </w:rPr>
        <w:br w:type="page"/>
      </w:r>
    </w:p>
    <w:tbl>
      <w:tblPr>
        <w:tblW w:w="13606" w:type="dxa"/>
        <w:tblInd w:w="80" w:type="dxa"/>
        <w:tblLayout w:type="fixed"/>
        <w:tblCellMar>
          <w:left w:w="6" w:type="dxa"/>
          <w:right w:w="6" w:type="dxa"/>
        </w:tblCellMar>
        <w:tblLook w:val="04A0" w:firstRow="1" w:lastRow="0" w:firstColumn="1" w:lastColumn="0" w:noHBand="0" w:noVBand="1"/>
      </w:tblPr>
      <w:tblGrid>
        <w:gridCol w:w="5976"/>
        <w:gridCol w:w="1526"/>
        <w:gridCol w:w="1496"/>
        <w:gridCol w:w="1556"/>
        <w:gridCol w:w="1526"/>
        <w:gridCol w:w="1526"/>
      </w:tblGrid>
      <w:tr w:rsidR="008835EB" w:rsidTr="007E3F2E">
        <w:trPr>
          <w:trHeight w:val="318"/>
        </w:trPr>
        <w:tc>
          <w:tcPr>
            <w:tcW w:w="13606" w:type="dxa"/>
            <w:gridSpan w:val="6"/>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b/>
                <w:bCs/>
                <w:szCs w:val="18"/>
                <w:u w:val="single"/>
              </w:rPr>
            </w:pPr>
            <w:bookmarkStart w:id="248" w:name="Note_MTATABLE2" w:colFirst="0" w:colLast="0"/>
            <w:r>
              <w:rPr>
                <w:rFonts w:cs="Calibri"/>
                <w:b/>
                <w:bCs/>
                <w:szCs w:val="18"/>
                <w:u w:val="single"/>
              </w:rPr>
              <w:lastRenderedPageBreak/>
              <w:t xml:space="preserve">Note </w:t>
            </w:r>
            <w:proofErr w:type="spellStart"/>
            <w:r>
              <w:rPr>
                <w:rFonts w:cs="Calibri"/>
                <w:b/>
                <w:bCs/>
                <w:szCs w:val="18"/>
                <w:u w:val="single"/>
              </w:rPr>
              <w:t>3.2B</w:t>
            </w:r>
            <w:proofErr w:type="spellEnd"/>
            <w:r>
              <w:rPr>
                <w:rFonts w:cs="Calibri"/>
                <w:b/>
                <w:bCs/>
                <w:szCs w:val="18"/>
                <w:u w:val="single"/>
              </w:rPr>
              <w:t>: Reconciliation of the Opening and Closing Balances of Property, Plant and Equipment and Intangibles (2014–15)</w:t>
            </w:r>
          </w:p>
        </w:tc>
      </w:tr>
      <w:bookmarkEnd w:id="248"/>
      <w:tr w:rsidR="008835EB" w:rsidTr="007E3F2E">
        <w:trPr>
          <w:trHeight w:val="255"/>
        </w:trPr>
        <w:tc>
          <w:tcPr>
            <w:tcW w:w="5976" w:type="dxa"/>
            <w:tcBorders>
              <w:top w:val="single" w:sz="4" w:space="0" w:color="auto"/>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26" w:type="dxa"/>
            <w:tcBorders>
              <w:top w:val="single" w:sz="4" w:space="0" w:color="auto"/>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Leasehold improvements</w:t>
            </w:r>
          </w:p>
        </w:tc>
        <w:tc>
          <w:tcPr>
            <w:tcW w:w="1496" w:type="dxa"/>
            <w:tcBorders>
              <w:top w:val="single" w:sz="4" w:space="0" w:color="auto"/>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Other plant &amp; equipment</w:t>
            </w:r>
          </w:p>
        </w:tc>
        <w:tc>
          <w:tcPr>
            <w:tcW w:w="1556" w:type="dxa"/>
            <w:tcBorders>
              <w:top w:val="single" w:sz="4" w:space="0" w:color="auto"/>
              <w:left w:val="nil"/>
              <w:bottom w:val="nil"/>
              <w:right w:val="nil"/>
            </w:tcBorders>
            <w:shd w:val="clear" w:color="FFFFFF" w:fill="FFFFFF"/>
            <w:tcMar>
              <w:left w:w="57" w:type="dxa"/>
            </w:tcMar>
            <w:vAlign w:val="bottom"/>
            <w:hideMark/>
          </w:tcPr>
          <w:p w:rsidR="008835EB" w:rsidRDefault="008835EB" w:rsidP="007E3F2E">
            <w:pPr>
              <w:spacing w:line="240" w:lineRule="auto"/>
              <w:jc w:val="right"/>
              <w:rPr>
                <w:rFonts w:cs="Calibri"/>
                <w:szCs w:val="18"/>
              </w:rPr>
            </w:pPr>
            <w:r>
              <w:rPr>
                <w:rFonts w:cs="Calibri"/>
                <w:szCs w:val="18"/>
              </w:rPr>
              <w:t>Computer software internally developed</w:t>
            </w:r>
          </w:p>
        </w:tc>
        <w:tc>
          <w:tcPr>
            <w:tcW w:w="1526" w:type="dxa"/>
            <w:tcBorders>
              <w:top w:val="single" w:sz="4" w:space="0" w:color="auto"/>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Computer software purchased</w:t>
            </w:r>
          </w:p>
        </w:tc>
        <w:tc>
          <w:tcPr>
            <w:tcW w:w="1526" w:type="dxa"/>
            <w:tcBorders>
              <w:top w:val="single" w:sz="4" w:space="0" w:color="auto"/>
              <w:left w:val="nil"/>
              <w:bottom w:val="nil"/>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Total</w:t>
            </w:r>
          </w:p>
        </w:tc>
      </w:tr>
      <w:tr w:rsidR="008835EB" w:rsidTr="007E3F2E">
        <w:trPr>
          <w:trHeight w:val="255"/>
        </w:trPr>
        <w:tc>
          <w:tcPr>
            <w:tcW w:w="5976" w:type="dxa"/>
            <w:tcBorders>
              <w:top w:val="nil"/>
              <w:left w:val="nil"/>
              <w:bottom w:val="single" w:sz="4" w:space="0" w:color="auto"/>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2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149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155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152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c>
          <w:tcPr>
            <w:tcW w:w="1526" w:type="dxa"/>
            <w:tcBorders>
              <w:top w:val="nil"/>
              <w:left w:val="nil"/>
              <w:bottom w:val="single" w:sz="4" w:space="0" w:color="auto"/>
              <w:right w:val="nil"/>
            </w:tcBorders>
            <w:shd w:val="clear" w:color="FFFFFF" w:fill="FFFFFF"/>
            <w:vAlign w:val="bottom"/>
            <w:hideMark/>
          </w:tcPr>
          <w:p w:rsidR="008835EB" w:rsidRDefault="008835EB" w:rsidP="007E3F2E">
            <w:pPr>
              <w:spacing w:line="240" w:lineRule="auto"/>
              <w:jc w:val="right"/>
              <w:rPr>
                <w:rFonts w:cs="Calibri"/>
                <w:szCs w:val="18"/>
              </w:rPr>
            </w:pPr>
            <w:r>
              <w:rPr>
                <w:rFonts w:cs="Calibri"/>
                <w:szCs w:val="18"/>
              </w:rPr>
              <w:t>$'000</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As at 30 June 2014</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Gross book value</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21,599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21,582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86,190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706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130,077</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Opening adjustment—gross book value</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80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75</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depreciation and impairment</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(582)</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(8,480)</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(46,744)</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(141)</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(55,947)</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Opening Adjustment—accumulated depreciation and impairment</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155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(80)</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5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80</w:t>
            </w:r>
          </w:p>
        </w:tc>
      </w:tr>
      <w:tr w:rsidR="008835EB" w:rsidTr="007E3F2E">
        <w:trPr>
          <w:trHeight w:val="255"/>
        </w:trPr>
        <w:tc>
          <w:tcPr>
            <w:tcW w:w="5976"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Net book value 30 June 2014</w:t>
            </w:r>
          </w:p>
        </w:tc>
        <w:tc>
          <w:tcPr>
            <w:tcW w:w="152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21,172</w:t>
            </w:r>
          </w:p>
        </w:tc>
        <w:tc>
          <w:tcPr>
            <w:tcW w:w="149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13,102</w:t>
            </w:r>
          </w:p>
        </w:tc>
        <w:tc>
          <w:tcPr>
            <w:tcW w:w="155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39,446</w:t>
            </w:r>
          </w:p>
        </w:tc>
        <w:tc>
          <w:tcPr>
            <w:tcW w:w="152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565</w:t>
            </w:r>
          </w:p>
        </w:tc>
        <w:tc>
          <w:tcPr>
            <w:tcW w:w="152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74,285</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Additions</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8835EB">
            <w:pPr>
              <w:spacing w:line="240" w:lineRule="auto"/>
              <w:ind w:firstLineChars="100" w:firstLine="180"/>
              <w:rPr>
                <w:rFonts w:cs="Calibri"/>
                <w:szCs w:val="18"/>
              </w:rPr>
            </w:pPr>
            <w:r>
              <w:rPr>
                <w:rFonts w:cs="Calibri"/>
                <w:szCs w:val="18"/>
              </w:rPr>
              <w:t>Purchase or internally developed</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7,533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4,990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41,169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53,692</w:t>
            </w:r>
          </w:p>
        </w:tc>
      </w:tr>
      <w:tr w:rsidR="008835EB" w:rsidTr="007E3F2E">
        <w:trPr>
          <w:trHeight w:val="255"/>
        </w:trPr>
        <w:tc>
          <w:tcPr>
            <w:tcW w:w="597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First time recognition</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152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114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266</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Reclassification</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r>
      <w:tr w:rsidR="008835EB" w:rsidTr="007E3F2E">
        <w:trPr>
          <w:trHeight w:val="255"/>
        </w:trPr>
        <w:tc>
          <w:tcPr>
            <w:tcW w:w="597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Revaluations and impairments recognised in other comprehensive income</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Impairments recognised in net cost of services</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(689)</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(689)</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Depreciation/amortisation expense</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(7,754)</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(4,762)</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(15,145)</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(214)</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(27,875)</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Disposals</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r>
      <w:tr w:rsidR="008835EB" w:rsidTr="007E3F2E">
        <w:trPr>
          <w:trHeight w:val="255"/>
        </w:trPr>
        <w:tc>
          <w:tcPr>
            <w:tcW w:w="597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From disposal of entities or operations (including restructuring)</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w:t>
            </w:r>
          </w:p>
        </w:tc>
      </w:tr>
      <w:tr w:rsidR="008835EB" w:rsidTr="007E3F2E">
        <w:trPr>
          <w:trHeight w:val="255"/>
        </w:trPr>
        <w:tc>
          <w:tcPr>
            <w:tcW w:w="597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Other</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(162)</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(116)</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(278)</w:t>
            </w:r>
          </w:p>
        </w:tc>
      </w:tr>
      <w:tr w:rsidR="008835EB" w:rsidTr="007E3F2E">
        <w:trPr>
          <w:trHeight w:val="255"/>
        </w:trPr>
        <w:tc>
          <w:tcPr>
            <w:tcW w:w="5976"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Write-offs</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(81)</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(58)</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(141)</w:t>
            </w:r>
          </w:p>
        </w:tc>
      </w:tr>
      <w:tr w:rsidR="008835EB" w:rsidTr="007E3F2E">
        <w:trPr>
          <w:trHeight w:val="255"/>
        </w:trPr>
        <w:tc>
          <w:tcPr>
            <w:tcW w:w="5976" w:type="dxa"/>
            <w:tcBorders>
              <w:top w:val="single" w:sz="4" w:space="0" w:color="auto"/>
              <w:left w:val="nil"/>
              <w:bottom w:val="double" w:sz="6"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as at 30 June 2015</w:t>
            </w:r>
          </w:p>
        </w:tc>
        <w:tc>
          <w:tcPr>
            <w:tcW w:w="152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20,260</w:t>
            </w:r>
          </w:p>
        </w:tc>
        <w:tc>
          <w:tcPr>
            <w:tcW w:w="149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13,239</w:t>
            </w:r>
          </w:p>
        </w:tc>
        <w:tc>
          <w:tcPr>
            <w:tcW w:w="155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65,410</w:t>
            </w:r>
          </w:p>
        </w:tc>
        <w:tc>
          <w:tcPr>
            <w:tcW w:w="152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351</w:t>
            </w:r>
          </w:p>
        </w:tc>
        <w:tc>
          <w:tcPr>
            <w:tcW w:w="152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99,260</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as at 30 June 2015 represented by:</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Gross book value</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8835EB">
            <w:pPr>
              <w:spacing w:line="240" w:lineRule="auto"/>
              <w:ind w:firstLineChars="100" w:firstLine="180"/>
              <w:rPr>
                <w:rFonts w:cs="Calibri"/>
                <w:szCs w:val="18"/>
              </w:rPr>
            </w:pPr>
            <w:r>
              <w:rPr>
                <w:rFonts w:cs="Calibri"/>
                <w:szCs w:val="18"/>
              </w:rPr>
              <w:t>Fair Value</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27,545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23,697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78,492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701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130,435</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8835EB">
            <w:pPr>
              <w:spacing w:line="240" w:lineRule="auto"/>
              <w:ind w:firstLineChars="100" w:firstLine="180"/>
              <w:rPr>
                <w:rFonts w:cs="Calibri"/>
                <w:szCs w:val="18"/>
              </w:rPr>
            </w:pPr>
            <w:r>
              <w:rPr>
                <w:rFonts w:cs="Calibri"/>
                <w:szCs w:val="18"/>
              </w:rPr>
              <w:t>Work in progress</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1,037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929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1,966</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amortisation</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(13,143)</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(319)</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(13,462)</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depreciation</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(7,432)</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(9,239)</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 -</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(16,671)</w:t>
            </w:r>
          </w:p>
        </w:tc>
      </w:tr>
      <w:tr w:rsidR="008835EB" w:rsidTr="007E3F2E">
        <w:trPr>
          <w:trHeight w:val="255"/>
        </w:trPr>
        <w:tc>
          <w:tcPr>
            <w:tcW w:w="5976"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Accumulated impairment</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(890)</w:t>
            </w:r>
          </w:p>
        </w:tc>
        <w:tc>
          <w:tcPr>
            <w:tcW w:w="149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(1,219)</w:t>
            </w:r>
          </w:p>
        </w:tc>
        <w:tc>
          <w:tcPr>
            <w:tcW w:w="155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(868)</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(31)</w:t>
            </w:r>
          </w:p>
        </w:tc>
        <w:tc>
          <w:tcPr>
            <w:tcW w:w="152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(3,008)</w:t>
            </w:r>
          </w:p>
        </w:tc>
      </w:tr>
      <w:tr w:rsidR="008835EB" w:rsidTr="007E3F2E">
        <w:trPr>
          <w:trHeight w:val="255"/>
        </w:trPr>
        <w:tc>
          <w:tcPr>
            <w:tcW w:w="5976" w:type="dxa"/>
            <w:tcBorders>
              <w:top w:val="single" w:sz="4" w:space="0" w:color="auto"/>
              <w:left w:val="nil"/>
              <w:bottom w:val="double" w:sz="6" w:space="0" w:color="auto"/>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Total as at 30 June 2015</w:t>
            </w:r>
          </w:p>
        </w:tc>
        <w:tc>
          <w:tcPr>
            <w:tcW w:w="152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20,260</w:t>
            </w:r>
          </w:p>
        </w:tc>
        <w:tc>
          <w:tcPr>
            <w:tcW w:w="149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13,239</w:t>
            </w:r>
          </w:p>
        </w:tc>
        <w:tc>
          <w:tcPr>
            <w:tcW w:w="155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65,410</w:t>
            </w:r>
          </w:p>
        </w:tc>
        <w:tc>
          <w:tcPr>
            <w:tcW w:w="152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351</w:t>
            </w:r>
          </w:p>
        </w:tc>
        <w:tc>
          <w:tcPr>
            <w:tcW w:w="152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99,260</w:t>
            </w:r>
          </w:p>
        </w:tc>
      </w:tr>
    </w:tbl>
    <w:p w:rsidR="008835EB" w:rsidRDefault="008835EB" w:rsidP="008835EB">
      <w:pPr>
        <w:spacing w:line="240" w:lineRule="auto"/>
        <w:rPr>
          <w:rFonts w:asciiTheme="minorHAnsi" w:hAnsiTheme="minorHAnsi" w:cstheme="minorHAnsi"/>
          <w:sz w:val="16"/>
          <w:szCs w:val="16"/>
          <w:vertAlign w:val="superscript"/>
        </w:rPr>
      </w:pPr>
      <w:bookmarkStart w:id="249" w:name="RANGE!E67:J99"/>
      <w:bookmarkStart w:id="250" w:name="RANGE!E66:J98"/>
      <w:bookmarkStart w:id="251" w:name="RANGE!E75:J107"/>
      <w:bookmarkStart w:id="252" w:name="RANGE!E75:J105"/>
      <w:bookmarkStart w:id="253" w:name="RANGE!E73:J103"/>
      <w:bookmarkStart w:id="254" w:name="RANGE!E76:J109"/>
      <w:bookmarkStart w:id="255" w:name="RANGE!E77:J111"/>
      <w:bookmarkStart w:id="256" w:name="RANGE!E77:L111"/>
      <w:bookmarkStart w:id="257" w:name="RANGE!E75:L109"/>
      <w:bookmarkStart w:id="258" w:name="RANGE!E71:L105"/>
      <w:bookmarkStart w:id="259" w:name="RANGE!E73:L109"/>
      <w:bookmarkStart w:id="260" w:name="RANGE!E65:L91"/>
      <w:bookmarkStart w:id="261" w:name="RANGE!E63:K89"/>
      <w:bookmarkEnd w:id="249"/>
      <w:bookmarkEnd w:id="250"/>
      <w:bookmarkEnd w:id="251"/>
      <w:bookmarkEnd w:id="252"/>
      <w:bookmarkEnd w:id="253"/>
      <w:bookmarkEnd w:id="254"/>
      <w:bookmarkEnd w:id="255"/>
      <w:bookmarkEnd w:id="256"/>
      <w:bookmarkEnd w:id="257"/>
      <w:bookmarkEnd w:id="258"/>
      <w:bookmarkEnd w:id="259"/>
      <w:bookmarkEnd w:id="260"/>
      <w:bookmarkEnd w:id="261"/>
    </w:p>
    <w:p w:rsidR="008835EB" w:rsidRDefault="008835EB" w:rsidP="008835EB">
      <w:pPr>
        <w:spacing w:line="240" w:lineRule="auto"/>
        <w:rPr>
          <w:rFonts w:asciiTheme="minorHAnsi" w:hAnsiTheme="minorHAnsi" w:cstheme="minorHAnsi"/>
          <w:szCs w:val="18"/>
        </w:rPr>
        <w:sectPr w:rsidR="008835EB" w:rsidSect="00F74C23">
          <w:pgSz w:w="16838" w:h="11906" w:orient="landscape"/>
          <w:pgMar w:top="1134" w:right="1134" w:bottom="1134" w:left="1134" w:header="958" w:footer="737" w:gutter="0"/>
          <w:cols w:space="720"/>
          <w:docGrid w:linePitch="245"/>
        </w:sectPr>
      </w:pPr>
    </w:p>
    <w:p w:rsidR="008835EB" w:rsidRPr="00BD2972" w:rsidRDefault="008835EB" w:rsidP="008835EB">
      <w:pPr>
        <w:pStyle w:val="ReportText"/>
      </w:pPr>
      <w:r>
        <w:lastRenderedPageBreak/>
        <w:t>During 2016, $0.144 million of internally developed software was impaired</w:t>
      </w:r>
      <w:r w:rsidRPr="00BD2972">
        <w:t xml:space="preserve"> (</w:t>
      </w:r>
      <w:r w:rsidR="00FA455C">
        <w:t>2015</w:t>
      </w:r>
      <w:r>
        <w:t>: nil). There were no write offs of internally developed software (</w:t>
      </w:r>
      <w:r w:rsidR="00FA455C">
        <w:t>2015</w:t>
      </w:r>
      <w:r w:rsidRPr="00BD2972">
        <w:t>:</w:t>
      </w:r>
      <w:r>
        <w:t xml:space="preserve"> </w:t>
      </w:r>
      <w:r w:rsidRPr="00BD2972">
        <w:t>$0.</w:t>
      </w:r>
      <w:r>
        <w:t>0</w:t>
      </w:r>
      <w:r w:rsidRPr="00BD2972">
        <w:t>58 million</w:t>
      </w:r>
      <w:r>
        <w:t xml:space="preserve">). </w:t>
      </w:r>
      <w:r w:rsidRPr="00BD2972">
        <w:t xml:space="preserve">There were no write offs of purchased software during </w:t>
      </w:r>
      <w:r w:rsidR="00FA455C">
        <w:t>2016</w:t>
      </w:r>
      <w:r w:rsidRPr="00BD2972">
        <w:t xml:space="preserve"> (</w:t>
      </w:r>
      <w:r w:rsidR="00FA455C">
        <w:t>2015</w:t>
      </w:r>
      <w:r>
        <w:t>: nil</w:t>
      </w:r>
      <w:r w:rsidRPr="00BD2972">
        <w:t>).</w:t>
      </w:r>
      <w:bookmarkStart w:id="262" w:name="RANGE!E52:H74"/>
      <w:bookmarkStart w:id="263" w:name="RANGE!E50:H68"/>
      <w:bookmarkStart w:id="264" w:name="RANGE!E56:H74"/>
      <w:bookmarkStart w:id="265" w:name="RANGE!E55:H73"/>
      <w:bookmarkStart w:id="266" w:name="RANGE!E55:J79"/>
      <w:bookmarkStart w:id="267" w:name="RANGE!E56:J80"/>
      <w:bookmarkEnd w:id="262"/>
      <w:bookmarkEnd w:id="263"/>
      <w:bookmarkEnd w:id="264"/>
      <w:bookmarkEnd w:id="265"/>
      <w:bookmarkEnd w:id="266"/>
      <w:bookmarkEnd w:id="267"/>
    </w:p>
    <w:p w:rsidR="008835EB" w:rsidRPr="00BD2972" w:rsidRDefault="008835EB" w:rsidP="008835EB">
      <w:pPr>
        <w:pStyle w:val="ReportText"/>
      </w:pPr>
      <w:r w:rsidRPr="00BD2972">
        <w:t>There are</w:t>
      </w:r>
      <w:r w:rsidRPr="00410C77">
        <w:t xml:space="preserve"> </w:t>
      </w:r>
      <w:r>
        <w:t>3 leased properties that the D</w:t>
      </w:r>
      <w:r w:rsidRPr="00BD2972">
        <w:t>epartment manages which are due to be vacated within the next 12 months that have</w:t>
      </w:r>
      <w:r>
        <w:t xml:space="preserve"> leasehold improvement assets. </w:t>
      </w:r>
      <w:r w:rsidRPr="00BD2972">
        <w:t>The total net book value of the leasehold improvements, including restoration for these properties, was</w:t>
      </w:r>
      <w:r w:rsidRPr="00410C77">
        <w:t xml:space="preserve"> </w:t>
      </w:r>
      <w:r w:rsidRPr="00A35678">
        <w:t>$0.</w:t>
      </w:r>
      <w:r>
        <w:t>7</w:t>
      </w:r>
      <w:r w:rsidRPr="00A35678">
        <w:t>74</w:t>
      </w:r>
      <w:r w:rsidRPr="00BD2972">
        <w:t xml:space="preserve"> million as at 30 June </w:t>
      </w:r>
      <w:r w:rsidR="00FA455C">
        <w:t>2016</w:t>
      </w:r>
      <w:r w:rsidRPr="00BD2972">
        <w:t>.</w:t>
      </w:r>
    </w:p>
    <w:p w:rsidR="008835EB" w:rsidRPr="00BD2972" w:rsidRDefault="008835EB" w:rsidP="008835EB">
      <w:pPr>
        <w:pStyle w:val="ReportText"/>
      </w:pPr>
      <w:r>
        <w:t>No</w:t>
      </w:r>
      <w:r w:rsidRPr="00BD2972">
        <w:t xml:space="preserve"> impairment loss was recognised for surplus lease space (</w:t>
      </w:r>
      <w:r w:rsidR="00FA455C">
        <w:t>2015</w:t>
      </w:r>
      <w:r>
        <w:t>: $</w:t>
      </w:r>
      <w:proofErr w:type="spellStart"/>
      <w:r>
        <w:t>0.689</w:t>
      </w:r>
      <w:r w:rsidRPr="00BD2972">
        <w:t>m</w:t>
      </w:r>
      <w:proofErr w:type="spellEnd"/>
      <w:r w:rsidRPr="00BD2972">
        <w:t xml:space="preserve">, </w:t>
      </w:r>
      <w:r>
        <w:t>7</w:t>
      </w:r>
      <w:r w:rsidRPr="00BD2972">
        <w:t xml:space="preserve"> properties). </w:t>
      </w:r>
    </w:p>
    <w:p w:rsidR="008835EB" w:rsidRPr="00BD2972" w:rsidRDefault="008835EB" w:rsidP="008835EB">
      <w:pPr>
        <w:pStyle w:val="ReportText"/>
      </w:pPr>
      <w:bookmarkStart w:id="268" w:name="RANGE!D7:G13"/>
      <w:bookmarkStart w:id="269" w:name="RANGE!D7:G12"/>
      <w:bookmarkEnd w:id="268"/>
      <w:bookmarkEnd w:id="269"/>
      <w:r w:rsidRPr="00BD2972">
        <w:t xml:space="preserve">No material amounts of infrastructure, plant and equipment are expected to be sold or disposed of within the next 12 months. </w:t>
      </w:r>
    </w:p>
    <w:p w:rsidR="008835EB" w:rsidRPr="00BD2972" w:rsidRDefault="008835EB" w:rsidP="008835EB">
      <w:pPr>
        <w:pStyle w:val="ReportText"/>
        <w:rPr>
          <w:b/>
        </w:rPr>
      </w:pPr>
      <w:r w:rsidRPr="00BD2972">
        <w:rPr>
          <w:b/>
        </w:rPr>
        <w:t>Revaluations of non-financial assets</w:t>
      </w:r>
    </w:p>
    <w:p w:rsidR="008835EB" w:rsidRPr="00BD2972" w:rsidRDefault="008835EB" w:rsidP="008835EB">
      <w:pPr>
        <w:pStyle w:val="ReportText"/>
      </w:pPr>
      <w:r w:rsidRPr="00BD2972">
        <w:t>All revaluations were conducted in accordance with the revaluation policy</w:t>
      </w:r>
      <w:r>
        <w:t xml:space="preserve"> below</w:t>
      </w:r>
      <w:r w:rsidRPr="00BD2972">
        <w:t>.</w:t>
      </w:r>
    </w:p>
    <w:p w:rsidR="008835EB" w:rsidRPr="00BD2972" w:rsidRDefault="008835EB" w:rsidP="008835EB">
      <w:pPr>
        <w:pStyle w:val="ReportText"/>
      </w:pPr>
      <w:r w:rsidRPr="00BD2972">
        <w:t xml:space="preserve">Revaluation increments for leasehold improvements </w:t>
      </w:r>
      <w:r>
        <w:t xml:space="preserve">and other plant &amp; equipment </w:t>
      </w:r>
      <w:r w:rsidRPr="00BD2972">
        <w:t>credited to the asset revaluation reserve were included in the equity section of the Statement of Financial Position, no increments were expensed.</w:t>
      </w:r>
    </w:p>
    <w:p w:rsidR="008835EB" w:rsidRDefault="008835EB" w:rsidP="008835EB">
      <w:pPr>
        <w:pStyle w:val="PolicyheadingDept"/>
        <w:pBdr>
          <w:bottom w:val="none" w:sz="0" w:space="0" w:color="auto"/>
        </w:pBdr>
      </w:pPr>
      <w:r w:rsidRPr="00764FAD">
        <w:t>Accounting Policy</w:t>
      </w:r>
    </w:p>
    <w:p w:rsidR="008835EB" w:rsidRPr="00200687" w:rsidRDefault="008835EB" w:rsidP="008835EB">
      <w:pPr>
        <w:pStyle w:val="Policytextunderline"/>
        <w:pBdr>
          <w:top w:val="none" w:sz="0" w:space="0" w:color="auto"/>
          <w:bottom w:val="none" w:sz="0" w:space="0" w:color="auto"/>
        </w:pBdr>
      </w:pPr>
      <w:r w:rsidRPr="00200687">
        <w:t xml:space="preserve">Acquisition of Assets </w:t>
      </w:r>
    </w:p>
    <w:p w:rsidR="008835EB" w:rsidRPr="003418B1" w:rsidRDefault="008835EB" w:rsidP="008835EB">
      <w:pPr>
        <w:pStyle w:val="PolicytextDept"/>
        <w:pBdr>
          <w:top w:val="none" w:sz="0" w:space="0" w:color="auto"/>
          <w:bottom w:val="none" w:sz="0" w:space="0" w:color="auto"/>
        </w:pBdr>
      </w:pPr>
      <w:r w:rsidRPr="003418B1">
        <w:t>Assets are recorded at cost on acqui</w:t>
      </w:r>
      <w:r>
        <w:t xml:space="preserve">sition except as stated below. </w:t>
      </w:r>
      <w:r w:rsidRPr="003418B1">
        <w:t>The cost of acquisition includes the fair value of assets transferred in exchange and liabilities underta</w:t>
      </w:r>
      <w:r>
        <w:t xml:space="preserve">ken. </w:t>
      </w:r>
      <w:r w:rsidRPr="003418B1">
        <w:t>Financial assets are initially measured at their fair value plus transaction costs where appropriate.</w:t>
      </w:r>
    </w:p>
    <w:p w:rsidR="008835EB" w:rsidRPr="003418B1" w:rsidRDefault="008835EB" w:rsidP="008835EB">
      <w:pPr>
        <w:pStyle w:val="PolicytextDept"/>
        <w:pBdr>
          <w:top w:val="none" w:sz="0" w:space="0" w:color="auto"/>
          <w:bottom w:val="none" w:sz="0" w:space="0" w:color="auto"/>
        </w:pBdr>
      </w:pPr>
      <w:r w:rsidRPr="003418B1">
        <w:t>Assets acquired at no cost, or for nominal consideration, are initially recognised as assets and income at their fair value at the date of acquisition, unless acquired as a consequence of restructuring o</w:t>
      </w:r>
      <w:r>
        <w:t xml:space="preserve">f administrative arrangements. </w:t>
      </w:r>
      <w:r w:rsidRPr="003418B1">
        <w:t>In the latter case, assets are initially recognised as contributions by owners at the amounts at which they were recognised in the transferor’s accounts immediately prior to the restructuring.</w:t>
      </w:r>
    </w:p>
    <w:p w:rsidR="008835EB" w:rsidRPr="00764FAD" w:rsidRDefault="008835EB" w:rsidP="008835EB">
      <w:pPr>
        <w:pStyle w:val="Policytextunderline"/>
        <w:pBdr>
          <w:top w:val="none" w:sz="0" w:space="0" w:color="auto"/>
          <w:bottom w:val="none" w:sz="0" w:space="0" w:color="auto"/>
        </w:pBdr>
      </w:pPr>
      <w:r w:rsidRPr="00764FAD">
        <w:t>Asset Recognition Threshold</w:t>
      </w:r>
    </w:p>
    <w:p w:rsidR="008835EB" w:rsidRPr="00764FAD" w:rsidRDefault="008835EB" w:rsidP="008835EB">
      <w:pPr>
        <w:pStyle w:val="PolicytextDept"/>
        <w:pBdr>
          <w:top w:val="none" w:sz="0" w:space="0" w:color="auto"/>
          <w:bottom w:val="none" w:sz="0" w:space="0" w:color="auto"/>
        </w:pBdr>
        <w:rPr>
          <w:lang w:eastAsia="en-AU"/>
        </w:rPr>
      </w:pPr>
      <w:r w:rsidRPr="00764FAD">
        <w:rPr>
          <w:lang w:eastAsia="en-AU"/>
        </w:rPr>
        <w:t>Purchases of property, plant and equipment are recognised initially at cost in the Statement of Financial Position, except for purchases costing less than $2,000, (or $50,000 for leasehold improvements) which are expensed in the year of acquisition (other than where they form part of a group of similar items wh</w:t>
      </w:r>
      <w:r>
        <w:rPr>
          <w:lang w:eastAsia="en-AU"/>
        </w:rPr>
        <w:t xml:space="preserve">ich are significant in total). </w:t>
      </w:r>
    </w:p>
    <w:p w:rsidR="008835EB" w:rsidRPr="00764FAD" w:rsidRDefault="008835EB" w:rsidP="008835EB">
      <w:pPr>
        <w:pStyle w:val="PolicytextDept"/>
        <w:pBdr>
          <w:top w:val="none" w:sz="0" w:space="0" w:color="auto"/>
          <w:bottom w:val="none" w:sz="0" w:space="0" w:color="auto"/>
        </w:pBdr>
        <w:rPr>
          <w:lang w:eastAsia="en-AU"/>
        </w:rPr>
      </w:pPr>
      <w:r w:rsidRPr="00764FAD">
        <w:rPr>
          <w:lang w:eastAsia="en-AU"/>
        </w:rPr>
        <w:t>The initial cost of an asset includes an estimate of the cost of dismantling and removing the item and restoring th</w:t>
      </w:r>
      <w:r>
        <w:rPr>
          <w:lang w:eastAsia="en-AU"/>
        </w:rPr>
        <w:t xml:space="preserve">e site on which it is located. </w:t>
      </w:r>
      <w:r w:rsidRPr="00764FAD">
        <w:rPr>
          <w:lang w:eastAsia="en-AU"/>
        </w:rPr>
        <w:t>This is particularly relevant to the restoration provisions in p</w:t>
      </w:r>
      <w:r>
        <w:rPr>
          <w:lang w:eastAsia="en-AU"/>
        </w:rPr>
        <w:t>roperty leases taken up by the D</w:t>
      </w:r>
      <w:r w:rsidRPr="00764FAD">
        <w:rPr>
          <w:lang w:eastAsia="en-AU"/>
        </w:rPr>
        <w:t>epartment where there exists an obligation to restore the prope</w:t>
      </w:r>
      <w:r>
        <w:rPr>
          <w:lang w:eastAsia="en-AU"/>
        </w:rPr>
        <w:t xml:space="preserve">rty to its original condition. </w:t>
      </w:r>
      <w:r w:rsidRPr="00764FAD">
        <w:rPr>
          <w:lang w:eastAsia="en-AU"/>
        </w:rPr>
        <w:t>These costs are included in the value of the department's leasehold improvements with a corresponding provision for the ‘restoration’ recognised.</w:t>
      </w:r>
    </w:p>
    <w:p w:rsidR="008835EB" w:rsidRPr="00764FAD" w:rsidRDefault="008835EB" w:rsidP="008835EB">
      <w:pPr>
        <w:pStyle w:val="Policytextunderline"/>
        <w:pBdr>
          <w:top w:val="none" w:sz="0" w:space="0" w:color="auto"/>
          <w:bottom w:val="none" w:sz="0" w:space="0" w:color="auto"/>
        </w:pBdr>
      </w:pPr>
      <w:r w:rsidRPr="00764FAD">
        <w:t>Revaluations</w:t>
      </w:r>
    </w:p>
    <w:p w:rsidR="008835EB" w:rsidRDefault="008835EB" w:rsidP="008835EB">
      <w:pPr>
        <w:pStyle w:val="PolicytextDept"/>
        <w:pBdr>
          <w:top w:val="none" w:sz="0" w:space="0" w:color="auto"/>
          <w:bottom w:val="none" w:sz="0" w:space="0" w:color="auto"/>
        </w:pBdr>
        <w:spacing w:after="0"/>
      </w:pPr>
      <w:r w:rsidRPr="00764FAD">
        <w:rPr>
          <w:lang w:eastAsia="en-AU"/>
        </w:rPr>
        <w:t>Fair values for each class of asset are determined as shown below</w:t>
      </w:r>
      <w:r w:rsidRPr="00764FAD">
        <w:t>:</w:t>
      </w:r>
    </w:p>
    <w:p w:rsidR="008835EB" w:rsidRPr="00764FAD" w:rsidRDefault="008835EB" w:rsidP="008835EB">
      <w:pPr>
        <w:pStyle w:val="PolicytextDept"/>
        <w:pBdr>
          <w:top w:val="none" w:sz="0" w:space="0" w:color="auto"/>
          <w:bottom w:val="none" w:sz="0" w:space="0" w:color="auto"/>
        </w:pBdr>
        <w:spacing w:after="0"/>
      </w:pPr>
    </w:p>
    <w:tbl>
      <w:tblPr>
        <w:tblW w:w="9095" w:type="dxa"/>
        <w:tblInd w:w="85" w:type="dxa"/>
        <w:tblBorders>
          <w:top w:val="single" w:sz="4" w:space="0" w:color="000000" w:themeColor="text1"/>
          <w:left w:val="single" w:sz="4" w:space="0" w:color="009560"/>
          <w:bottom w:val="single" w:sz="4" w:space="0" w:color="000000" w:themeColor="text1"/>
          <w:right w:val="single" w:sz="4" w:space="0" w:color="009560"/>
          <w:insideH w:val="single" w:sz="4" w:space="0" w:color="000000" w:themeColor="text1"/>
          <w:insideV w:val="single" w:sz="4" w:space="0" w:color="000000" w:themeColor="text1"/>
        </w:tblBorders>
        <w:tblLook w:val="01E0" w:firstRow="1" w:lastRow="1" w:firstColumn="1" w:lastColumn="1" w:noHBand="0" w:noVBand="0"/>
      </w:tblPr>
      <w:tblGrid>
        <w:gridCol w:w="307"/>
        <w:gridCol w:w="4252"/>
        <w:gridCol w:w="4111"/>
        <w:gridCol w:w="425"/>
      </w:tblGrid>
      <w:tr w:rsidR="008835EB" w:rsidRPr="00764FAD" w:rsidTr="007E3F2E">
        <w:tc>
          <w:tcPr>
            <w:tcW w:w="307" w:type="dxa"/>
            <w:tcBorders>
              <w:top w:val="nil"/>
              <w:left w:val="single" w:sz="4" w:space="0" w:color="00746B"/>
              <w:bottom w:val="nil"/>
            </w:tcBorders>
          </w:tcPr>
          <w:p w:rsidR="008835EB" w:rsidRPr="00764FAD" w:rsidRDefault="008835EB" w:rsidP="007E3F2E">
            <w:pPr>
              <w:spacing w:after="120"/>
            </w:pPr>
          </w:p>
        </w:tc>
        <w:tc>
          <w:tcPr>
            <w:tcW w:w="4252" w:type="dxa"/>
          </w:tcPr>
          <w:p w:rsidR="008835EB" w:rsidRPr="00CC7A37" w:rsidRDefault="008835EB" w:rsidP="007E3F2E">
            <w:pPr>
              <w:spacing w:after="120"/>
              <w:rPr>
                <w:b/>
              </w:rPr>
            </w:pPr>
            <w:r w:rsidRPr="00CC7A37">
              <w:rPr>
                <w:b/>
              </w:rPr>
              <w:t>Asset Class</w:t>
            </w:r>
          </w:p>
        </w:tc>
        <w:tc>
          <w:tcPr>
            <w:tcW w:w="4111" w:type="dxa"/>
          </w:tcPr>
          <w:p w:rsidR="008835EB" w:rsidRPr="00CC7A37" w:rsidRDefault="008835EB" w:rsidP="007E3F2E">
            <w:pPr>
              <w:spacing w:after="120"/>
              <w:rPr>
                <w:b/>
              </w:rPr>
            </w:pPr>
            <w:r w:rsidRPr="00CC7A37">
              <w:rPr>
                <w:b/>
              </w:rPr>
              <w:t>Fair value measurement</w:t>
            </w:r>
          </w:p>
        </w:tc>
        <w:tc>
          <w:tcPr>
            <w:tcW w:w="425" w:type="dxa"/>
            <w:tcBorders>
              <w:top w:val="nil"/>
              <w:bottom w:val="nil"/>
              <w:right w:val="single" w:sz="4" w:space="0" w:color="00746B"/>
            </w:tcBorders>
          </w:tcPr>
          <w:p w:rsidR="008835EB" w:rsidRPr="00764FAD" w:rsidRDefault="008835EB" w:rsidP="007E3F2E">
            <w:pPr>
              <w:spacing w:after="120"/>
            </w:pPr>
          </w:p>
        </w:tc>
      </w:tr>
      <w:tr w:rsidR="008835EB" w:rsidRPr="00764FAD" w:rsidTr="007E3F2E">
        <w:tc>
          <w:tcPr>
            <w:tcW w:w="307" w:type="dxa"/>
            <w:tcBorders>
              <w:top w:val="nil"/>
              <w:left w:val="single" w:sz="4" w:space="0" w:color="00746B"/>
              <w:bottom w:val="nil"/>
            </w:tcBorders>
          </w:tcPr>
          <w:p w:rsidR="008835EB" w:rsidRPr="00764FAD" w:rsidRDefault="008835EB" w:rsidP="007E3F2E">
            <w:pPr>
              <w:spacing w:after="120"/>
            </w:pPr>
          </w:p>
        </w:tc>
        <w:tc>
          <w:tcPr>
            <w:tcW w:w="4252" w:type="dxa"/>
          </w:tcPr>
          <w:p w:rsidR="008835EB" w:rsidRPr="00764FAD" w:rsidRDefault="008835EB" w:rsidP="007E3F2E">
            <w:pPr>
              <w:spacing w:after="120"/>
            </w:pPr>
            <w:r w:rsidRPr="00764FAD">
              <w:t>Leasehold improvements</w:t>
            </w:r>
          </w:p>
        </w:tc>
        <w:tc>
          <w:tcPr>
            <w:tcW w:w="4111" w:type="dxa"/>
          </w:tcPr>
          <w:p w:rsidR="008835EB" w:rsidRPr="00764FAD" w:rsidRDefault="008835EB" w:rsidP="007E3F2E">
            <w:pPr>
              <w:spacing w:after="120"/>
            </w:pPr>
            <w:r w:rsidRPr="00764FAD">
              <w:t>Depreciated replacement cost</w:t>
            </w:r>
          </w:p>
        </w:tc>
        <w:tc>
          <w:tcPr>
            <w:tcW w:w="425" w:type="dxa"/>
            <w:tcBorders>
              <w:top w:val="nil"/>
              <w:bottom w:val="nil"/>
              <w:right w:val="single" w:sz="4" w:space="0" w:color="00746B"/>
            </w:tcBorders>
          </w:tcPr>
          <w:p w:rsidR="008835EB" w:rsidRPr="00764FAD" w:rsidRDefault="008835EB" w:rsidP="007E3F2E">
            <w:pPr>
              <w:spacing w:after="120"/>
            </w:pPr>
          </w:p>
        </w:tc>
      </w:tr>
      <w:tr w:rsidR="008835EB" w:rsidRPr="00764FAD" w:rsidTr="007E3F2E">
        <w:tc>
          <w:tcPr>
            <w:tcW w:w="307" w:type="dxa"/>
            <w:tcBorders>
              <w:top w:val="nil"/>
              <w:left w:val="single" w:sz="4" w:space="0" w:color="00746B"/>
              <w:bottom w:val="nil"/>
            </w:tcBorders>
          </w:tcPr>
          <w:p w:rsidR="008835EB" w:rsidRPr="00764FAD" w:rsidRDefault="008835EB" w:rsidP="007E3F2E">
            <w:pPr>
              <w:spacing w:after="120"/>
            </w:pPr>
          </w:p>
        </w:tc>
        <w:tc>
          <w:tcPr>
            <w:tcW w:w="4252" w:type="dxa"/>
          </w:tcPr>
          <w:p w:rsidR="008835EB" w:rsidRPr="00764FAD" w:rsidRDefault="008835EB" w:rsidP="007E3F2E">
            <w:pPr>
              <w:spacing w:after="120"/>
            </w:pPr>
            <w:r w:rsidRPr="00764FAD">
              <w:t>Infrastructure, plant and equipment</w:t>
            </w:r>
          </w:p>
        </w:tc>
        <w:tc>
          <w:tcPr>
            <w:tcW w:w="4111" w:type="dxa"/>
          </w:tcPr>
          <w:p w:rsidR="008835EB" w:rsidRPr="00764FAD" w:rsidRDefault="008835EB" w:rsidP="007E3F2E">
            <w:pPr>
              <w:spacing w:after="120"/>
            </w:pPr>
            <w:r w:rsidRPr="00764FAD">
              <w:t>Market selling price</w:t>
            </w:r>
          </w:p>
        </w:tc>
        <w:tc>
          <w:tcPr>
            <w:tcW w:w="425" w:type="dxa"/>
            <w:tcBorders>
              <w:top w:val="nil"/>
              <w:bottom w:val="nil"/>
              <w:right w:val="single" w:sz="4" w:space="0" w:color="00746B"/>
            </w:tcBorders>
          </w:tcPr>
          <w:p w:rsidR="008835EB" w:rsidRPr="00764FAD" w:rsidRDefault="008835EB" w:rsidP="007E3F2E">
            <w:pPr>
              <w:spacing w:after="120"/>
            </w:pPr>
          </w:p>
        </w:tc>
      </w:tr>
    </w:tbl>
    <w:p w:rsidR="008835EB" w:rsidRDefault="008835EB" w:rsidP="008835EB">
      <w:pPr>
        <w:pStyle w:val="PolicytextDept"/>
        <w:pBdr>
          <w:top w:val="none" w:sz="0" w:space="0" w:color="auto"/>
          <w:bottom w:val="none" w:sz="0" w:space="0" w:color="auto"/>
          <w:right w:val="single" w:sz="4" w:space="1" w:color="00746B"/>
        </w:pBdr>
        <w:spacing w:before="240"/>
        <w:rPr>
          <w:lang w:eastAsia="en-AU"/>
        </w:rPr>
      </w:pPr>
      <w:r w:rsidRPr="00764FAD">
        <w:rPr>
          <w:lang w:eastAsia="en-AU"/>
        </w:rPr>
        <w:t>Following initial recognition at cost, property, plant and equipment are carried at valuation less accumulated depreciation and accumulated impairment losses. Valuations are conducted with sufficient frequency to ensure that the carrying amounts of assets do not differ materially from the assets’ fair va</w:t>
      </w:r>
      <w:r>
        <w:rPr>
          <w:lang w:eastAsia="en-AU"/>
        </w:rPr>
        <w:t xml:space="preserve">lues as at the reporting date. </w:t>
      </w:r>
      <w:r w:rsidRPr="00764FAD">
        <w:rPr>
          <w:lang w:eastAsia="en-AU"/>
        </w:rPr>
        <w:t>The regularity of independent valuations depends upon the volatility of movements in market values for the relevant assets. This volatility is assessed at the end of each reporting period.</w:t>
      </w:r>
    </w:p>
    <w:p w:rsidR="008835EB" w:rsidRPr="00764FAD" w:rsidRDefault="008835EB" w:rsidP="008835EB">
      <w:pPr>
        <w:pStyle w:val="PolicytextDept"/>
        <w:pBdr>
          <w:top w:val="none" w:sz="0" w:space="0" w:color="auto"/>
          <w:bottom w:val="none" w:sz="0" w:space="0" w:color="auto"/>
          <w:right w:val="single" w:sz="4" w:space="1" w:color="00746B"/>
        </w:pBdr>
        <w:rPr>
          <w:lang w:eastAsia="en-AU"/>
        </w:rPr>
      </w:pPr>
      <w:r w:rsidRPr="00764FAD">
        <w:rPr>
          <w:lang w:eastAsia="en-AU"/>
        </w:rPr>
        <w:t>Revaluation adjustme</w:t>
      </w:r>
      <w:r>
        <w:rPr>
          <w:lang w:eastAsia="en-AU"/>
        </w:rPr>
        <w:t>nts were made on a class basis.</w:t>
      </w:r>
      <w:r w:rsidRPr="00764FAD">
        <w:rPr>
          <w:lang w:eastAsia="en-AU"/>
        </w:rPr>
        <w:t xml:space="preserve"> Any revaluation increment is credited to equity under the heading of asset revaluation reserve except to the extent that it reverses a previous revaluation decrement of the same asset class that was previously rec</w:t>
      </w:r>
      <w:r>
        <w:rPr>
          <w:lang w:eastAsia="en-AU"/>
        </w:rPr>
        <w:t>ognised in the surplus/deficit.</w:t>
      </w:r>
      <w:r w:rsidRPr="00764FAD">
        <w:rPr>
          <w:lang w:eastAsia="en-AU"/>
        </w:rPr>
        <w:t xml:space="preserve"> Revaluation decrements for a class of assets were recognised directly in the surplus/deficit except to the extent that they reverse a previous revaluation increment for that class.</w:t>
      </w:r>
    </w:p>
    <w:p w:rsidR="008835EB" w:rsidRPr="00F904B6" w:rsidRDefault="008835EB" w:rsidP="008835EB">
      <w:pPr>
        <w:pStyle w:val="PolicytextDept"/>
        <w:pBdr>
          <w:top w:val="none" w:sz="0" w:space="0" w:color="auto"/>
        </w:pBdr>
      </w:pPr>
      <w:r w:rsidRPr="00764FAD">
        <w:rPr>
          <w:lang w:eastAsia="en-AU"/>
        </w:rPr>
        <w:t xml:space="preserve">Any accumulated depreciation as at the revaluation date is eliminated against the gross carrying amount of the asset and </w:t>
      </w:r>
      <w:r w:rsidRPr="00F904B6">
        <w:t>the asset restated to the revalued amount.</w:t>
      </w:r>
    </w:p>
    <w:p w:rsidR="008835EB" w:rsidRDefault="008835EB" w:rsidP="008835EB">
      <w:pPr>
        <w:spacing w:line="240" w:lineRule="auto"/>
        <w:rPr>
          <w:rFonts w:asciiTheme="minorHAnsi" w:hAnsiTheme="minorHAnsi" w:cstheme="minorHAnsi"/>
          <w:bCs/>
          <w:szCs w:val="18"/>
          <w:lang w:eastAsia="en-AU"/>
        </w:rPr>
      </w:pPr>
      <w:r>
        <w:rPr>
          <w:rFonts w:asciiTheme="minorHAnsi" w:hAnsiTheme="minorHAnsi" w:cstheme="minorHAnsi"/>
          <w:bCs/>
          <w:szCs w:val="18"/>
          <w:lang w:eastAsia="en-AU"/>
        </w:rPr>
        <w:br w:type="page"/>
      </w:r>
    </w:p>
    <w:p w:rsidR="008835EB" w:rsidRPr="00764FAD" w:rsidRDefault="008835EB" w:rsidP="008835EB">
      <w:pPr>
        <w:pStyle w:val="Policytextunderline"/>
        <w:pBdr>
          <w:top w:val="single" w:sz="4" w:space="8" w:color="009560"/>
          <w:bottom w:val="none" w:sz="0" w:space="0" w:color="auto"/>
        </w:pBdr>
      </w:pPr>
      <w:r w:rsidRPr="00764FAD">
        <w:lastRenderedPageBreak/>
        <w:t>Depreciation</w:t>
      </w:r>
    </w:p>
    <w:p w:rsidR="008835EB" w:rsidRPr="00764FAD" w:rsidRDefault="008835EB" w:rsidP="008835EB">
      <w:pPr>
        <w:pStyle w:val="PolicytextDept"/>
        <w:pBdr>
          <w:top w:val="none" w:sz="0" w:space="0" w:color="auto"/>
          <w:bottom w:val="none" w:sz="0" w:space="0" w:color="auto"/>
        </w:pBdr>
        <w:rPr>
          <w:lang w:eastAsia="en-AU"/>
        </w:rPr>
      </w:pPr>
      <w:r w:rsidRPr="00764FAD">
        <w:rPr>
          <w:lang w:eastAsia="en-AU"/>
        </w:rPr>
        <w:t>Depreciable property, plant and equipment assets are written-off to their estimated residual values over their</w:t>
      </w:r>
      <w:r>
        <w:rPr>
          <w:lang w:eastAsia="en-AU"/>
        </w:rPr>
        <w:t xml:space="preserve"> estimated useful lives to the D</w:t>
      </w:r>
      <w:r w:rsidRPr="00764FAD">
        <w:rPr>
          <w:lang w:eastAsia="en-AU"/>
        </w:rPr>
        <w:t>epartment using, in all cases, the straigh</w:t>
      </w:r>
      <w:r>
        <w:rPr>
          <w:lang w:eastAsia="en-AU"/>
        </w:rPr>
        <w:t xml:space="preserve">t-line method of depreciation. </w:t>
      </w:r>
    </w:p>
    <w:p w:rsidR="008835EB" w:rsidRPr="00764FAD" w:rsidRDefault="008835EB" w:rsidP="008835EB">
      <w:pPr>
        <w:pStyle w:val="PolicytextDept"/>
        <w:pBdr>
          <w:top w:val="none" w:sz="0" w:space="0" w:color="auto"/>
          <w:bottom w:val="none" w:sz="0" w:space="0" w:color="auto"/>
        </w:pBdr>
        <w:rPr>
          <w:lang w:eastAsia="en-AU"/>
        </w:rPr>
      </w:pPr>
      <w:r w:rsidRPr="00764FAD">
        <w:rPr>
          <w:lang w:eastAsia="en-AU"/>
        </w:rPr>
        <w:t>Depreciation rates (useful lives), residual values and methods are reviewed at each reporting date and necessary adjustments are recognised in the current, or current and future reporting periods, as appropriate.</w:t>
      </w:r>
    </w:p>
    <w:p w:rsidR="008835EB" w:rsidRPr="00764FAD" w:rsidRDefault="008835EB" w:rsidP="008835EB">
      <w:pPr>
        <w:pStyle w:val="PolicytextDept"/>
        <w:pBdr>
          <w:top w:val="none" w:sz="0" w:space="0" w:color="auto"/>
          <w:bottom w:val="none" w:sz="0" w:space="0" w:color="auto"/>
        </w:pBdr>
      </w:pPr>
      <w:r w:rsidRPr="00764FAD">
        <w:rPr>
          <w:lang w:eastAsia="en-AU"/>
        </w:rPr>
        <w:t>Depreciation rates applying to each class of depreciable asset are based on the following useful lives</w:t>
      </w:r>
      <w:r w:rsidRPr="00764FAD">
        <w:t>:</w:t>
      </w:r>
    </w:p>
    <w:tbl>
      <w:tblPr>
        <w:tblW w:w="9095" w:type="dxa"/>
        <w:tblInd w:w="85" w:type="dxa"/>
        <w:tblBorders>
          <w:top w:val="single" w:sz="4" w:space="0" w:color="000000" w:themeColor="text1"/>
          <w:left w:val="single" w:sz="4" w:space="0" w:color="009560"/>
          <w:bottom w:val="single" w:sz="4" w:space="0" w:color="000000" w:themeColor="text1"/>
          <w:right w:val="single" w:sz="4" w:space="0" w:color="009560"/>
          <w:insideH w:val="single" w:sz="4" w:space="0" w:color="000000" w:themeColor="text1"/>
          <w:insideV w:val="single" w:sz="4" w:space="0" w:color="000000" w:themeColor="text1"/>
        </w:tblBorders>
        <w:tblLook w:val="01E0" w:firstRow="1" w:lastRow="1" w:firstColumn="1" w:lastColumn="1" w:noHBand="0" w:noVBand="0"/>
      </w:tblPr>
      <w:tblGrid>
        <w:gridCol w:w="307"/>
        <w:gridCol w:w="4252"/>
        <w:gridCol w:w="4253"/>
        <w:gridCol w:w="283"/>
      </w:tblGrid>
      <w:tr w:rsidR="008835EB" w:rsidRPr="00764FAD" w:rsidTr="007E3F2E">
        <w:tc>
          <w:tcPr>
            <w:tcW w:w="307" w:type="dxa"/>
            <w:tcBorders>
              <w:top w:val="nil"/>
              <w:left w:val="single" w:sz="4" w:space="0" w:color="00746B"/>
              <w:bottom w:val="nil"/>
            </w:tcBorders>
          </w:tcPr>
          <w:p w:rsidR="008835EB" w:rsidRPr="00764FAD" w:rsidRDefault="008835EB" w:rsidP="007E3F2E">
            <w:pPr>
              <w:spacing w:after="120"/>
            </w:pPr>
          </w:p>
        </w:tc>
        <w:tc>
          <w:tcPr>
            <w:tcW w:w="4252" w:type="dxa"/>
          </w:tcPr>
          <w:p w:rsidR="008835EB" w:rsidRPr="00CC7A37" w:rsidRDefault="008835EB" w:rsidP="007E3F2E">
            <w:pPr>
              <w:spacing w:after="120"/>
              <w:rPr>
                <w:b/>
              </w:rPr>
            </w:pPr>
            <w:r w:rsidRPr="00CC7A37">
              <w:rPr>
                <w:b/>
              </w:rPr>
              <w:t>Asset Class</w:t>
            </w:r>
          </w:p>
        </w:tc>
        <w:tc>
          <w:tcPr>
            <w:tcW w:w="4253" w:type="dxa"/>
          </w:tcPr>
          <w:p w:rsidR="008835EB" w:rsidRPr="00CC7A37" w:rsidRDefault="008835EB" w:rsidP="007E3F2E">
            <w:pPr>
              <w:spacing w:after="120"/>
              <w:rPr>
                <w:b/>
              </w:rPr>
            </w:pPr>
            <w:r>
              <w:rPr>
                <w:b/>
              </w:rPr>
              <w:t>2016</w:t>
            </w:r>
          </w:p>
        </w:tc>
        <w:tc>
          <w:tcPr>
            <w:tcW w:w="283" w:type="dxa"/>
            <w:tcBorders>
              <w:top w:val="nil"/>
              <w:bottom w:val="nil"/>
              <w:right w:val="single" w:sz="4" w:space="0" w:color="00746B"/>
            </w:tcBorders>
          </w:tcPr>
          <w:p w:rsidR="008835EB" w:rsidRPr="00764FAD" w:rsidRDefault="008835EB" w:rsidP="007E3F2E">
            <w:pPr>
              <w:spacing w:after="120"/>
            </w:pPr>
          </w:p>
        </w:tc>
      </w:tr>
      <w:tr w:rsidR="008835EB" w:rsidRPr="00764FAD" w:rsidTr="007E3F2E">
        <w:tc>
          <w:tcPr>
            <w:tcW w:w="307" w:type="dxa"/>
            <w:tcBorders>
              <w:top w:val="nil"/>
              <w:left w:val="single" w:sz="4" w:space="0" w:color="00746B"/>
              <w:bottom w:val="nil"/>
            </w:tcBorders>
          </w:tcPr>
          <w:p w:rsidR="008835EB" w:rsidRPr="00764FAD" w:rsidRDefault="008835EB" w:rsidP="007E3F2E">
            <w:pPr>
              <w:spacing w:after="120"/>
            </w:pPr>
          </w:p>
        </w:tc>
        <w:tc>
          <w:tcPr>
            <w:tcW w:w="4252" w:type="dxa"/>
          </w:tcPr>
          <w:p w:rsidR="008835EB" w:rsidRPr="00764FAD" w:rsidRDefault="008835EB" w:rsidP="007E3F2E">
            <w:pPr>
              <w:spacing w:after="120"/>
            </w:pPr>
            <w:r w:rsidRPr="00764FAD">
              <w:t>Leasehold improvements</w:t>
            </w:r>
          </w:p>
        </w:tc>
        <w:tc>
          <w:tcPr>
            <w:tcW w:w="4253" w:type="dxa"/>
          </w:tcPr>
          <w:p w:rsidR="008835EB" w:rsidRPr="00764FAD" w:rsidRDefault="008835EB" w:rsidP="007E3F2E">
            <w:pPr>
              <w:spacing w:after="120"/>
            </w:pPr>
            <w:r>
              <w:t>Lease Term</w:t>
            </w:r>
          </w:p>
        </w:tc>
        <w:tc>
          <w:tcPr>
            <w:tcW w:w="283" w:type="dxa"/>
            <w:tcBorders>
              <w:top w:val="nil"/>
              <w:bottom w:val="nil"/>
              <w:right w:val="single" w:sz="4" w:space="0" w:color="00746B"/>
            </w:tcBorders>
          </w:tcPr>
          <w:p w:rsidR="008835EB" w:rsidRPr="00764FAD" w:rsidRDefault="008835EB" w:rsidP="007E3F2E">
            <w:pPr>
              <w:spacing w:after="120"/>
            </w:pPr>
          </w:p>
        </w:tc>
      </w:tr>
      <w:tr w:rsidR="008835EB" w:rsidRPr="00764FAD" w:rsidTr="007E3F2E">
        <w:tc>
          <w:tcPr>
            <w:tcW w:w="307" w:type="dxa"/>
            <w:tcBorders>
              <w:top w:val="nil"/>
              <w:left w:val="single" w:sz="4" w:space="0" w:color="00746B"/>
              <w:bottom w:val="nil"/>
            </w:tcBorders>
          </w:tcPr>
          <w:p w:rsidR="008835EB" w:rsidRPr="00764FAD" w:rsidRDefault="008835EB" w:rsidP="007E3F2E">
            <w:pPr>
              <w:spacing w:after="120"/>
            </w:pPr>
          </w:p>
        </w:tc>
        <w:tc>
          <w:tcPr>
            <w:tcW w:w="4252" w:type="dxa"/>
          </w:tcPr>
          <w:p w:rsidR="008835EB" w:rsidRPr="00764FAD" w:rsidRDefault="008835EB" w:rsidP="007E3F2E">
            <w:pPr>
              <w:spacing w:after="120"/>
            </w:pPr>
            <w:r w:rsidRPr="00764FAD">
              <w:t>Infrastructure, plant and equipment</w:t>
            </w:r>
          </w:p>
        </w:tc>
        <w:tc>
          <w:tcPr>
            <w:tcW w:w="4253" w:type="dxa"/>
          </w:tcPr>
          <w:p w:rsidR="008835EB" w:rsidRPr="00764FAD" w:rsidRDefault="008835EB" w:rsidP="007E3F2E">
            <w:pPr>
              <w:spacing w:after="120"/>
            </w:pPr>
            <w:r>
              <w:t>3–25 years</w:t>
            </w:r>
          </w:p>
        </w:tc>
        <w:tc>
          <w:tcPr>
            <w:tcW w:w="283" w:type="dxa"/>
            <w:tcBorders>
              <w:top w:val="nil"/>
              <w:bottom w:val="nil"/>
              <w:right w:val="single" w:sz="4" w:space="0" w:color="00746B"/>
            </w:tcBorders>
          </w:tcPr>
          <w:p w:rsidR="008835EB" w:rsidRPr="00764FAD" w:rsidRDefault="008835EB" w:rsidP="007E3F2E">
            <w:pPr>
              <w:spacing w:after="120"/>
            </w:pPr>
          </w:p>
        </w:tc>
      </w:tr>
    </w:tbl>
    <w:p w:rsidR="008835EB" w:rsidRPr="00764FAD" w:rsidRDefault="008835EB" w:rsidP="008835EB">
      <w:pPr>
        <w:pStyle w:val="Policytextunderline"/>
        <w:pBdr>
          <w:top w:val="none" w:sz="0" w:space="0" w:color="auto"/>
        </w:pBdr>
        <w:spacing w:before="120"/>
      </w:pPr>
      <w:r w:rsidRPr="00764FAD">
        <w:t>Impairment</w:t>
      </w:r>
    </w:p>
    <w:p w:rsidR="008835EB" w:rsidRPr="00764FAD" w:rsidRDefault="008835EB" w:rsidP="008835EB">
      <w:pPr>
        <w:pStyle w:val="PolicytextDept"/>
        <w:pBdr>
          <w:top w:val="none" w:sz="0" w:space="0" w:color="auto"/>
        </w:pBdr>
        <w:rPr>
          <w:lang w:eastAsia="en-AU"/>
        </w:rPr>
      </w:pPr>
      <w:r w:rsidRPr="00764FAD">
        <w:rPr>
          <w:lang w:eastAsia="en-AU"/>
        </w:rPr>
        <w:t xml:space="preserve">All assets were assessed for impairment at 30 June </w:t>
      </w:r>
      <w:r w:rsidR="00FA455C">
        <w:rPr>
          <w:lang w:eastAsia="en-AU"/>
        </w:rPr>
        <w:t>2016</w:t>
      </w:r>
      <w:r>
        <w:rPr>
          <w:lang w:eastAsia="en-AU"/>
        </w:rPr>
        <w:t>.</w:t>
      </w:r>
      <w:r w:rsidRPr="00764FAD">
        <w:rPr>
          <w:lang w:eastAsia="en-AU"/>
        </w:rPr>
        <w:t xml:space="preserve"> Where indications of impairment exist, the asset’s recoverable amount is estimated and an impairment adjustment made if the asset’s recoverable amount is less than its carrying amount.</w:t>
      </w:r>
    </w:p>
    <w:p w:rsidR="008835EB" w:rsidRPr="00764FAD" w:rsidRDefault="008835EB" w:rsidP="008835EB">
      <w:pPr>
        <w:pStyle w:val="PolicytextDept"/>
        <w:pBdr>
          <w:top w:val="none" w:sz="0" w:space="0" w:color="auto"/>
        </w:pBdr>
      </w:pPr>
      <w:r w:rsidRPr="00764FAD">
        <w:rPr>
          <w:lang w:eastAsia="en-AU"/>
        </w:rPr>
        <w:t>The recoverable amount of an asset is the higher of its fair value less costs of disp</w:t>
      </w:r>
      <w:r>
        <w:rPr>
          <w:lang w:eastAsia="en-AU"/>
        </w:rPr>
        <w:t>osal and its value in use.</w:t>
      </w:r>
      <w:r w:rsidRPr="00764FAD">
        <w:rPr>
          <w:lang w:eastAsia="en-AU"/>
        </w:rPr>
        <w:t xml:space="preserve"> Value in use is the present value of the future cash flows expected</w:t>
      </w:r>
      <w:r>
        <w:rPr>
          <w:lang w:eastAsia="en-AU"/>
        </w:rPr>
        <w:t xml:space="preserve"> to be derived from the asset. </w:t>
      </w:r>
      <w:r w:rsidRPr="00764FAD">
        <w:rPr>
          <w:lang w:eastAsia="en-AU"/>
        </w:rPr>
        <w:t xml:space="preserve">Where the future economic benefit of an asset is not primarily dependent on the asset’s ability to generate future cash flows, and the </w:t>
      </w:r>
      <w:r>
        <w:rPr>
          <w:lang w:eastAsia="en-AU"/>
        </w:rPr>
        <w:t>asset would be replaced if the De</w:t>
      </w:r>
      <w:r w:rsidRPr="00764FAD">
        <w:rPr>
          <w:lang w:eastAsia="en-AU"/>
        </w:rPr>
        <w:t>partment were deprived of the asset, its value in use is taken to be its depreciated replacement cost</w:t>
      </w:r>
      <w:r w:rsidRPr="00764FAD">
        <w:t>.</w:t>
      </w:r>
    </w:p>
    <w:p w:rsidR="008835EB" w:rsidRPr="00764FAD" w:rsidRDefault="008835EB" w:rsidP="008835EB">
      <w:pPr>
        <w:pStyle w:val="Policytextunderline"/>
        <w:pBdr>
          <w:top w:val="none" w:sz="0" w:space="0" w:color="auto"/>
        </w:pBdr>
      </w:pPr>
      <w:proofErr w:type="spellStart"/>
      <w:r w:rsidRPr="00764FAD">
        <w:t>Derecognition</w:t>
      </w:r>
      <w:proofErr w:type="spellEnd"/>
    </w:p>
    <w:p w:rsidR="008835EB" w:rsidRPr="00764FAD" w:rsidRDefault="008835EB" w:rsidP="008835EB">
      <w:pPr>
        <w:pStyle w:val="PolicytextDept"/>
        <w:pBdr>
          <w:top w:val="none" w:sz="0" w:space="0" w:color="auto"/>
        </w:pBdr>
      </w:pPr>
      <w:r w:rsidRPr="00764FAD">
        <w:t>An item of property, plant and equipment is derecognised upon disposal or when no further future economic benefits are expected from its use or disposal.</w:t>
      </w:r>
    </w:p>
    <w:p w:rsidR="008835EB" w:rsidRPr="00764FAD" w:rsidRDefault="008835EB" w:rsidP="008835EB">
      <w:pPr>
        <w:pStyle w:val="Policytextunderline"/>
        <w:pBdr>
          <w:top w:val="none" w:sz="0" w:space="0" w:color="auto"/>
        </w:pBdr>
      </w:pPr>
      <w:r w:rsidRPr="00764FAD">
        <w:t xml:space="preserve">Intangibles </w:t>
      </w:r>
    </w:p>
    <w:p w:rsidR="008835EB" w:rsidRPr="00764FAD" w:rsidRDefault="008835EB" w:rsidP="008835EB">
      <w:pPr>
        <w:pStyle w:val="PolicytextDept"/>
        <w:pBdr>
          <w:top w:val="none" w:sz="0" w:space="0" w:color="auto"/>
        </w:pBdr>
        <w:rPr>
          <w:lang w:eastAsia="en-AU"/>
        </w:rPr>
      </w:pPr>
      <w:r w:rsidRPr="00764FAD">
        <w:rPr>
          <w:lang w:eastAsia="en-AU"/>
        </w:rPr>
        <w:t xml:space="preserve">The </w:t>
      </w:r>
      <w:r>
        <w:rPr>
          <w:lang w:eastAsia="en-AU"/>
        </w:rPr>
        <w:t>Dep</w:t>
      </w:r>
      <w:r w:rsidRPr="00764FAD">
        <w:rPr>
          <w:lang w:eastAsia="en-AU"/>
        </w:rPr>
        <w:t>artment’s intangibles comprise purchased and internally develo</w:t>
      </w:r>
      <w:r>
        <w:rPr>
          <w:lang w:eastAsia="en-AU"/>
        </w:rPr>
        <w:t xml:space="preserve">ped software for internal use. </w:t>
      </w:r>
      <w:r w:rsidRPr="00764FAD">
        <w:rPr>
          <w:lang w:eastAsia="en-AU"/>
        </w:rPr>
        <w:t>These assets are carried at cost less accumulated amortisation and accumulated impairmen</w:t>
      </w:r>
      <w:r>
        <w:rPr>
          <w:lang w:eastAsia="en-AU"/>
        </w:rPr>
        <w:t xml:space="preserve">t losses. </w:t>
      </w:r>
      <w:r w:rsidRPr="00764FAD">
        <w:rPr>
          <w:lang w:eastAsia="en-AU"/>
        </w:rPr>
        <w:t>Purchases costing less than $200,000 are expensed in the year of acquisition (other than where they form part of a group of similar items which are significant in total).</w:t>
      </w:r>
    </w:p>
    <w:p w:rsidR="008835EB" w:rsidRPr="00764FAD" w:rsidRDefault="008835EB" w:rsidP="008835EB">
      <w:pPr>
        <w:pStyle w:val="PolicytextDept"/>
        <w:pBdr>
          <w:top w:val="none" w:sz="0" w:space="0" w:color="auto"/>
        </w:pBdr>
        <w:rPr>
          <w:lang w:eastAsia="en-AU"/>
        </w:rPr>
      </w:pPr>
      <w:r w:rsidRPr="00764FAD">
        <w:rPr>
          <w:lang w:eastAsia="en-AU"/>
        </w:rPr>
        <w:t>Software is amortised on a straight-line basis over its anticipated useful</w:t>
      </w:r>
      <w:r>
        <w:rPr>
          <w:lang w:eastAsia="en-AU"/>
        </w:rPr>
        <w:t xml:space="preserve"> life.</w:t>
      </w:r>
      <w:r w:rsidRPr="00764FAD">
        <w:rPr>
          <w:lang w:eastAsia="en-AU"/>
        </w:rPr>
        <w:t xml:space="preserve"> The useful lives of </w:t>
      </w:r>
      <w:r>
        <w:rPr>
          <w:lang w:eastAsia="en-AU"/>
        </w:rPr>
        <w:t>the Department’s software are 2–15 years.</w:t>
      </w:r>
    </w:p>
    <w:p w:rsidR="008835EB" w:rsidRDefault="008835EB" w:rsidP="008835EB">
      <w:pPr>
        <w:pStyle w:val="PolicytextDept"/>
        <w:pBdr>
          <w:top w:val="none" w:sz="0" w:space="0" w:color="auto"/>
        </w:pBdr>
      </w:pPr>
      <w:r w:rsidRPr="00764FAD">
        <w:rPr>
          <w:lang w:eastAsia="en-AU"/>
        </w:rPr>
        <w:t xml:space="preserve">All software assets were assessed for indications of impairment as at 30 June </w:t>
      </w:r>
      <w:r w:rsidR="00FA455C">
        <w:rPr>
          <w:lang w:eastAsia="en-AU"/>
        </w:rPr>
        <w:t>2016</w:t>
      </w:r>
      <w:r w:rsidRPr="00764FAD">
        <w:t>.</w:t>
      </w:r>
    </w:p>
    <w:tbl>
      <w:tblPr>
        <w:tblW w:w="9087" w:type="dxa"/>
        <w:tblInd w:w="80" w:type="dxa"/>
        <w:tblLayout w:type="fixed"/>
        <w:tblLook w:val="04A0" w:firstRow="1" w:lastRow="0" w:firstColumn="1" w:lastColumn="0" w:noHBand="0" w:noVBand="1"/>
      </w:tblPr>
      <w:tblGrid>
        <w:gridCol w:w="7595"/>
        <w:gridCol w:w="1492"/>
      </w:tblGrid>
      <w:tr w:rsidR="008835EB" w:rsidTr="007E3F2E">
        <w:trPr>
          <w:trHeight w:val="480"/>
        </w:trPr>
        <w:tc>
          <w:tcPr>
            <w:tcW w:w="639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bookmarkStart w:id="270" w:name="Note_CCATABLE1" w:colFirst="0" w:colLast="0"/>
            <w:r>
              <w:rPr>
                <w:rFonts w:cs="Calibri"/>
                <w:b/>
                <w:bCs/>
                <w:szCs w:val="18"/>
              </w:rPr>
              <w:t>Contractual commitments for the acquisition of property, plant, equipment and intangible assets</w:t>
            </w:r>
          </w:p>
        </w:tc>
        <w:tc>
          <w:tcPr>
            <w:tcW w:w="12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r>
      <w:bookmarkEnd w:id="270"/>
      <w:tr w:rsidR="008835EB" w:rsidTr="007E3F2E">
        <w:trPr>
          <w:trHeight w:val="255"/>
        </w:trPr>
        <w:tc>
          <w:tcPr>
            <w:tcW w:w="639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2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55"/>
        </w:trPr>
        <w:tc>
          <w:tcPr>
            <w:tcW w:w="639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Commitments are payable as follows:</w:t>
            </w:r>
          </w:p>
        </w:tc>
        <w:tc>
          <w:tcPr>
            <w:tcW w:w="125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r>
      <w:tr w:rsidR="008835EB" w:rsidTr="007E3F2E">
        <w:trPr>
          <w:trHeight w:val="255"/>
        </w:trPr>
        <w:tc>
          <w:tcPr>
            <w:tcW w:w="639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Within 1 year</w:t>
            </w:r>
          </w:p>
        </w:tc>
        <w:tc>
          <w:tcPr>
            <w:tcW w:w="12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28,513 </w:t>
            </w:r>
          </w:p>
        </w:tc>
      </w:tr>
      <w:tr w:rsidR="008835EB" w:rsidTr="007E3F2E">
        <w:trPr>
          <w:trHeight w:val="270"/>
        </w:trPr>
        <w:tc>
          <w:tcPr>
            <w:tcW w:w="639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commitments payable</w:t>
            </w:r>
          </w:p>
        </w:tc>
        <w:tc>
          <w:tcPr>
            <w:tcW w:w="125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28,513</w:t>
            </w:r>
          </w:p>
        </w:tc>
      </w:tr>
    </w:tbl>
    <w:p w:rsidR="008835EB" w:rsidRDefault="008835EB" w:rsidP="008835EB">
      <w:pPr>
        <w:spacing w:before="120"/>
      </w:pPr>
      <w:bookmarkStart w:id="271" w:name="RANGE!D7:E13"/>
      <w:bookmarkEnd w:id="271"/>
      <w:proofErr w:type="gramStart"/>
      <w:r>
        <w:t>Commitments reporting has</w:t>
      </w:r>
      <w:proofErr w:type="gramEnd"/>
      <w:r>
        <w:t xml:space="preserve"> changed from the prior year as such there are no comparatives for this item.</w:t>
      </w:r>
    </w:p>
    <w:p w:rsidR="008835EB" w:rsidRDefault="008835EB" w:rsidP="008835EB">
      <w:r>
        <w:br w:type="page"/>
      </w: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40"/>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bookmarkStart w:id="272" w:name="Note_ONATABLE1" w:colFirst="0" w:colLast="0"/>
            <w:r>
              <w:rPr>
                <w:rFonts w:ascii="Arial" w:hAnsi="Arial" w:cs="Arial"/>
                <w:szCs w:val="18"/>
              </w:rPr>
              <w:lastRenderedPageBreak/>
              <w:t> </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bookmarkEnd w:id="272"/>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3.2B</w:t>
            </w:r>
            <w:proofErr w:type="spellEnd"/>
            <w:r>
              <w:rPr>
                <w:rFonts w:cs="Calibri"/>
                <w:b/>
                <w:bCs/>
                <w:szCs w:val="18"/>
                <w:u w:val="single"/>
              </w:rPr>
              <w:t>: Other Non-Financial Assets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Prepayments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9,635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12,011</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non-financial assets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9,635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12,011</w:t>
            </w:r>
          </w:p>
        </w:tc>
      </w:tr>
      <w:tr w:rsidR="008835EB" w:rsidTr="007E3F2E">
        <w:trPr>
          <w:trHeight w:val="270"/>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Other non-financial assets expected to be recovered in</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No 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7,192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10,314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2,443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1,697 </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non-financial assets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9,635</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12,011</w:t>
            </w:r>
          </w:p>
        </w:tc>
      </w:tr>
    </w:tbl>
    <w:p w:rsidR="008835EB" w:rsidRDefault="008835EB" w:rsidP="008835EB">
      <w:pPr>
        <w:pStyle w:val="ReportText"/>
      </w:pPr>
      <w:bookmarkStart w:id="273" w:name="RANGE!E7:H47"/>
      <w:bookmarkStart w:id="274" w:name="RANGE!E7:H48"/>
      <w:bookmarkStart w:id="275" w:name="RANGE!E7:H46"/>
      <w:bookmarkStart w:id="276" w:name="RANGE!E7:H43"/>
      <w:bookmarkStart w:id="277" w:name="RANGE!E6:H41"/>
      <w:bookmarkStart w:id="278" w:name="RANGE!E6:H47"/>
      <w:bookmarkStart w:id="279" w:name="RANGE!E6:H46"/>
      <w:bookmarkStart w:id="280" w:name="RANGE!E6:J46"/>
      <w:bookmarkStart w:id="281" w:name="RANGE!E6:E47"/>
      <w:bookmarkStart w:id="282" w:name="RANGE!E6:J47"/>
      <w:bookmarkEnd w:id="273"/>
      <w:bookmarkEnd w:id="274"/>
      <w:bookmarkEnd w:id="275"/>
      <w:bookmarkEnd w:id="276"/>
      <w:bookmarkEnd w:id="277"/>
      <w:bookmarkEnd w:id="278"/>
      <w:bookmarkEnd w:id="279"/>
      <w:bookmarkEnd w:id="280"/>
      <w:bookmarkEnd w:id="281"/>
      <w:bookmarkEnd w:id="282"/>
      <w:r>
        <w:t>No indicators of impairment were found for other non-financial assets.</w:t>
      </w:r>
    </w:p>
    <w:p w:rsidR="008835EB" w:rsidRDefault="008835EB" w:rsidP="008835EB">
      <w:pPr>
        <w:pStyle w:val="ReportText"/>
      </w:pPr>
    </w:p>
    <w:p w:rsidR="008835EB" w:rsidRDefault="008835EB" w:rsidP="008835EB">
      <w:pPr>
        <w:pStyle w:val="ReportText"/>
        <w:rPr>
          <w:b/>
          <w:u w:val="single"/>
        </w:rPr>
      </w:pPr>
      <w:r>
        <w:rPr>
          <w:b/>
          <w:u w:val="single"/>
        </w:rPr>
        <w:t xml:space="preserve">Note </w:t>
      </w:r>
      <w:proofErr w:type="spellStart"/>
      <w:r>
        <w:rPr>
          <w:b/>
          <w:u w:val="single"/>
        </w:rPr>
        <w:t>3.2C</w:t>
      </w:r>
      <w:proofErr w:type="spellEnd"/>
      <w:r>
        <w:rPr>
          <w:b/>
          <w:u w:val="single"/>
        </w:rPr>
        <w:t xml:space="preserve">: </w:t>
      </w:r>
      <w:r w:rsidRPr="00B70EDB">
        <w:rPr>
          <w:b/>
          <w:u w:val="single"/>
        </w:rPr>
        <w:t>Jointly Controlled Operations</w:t>
      </w:r>
    </w:p>
    <w:p w:rsidR="008835EB" w:rsidRDefault="008835EB" w:rsidP="008835EB">
      <w:pPr>
        <w:spacing w:after="120"/>
      </w:pPr>
      <w:r>
        <w:t>The Shared Services Centre (SSC) commenced operation on 1 July 2014. The SSC provides operational, transactional, advisory and support functions for information technology and a range of corporate services for the partner departments: the Departments of Employment (Employment) and Education and Training (Education).The SSC also provides services to other agencies across the Commonwealth on a fee for service basis.</w:t>
      </w:r>
    </w:p>
    <w:p w:rsidR="008835EB" w:rsidRDefault="008835EB" w:rsidP="008835EB">
      <w:pPr>
        <w:spacing w:after="120"/>
        <w:rPr>
          <w:rFonts w:cs="Calibri"/>
          <w:szCs w:val="18"/>
        </w:rPr>
      </w:pPr>
      <w:r>
        <w:rPr>
          <w:rFonts w:cs="Calibri"/>
          <w:szCs w:val="18"/>
        </w:rPr>
        <w:t xml:space="preserve">The SSC is classed as a joint operation under </w:t>
      </w:r>
      <w:proofErr w:type="spellStart"/>
      <w:r>
        <w:rPr>
          <w:rFonts w:cs="Calibri"/>
          <w:i/>
          <w:iCs/>
          <w:szCs w:val="18"/>
        </w:rPr>
        <w:t>AASB</w:t>
      </w:r>
      <w:proofErr w:type="spellEnd"/>
      <w:r>
        <w:rPr>
          <w:rFonts w:cs="Calibri"/>
          <w:i/>
          <w:iCs/>
          <w:szCs w:val="18"/>
        </w:rPr>
        <w:t xml:space="preserve"> 11—Joint Arrangement, </w:t>
      </w:r>
      <w:r>
        <w:rPr>
          <w:rFonts w:cs="Calibri"/>
          <w:szCs w:val="18"/>
        </w:rPr>
        <w:t xml:space="preserve">whereby Employment and Education have joint control of the arrangement with rights to the assets and obligations for the liabilities relating to the SSC. The rights and obligations, as well as the contributions by the partner agencies, are underpinned by a Heads of Agreement between the two partner departments. </w:t>
      </w:r>
      <w:r w:rsidRPr="00835485">
        <w:rPr>
          <w:rFonts w:cs="Calibri"/>
          <w:szCs w:val="18"/>
        </w:rPr>
        <w:t>The financial statements of both departments recognise their share of the assets, liabilities, revenues and expenses of the SSC.</w:t>
      </w:r>
    </w:p>
    <w:p w:rsidR="008835EB" w:rsidRDefault="008835EB" w:rsidP="008835EB">
      <w:pPr>
        <w:spacing w:after="120"/>
      </w:pPr>
      <w:r w:rsidRPr="00835485">
        <w:rPr>
          <w:rFonts w:cs="Calibri"/>
          <w:szCs w:val="18"/>
        </w:rPr>
        <w:t xml:space="preserve">The partner’s ownership in the SSC </w:t>
      </w:r>
      <w:r w:rsidRPr="000F144E">
        <w:rPr>
          <w:rFonts w:cs="Calibri"/>
          <w:szCs w:val="18"/>
        </w:rPr>
        <w:t>is 50:50</w:t>
      </w:r>
      <w:r>
        <w:rPr>
          <w:rFonts w:cs="Calibri"/>
          <w:szCs w:val="18"/>
        </w:rPr>
        <w:t>.</w:t>
      </w:r>
      <w:r w:rsidRPr="00835485">
        <w:rPr>
          <w:rFonts w:cs="Calibri"/>
          <w:szCs w:val="18"/>
        </w:rPr>
        <w:t xml:space="preserve"> Items are generally sh</w:t>
      </w:r>
      <w:r>
        <w:rPr>
          <w:rFonts w:cs="Calibri"/>
          <w:szCs w:val="18"/>
        </w:rPr>
        <w:t>ared between Employment and Education on</w:t>
      </w:r>
      <w:r w:rsidRPr="00835485">
        <w:rPr>
          <w:rFonts w:cs="Calibri"/>
          <w:szCs w:val="18"/>
        </w:rPr>
        <w:t xml:space="preserve"> </w:t>
      </w:r>
      <w:r w:rsidRPr="000F144E">
        <w:rPr>
          <w:rFonts w:cs="Calibri"/>
          <w:szCs w:val="18"/>
        </w:rPr>
        <w:t>49:51</w:t>
      </w:r>
      <w:r>
        <w:rPr>
          <w:rFonts w:cs="Calibri"/>
          <w:szCs w:val="18"/>
        </w:rPr>
        <w:t xml:space="preserve"> </w:t>
      </w:r>
      <w:proofErr w:type="gramStart"/>
      <w:r w:rsidRPr="00835485">
        <w:rPr>
          <w:rFonts w:cs="Calibri"/>
          <w:szCs w:val="18"/>
        </w:rPr>
        <w:t>basis</w:t>
      </w:r>
      <w:proofErr w:type="gramEnd"/>
      <w:r>
        <w:rPr>
          <w:rFonts w:cs="Calibri"/>
          <w:szCs w:val="18"/>
        </w:rPr>
        <w:t xml:space="preserve"> respectively</w:t>
      </w:r>
      <w:r w:rsidRPr="00835485">
        <w:rPr>
          <w:rFonts w:cs="Calibri"/>
          <w:szCs w:val="18"/>
        </w:rPr>
        <w:t>, with the main exception being property related items which are allocated based on oc</w:t>
      </w:r>
      <w:r>
        <w:rPr>
          <w:rFonts w:cs="Calibri"/>
          <w:szCs w:val="18"/>
        </w:rPr>
        <w:t xml:space="preserve">cupancy at an agreed date. </w:t>
      </w:r>
      <w:r w:rsidRPr="00835485">
        <w:rPr>
          <w:rFonts w:cs="Calibri"/>
          <w:szCs w:val="18"/>
        </w:rPr>
        <w:t xml:space="preserve">The resultant overall share of net assets for Employment in </w:t>
      </w:r>
      <w:r w:rsidRPr="00F556BB">
        <w:rPr>
          <w:rFonts w:cs="Calibri"/>
          <w:szCs w:val="18"/>
        </w:rPr>
        <w:t>2015</w:t>
      </w:r>
      <w:r>
        <w:rPr>
          <w:rFonts w:cs="Calibri"/>
          <w:szCs w:val="18"/>
        </w:rPr>
        <w:t>–</w:t>
      </w:r>
      <w:r w:rsidRPr="00F556BB">
        <w:rPr>
          <w:rFonts w:cs="Calibri"/>
          <w:szCs w:val="18"/>
        </w:rPr>
        <w:t xml:space="preserve">16 is </w:t>
      </w:r>
      <w:r w:rsidRPr="005915C7">
        <w:rPr>
          <w:rFonts w:cs="Calibri"/>
          <w:szCs w:val="18"/>
        </w:rPr>
        <w:t>51</w:t>
      </w:r>
      <w:r>
        <w:rPr>
          <w:rFonts w:cs="Calibri"/>
          <w:szCs w:val="18"/>
        </w:rPr>
        <w:t xml:space="preserve"> per cent</w:t>
      </w:r>
      <w:r w:rsidRPr="005915C7">
        <w:rPr>
          <w:rFonts w:cs="Calibri"/>
          <w:szCs w:val="18"/>
        </w:rPr>
        <w:t>.</w:t>
      </w:r>
      <w:bookmarkStart w:id="283" w:name="RANGE!D7:G67"/>
      <w:bookmarkEnd w:id="283"/>
    </w:p>
    <w:p w:rsidR="008835EB" w:rsidRDefault="008835EB" w:rsidP="008835EB">
      <w:pPr>
        <w:spacing w:line="240" w:lineRule="auto"/>
      </w:pPr>
      <w:r>
        <w:br w:type="page"/>
      </w:r>
    </w:p>
    <w:p w:rsidR="008835EB" w:rsidRDefault="008835EB" w:rsidP="008835EB">
      <w:pPr>
        <w:pStyle w:val="SubHeading"/>
      </w:pPr>
      <w:bookmarkStart w:id="284" w:name="_Toc456689849"/>
      <w:r>
        <w:lastRenderedPageBreak/>
        <w:t>Payables</w:t>
      </w:r>
      <w:bookmarkEnd w:id="284"/>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bookmarkStart w:id="285" w:name="Note_SPATABLE1" w:colFirst="0" w:colLast="0"/>
            <w:r>
              <w:rPr>
                <w:rFonts w:cs="Calibri"/>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2015</w:t>
            </w:r>
          </w:p>
        </w:tc>
      </w:tr>
      <w:bookmarkEnd w:id="285"/>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ascii="Arial" w:hAnsi="Arial" w:cs="Arial"/>
                <w:b/>
                <w:bCs/>
                <w:szCs w:val="18"/>
              </w:rPr>
            </w:pPr>
            <w:r>
              <w:rPr>
                <w:rFonts w:ascii="Arial" w:hAnsi="Arial" w:cs="Arial"/>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ascii="Arial" w:hAnsi="Arial" w:cs="Arial"/>
                <w:szCs w:val="18"/>
              </w:rPr>
            </w:pPr>
            <w:r>
              <w:rPr>
                <w:rFonts w:ascii="Arial" w:hAnsi="Arial" w:cs="Arial"/>
                <w:szCs w:val="18"/>
              </w:rPr>
              <w:t>$'000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b/>
                <w:bCs/>
                <w:szCs w:val="18"/>
                <w:u w:val="single"/>
              </w:rPr>
            </w:pPr>
            <w:r>
              <w:rPr>
                <w:rFonts w:cs="Calibri"/>
                <w:b/>
                <w:bCs/>
                <w:szCs w:val="18"/>
                <w:u w:val="single"/>
              </w:rPr>
              <w:t xml:space="preserve">Note </w:t>
            </w:r>
            <w:proofErr w:type="spellStart"/>
            <w:r>
              <w:rPr>
                <w:rFonts w:cs="Calibri"/>
                <w:b/>
                <w:bCs/>
                <w:szCs w:val="18"/>
                <w:u w:val="single"/>
              </w:rPr>
              <w:t>3.3A</w:t>
            </w:r>
            <w:proofErr w:type="spellEnd"/>
            <w:r>
              <w:rPr>
                <w:rFonts w:cs="Calibri"/>
                <w:b/>
                <w:bCs/>
                <w:szCs w:val="18"/>
                <w:u w:val="single"/>
              </w:rPr>
              <w:t>: Suppliers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Trade creditors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15,736</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14,606</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 xml:space="preserve">Operating lease rentals </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2,143</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2,114</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suppliers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17,879</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16,720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Suppliers expected to be settled</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No 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16,195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15,652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1,684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1,068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suppliers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17,879</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16,720</w:t>
            </w:r>
          </w:p>
        </w:tc>
      </w:tr>
    </w:tbl>
    <w:p w:rsidR="008835EB" w:rsidRDefault="008835EB" w:rsidP="008835EB">
      <w:pPr>
        <w:spacing w:before="120" w:after="120"/>
      </w:pPr>
      <w:bookmarkStart w:id="286" w:name="RANGE!D6:D24"/>
      <w:bookmarkStart w:id="287" w:name="RANGE!D6:G24"/>
      <w:bookmarkEnd w:id="286"/>
      <w:bookmarkEnd w:id="287"/>
      <w:r>
        <w:t>Settlement is usually made within 30 days.</w:t>
      </w: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b/>
                <w:bCs/>
                <w:szCs w:val="18"/>
                <w:u w:val="single"/>
              </w:rPr>
            </w:pPr>
            <w:bookmarkStart w:id="288" w:name="Note_OPBTABLE1" w:colFirst="0" w:colLast="0"/>
            <w:r>
              <w:rPr>
                <w:rFonts w:cs="Calibri"/>
                <w:b/>
                <w:bCs/>
                <w:szCs w:val="18"/>
                <w:u w:val="single"/>
              </w:rPr>
              <w:t xml:space="preserve">Note </w:t>
            </w:r>
            <w:proofErr w:type="spellStart"/>
            <w:r>
              <w:rPr>
                <w:rFonts w:cs="Calibri"/>
                <w:b/>
                <w:bCs/>
                <w:szCs w:val="18"/>
                <w:u w:val="single"/>
              </w:rPr>
              <w:t>3.3B</w:t>
            </w:r>
            <w:proofErr w:type="spellEnd"/>
            <w:r>
              <w:rPr>
                <w:rFonts w:cs="Calibri"/>
                <w:b/>
                <w:bCs/>
                <w:szCs w:val="18"/>
                <w:u w:val="single"/>
              </w:rPr>
              <w:t>: Other Payables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bookmarkEnd w:id="288"/>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Salaries and wages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710</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5,842</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Superannuation</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129</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1,004</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Separations and redundancies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1,844</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108</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Other employee benefits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438</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468</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Lease incentive</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21,320</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16,817</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Unearned income</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1,261</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3,979</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szCs w:val="18"/>
              </w:rPr>
            </w:pPr>
            <w:r>
              <w:rPr>
                <w:rFonts w:cs="Calibri"/>
                <w:szCs w:val="18"/>
              </w:rPr>
              <w:t>Accrued expenses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7,257</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6,718</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other payables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32,959</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34,936</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szCs w:val="18"/>
              </w:rPr>
            </w:pPr>
            <w:r>
              <w:rPr>
                <w:rFonts w:cs="Calibri"/>
                <w:b/>
                <w:bCs/>
                <w:szCs w:val="18"/>
              </w:rPr>
              <w:t>Other payables  expected to be settled</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No 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14,197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20,142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spacing w:line="240" w:lineRule="auto"/>
              <w:ind w:firstLineChars="100" w:firstLine="180"/>
              <w:rPr>
                <w:rFonts w:cs="Calibri"/>
                <w:szCs w:val="18"/>
              </w:rPr>
            </w:pPr>
            <w:r>
              <w:rPr>
                <w:rFonts w:cs="Calibri"/>
                <w:szCs w:val="18"/>
              </w:rPr>
              <w:t>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 xml:space="preserve">18,762 </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 xml:space="preserve">14,794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spacing w:line="240" w:lineRule="auto"/>
              <w:rPr>
                <w:rFonts w:cs="Calibri"/>
                <w:b/>
                <w:bCs/>
                <w:i/>
                <w:iCs/>
                <w:szCs w:val="18"/>
              </w:rPr>
            </w:pPr>
            <w:r>
              <w:rPr>
                <w:rFonts w:cs="Calibri"/>
                <w:b/>
                <w:bCs/>
                <w:i/>
                <w:iCs/>
                <w:szCs w:val="18"/>
              </w:rPr>
              <w:t>Total other payables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b/>
                <w:bCs/>
                <w:szCs w:val="18"/>
              </w:rPr>
            </w:pPr>
            <w:r>
              <w:rPr>
                <w:rFonts w:cs="Calibri"/>
                <w:b/>
                <w:bCs/>
                <w:szCs w:val="18"/>
              </w:rPr>
              <w:t>32,959</w:t>
            </w:r>
          </w:p>
        </w:tc>
        <w:tc>
          <w:tcPr>
            <w:tcW w:w="236" w:type="dxa"/>
            <w:tcBorders>
              <w:top w:val="nil"/>
              <w:left w:val="nil"/>
              <w:bottom w:val="nil"/>
              <w:right w:val="nil"/>
            </w:tcBorders>
            <w:shd w:val="clear" w:color="FFFFFF" w:fill="FFFFFF"/>
            <w:noWrap/>
            <w:vAlign w:val="bottom"/>
            <w:hideMark/>
          </w:tcPr>
          <w:p w:rsidR="008835EB" w:rsidRDefault="008835EB" w:rsidP="007E3F2E">
            <w:pPr>
              <w:spacing w:line="240" w:lineRule="auto"/>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spacing w:line="240" w:lineRule="auto"/>
              <w:jc w:val="right"/>
              <w:rPr>
                <w:rFonts w:cs="Calibri"/>
                <w:szCs w:val="18"/>
              </w:rPr>
            </w:pPr>
            <w:r>
              <w:rPr>
                <w:rFonts w:cs="Calibri"/>
                <w:szCs w:val="18"/>
              </w:rPr>
              <w:t>34,936</w:t>
            </w:r>
          </w:p>
        </w:tc>
      </w:tr>
    </w:tbl>
    <w:p w:rsidR="008835EB" w:rsidRDefault="008835EB" w:rsidP="008835EB">
      <w:pPr>
        <w:pStyle w:val="PolicyheadingDept"/>
        <w:spacing w:before="240"/>
      </w:pPr>
      <w:bookmarkStart w:id="289" w:name="RANGE!D7:G23"/>
      <w:bookmarkEnd w:id="289"/>
      <w:r>
        <w:t>Accounting Policy</w:t>
      </w:r>
    </w:p>
    <w:p w:rsidR="008835EB" w:rsidRDefault="008835EB" w:rsidP="008835EB">
      <w:pPr>
        <w:pStyle w:val="Policytextunderline"/>
      </w:pPr>
      <w:r w:rsidRPr="00200687">
        <w:t xml:space="preserve">Lease </w:t>
      </w:r>
      <w:r>
        <w:t>I</w:t>
      </w:r>
      <w:r w:rsidRPr="00200687">
        <w:t>ncentives</w:t>
      </w:r>
    </w:p>
    <w:p w:rsidR="008835EB" w:rsidRDefault="008835EB" w:rsidP="008835EB">
      <w:pPr>
        <w:pStyle w:val="Policytextunderline"/>
        <w:rPr>
          <w:i w:val="0"/>
          <w:u w:val="none"/>
          <w:lang w:eastAsia="en-AU"/>
        </w:rPr>
      </w:pPr>
      <w:r w:rsidRPr="0078186A">
        <w:rPr>
          <w:i w:val="0"/>
          <w:u w:val="none"/>
          <w:lang w:eastAsia="en-AU"/>
        </w:rPr>
        <w:t>Lease incentives taking the form of ‘free’ leasehold improvements and rent free holidays are recognised as liabilities. These liabilities are reduced by allocating lease payments between rental expense and reduction of the liability.</w:t>
      </w:r>
    </w:p>
    <w:p w:rsidR="008835EB" w:rsidRDefault="008835EB" w:rsidP="008835EB">
      <w:pPr>
        <w:pStyle w:val="Policytextunderline"/>
      </w:pPr>
      <w:r w:rsidRPr="00200687">
        <w:t>Financial Liabilities</w:t>
      </w:r>
    </w:p>
    <w:p w:rsidR="008835EB" w:rsidRPr="00200687" w:rsidRDefault="008835EB" w:rsidP="008835EB">
      <w:pPr>
        <w:pStyle w:val="Policytextunderline"/>
      </w:pPr>
      <w:r w:rsidRPr="0078186A">
        <w:rPr>
          <w:i w:val="0"/>
          <w:u w:val="none"/>
          <w:lang w:eastAsia="en-AU"/>
        </w:rPr>
        <w:t>Financial liabilities are classified as either financial liabilities ‘at fair value through profit or loss’ o</w:t>
      </w:r>
      <w:r>
        <w:rPr>
          <w:i w:val="0"/>
          <w:u w:val="none"/>
          <w:lang w:eastAsia="en-AU"/>
        </w:rPr>
        <w:t xml:space="preserve">r other financial liabilities. </w:t>
      </w:r>
      <w:r w:rsidRPr="0078186A">
        <w:rPr>
          <w:i w:val="0"/>
          <w:u w:val="none"/>
          <w:lang w:eastAsia="en-AU"/>
        </w:rPr>
        <w:t>Financial liabilities are recognised and derecognised upon trade date.</w:t>
      </w:r>
      <w:r w:rsidRPr="00200687">
        <w:rPr>
          <w:lang w:eastAsia="en-AU"/>
        </w:rPr>
        <w:t xml:space="preserve"> </w:t>
      </w:r>
    </w:p>
    <w:p w:rsidR="008835EB" w:rsidRDefault="008835EB" w:rsidP="008835EB">
      <w:pPr>
        <w:pStyle w:val="Policytextunderline"/>
      </w:pPr>
      <w:r w:rsidRPr="00200687">
        <w:t xml:space="preserve">Financial </w:t>
      </w:r>
      <w:r>
        <w:t>L</w:t>
      </w:r>
      <w:r w:rsidRPr="00200687">
        <w:t xml:space="preserve">iabilities at </w:t>
      </w:r>
      <w:r>
        <w:t>F</w:t>
      </w:r>
      <w:r w:rsidRPr="00200687">
        <w:t xml:space="preserve">air </w:t>
      </w:r>
      <w:r>
        <w:t>V</w:t>
      </w:r>
      <w:r w:rsidRPr="00200687">
        <w:t xml:space="preserve">alue </w:t>
      </w:r>
      <w:r>
        <w:t>t</w:t>
      </w:r>
      <w:r w:rsidRPr="00200687">
        <w:t xml:space="preserve">hrough </w:t>
      </w:r>
      <w:r>
        <w:t>P</w:t>
      </w:r>
      <w:r w:rsidRPr="00200687">
        <w:t xml:space="preserve">rofit or </w:t>
      </w:r>
      <w:r>
        <w:t>L</w:t>
      </w:r>
      <w:r w:rsidRPr="00200687">
        <w:t>oss</w:t>
      </w:r>
    </w:p>
    <w:p w:rsidR="008835EB" w:rsidRPr="0078186A" w:rsidRDefault="008835EB" w:rsidP="008835EB">
      <w:pPr>
        <w:pStyle w:val="Policytextunderline"/>
      </w:pPr>
      <w:r w:rsidRPr="0078186A">
        <w:rPr>
          <w:i w:val="0"/>
          <w:u w:val="none"/>
          <w:lang w:eastAsia="en-AU"/>
        </w:rPr>
        <w:t>Financial liabilities at fair value through profit or loss are initially measured at fair value. Subsequent fair value adjustments are</w:t>
      </w:r>
      <w:r>
        <w:rPr>
          <w:i w:val="0"/>
          <w:u w:val="none"/>
          <w:lang w:eastAsia="en-AU"/>
        </w:rPr>
        <w:t xml:space="preserve"> recognised in profit or loss. </w:t>
      </w:r>
      <w:r w:rsidRPr="0078186A">
        <w:rPr>
          <w:i w:val="0"/>
          <w:u w:val="none"/>
          <w:lang w:eastAsia="en-AU"/>
        </w:rPr>
        <w:t>The net gain or loss recognised in profit or loss incorporates any interest paid on the financial liability.</w:t>
      </w:r>
    </w:p>
    <w:p w:rsidR="008835EB" w:rsidRDefault="008835EB" w:rsidP="008835EB">
      <w:pPr>
        <w:pStyle w:val="Policytextunderline"/>
      </w:pPr>
      <w:r w:rsidRPr="00200687">
        <w:t xml:space="preserve">Other </w:t>
      </w:r>
      <w:r>
        <w:t>F</w:t>
      </w:r>
      <w:r w:rsidRPr="00200687">
        <w:t xml:space="preserve">inancial </w:t>
      </w:r>
      <w:r>
        <w:t>L</w:t>
      </w:r>
      <w:r w:rsidRPr="00200687">
        <w:t>iabilities</w:t>
      </w:r>
    </w:p>
    <w:p w:rsidR="008835EB" w:rsidRPr="00200687" w:rsidRDefault="008835EB" w:rsidP="008835EB">
      <w:pPr>
        <w:pStyle w:val="Policytextunderline"/>
      </w:pPr>
      <w:r w:rsidRPr="0078186A">
        <w:rPr>
          <w:i w:val="0"/>
          <w:u w:val="none"/>
          <w:lang w:eastAsia="en-AU"/>
        </w:rPr>
        <w:t>Other financial liabilities are initially measured at fair value, net of transaction costs. These liabilities are subsequently measured at amortised cost using the effective interest method, with interest expense recognised on an effective yield basis.</w:t>
      </w:r>
    </w:p>
    <w:p w:rsidR="008835EB" w:rsidRDefault="008835EB" w:rsidP="008835EB">
      <w:pPr>
        <w:pStyle w:val="Policytextunderline"/>
        <w:rPr>
          <w:i w:val="0"/>
          <w:u w:val="none"/>
          <w:lang w:eastAsia="en-AU"/>
        </w:rPr>
      </w:pPr>
      <w:r w:rsidRPr="0078186A">
        <w:rPr>
          <w:i w:val="0"/>
          <w:u w:val="none"/>
          <w:lang w:eastAsia="en-AU"/>
        </w:rPr>
        <w:t>The effective interest method is a method of calculating the amortised cost of a financial liability and of allocating interest exp</w:t>
      </w:r>
      <w:r>
        <w:rPr>
          <w:i w:val="0"/>
          <w:u w:val="none"/>
          <w:lang w:eastAsia="en-AU"/>
        </w:rPr>
        <w:t xml:space="preserve">ense over the relevant period. </w:t>
      </w:r>
      <w:r w:rsidRPr="0078186A">
        <w:rPr>
          <w:i w:val="0"/>
          <w:u w:val="none"/>
          <w:lang w:eastAsia="en-AU"/>
        </w:rPr>
        <w:t>The effective interest rate is the rate that exactly discounts estimated future cash payments through the expected life of the financial liability, or, where appropriate, a shorter period.</w:t>
      </w:r>
      <w:r>
        <w:rPr>
          <w:i w:val="0"/>
          <w:u w:val="none"/>
          <w:lang w:eastAsia="en-AU"/>
        </w:rPr>
        <w:t xml:space="preserve"> </w:t>
      </w:r>
    </w:p>
    <w:p w:rsidR="008835EB" w:rsidRPr="003418B1" w:rsidRDefault="008835EB" w:rsidP="008835EB">
      <w:pPr>
        <w:pStyle w:val="Policytextunderline"/>
        <w:rPr>
          <w:i w:val="0"/>
          <w:u w:val="none"/>
          <w:lang w:eastAsia="en-AU"/>
        </w:rPr>
      </w:pPr>
      <w:r w:rsidRPr="0078186A">
        <w:rPr>
          <w:i w:val="0"/>
          <w:u w:val="none"/>
          <w:lang w:eastAsia="en-AU"/>
        </w:rPr>
        <w:t>Supplier and other payables are</w:t>
      </w:r>
      <w:r>
        <w:rPr>
          <w:i w:val="0"/>
          <w:u w:val="none"/>
          <w:lang w:eastAsia="en-AU"/>
        </w:rPr>
        <w:t xml:space="preserve"> recognised at amortised cost. </w:t>
      </w:r>
      <w:r w:rsidRPr="0078186A">
        <w:rPr>
          <w:i w:val="0"/>
          <w:u w:val="none"/>
          <w:lang w:eastAsia="en-AU"/>
        </w:rPr>
        <w:t>Liabilities are recognised to the extent that the goods or services have been received (and irrespective of having been invoiced)</w:t>
      </w:r>
      <w:r>
        <w:rPr>
          <w:i w:val="0"/>
          <w:u w:val="none"/>
          <w:lang w:eastAsia="en-AU"/>
        </w:rPr>
        <w:t>.</w:t>
      </w:r>
      <w:r>
        <w:br w:type="page"/>
      </w:r>
    </w:p>
    <w:p w:rsidR="008835EB" w:rsidRDefault="008835EB" w:rsidP="008835EB">
      <w:pPr>
        <w:pStyle w:val="SubHeading"/>
      </w:pPr>
      <w:bookmarkStart w:id="290" w:name="RANGE!D6:H21"/>
      <w:bookmarkStart w:id="291" w:name="RANGE!D6:D22"/>
      <w:bookmarkStart w:id="292" w:name="RANGE!D6:H22"/>
      <w:bookmarkStart w:id="293" w:name="RANGE!D6:D21"/>
      <w:bookmarkStart w:id="294" w:name="RANGE!D6:G21"/>
      <w:bookmarkStart w:id="295" w:name="RANGE!D6:H20"/>
      <w:bookmarkStart w:id="296" w:name="RANGE!D6:H16"/>
      <w:bookmarkStart w:id="297" w:name="_Toc456689850"/>
      <w:bookmarkEnd w:id="290"/>
      <w:bookmarkEnd w:id="291"/>
      <w:bookmarkEnd w:id="292"/>
      <w:bookmarkEnd w:id="293"/>
      <w:bookmarkEnd w:id="294"/>
      <w:bookmarkEnd w:id="295"/>
      <w:bookmarkEnd w:id="296"/>
      <w:r>
        <w:lastRenderedPageBreak/>
        <w:t>Other Provisions</w:t>
      </w:r>
      <w:bookmarkEnd w:id="297"/>
    </w:p>
    <w:tbl>
      <w:tblPr>
        <w:tblW w:w="9087" w:type="dxa"/>
        <w:tblInd w:w="80" w:type="dxa"/>
        <w:tblLayout w:type="fixed"/>
        <w:tblLook w:val="04A0" w:firstRow="1" w:lastRow="0" w:firstColumn="1" w:lastColumn="0" w:noHBand="0" w:noVBand="1"/>
      </w:tblPr>
      <w:tblGrid>
        <w:gridCol w:w="3875"/>
        <w:gridCol w:w="1350"/>
        <w:gridCol w:w="1367"/>
        <w:gridCol w:w="1348"/>
        <w:gridCol w:w="1147"/>
      </w:tblGrid>
      <w:tr w:rsidR="008835EB" w:rsidTr="007E3F2E">
        <w:trPr>
          <w:trHeight w:val="492"/>
        </w:trPr>
        <w:tc>
          <w:tcPr>
            <w:tcW w:w="3875" w:type="dxa"/>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bookmarkStart w:id="298" w:name="RANGE!D6:D18"/>
            <w:bookmarkStart w:id="299" w:name="RANGE!D6:G18"/>
            <w:bookmarkStart w:id="300" w:name="Note_ROPTABLE1" w:colFirst="0" w:colLast="0"/>
            <w:bookmarkEnd w:id="298"/>
            <w:bookmarkEnd w:id="299"/>
            <w:r>
              <w:rPr>
                <w:rFonts w:cs="Calibri"/>
                <w:b/>
                <w:bCs/>
                <w:szCs w:val="18"/>
                <w:u w:val="single"/>
              </w:rPr>
              <w:t xml:space="preserve">Note </w:t>
            </w:r>
            <w:proofErr w:type="spellStart"/>
            <w:r>
              <w:rPr>
                <w:rFonts w:cs="Calibri"/>
                <w:b/>
                <w:bCs/>
                <w:szCs w:val="18"/>
                <w:u w:val="single"/>
              </w:rPr>
              <w:t>3.4A</w:t>
            </w:r>
            <w:proofErr w:type="spellEnd"/>
            <w:r>
              <w:rPr>
                <w:rFonts w:cs="Calibri"/>
                <w:b/>
                <w:bCs/>
                <w:szCs w:val="18"/>
                <w:u w:val="single"/>
              </w:rPr>
              <w:t>: Other provisions</w:t>
            </w:r>
          </w:p>
        </w:tc>
        <w:tc>
          <w:tcPr>
            <w:tcW w:w="1350"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1367"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134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1147"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r>
      <w:bookmarkEnd w:id="300"/>
      <w:tr w:rsidR="008835EB" w:rsidTr="007E3F2E">
        <w:trPr>
          <w:trHeight w:val="255"/>
        </w:trPr>
        <w:tc>
          <w:tcPr>
            <w:tcW w:w="3875" w:type="dxa"/>
            <w:tcBorders>
              <w:top w:val="nil"/>
              <w:left w:val="nil"/>
              <w:bottom w:val="single" w:sz="4" w:space="0" w:color="auto"/>
              <w:right w:val="nil"/>
            </w:tcBorders>
            <w:shd w:val="clear" w:color="FFFFFF" w:fill="FFFFFF"/>
            <w:vAlign w:val="bottom"/>
            <w:hideMark/>
          </w:tcPr>
          <w:p w:rsidR="008835EB" w:rsidRDefault="008835EB" w:rsidP="007E3F2E">
            <w:pPr>
              <w:rPr>
                <w:rFonts w:ascii="Arial" w:hAnsi="Arial" w:cs="Arial"/>
                <w:szCs w:val="18"/>
              </w:rPr>
            </w:pPr>
            <w:r>
              <w:rPr>
                <w:rFonts w:ascii="Arial" w:hAnsi="Arial" w:cs="Arial"/>
                <w:szCs w:val="18"/>
              </w:rPr>
              <w:t> </w:t>
            </w:r>
          </w:p>
        </w:tc>
        <w:tc>
          <w:tcPr>
            <w:tcW w:w="135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1367"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1348"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1147"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r>
      <w:tr w:rsidR="008835EB" w:rsidTr="007E3F2E">
        <w:trPr>
          <w:trHeight w:val="578"/>
        </w:trPr>
        <w:tc>
          <w:tcPr>
            <w:tcW w:w="3875" w:type="dxa"/>
            <w:tcBorders>
              <w:top w:val="nil"/>
              <w:left w:val="nil"/>
              <w:bottom w:val="nil"/>
              <w:right w:val="nil"/>
            </w:tcBorders>
            <w:shd w:val="clear" w:color="FFFFFF" w:fill="FFFFFF"/>
            <w:vAlign w:val="bottom"/>
            <w:hideMark/>
          </w:tcPr>
          <w:p w:rsidR="008835EB" w:rsidRDefault="008835EB" w:rsidP="007E3F2E">
            <w:pPr>
              <w:rPr>
                <w:rFonts w:ascii="Arial" w:hAnsi="Arial" w:cs="Arial"/>
                <w:szCs w:val="18"/>
              </w:rPr>
            </w:pPr>
            <w:r>
              <w:rPr>
                <w:rFonts w:ascii="Arial" w:hAnsi="Arial" w:cs="Arial"/>
                <w:szCs w:val="18"/>
              </w:rPr>
              <w:t> </w:t>
            </w:r>
          </w:p>
        </w:tc>
        <w:tc>
          <w:tcPr>
            <w:tcW w:w="1350"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xml:space="preserve">Provision for restoration </w:t>
            </w:r>
          </w:p>
        </w:tc>
        <w:tc>
          <w:tcPr>
            <w:tcW w:w="1367"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xml:space="preserve">Provision for surplus lease </w:t>
            </w:r>
          </w:p>
        </w:tc>
        <w:tc>
          <w:tcPr>
            <w:tcW w:w="134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Provision for onerous lease</w:t>
            </w:r>
          </w:p>
        </w:tc>
        <w:tc>
          <w:tcPr>
            <w:tcW w:w="1147"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Total</w:t>
            </w:r>
          </w:p>
        </w:tc>
      </w:tr>
      <w:tr w:rsidR="008835EB" w:rsidTr="007E3F2E">
        <w:trPr>
          <w:trHeight w:val="255"/>
        </w:trPr>
        <w:tc>
          <w:tcPr>
            <w:tcW w:w="3875" w:type="dxa"/>
            <w:tcBorders>
              <w:top w:val="nil"/>
              <w:left w:val="nil"/>
              <w:bottom w:val="single" w:sz="4" w:space="0" w:color="auto"/>
              <w:right w:val="nil"/>
            </w:tcBorders>
            <w:shd w:val="clear" w:color="FFFFFF" w:fill="FFFFFF"/>
            <w:vAlign w:val="bottom"/>
            <w:hideMark/>
          </w:tcPr>
          <w:p w:rsidR="008835EB" w:rsidRDefault="008835EB" w:rsidP="007E3F2E">
            <w:pPr>
              <w:rPr>
                <w:rFonts w:ascii="Arial" w:hAnsi="Arial" w:cs="Arial"/>
                <w:szCs w:val="18"/>
              </w:rPr>
            </w:pPr>
            <w:r>
              <w:rPr>
                <w:rFonts w:ascii="Arial" w:hAnsi="Arial" w:cs="Arial"/>
                <w:szCs w:val="18"/>
              </w:rPr>
              <w:t> </w:t>
            </w:r>
          </w:p>
        </w:tc>
        <w:tc>
          <w:tcPr>
            <w:tcW w:w="135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367"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348"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147"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55"/>
        </w:trPr>
        <w:tc>
          <w:tcPr>
            <w:tcW w:w="3875"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As at 30 June 2015</w:t>
            </w:r>
          </w:p>
        </w:tc>
        <w:tc>
          <w:tcPr>
            <w:tcW w:w="135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1,030</w:t>
            </w:r>
          </w:p>
        </w:tc>
        <w:tc>
          <w:tcPr>
            <w:tcW w:w="136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5,234</w:t>
            </w:r>
          </w:p>
        </w:tc>
        <w:tc>
          <w:tcPr>
            <w:tcW w:w="134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14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6,264</w:t>
            </w:r>
          </w:p>
        </w:tc>
      </w:tr>
      <w:tr w:rsidR="008835EB" w:rsidTr="007E3F2E">
        <w:trPr>
          <w:trHeight w:val="255"/>
        </w:trPr>
        <w:tc>
          <w:tcPr>
            <w:tcW w:w="3875" w:type="dxa"/>
            <w:tcBorders>
              <w:top w:val="nil"/>
              <w:left w:val="nil"/>
              <w:bottom w:val="nil"/>
              <w:right w:val="nil"/>
            </w:tcBorders>
            <w:shd w:val="clear" w:color="FFFFFF" w:fill="FFFFFF"/>
            <w:vAlign w:val="bottom"/>
            <w:hideMark/>
          </w:tcPr>
          <w:p w:rsidR="008835EB" w:rsidRDefault="008835EB" w:rsidP="008835EB">
            <w:pPr>
              <w:ind w:firstLineChars="100" w:firstLine="180"/>
              <w:rPr>
                <w:rFonts w:cs="Calibri"/>
                <w:szCs w:val="18"/>
              </w:rPr>
            </w:pPr>
            <w:r>
              <w:rPr>
                <w:rFonts w:cs="Calibri"/>
                <w:szCs w:val="18"/>
              </w:rPr>
              <w:t>Additional provisions made</w:t>
            </w:r>
          </w:p>
        </w:tc>
        <w:tc>
          <w:tcPr>
            <w:tcW w:w="135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226 </w:t>
            </w:r>
          </w:p>
        </w:tc>
        <w:tc>
          <w:tcPr>
            <w:tcW w:w="136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34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440 </w:t>
            </w:r>
          </w:p>
        </w:tc>
        <w:tc>
          <w:tcPr>
            <w:tcW w:w="114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666</w:t>
            </w:r>
          </w:p>
        </w:tc>
      </w:tr>
      <w:tr w:rsidR="008835EB" w:rsidTr="007E3F2E">
        <w:trPr>
          <w:trHeight w:val="255"/>
        </w:trPr>
        <w:tc>
          <w:tcPr>
            <w:tcW w:w="3875" w:type="dxa"/>
            <w:tcBorders>
              <w:top w:val="nil"/>
              <w:left w:val="nil"/>
              <w:bottom w:val="nil"/>
              <w:right w:val="nil"/>
            </w:tcBorders>
            <w:shd w:val="clear" w:color="FFFFFF" w:fill="FFFFFF"/>
            <w:vAlign w:val="bottom"/>
            <w:hideMark/>
          </w:tcPr>
          <w:p w:rsidR="008835EB" w:rsidRDefault="008835EB" w:rsidP="008835EB">
            <w:pPr>
              <w:ind w:firstLineChars="100" w:firstLine="180"/>
              <w:rPr>
                <w:rFonts w:cs="Calibri"/>
                <w:szCs w:val="18"/>
              </w:rPr>
            </w:pPr>
            <w:r>
              <w:rPr>
                <w:rFonts w:cs="Calibri"/>
                <w:szCs w:val="18"/>
              </w:rPr>
              <w:t>Amounts reversed</w:t>
            </w:r>
          </w:p>
        </w:tc>
        <w:tc>
          <w:tcPr>
            <w:tcW w:w="135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(756)</w:t>
            </w:r>
          </w:p>
        </w:tc>
        <w:tc>
          <w:tcPr>
            <w:tcW w:w="136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(1,913)</w:t>
            </w:r>
          </w:p>
        </w:tc>
        <w:tc>
          <w:tcPr>
            <w:tcW w:w="134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14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(2,669)</w:t>
            </w:r>
          </w:p>
        </w:tc>
      </w:tr>
      <w:tr w:rsidR="008835EB" w:rsidTr="007E3F2E">
        <w:trPr>
          <w:trHeight w:val="255"/>
        </w:trPr>
        <w:tc>
          <w:tcPr>
            <w:tcW w:w="3875" w:type="dxa"/>
            <w:tcBorders>
              <w:top w:val="nil"/>
              <w:left w:val="nil"/>
              <w:bottom w:val="nil"/>
              <w:right w:val="nil"/>
            </w:tcBorders>
            <w:shd w:val="clear" w:color="FFFFFF" w:fill="FFFFFF"/>
            <w:vAlign w:val="bottom"/>
            <w:hideMark/>
          </w:tcPr>
          <w:p w:rsidR="008835EB" w:rsidRDefault="008835EB" w:rsidP="008835EB">
            <w:pPr>
              <w:ind w:firstLineChars="100" w:firstLine="180"/>
              <w:rPr>
                <w:rFonts w:cs="Calibri"/>
                <w:szCs w:val="18"/>
              </w:rPr>
            </w:pPr>
            <w:r>
              <w:rPr>
                <w:rFonts w:cs="Calibri"/>
                <w:szCs w:val="18"/>
              </w:rPr>
              <w:t>Amounts used</w:t>
            </w:r>
          </w:p>
        </w:tc>
        <w:tc>
          <w:tcPr>
            <w:tcW w:w="135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36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(1,959)</w:t>
            </w:r>
          </w:p>
        </w:tc>
        <w:tc>
          <w:tcPr>
            <w:tcW w:w="134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14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(1,959)</w:t>
            </w:r>
          </w:p>
        </w:tc>
      </w:tr>
      <w:tr w:rsidR="008835EB" w:rsidTr="007E3F2E">
        <w:trPr>
          <w:trHeight w:val="255"/>
        </w:trPr>
        <w:tc>
          <w:tcPr>
            <w:tcW w:w="3875" w:type="dxa"/>
            <w:tcBorders>
              <w:top w:val="nil"/>
              <w:left w:val="nil"/>
              <w:bottom w:val="nil"/>
              <w:right w:val="nil"/>
            </w:tcBorders>
            <w:shd w:val="clear" w:color="FFFFFF" w:fill="FFFFFF"/>
            <w:vAlign w:val="bottom"/>
            <w:hideMark/>
          </w:tcPr>
          <w:p w:rsidR="008835EB" w:rsidRDefault="008835EB" w:rsidP="008835EB">
            <w:pPr>
              <w:ind w:firstLineChars="100" w:firstLine="180"/>
              <w:rPr>
                <w:rFonts w:cs="Calibri"/>
                <w:szCs w:val="18"/>
              </w:rPr>
            </w:pPr>
            <w:r>
              <w:rPr>
                <w:rFonts w:cs="Calibri"/>
                <w:szCs w:val="18"/>
              </w:rPr>
              <w:t>Discount or change in discount rate</w:t>
            </w:r>
          </w:p>
        </w:tc>
        <w:tc>
          <w:tcPr>
            <w:tcW w:w="135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36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95 </w:t>
            </w:r>
          </w:p>
        </w:tc>
        <w:tc>
          <w:tcPr>
            <w:tcW w:w="134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14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95</w:t>
            </w:r>
          </w:p>
        </w:tc>
      </w:tr>
      <w:tr w:rsidR="008835EB" w:rsidTr="007E3F2E">
        <w:trPr>
          <w:trHeight w:val="255"/>
        </w:trPr>
        <w:tc>
          <w:tcPr>
            <w:tcW w:w="3875"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 as at 30 June 2016</w:t>
            </w:r>
          </w:p>
        </w:tc>
        <w:tc>
          <w:tcPr>
            <w:tcW w:w="13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500</w:t>
            </w:r>
          </w:p>
        </w:tc>
        <w:tc>
          <w:tcPr>
            <w:tcW w:w="136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1,457</w:t>
            </w:r>
          </w:p>
        </w:tc>
        <w:tc>
          <w:tcPr>
            <w:tcW w:w="134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440</w:t>
            </w:r>
          </w:p>
        </w:tc>
        <w:tc>
          <w:tcPr>
            <w:tcW w:w="1147"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2,397</w:t>
            </w:r>
          </w:p>
        </w:tc>
      </w:tr>
    </w:tbl>
    <w:p w:rsidR="008835EB" w:rsidRDefault="008835EB" w:rsidP="008835EB">
      <w:pPr>
        <w:pStyle w:val="NotesText0"/>
      </w:pPr>
      <w:bookmarkStart w:id="301" w:name="RANGE!D7:G17"/>
      <w:bookmarkStart w:id="302" w:name="RANGE!D7:F15"/>
      <w:bookmarkStart w:id="303" w:name="RANGE!D8:F16"/>
      <w:bookmarkStart w:id="304" w:name="RANGE!D18:G26"/>
      <w:bookmarkStart w:id="305" w:name="RANGE!D18:G27"/>
      <w:bookmarkStart w:id="306" w:name="RANGE!D18:G25"/>
      <w:bookmarkEnd w:id="301"/>
      <w:bookmarkEnd w:id="302"/>
      <w:bookmarkEnd w:id="303"/>
      <w:bookmarkEnd w:id="304"/>
      <w:bookmarkEnd w:id="305"/>
      <w:bookmarkEnd w:id="306"/>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bookmarkStart w:id="307" w:name="RANGE!D8:G20"/>
            <w:bookmarkStart w:id="308" w:name="Note_OPRTABLE1" w:colFirst="0" w:colLast="0"/>
            <w:r>
              <w:rPr>
                <w:rFonts w:cs="Calibri"/>
                <w:szCs w:val="18"/>
              </w:rPr>
              <w:t> </w:t>
            </w:r>
            <w:bookmarkEnd w:id="307"/>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bookmarkEnd w:id="308"/>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bookmarkStart w:id="309" w:name="RANGE!D10:D20"/>
            <w:r>
              <w:rPr>
                <w:rFonts w:cs="Calibri"/>
                <w:b/>
                <w:bCs/>
                <w:szCs w:val="18"/>
                <w:u w:val="single"/>
              </w:rPr>
              <w:t xml:space="preserve">Note </w:t>
            </w:r>
            <w:proofErr w:type="spellStart"/>
            <w:r>
              <w:rPr>
                <w:rFonts w:cs="Calibri"/>
                <w:b/>
                <w:bCs/>
                <w:szCs w:val="18"/>
                <w:u w:val="single"/>
              </w:rPr>
              <w:t>3.4A</w:t>
            </w:r>
            <w:proofErr w:type="spellEnd"/>
            <w:r>
              <w:rPr>
                <w:rFonts w:cs="Calibri"/>
                <w:b/>
                <w:bCs/>
                <w:szCs w:val="18"/>
                <w:u w:val="single"/>
              </w:rPr>
              <w:t>: Other provisions</w:t>
            </w:r>
            <w:bookmarkEnd w:id="309"/>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Provision for restoration</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1,030</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Provision for surplus lease space</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1,457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5,234</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Provision for onerous lease</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440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2,397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6,264</w:t>
            </w:r>
          </w:p>
        </w:tc>
      </w:tr>
      <w:tr w:rsidR="008835EB" w:rsidTr="007E3F2E">
        <w:trPr>
          <w:trHeight w:val="270"/>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 w:val="20"/>
              </w:rPr>
            </w:pPr>
            <w:r>
              <w:rPr>
                <w:rFonts w:ascii="Arial" w:hAnsi="Arial" w:cs="Arial"/>
                <w:sz w:val="20"/>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Other provisions expected to be settled</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 w:val="20"/>
              </w:rPr>
            </w:pPr>
            <w:r>
              <w:rPr>
                <w:rFonts w:ascii="Arial" w:hAnsi="Arial" w:cs="Arial"/>
                <w:sz w:val="20"/>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No 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1,364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4,224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1,033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2,040 </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2,397</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6,264</w:t>
            </w:r>
          </w:p>
        </w:tc>
      </w:tr>
    </w:tbl>
    <w:p w:rsidR="008835EB" w:rsidRDefault="008835EB" w:rsidP="008835EB">
      <w:pPr>
        <w:pStyle w:val="ReportText"/>
        <w:spacing w:before="240"/>
        <w:ind w:right="567"/>
      </w:pPr>
      <w:r>
        <w:t>The Department currently has two agreements for the leasing of premises which have provisions requiring the Department to restore the premises to their original condition at the conclusion of the lease (</w:t>
      </w:r>
      <w:r w:rsidR="00FA455C">
        <w:t>2015</w:t>
      </w:r>
      <w:r>
        <w:t xml:space="preserve">: 3 agreements). The Department has made a provision to reflect the present value of this obligation. </w:t>
      </w:r>
    </w:p>
    <w:p w:rsidR="008835EB" w:rsidRDefault="008835EB" w:rsidP="008835EB">
      <w:pPr>
        <w:pStyle w:val="ReportText"/>
        <w:sectPr w:rsidR="008835EB" w:rsidSect="00F74C23">
          <w:pgSz w:w="11906" w:h="16838"/>
          <w:pgMar w:top="1134" w:right="1134" w:bottom="1134" w:left="1134" w:header="958" w:footer="737" w:gutter="0"/>
          <w:cols w:space="720"/>
        </w:sectPr>
      </w:pPr>
      <w:r>
        <w:t xml:space="preserve">The Department has recognised a provision for surplus lease </w:t>
      </w:r>
      <w:r w:rsidRPr="00386EED">
        <w:t xml:space="preserve">on </w:t>
      </w:r>
      <w:r>
        <w:t xml:space="preserve">six properties. Four properties have a lease end date within 2016–17. One property has a lease end date within two years. </w:t>
      </w:r>
      <w:r w:rsidRPr="00386EED">
        <w:t>One property has a lease end date greater than two years.</w:t>
      </w:r>
    </w:p>
    <w:p w:rsidR="008835EB" w:rsidRDefault="008835EB" w:rsidP="008835EB">
      <w:pPr>
        <w:pStyle w:val="SectionHeading"/>
      </w:pPr>
      <w:bookmarkStart w:id="310" w:name="_Toc443469533"/>
      <w:bookmarkStart w:id="311" w:name="_Toc444065786"/>
      <w:bookmarkStart w:id="312" w:name="_Toc444077344"/>
      <w:bookmarkStart w:id="313" w:name="_Toc456689851"/>
      <w:r>
        <w:lastRenderedPageBreak/>
        <w:t xml:space="preserve">Assets </w:t>
      </w:r>
      <w:r w:rsidRPr="00BE05B2">
        <w:t>and</w:t>
      </w:r>
      <w:r>
        <w:t xml:space="preserve"> Liabilities Administered on Behalf of Government</w:t>
      </w:r>
      <w:bookmarkEnd w:id="310"/>
      <w:bookmarkEnd w:id="311"/>
      <w:bookmarkEnd w:id="312"/>
      <w:bookmarkEnd w:id="313"/>
    </w:p>
    <w:p w:rsidR="008835EB" w:rsidRDefault="008835EB" w:rsidP="008835EB">
      <w:pPr>
        <w:spacing w:after="120"/>
      </w:pPr>
      <w:r w:rsidRPr="00185212">
        <w:t xml:space="preserve">This section analyses assets used to generate financial performance and the operating liabilities incurred as a result the </w:t>
      </w:r>
      <w:r w:rsidR="00FA455C">
        <w:t>Department of Employment</w:t>
      </w:r>
      <w:r>
        <w:t xml:space="preserve"> </w:t>
      </w:r>
      <w:r w:rsidRPr="00185212">
        <w:t>does not control but administers on behalf of the Government. Unless otherwise noted, the accounting policies adopted are consistent with those applied for departmental reporting.</w:t>
      </w:r>
    </w:p>
    <w:p w:rsidR="008835EB" w:rsidRDefault="008835EB" w:rsidP="008835EB">
      <w:pPr>
        <w:pStyle w:val="SubHeading"/>
      </w:pPr>
      <w:bookmarkStart w:id="314" w:name="_Toc456689852"/>
      <w:r>
        <w:t>Administered—Financial Assets</w:t>
      </w:r>
      <w:bookmarkEnd w:id="314"/>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rPr>
            </w:pPr>
            <w:bookmarkStart w:id="315" w:name="Note_ARETABLE1" w:colFirst="0" w:colLast="0"/>
            <w:r>
              <w:rPr>
                <w:rFonts w:cs="Calibri"/>
                <w:b/>
                <w:bCs/>
                <w:szCs w:val="18"/>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b/>
                <w:bCs/>
                <w:sz w:val="16"/>
                <w:szCs w:val="16"/>
              </w:rPr>
            </w:pPr>
            <w:r>
              <w:rPr>
                <w:rFonts w:ascii="Arial" w:hAnsi="Arial" w:cs="Arial"/>
                <w:b/>
                <w:bCs/>
                <w:sz w:val="16"/>
                <w:szCs w:val="16"/>
              </w:rPr>
              <w:t>2016</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2015</w:t>
            </w:r>
          </w:p>
        </w:tc>
      </w:tr>
      <w:bookmarkEnd w:id="315"/>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b/>
                <w:bCs/>
                <w:sz w:val="16"/>
                <w:szCs w:val="16"/>
              </w:rPr>
            </w:pPr>
            <w:r>
              <w:rPr>
                <w:rFonts w:ascii="Arial" w:hAnsi="Arial" w:cs="Arial"/>
                <w:b/>
                <w:bCs/>
                <w:sz w:val="16"/>
                <w:szCs w:val="16"/>
              </w:rPr>
              <w:t>$'000</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$'000</w:t>
            </w:r>
          </w:p>
        </w:tc>
      </w:tr>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4.1A</w:t>
            </w:r>
            <w:proofErr w:type="spellEnd"/>
            <w:r>
              <w:rPr>
                <w:rFonts w:cs="Calibri"/>
                <w:b/>
                <w:bCs/>
                <w:szCs w:val="18"/>
                <w:u w:val="single"/>
              </w:rPr>
              <w:t>: Receivables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b/>
                <w:bCs/>
                <w:sz w:val="16"/>
                <w:szCs w:val="16"/>
              </w:rPr>
            </w:pPr>
            <w:r>
              <w:rPr>
                <w:rFonts w:ascii="Arial" w:hAnsi="Arial" w:cs="Arial"/>
                <w:b/>
                <w:bCs/>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Taxation receivables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11,963</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14,002</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Personal benefits receivables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16,111</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Goods and services receivables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4,335</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835</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xml:space="preserve">GST receivable from the </w:t>
            </w:r>
            <w:proofErr w:type="spellStart"/>
            <w:r>
              <w:rPr>
                <w:rFonts w:cs="Calibri"/>
                <w:szCs w:val="18"/>
              </w:rPr>
              <w:t>ATO</w:t>
            </w:r>
            <w:proofErr w:type="spellEnd"/>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12,111</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17,465</w:t>
            </w:r>
          </w:p>
        </w:tc>
      </w:tr>
      <w:tr w:rsidR="008835EB" w:rsidTr="007E3F2E">
        <w:trPr>
          <w:trHeight w:val="27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receivables (gross)</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44,520</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32,302</w:t>
            </w:r>
          </w:p>
        </w:tc>
      </w:tr>
      <w:tr w:rsidR="008835EB" w:rsidTr="007E3F2E">
        <w:trPr>
          <w:trHeight w:val="98"/>
        </w:trPr>
        <w:tc>
          <w:tcPr>
            <w:tcW w:w="6346"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Less impairment allowance</w:t>
            </w:r>
          </w:p>
        </w:tc>
        <w:tc>
          <w:tcPr>
            <w:tcW w:w="1252"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Goods and services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(2,142)</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r>
      <w:tr w:rsidR="008835EB" w:rsidTr="007E3F2E">
        <w:trPr>
          <w:trHeight w:val="255"/>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impairment allowance</w:t>
            </w:r>
          </w:p>
        </w:tc>
        <w:tc>
          <w:tcPr>
            <w:tcW w:w="125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(2,142)</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r>
      <w:tr w:rsidR="008835EB" w:rsidTr="007E3F2E">
        <w:trPr>
          <w:trHeight w:val="27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receivables (net)</w:t>
            </w:r>
          </w:p>
        </w:tc>
        <w:tc>
          <w:tcPr>
            <w:tcW w:w="1252" w:type="dxa"/>
            <w:tcBorders>
              <w:top w:val="nil"/>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42,378</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32,165</w:t>
            </w:r>
          </w:p>
        </w:tc>
      </w:tr>
      <w:tr w:rsidR="008835EB" w:rsidTr="007E3F2E">
        <w:trPr>
          <w:trHeight w:val="83"/>
        </w:trPr>
        <w:tc>
          <w:tcPr>
            <w:tcW w:w="6346"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Receivables (net) expected to be recovered</w:t>
            </w:r>
          </w:p>
        </w:tc>
        <w:tc>
          <w:tcPr>
            <w:tcW w:w="1252"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No more than 12 months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42,226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32,072 </w:t>
            </w:r>
          </w:p>
        </w:tc>
      </w:tr>
      <w:tr w:rsidR="008835EB" w:rsidTr="007E3F2E">
        <w:trPr>
          <w:trHeight w:val="255"/>
        </w:trPr>
        <w:tc>
          <w:tcPr>
            <w:tcW w:w="6346" w:type="dxa"/>
            <w:tcBorders>
              <w:top w:val="nil"/>
              <w:left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More than 12 months</w:t>
            </w:r>
          </w:p>
        </w:tc>
        <w:tc>
          <w:tcPr>
            <w:tcW w:w="1252" w:type="dxa"/>
            <w:tcBorders>
              <w:top w:val="nil"/>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152 </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93 </w:t>
            </w:r>
          </w:p>
        </w:tc>
      </w:tr>
      <w:tr w:rsidR="008835EB" w:rsidTr="007E3F2E">
        <w:trPr>
          <w:trHeight w:val="270"/>
        </w:trPr>
        <w:tc>
          <w:tcPr>
            <w:tcW w:w="6346" w:type="dxa"/>
            <w:tcBorders>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receivables (net)</w:t>
            </w:r>
          </w:p>
        </w:tc>
        <w:tc>
          <w:tcPr>
            <w:tcW w:w="1252" w:type="dxa"/>
            <w:tcBorders>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42,378</w:t>
            </w:r>
          </w:p>
        </w:tc>
        <w:tc>
          <w:tcPr>
            <w:tcW w:w="239"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32,165</w:t>
            </w:r>
          </w:p>
        </w:tc>
      </w:tr>
      <w:tr w:rsidR="008835EB" w:rsidTr="007E3F2E">
        <w:trPr>
          <w:trHeight w:val="255"/>
        </w:trPr>
        <w:tc>
          <w:tcPr>
            <w:tcW w:w="6346" w:type="dxa"/>
            <w:tcBorders>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252" w:type="dxa"/>
            <w:tcBorders>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239" w:type="dxa"/>
            <w:tcBorders>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40"/>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Receivables (gross) aged as follows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40"/>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Not overdue</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41,694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31,682 </w:t>
            </w:r>
          </w:p>
        </w:tc>
      </w:tr>
      <w:tr w:rsidR="008835EB" w:rsidTr="007E3F2E">
        <w:trPr>
          <w:trHeight w:val="240"/>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Overdue by:</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0 to 30 days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9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31 to 60 days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163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61 to 90 days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180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53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More than 90 days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2,474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539 </w:t>
            </w:r>
          </w:p>
        </w:tc>
      </w:tr>
      <w:tr w:rsidR="008835EB" w:rsidTr="007E3F2E">
        <w:trPr>
          <w:trHeight w:val="24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receivables (gross)</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44,520</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32,302</w:t>
            </w:r>
          </w:p>
        </w:tc>
      </w:tr>
      <w:tr w:rsidR="008835EB" w:rsidTr="007E3F2E">
        <w:trPr>
          <w:trHeight w:val="60"/>
        </w:trPr>
        <w:tc>
          <w:tcPr>
            <w:tcW w:w="6346"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6346" w:type="dxa"/>
            <w:tcBorders>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Impairment allowance aged as follows</w:t>
            </w:r>
          </w:p>
        </w:tc>
        <w:tc>
          <w:tcPr>
            <w:tcW w:w="1252"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Overdue by:</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200" w:firstLine="360"/>
              <w:rPr>
                <w:rFonts w:cs="Calibri"/>
                <w:szCs w:val="18"/>
              </w:rPr>
            </w:pPr>
            <w:r>
              <w:rPr>
                <w:rFonts w:cs="Calibri"/>
                <w:szCs w:val="18"/>
              </w:rPr>
              <w:t>More than 90 days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(2,142)</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r>
      <w:tr w:rsidR="008835EB" w:rsidTr="007E3F2E">
        <w:trPr>
          <w:trHeight w:val="27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impairment allowance</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(2,142)</w:t>
            </w:r>
          </w:p>
        </w:tc>
        <w:tc>
          <w:tcPr>
            <w:tcW w:w="239"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r>
      <w:tr w:rsidR="008835EB" w:rsidTr="007E3F2E">
        <w:trPr>
          <w:trHeight w:val="120"/>
        </w:trPr>
        <w:tc>
          <w:tcPr>
            <w:tcW w:w="6346" w:type="dxa"/>
            <w:tcBorders>
              <w:top w:val="nil"/>
              <w:left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2" w:type="dxa"/>
            <w:tcBorders>
              <w:top w:val="nil"/>
              <w:left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r>
      <w:tr w:rsidR="008835EB" w:rsidTr="007E3F2E">
        <w:trPr>
          <w:trHeight w:val="255"/>
        </w:trPr>
        <w:tc>
          <w:tcPr>
            <w:tcW w:w="9087" w:type="dxa"/>
            <w:gridSpan w:val="4"/>
            <w:tcBorders>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Credit terms are within 30 days.</w:t>
            </w:r>
          </w:p>
        </w:tc>
      </w:tr>
      <w:tr w:rsidR="008835EB" w:rsidTr="007E3F2E">
        <w:trPr>
          <w:trHeight w:val="255"/>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r>
      <w:tr w:rsidR="008835EB" w:rsidTr="007E3F2E">
        <w:trPr>
          <w:trHeight w:val="255"/>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Reconciliation of the Impairment Allowance</w:t>
            </w:r>
          </w:p>
        </w:tc>
        <w:tc>
          <w:tcPr>
            <w:tcW w:w="1252"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r>
      <w:tr w:rsidR="008835EB" w:rsidTr="007E3F2E">
        <w:trPr>
          <w:trHeight w:val="255"/>
        </w:trPr>
        <w:tc>
          <w:tcPr>
            <w:tcW w:w="634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Movements in relation to 2016</w:t>
            </w:r>
          </w:p>
        </w:tc>
        <w:tc>
          <w:tcPr>
            <w:tcW w:w="125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r>
      <w:tr w:rsidR="008835EB" w:rsidTr="007E3F2E">
        <w:trPr>
          <w:trHeight w:val="480"/>
        </w:trPr>
        <w:tc>
          <w:tcPr>
            <w:tcW w:w="6346" w:type="dxa"/>
            <w:tcBorders>
              <w:top w:val="single" w:sz="4" w:space="0" w:color="auto"/>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Goods and services</w:t>
            </w:r>
          </w:p>
        </w:tc>
        <w:tc>
          <w:tcPr>
            <w:tcW w:w="239" w:type="dxa"/>
            <w:tcBorders>
              <w:top w:val="single" w:sz="4" w:space="0" w:color="auto"/>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250" w:type="dxa"/>
            <w:tcBorders>
              <w:top w:val="single" w:sz="4" w:space="0" w:color="auto"/>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Total</w:t>
            </w:r>
          </w:p>
        </w:tc>
      </w:tr>
      <w:tr w:rsidR="008835EB" w:rsidTr="007E3F2E">
        <w:trPr>
          <w:trHeight w:val="255"/>
        </w:trPr>
        <w:tc>
          <w:tcPr>
            <w:tcW w:w="6346" w:type="dxa"/>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250"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55"/>
        </w:trPr>
        <w:tc>
          <w:tcPr>
            <w:tcW w:w="634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Opening balance</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(137)</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(137)</w:t>
            </w:r>
          </w:p>
        </w:tc>
      </w:tr>
      <w:tr w:rsidR="008835EB" w:rsidTr="007E3F2E">
        <w:trPr>
          <w:trHeight w:val="255"/>
        </w:trPr>
        <w:tc>
          <w:tcPr>
            <w:tcW w:w="6346"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Amounts written off</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129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129</w:t>
            </w:r>
          </w:p>
        </w:tc>
      </w:tr>
      <w:tr w:rsidR="008835EB" w:rsidTr="007E3F2E">
        <w:trPr>
          <w:trHeight w:val="255"/>
        </w:trPr>
        <w:tc>
          <w:tcPr>
            <w:tcW w:w="6346"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Increase recognised in net cost of services</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(2,134)</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(2,134)</w:t>
            </w:r>
          </w:p>
        </w:tc>
      </w:tr>
      <w:tr w:rsidR="008835EB" w:rsidTr="007E3F2E">
        <w:trPr>
          <w:trHeight w:val="255"/>
        </w:trPr>
        <w:tc>
          <w:tcPr>
            <w:tcW w:w="6346" w:type="dxa"/>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Closing balance</w:t>
            </w:r>
          </w:p>
        </w:tc>
        <w:tc>
          <w:tcPr>
            <w:tcW w:w="125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(2,142)</w:t>
            </w:r>
          </w:p>
        </w:tc>
        <w:tc>
          <w:tcPr>
            <w:tcW w:w="23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125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(2,142)</w:t>
            </w:r>
          </w:p>
        </w:tc>
      </w:tr>
      <w:tr w:rsidR="008835EB" w:rsidTr="007E3F2E">
        <w:trPr>
          <w:trHeight w:val="255"/>
        </w:trPr>
        <w:tc>
          <w:tcPr>
            <w:tcW w:w="6346"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Movements in relation to 2015</w:t>
            </w:r>
          </w:p>
        </w:tc>
        <w:tc>
          <w:tcPr>
            <w:tcW w:w="125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0"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r>
      <w:tr w:rsidR="008835EB" w:rsidTr="007E3F2E">
        <w:trPr>
          <w:trHeight w:val="480"/>
        </w:trPr>
        <w:tc>
          <w:tcPr>
            <w:tcW w:w="6346" w:type="dxa"/>
            <w:tcBorders>
              <w:top w:val="single" w:sz="4" w:space="0" w:color="auto"/>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Goods and services</w:t>
            </w:r>
          </w:p>
        </w:tc>
        <w:tc>
          <w:tcPr>
            <w:tcW w:w="239" w:type="dxa"/>
            <w:tcBorders>
              <w:top w:val="single" w:sz="4" w:space="0" w:color="auto"/>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250" w:type="dxa"/>
            <w:tcBorders>
              <w:top w:val="single" w:sz="4" w:space="0" w:color="auto"/>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Total</w:t>
            </w:r>
          </w:p>
        </w:tc>
      </w:tr>
      <w:tr w:rsidR="008835EB" w:rsidTr="007E3F2E">
        <w:trPr>
          <w:trHeight w:val="255"/>
        </w:trPr>
        <w:tc>
          <w:tcPr>
            <w:tcW w:w="6346" w:type="dxa"/>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lastRenderedPageBreak/>
              <w:t> </w:t>
            </w:r>
          </w:p>
        </w:tc>
        <w:tc>
          <w:tcPr>
            <w:tcW w:w="1252"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c>
          <w:tcPr>
            <w:tcW w:w="239"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250"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346"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Opening balance</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(141)</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(141)</w:t>
            </w:r>
          </w:p>
        </w:tc>
      </w:tr>
      <w:tr w:rsidR="008835EB" w:rsidTr="007E3F2E">
        <w:trPr>
          <w:trHeight w:val="255"/>
        </w:trPr>
        <w:tc>
          <w:tcPr>
            <w:tcW w:w="6346"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Amounts written off</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141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141</w:t>
            </w:r>
          </w:p>
        </w:tc>
      </w:tr>
      <w:tr w:rsidR="008835EB" w:rsidTr="007E3F2E">
        <w:trPr>
          <w:trHeight w:val="255"/>
        </w:trPr>
        <w:tc>
          <w:tcPr>
            <w:tcW w:w="6346" w:type="dxa"/>
            <w:tcBorders>
              <w:top w:val="nil"/>
              <w:left w:val="nil"/>
              <w:bottom w:val="single" w:sz="4" w:space="0" w:color="auto"/>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Increase recognised in net cost of services</w:t>
            </w:r>
          </w:p>
        </w:tc>
        <w:tc>
          <w:tcPr>
            <w:tcW w:w="1252"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c>
          <w:tcPr>
            <w:tcW w:w="239" w:type="dxa"/>
            <w:tcBorders>
              <w:top w:val="nil"/>
              <w:left w:val="nil"/>
              <w:bottom w:val="single" w:sz="4" w:space="0" w:color="auto"/>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r>
      <w:tr w:rsidR="008835EB" w:rsidTr="007E3F2E">
        <w:trPr>
          <w:trHeight w:val="255"/>
        </w:trPr>
        <w:tc>
          <w:tcPr>
            <w:tcW w:w="6346" w:type="dxa"/>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i/>
                <w:iCs/>
                <w:szCs w:val="18"/>
              </w:rPr>
            </w:pPr>
            <w:r>
              <w:rPr>
                <w:rFonts w:cs="Calibri"/>
                <w:i/>
                <w:iCs/>
                <w:szCs w:val="18"/>
              </w:rPr>
              <w:t>Closing balance</w:t>
            </w:r>
          </w:p>
        </w:tc>
        <w:tc>
          <w:tcPr>
            <w:tcW w:w="125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c>
          <w:tcPr>
            <w:tcW w:w="239"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(137)</w:t>
            </w:r>
          </w:p>
        </w:tc>
      </w:tr>
    </w:tbl>
    <w:p w:rsidR="008835EB" w:rsidRDefault="008835EB" w:rsidP="008835EB">
      <w:pPr>
        <w:pStyle w:val="GreyShadeTableBreak"/>
      </w:pPr>
      <w:bookmarkStart w:id="316" w:name="RANGE!D7:G66"/>
      <w:bookmarkStart w:id="317" w:name="RANGE!D7:G69"/>
      <w:bookmarkStart w:id="318" w:name="RANGE!D7:G19"/>
      <w:bookmarkStart w:id="319" w:name="RANGE!D6:H27"/>
      <w:bookmarkEnd w:id="316"/>
      <w:bookmarkEnd w:id="317"/>
      <w:bookmarkEnd w:id="318"/>
      <w:bookmarkEnd w:id="319"/>
      <w:r>
        <w:t xml:space="preserve"> </w:t>
      </w:r>
    </w:p>
    <w:p w:rsidR="008835EB" w:rsidRPr="009637AE" w:rsidRDefault="008835EB" w:rsidP="008835EB">
      <w:pPr>
        <w:pStyle w:val="Policytextadminbold"/>
      </w:pPr>
      <w:r>
        <w:t>Accounting Policy</w:t>
      </w:r>
    </w:p>
    <w:p w:rsidR="008835EB" w:rsidRPr="00200687" w:rsidRDefault="008835EB" w:rsidP="008835EB">
      <w:pPr>
        <w:pStyle w:val="Policytextadminunderline"/>
      </w:pPr>
      <w:r w:rsidRPr="00200687">
        <w:t xml:space="preserve">Loans and </w:t>
      </w:r>
      <w:r>
        <w:t>R</w:t>
      </w:r>
      <w:r w:rsidRPr="00200687">
        <w:t>eceivables</w:t>
      </w:r>
    </w:p>
    <w:p w:rsidR="008835EB" w:rsidRPr="009637AE" w:rsidRDefault="008835EB" w:rsidP="008835EB">
      <w:pPr>
        <w:pStyle w:val="PolicyTextAdmin"/>
        <w:spacing w:after="0"/>
      </w:pPr>
      <w:r w:rsidRPr="009637AE">
        <w:t xml:space="preserve">Where loans and receivables are not subject to concessional treatment, they are carried at amortised cost using </w:t>
      </w:r>
      <w:r>
        <w:t xml:space="preserve">the effective interest method. </w:t>
      </w:r>
      <w:r w:rsidRPr="009637AE">
        <w:t xml:space="preserve">Gains and losses due to </w:t>
      </w:r>
      <w:proofErr w:type="gramStart"/>
      <w:r w:rsidRPr="009637AE">
        <w:t>impairment,</w:t>
      </w:r>
      <w:proofErr w:type="gramEnd"/>
      <w:r w:rsidRPr="009637AE">
        <w:t xml:space="preserve"> </w:t>
      </w:r>
      <w:proofErr w:type="spellStart"/>
      <w:r w:rsidRPr="009637AE">
        <w:t>derecognition</w:t>
      </w:r>
      <w:proofErr w:type="spellEnd"/>
      <w:r w:rsidRPr="009637AE">
        <w:t xml:space="preserve"> and amortisation are recognised through profit or loss.  </w:t>
      </w:r>
    </w:p>
    <w:p w:rsidR="008835EB" w:rsidRDefault="008835EB" w:rsidP="008835EB">
      <w:pPr>
        <w:pStyle w:val="GreyShadeTableBreak"/>
        <w:rPr>
          <w:rFonts w:asciiTheme="minorHAnsi" w:hAnsiTheme="minorHAnsi" w:cstheme="minorHAnsi"/>
        </w:rPr>
      </w:pPr>
    </w:p>
    <w:tbl>
      <w:tblPr>
        <w:tblW w:w="9087" w:type="dxa"/>
        <w:tblInd w:w="80" w:type="dxa"/>
        <w:tblLayout w:type="fixed"/>
        <w:tblLook w:val="04A0" w:firstRow="1" w:lastRow="0" w:firstColumn="1" w:lastColumn="0" w:noHBand="0" w:noVBand="1"/>
      </w:tblPr>
      <w:tblGrid>
        <w:gridCol w:w="6363"/>
        <w:gridCol w:w="1233"/>
        <w:gridCol w:w="239"/>
        <w:gridCol w:w="1252"/>
      </w:tblGrid>
      <w:tr w:rsidR="008835EB" w:rsidTr="007E3F2E">
        <w:trPr>
          <w:trHeight w:val="255"/>
        </w:trPr>
        <w:tc>
          <w:tcPr>
            <w:tcW w:w="6363"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bookmarkStart w:id="320" w:name="Note_AOVTABLE1" w:colFirst="0" w:colLast="0"/>
            <w:r>
              <w:rPr>
                <w:rFonts w:ascii="Arial" w:hAnsi="Arial" w:cs="Arial"/>
                <w:sz w:val="16"/>
                <w:szCs w:val="16"/>
              </w:rPr>
              <w:t> </w:t>
            </w:r>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bookmarkEnd w:id="320"/>
      <w:tr w:rsidR="008835EB" w:rsidTr="007E3F2E">
        <w:trPr>
          <w:trHeight w:val="255"/>
        </w:trPr>
        <w:tc>
          <w:tcPr>
            <w:tcW w:w="6363"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363"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4.1B</w:t>
            </w:r>
            <w:proofErr w:type="spellEnd"/>
            <w:r>
              <w:rPr>
                <w:rFonts w:cs="Calibri"/>
                <w:b/>
                <w:bCs/>
                <w:szCs w:val="18"/>
                <w:u w:val="single"/>
              </w:rPr>
              <w:t>: Other Investments</w:t>
            </w:r>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63"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63"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Other Investments</w:t>
            </w:r>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85"/>
        </w:trPr>
        <w:tc>
          <w:tcPr>
            <w:tcW w:w="6363"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 xml:space="preserve">Coal Mining Industry </w:t>
            </w:r>
            <w:proofErr w:type="spellStart"/>
            <w:r>
              <w:rPr>
                <w:rFonts w:cs="Calibri"/>
                <w:szCs w:val="18"/>
              </w:rPr>
              <w:t>Corporation</w:t>
            </w:r>
            <w:r>
              <w:rPr>
                <w:rFonts w:cs="Calibri"/>
                <w:szCs w:val="18"/>
                <w:vertAlign w:val="superscript"/>
              </w:rPr>
              <w:t>1</w:t>
            </w:r>
            <w:proofErr w:type="spellEnd"/>
          </w:p>
        </w:tc>
        <w:tc>
          <w:tcPr>
            <w:tcW w:w="1233"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r>
      <w:tr w:rsidR="008835EB" w:rsidTr="007E3F2E">
        <w:trPr>
          <w:trHeight w:val="270"/>
        </w:trPr>
        <w:tc>
          <w:tcPr>
            <w:tcW w:w="6363"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other investments</w:t>
            </w:r>
          </w:p>
        </w:tc>
        <w:tc>
          <w:tcPr>
            <w:tcW w:w="1233"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r>
      <w:tr w:rsidR="008835EB" w:rsidTr="007E3F2E">
        <w:trPr>
          <w:trHeight w:val="255"/>
        </w:trPr>
        <w:tc>
          <w:tcPr>
            <w:tcW w:w="6363"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33"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9087" w:type="dxa"/>
            <w:gridSpan w:val="4"/>
            <w:tcBorders>
              <w:left w:val="nil"/>
              <w:right w:val="nil"/>
            </w:tcBorders>
            <w:shd w:val="clear" w:color="000000" w:fill="D9D9D9"/>
            <w:noWrap/>
            <w:vAlign w:val="bottom"/>
          </w:tcPr>
          <w:p w:rsidR="008835EB" w:rsidRDefault="008835EB" w:rsidP="007E3F2E">
            <w:pPr>
              <w:pStyle w:val="GreyShadeTableBreak"/>
            </w:pPr>
            <w:r>
              <w:t xml:space="preserve">All Other Investments are expected to be recovered in greater than 12 months. </w:t>
            </w:r>
          </w:p>
          <w:p w:rsidR="008835EB" w:rsidRDefault="008835EB" w:rsidP="007E3F2E">
            <w:pPr>
              <w:pStyle w:val="GreyShadeTableBreak"/>
              <w:spacing w:before="120"/>
            </w:pPr>
            <w:r>
              <w:t>The Department retains 100 per cent ownership of the listed investment. The principle activity of the Department’s administered investment is as follows:</w:t>
            </w:r>
          </w:p>
          <w:p w:rsidR="008835EB" w:rsidRPr="00815D14" w:rsidRDefault="008835EB" w:rsidP="007E3F2E">
            <w:pPr>
              <w:pStyle w:val="GreyShadeTableBreak"/>
            </w:pPr>
            <w:proofErr w:type="spellStart"/>
            <w:r>
              <w:rPr>
                <w:vertAlign w:val="superscript"/>
              </w:rPr>
              <w:t>1</w:t>
            </w:r>
            <w:r>
              <w:rPr>
                <w:i/>
              </w:rPr>
              <w:t>Coal</w:t>
            </w:r>
            <w:proofErr w:type="spellEnd"/>
            <w:r>
              <w:rPr>
                <w:i/>
              </w:rPr>
              <w:t xml:space="preserve"> Mining Industry Corporation (</w:t>
            </w:r>
            <w:proofErr w:type="spellStart"/>
            <w:r>
              <w:rPr>
                <w:i/>
              </w:rPr>
              <w:t>CMIC</w:t>
            </w:r>
            <w:proofErr w:type="spellEnd"/>
            <w:r>
              <w:rPr>
                <w:i/>
              </w:rPr>
              <w:t>)</w:t>
            </w:r>
            <w:r>
              <w:t xml:space="preserve"> –the administration of the Coal Mining Industry Long Service Leave Fund. The fund has operated since 1949 to provide reimbursement payments to employers paying long service leave to persons employed in the black coal industry in New South Wales, Queensland, Western Australia and Tasmania on the basis of industry employment service. </w:t>
            </w:r>
          </w:p>
        </w:tc>
      </w:tr>
    </w:tbl>
    <w:p w:rsidR="008835EB" w:rsidRPr="0090730B" w:rsidRDefault="008835EB" w:rsidP="008835EB">
      <w:pPr>
        <w:pStyle w:val="Policytextadminunderline"/>
        <w:rPr>
          <w:b/>
          <w:i w:val="0"/>
          <w:u w:val="none"/>
        </w:rPr>
      </w:pPr>
      <w:r w:rsidRPr="0090730B">
        <w:rPr>
          <w:b/>
          <w:i w:val="0"/>
          <w:u w:val="none"/>
        </w:rPr>
        <w:t>Accounting Policy</w:t>
      </w:r>
    </w:p>
    <w:p w:rsidR="008835EB" w:rsidRPr="00200687" w:rsidRDefault="008835EB" w:rsidP="008835EB">
      <w:pPr>
        <w:pStyle w:val="Policytextadminunderline"/>
      </w:pPr>
      <w:r w:rsidRPr="00200687">
        <w:t xml:space="preserve">Administered </w:t>
      </w:r>
      <w:r>
        <w:t>I</w:t>
      </w:r>
      <w:r w:rsidRPr="00200687">
        <w:t>nvestments</w:t>
      </w:r>
    </w:p>
    <w:p w:rsidR="008835EB" w:rsidRPr="00200687" w:rsidRDefault="008835EB" w:rsidP="008835EB">
      <w:pPr>
        <w:pStyle w:val="PolicyTextAdmin"/>
      </w:pPr>
      <w:r w:rsidRPr="00200687">
        <w:t>Administered investments in subsidiaries, joint ventures and associates are not consolidated because their consolidation is relevant only at the Whole of Government level.</w:t>
      </w:r>
    </w:p>
    <w:p w:rsidR="008835EB" w:rsidRDefault="008835EB" w:rsidP="008835EB">
      <w:pPr>
        <w:pStyle w:val="PolicyTextAdmin"/>
      </w:pPr>
      <w:r w:rsidRPr="00200687">
        <w:t xml:space="preserve">Administered investments other than those held for sale are classified as available-for-sale and are measured at their fair value as at 30 June </w:t>
      </w:r>
      <w:r w:rsidR="00FA455C">
        <w:t>2016</w:t>
      </w:r>
      <w:r>
        <w:t xml:space="preserve">. </w:t>
      </w:r>
      <w:r w:rsidRPr="00200687">
        <w:t xml:space="preserve">Fair value has been taken to be the Australian Government's proportional interest in the net assets of the entities as at the end of the reporting period.  </w:t>
      </w:r>
    </w:p>
    <w:p w:rsidR="008835EB" w:rsidRDefault="008835EB" w:rsidP="008835EB">
      <w:pPr>
        <w:pStyle w:val="SubHeading"/>
      </w:pPr>
      <w:bookmarkStart w:id="321" w:name="_Toc456689853"/>
      <w:r>
        <w:t>Administered—Payables</w:t>
      </w:r>
      <w:bookmarkEnd w:id="321"/>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40"/>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bookmarkStart w:id="322" w:name="Note_ASPTABLE1" w:colFirst="0" w:colLast="0"/>
            <w:r>
              <w:rPr>
                <w:rFonts w:ascii="Arial" w:hAnsi="Arial" w:cs="Arial"/>
                <w:sz w:val="16"/>
                <w:szCs w:val="16"/>
              </w:rPr>
              <w:t> </w:t>
            </w:r>
          </w:p>
        </w:tc>
        <w:tc>
          <w:tcPr>
            <w:tcW w:w="1252"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bookmarkEnd w:id="322"/>
      <w:tr w:rsidR="008835EB" w:rsidTr="007E3F2E">
        <w:trPr>
          <w:trHeight w:val="240"/>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4.2A</w:t>
            </w:r>
            <w:proofErr w:type="spellEnd"/>
            <w:r>
              <w:rPr>
                <w:rFonts w:cs="Calibri"/>
                <w:b/>
                <w:bCs/>
                <w:szCs w:val="18"/>
                <w:u w:val="single"/>
              </w:rPr>
              <w:t>: Suppliers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tcPr>
          <w:p w:rsidR="008835EB" w:rsidRDefault="008835EB" w:rsidP="007E3F2E">
            <w:pPr>
              <w:rPr>
                <w:rFonts w:ascii="Arial" w:hAnsi="Arial" w:cs="Arial"/>
                <w:sz w:val="16"/>
                <w:szCs w:val="16"/>
              </w:rPr>
            </w:pPr>
          </w:p>
        </w:tc>
        <w:tc>
          <w:tcPr>
            <w:tcW w:w="1252" w:type="dxa"/>
            <w:tcBorders>
              <w:top w:val="nil"/>
              <w:left w:val="nil"/>
              <w:bottom w:val="single" w:sz="4" w:space="0" w:color="D9D9D9"/>
              <w:right w:val="nil"/>
            </w:tcBorders>
            <w:shd w:val="clear" w:color="000000" w:fill="D9D9D9"/>
            <w:noWrap/>
            <w:vAlign w:val="bottom"/>
          </w:tcPr>
          <w:p w:rsidR="008835EB" w:rsidRDefault="008835EB" w:rsidP="007E3F2E">
            <w:pPr>
              <w:rPr>
                <w:rFonts w:ascii="Arial" w:hAnsi="Arial" w:cs="Arial"/>
                <w:sz w:val="16"/>
                <w:szCs w:val="16"/>
              </w:rPr>
            </w:pPr>
          </w:p>
        </w:tc>
        <w:tc>
          <w:tcPr>
            <w:tcW w:w="239" w:type="dxa"/>
            <w:tcBorders>
              <w:top w:val="nil"/>
              <w:left w:val="nil"/>
              <w:bottom w:val="single" w:sz="4" w:space="0" w:color="D9D9D9"/>
              <w:right w:val="nil"/>
            </w:tcBorders>
            <w:shd w:val="clear" w:color="000000" w:fill="D9D9D9"/>
            <w:noWrap/>
            <w:vAlign w:val="bottom"/>
          </w:tcPr>
          <w:p w:rsidR="008835EB" w:rsidRDefault="008835EB" w:rsidP="007E3F2E">
            <w:pPr>
              <w:rPr>
                <w:rFonts w:ascii="Arial" w:hAnsi="Arial" w:cs="Arial"/>
                <w:sz w:val="16"/>
                <w:szCs w:val="16"/>
              </w:rPr>
            </w:pPr>
          </w:p>
        </w:tc>
        <w:tc>
          <w:tcPr>
            <w:tcW w:w="1250" w:type="dxa"/>
            <w:tcBorders>
              <w:top w:val="nil"/>
              <w:left w:val="nil"/>
              <w:bottom w:val="single" w:sz="4" w:space="0" w:color="D9D9D9"/>
              <w:right w:val="nil"/>
            </w:tcBorders>
            <w:shd w:val="clear" w:color="000000" w:fill="D9D9D9"/>
            <w:noWrap/>
            <w:vAlign w:val="bottom"/>
          </w:tcPr>
          <w:p w:rsidR="008835EB" w:rsidRDefault="008835EB" w:rsidP="007E3F2E">
            <w:pPr>
              <w:rPr>
                <w:rFonts w:ascii="Arial" w:hAnsi="Arial" w:cs="Arial"/>
                <w:sz w:val="16"/>
                <w:szCs w:val="16"/>
              </w:rPr>
            </w:pP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Trade creditors and accruals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99,475</w:t>
            </w:r>
          </w:p>
        </w:tc>
      </w:tr>
      <w:tr w:rsidR="008835EB" w:rsidTr="007E3F2E">
        <w:trPr>
          <w:trHeight w:val="27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suppliers</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99,475</w:t>
            </w:r>
          </w:p>
        </w:tc>
      </w:tr>
      <w:tr w:rsidR="008835EB" w:rsidTr="007E3F2E">
        <w:trPr>
          <w:trHeight w:val="353"/>
        </w:trPr>
        <w:tc>
          <w:tcPr>
            <w:tcW w:w="6346" w:type="dxa"/>
            <w:tcBorders>
              <w:left w:val="nil"/>
              <w:bottom w:val="nil"/>
              <w:right w:val="nil"/>
            </w:tcBorders>
            <w:shd w:val="clear" w:color="000000" w:fill="D9D9D9"/>
            <w:vAlign w:val="bottom"/>
            <w:hideMark/>
          </w:tcPr>
          <w:p w:rsidR="008835EB" w:rsidRPr="003C2073" w:rsidRDefault="008835EB" w:rsidP="007E3F2E">
            <w:pPr>
              <w:pStyle w:val="GreyShadeTableBreak"/>
            </w:pPr>
            <w:bookmarkStart w:id="323" w:name="RANGE!D9:G16"/>
            <w:bookmarkEnd w:id="323"/>
            <w:r>
              <w:t>All suppliers are expected to be settled in no more than 12 months.</w:t>
            </w:r>
          </w:p>
        </w:tc>
        <w:tc>
          <w:tcPr>
            <w:tcW w:w="1252" w:type="dxa"/>
            <w:tcBorders>
              <w:left w:val="nil"/>
              <w:right w:val="nil"/>
            </w:tcBorders>
            <w:shd w:val="clear" w:color="000000" w:fill="D9D9D9"/>
            <w:noWrap/>
            <w:vAlign w:val="bottom"/>
            <w:hideMark/>
          </w:tcPr>
          <w:p w:rsidR="008835EB" w:rsidRPr="003C2073" w:rsidRDefault="008835EB" w:rsidP="007E3F2E">
            <w:pPr>
              <w:jc w:val="right"/>
              <w:rPr>
                <w:rFonts w:cs="Calibri"/>
                <w:b/>
                <w:bCs/>
                <w:szCs w:val="18"/>
              </w:rPr>
            </w:pPr>
          </w:p>
        </w:tc>
        <w:tc>
          <w:tcPr>
            <w:tcW w:w="239" w:type="dxa"/>
            <w:tcBorders>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p>
        </w:tc>
        <w:tc>
          <w:tcPr>
            <w:tcW w:w="1250" w:type="dxa"/>
            <w:tcBorders>
              <w:left w:val="nil"/>
              <w:right w:val="nil"/>
            </w:tcBorders>
            <w:shd w:val="clear" w:color="000000" w:fill="D9D9D9"/>
            <w:noWrap/>
            <w:vAlign w:val="bottom"/>
            <w:hideMark/>
          </w:tcPr>
          <w:p w:rsidR="008835EB" w:rsidRPr="003C2073" w:rsidRDefault="008835EB" w:rsidP="007E3F2E">
            <w:pPr>
              <w:jc w:val="right"/>
              <w:rPr>
                <w:rFonts w:cs="Calibri"/>
                <w:szCs w:val="18"/>
              </w:rPr>
            </w:pPr>
          </w:p>
        </w:tc>
      </w:tr>
      <w:tr w:rsidR="008835EB" w:rsidTr="007E3F2E">
        <w:trPr>
          <w:trHeight w:val="270"/>
        </w:trPr>
        <w:tc>
          <w:tcPr>
            <w:tcW w:w="6346" w:type="dxa"/>
            <w:tcBorders>
              <w:top w:val="nil"/>
              <w:left w:val="nil"/>
              <w:bottom w:val="single" w:sz="8" w:space="0" w:color="D9D9D9"/>
              <w:right w:val="nil"/>
            </w:tcBorders>
            <w:shd w:val="clear" w:color="000000" w:fill="D9D9D9"/>
            <w:vAlign w:val="bottom"/>
          </w:tcPr>
          <w:p w:rsidR="008835EB" w:rsidRDefault="008835EB" w:rsidP="007E3F2E">
            <w:pPr>
              <w:pStyle w:val="GreyShadeTableBreak"/>
            </w:pPr>
            <w:r>
              <w:t>Settlement was made within 30 days</w:t>
            </w:r>
          </w:p>
        </w:tc>
        <w:tc>
          <w:tcPr>
            <w:tcW w:w="1252" w:type="dxa"/>
            <w:tcBorders>
              <w:left w:val="nil"/>
              <w:right w:val="nil"/>
            </w:tcBorders>
            <w:shd w:val="clear" w:color="000000" w:fill="D9D9D9"/>
            <w:noWrap/>
            <w:vAlign w:val="bottom"/>
          </w:tcPr>
          <w:p w:rsidR="008835EB" w:rsidRPr="003C2073" w:rsidRDefault="008835EB" w:rsidP="007E3F2E">
            <w:pPr>
              <w:jc w:val="right"/>
              <w:rPr>
                <w:rFonts w:cs="Calibri"/>
                <w:b/>
                <w:bCs/>
                <w:szCs w:val="18"/>
              </w:rPr>
            </w:pPr>
          </w:p>
        </w:tc>
        <w:tc>
          <w:tcPr>
            <w:tcW w:w="239" w:type="dxa"/>
            <w:tcBorders>
              <w:top w:val="nil"/>
              <w:left w:val="nil"/>
              <w:bottom w:val="single" w:sz="4" w:space="0" w:color="D9D9D9"/>
              <w:right w:val="nil"/>
            </w:tcBorders>
            <w:shd w:val="clear" w:color="000000" w:fill="D9D9D9"/>
            <w:noWrap/>
            <w:vAlign w:val="bottom"/>
          </w:tcPr>
          <w:p w:rsidR="008835EB" w:rsidRDefault="008835EB" w:rsidP="007E3F2E">
            <w:pPr>
              <w:rPr>
                <w:rFonts w:ascii="Arial" w:hAnsi="Arial" w:cs="Arial"/>
                <w:sz w:val="16"/>
                <w:szCs w:val="16"/>
              </w:rPr>
            </w:pPr>
          </w:p>
        </w:tc>
        <w:tc>
          <w:tcPr>
            <w:tcW w:w="1250" w:type="dxa"/>
            <w:tcBorders>
              <w:left w:val="nil"/>
              <w:right w:val="nil"/>
            </w:tcBorders>
            <w:shd w:val="clear" w:color="000000" w:fill="D9D9D9"/>
            <w:noWrap/>
            <w:vAlign w:val="bottom"/>
          </w:tcPr>
          <w:p w:rsidR="008835EB" w:rsidRPr="003C2073" w:rsidRDefault="008835EB" w:rsidP="007E3F2E">
            <w:pPr>
              <w:jc w:val="right"/>
              <w:rPr>
                <w:rFonts w:cs="Calibri"/>
                <w:szCs w:val="18"/>
              </w:rPr>
            </w:pPr>
          </w:p>
        </w:tc>
      </w:tr>
    </w:tbl>
    <w:p w:rsidR="008835EB" w:rsidRDefault="008835EB" w:rsidP="008835EB">
      <w:pPr>
        <w:spacing w:line="240" w:lineRule="auto"/>
      </w:pPr>
      <w:r>
        <w:br w:type="page"/>
      </w:r>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bookmarkStart w:id="324" w:name="Note_AUPTABLE1" w:colFirst="0" w:colLast="0"/>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bookmarkEnd w:id="324"/>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4.2B</w:t>
            </w:r>
            <w:proofErr w:type="spellEnd"/>
            <w:r>
              <w:rPr>
                <w:rFonts w:cs="Calibri"/>
                <w:b/>
                <w:bCs/>
                <w:szCs w:val="18"/>
                <w:u w:val="single"/>
              </w:rPr>
              <w:t>: Subsidies</w:t>
            </w:r>
          </w:p>
          <w:p w:rsidR="008835EB" w:rsidRDefault="008835EB" w:rsidP="007E3F2E">
            <w:pPr>
              <w:rPr>
                <w:rFonts w:cs="Calibri"/>
                <w:szCs w:val="18"/>
              </w:rPr>
            </w:pPr>
          </w:p>
          <w:p w:rsidR="008835EB" w:rsidRDefault="008835EB" w:rsidP="008835EB">
            <w:pPr>
              <w:ind w:firstLineChars="100" w:firstLine="180"/>
              <w:rPr>
                <w:rFonts w:cs="Calibri"/>
                <w:szCs w:val="18"/>
              </w:rPr>
            </w:pPr>
            <w:r>
              <w:rPr>
                <w:rFonts w:cs="Calibri"/>
                <w:szCs w:val="18"/>
              </w:rPr>
              <w:t>Subsidies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24,135</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52,573</w:t>
            </w:r>
          </w:p>
        </w:tc>
      </w:tr>
      <w:tr w:rsidR="008835EB" w:rsidTr="007E3F2E">
        <w:trPr>
          <w:trHeight w:val="27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subsidies</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24,135</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52,573</w:t>
            </w:r>
          </w:p>
        </w:tc>
      </w:tr>
      <w:tr w:rsidR="008835EB" w:rsidTr="007E3F2E">
        <w:trPr>
          <w:trHeight w:val="411"/>
        </w:trPr>
        <w:tc>
          <w:tcPr>
            <w:tcW w:w="6346" w:type="dxa"/>
            <w:tcBorders>
              <w:top w:val="nil"/>
              <w:left w:val="nil"/>
              <w:right w:val="nil"/>
            </w:tcBorders>
            <w:shd w:val="clear" w:color="000000" w:fill="D9D9D9"/>
            <w:noWrap/>
            <w:vAlign w:val="bottom"/>
          </w:tcPr>
          <w:p w:rsidR="008835EB" w:rsidRDefault="008835EB" w:rsidP="007E3F2E">
            <w:pPr>
              <w:rPr>
                <w:rFonts w:cs="Calibri"/>
                <w:sz w:val="16"/>
                <w:szCs w:val="16"/>
              </w:rPr>
            </w:pPr>
            <w:r w:rsidRPr="00963F8F">
              <w:t>All subsidies are expected to be settled in no more than 12 months.</w:t>
            </w:r>
          </w:p>
        </w:tc>
        <w:tc>
          <w:tcPr>
            <w:tcW w:w="1252" w:type="dxa"/>
            <w:tcBorders>
              <w:top w:val="nil"/>
              <w:left w:val="nil"/>
              <w:right w:val="nil"/>
            </w:tcBorders>
            <w:shd w:val="clear" w:color="000000" w:fill="D9D9D9"/>
            <w:vAlign w:val="bottom"/>
          </w:tcPr>
          <w:p w:rsidR="008835EB" w:rsidRDefault="008835EB" w:rsidP="007E3F2E">
            <w:pPr>
              <w:jc w:val="right"/>
              <w:rPr>
                <w:rFonts w:cs="Calibri"/>
                <w:b/>
                <w:bCs/>
                <w:szCs w:val="18"/>
              </w:rPr>
            </w:pPr>
          </w:p>
        </w:tc>
        <w:tc>
          <w:tcPr>
            <w:tcW w:w="239" w:type="dxa"/>
            <w:tcBorders>
              <w:top w:val="nil"/>
              <w:left w:val="nil"/>
              <w:right w:val="nil"/>
            </w:tcBorders>
            <w:shd w:val="clear" w:color="000000" w:fill="D9D9D9"/>
            <w:noWrap/>
            <w:vAlign w:val="bottom"/>
          </w:tcPr>
          <w:p w:rsidR="008835EB" w:rsidRDefault="008835EB" w:rsidP="007E3F2E">
            <w:pPr>
              <w:rPr>
                <w:rFonts w:cs="Calibri"/>
                <w:sz w:val="16"/>
                <w:szCs w:val="16"/>
              </w:rPr>
            </w:pPr>
          </w:p>
        </w:tc>
        <w:tc>
          <w:tcPr>
            <w:tcW w:w="1250" w:type="dxa"/>
            <w:tcBorders>
              <w:top w:val="nil"/>
              <w:left w:val="nil"/>
              <w:right w:val="nil"/>
            </w:tcBorders>
            <w:shd w:val="clear" w:color="000000" w:fill="D9D9D9"/>
            <w:noWrap/>
            <w:vAlign w:val="bottom"/>
          </w:tcPr>
          <w:p w:rsidR="008835EB" w:rsidRDefault="008835EB" w:rsidP="007E3F2E">
            <w:pPr>
              <w:jc w:val="right"/>
              <w:rPr>
                <w:rFonts w:cs="Calibri"/>
                <w:szCs w:val="18"/>
              </w:rPr>
            </w:pPr>
          </w:p>
        </w:tc>
      </w:tr>
      <w:tr w:rsidR="008835EB" w:rsidTr="007E3F2E">
        <w:trPr>
          <w:trHeight w:val="240"/>
        </w:trPr>
        <w:tc>
          <w:tcPr>
            <w:tcW w:w="6346" w:type="dxa"/>
            <w:tcBorders>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bookmarkStart w:id="325" w:name="Note_APPTABLE1" w:colFirst="0" w:colLast="0"/>
            <w:r>
              <w:rPr>
                <w:rFonts w:cs="Calibri"/>
                <w:sz w:val="16"/>
                <w:szCs w:val="16"/>
              </w:rPr>
              <w:t> </w:t>
            </w:r>
          </w:p>
        </w:tc>
        <w:tc>
          <w:tcPr>
            <w:tcW w:w="1252" w:type="dxa"/>
            <w:tcBorders>
              <w:left w:val="nil"/>
              <w:bottom w:val="single" w:sz="4" w:space="0" w:color="D9D9D9"/>
              <w:right w:val="nil"/>
            </w:tcBorders>
            <w:shd w:val="clear" w:color="000000" w:fill="D9D9D9"/>
            <w:vAlign w:val="bottom"/>
          </w:tcPr>
          <w:p w:rsidR="008835EB" w:rsidRDefault="008835EB" w:rsidP="007E3F2E">
            <w:pPr>
              <w:jc w:val="right"/>
              <w:rPr>
                <w:rFonts w:cs="Calibri"/>
                <w:b/>
                <w:bCs/>
                <w:szCs w:val="18"/>
              </w:rPr>
            </w:pPr>
          </w:p>
        </w:tc>
        <w:tc>
          <w:tcPr>
            <w:tcW w:w="239" w:type="dxa"/>
            <w:tcBorders>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c>
          <w:tcPr>
            <w:tcW w:w="1250" w:type="dxa"/>
            <w:tcBorders>
              <w:left w:val="nil"/>
              <w:bottom w:val="single" w:sz="4" w:space="0" w:color="D9D9D9"/>
              <w:right w:val="nil"/>
            </w:tcBorders>
            <w:shd w:val="clear" w:color="000000" w:fill="D9D9D9"/>
            <w:noWrap/>
            <w:vAlign w:val="bottom"/>
          </w:tcPr>
          <w:p w:rsidR="008835EB" w:rsidRDefault="008835EB" w:rsidP="007E3F2E">
            <w:pPr>
              <w:jc w:val="right"/>
              <w:rPr>
                <w:rFonts w:cs="Calibri"/>
                <w:szCs w:val="18"/>
              </w:rPr>
            </w:pPr>
          </w:p>
        </w:tc>
      </w:tr>
      <w:bookmarkEnd w:id="325"/>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4.2C</w:t>
            </w:r>
            <w:proofErr w:type="spellEnd"/>
            <w:r>
              <w:rPr>
                <w:rFonts w:cs="Calibri"/>
                <w:b/>
                <w:bCs/>
                <w:szCs w:val="18"/>
                <w:u w:val="single"/>
              </w:rPr>
              <w:t>: Personal Benefits</w:t>
            </w:r>
          </w:p>
        </w:tc>
        <w:tc>
          <w:tcPr>
            <w:tcW w:w="1252" w:type="dxa"/>
            <w:tcBorders>
              <w:top w:val="nil"/>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c>
          <w:tcPr>
            <w:tcW w:w="239" w:type="dxa"/>
            <w:tcBorders>
              <w:top w:val="nil"/>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c>
          <w:tcPr>
            <w:tcW w:w="1250" w:type="dxa"/>
            <w:tcBorders>
              <w:top w:val="nil"/>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c>
          <w:tcPr>
            <w:tcW w:w="1252" w:type="dxa"/>
            <w:tcBorders>
              <w:top w:val="nil"/>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c>
          <w:tcPr>
            <w:tcW w:w="239" w:type="dxa"/>
            <w:tcBorders>
              <w:top w:val="nil"/>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c>
          <w:tcPr>
            <w:tcW w:w="1250" w:type="dxa"/>
            <w:tcBorders>
              <w:top w:val="nil"/>
              <w:left w:val="nil"/>
              <w:bottom w:val="single" w:sz="4" w:space="0" w:color="D9D9D9"/>
              <w:right w:val="nil"/>
            </w:tcBorders>
            <w:shd w:val="clear" w:color="000000" w:fill="D9D9D9"/>
            <w:noWrap/>
            <w:vAlign w:val="bottom"/>
          </w:tcPr>
          <w:p w:rsidR="008835EB" w:rsidRDefault="008835EB" w:rsidP="007E3F2E">
            <w:pPr>
              <w:rPr>
                <w:rFonts w:cs="Calibri"/>
                <w:sz w:val="16"/>
                <w:szCs w:val="16"/>
              </w:rPr>
            </w:pP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Labour market assistance to job seekers and industry - Direct</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2,744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2,142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Labour market assistance to job seekers and industry - Indirect</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9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Industrial relations - Indirect</w:t>
            </w:r>
          </w:p>
        </w:tc>
        <w:tc>
          <w:tcPr>
            <w:tcW w:w="125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4,550 </w:t>
            </w:r>
          </w:p>
        </w:tc>
      </w:tr>
      <w:tr w:rsidR="008835EB" w:rsidTr="007E3F2E">
        <w:trPr>
          <w:trHeight w:val="27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personal benefits</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2,753</w:t>
            </w:r>
          </w:p>
        </w:tc>
        <w:tc>
          <w:tcPr>
            <w:tcW w:w="239" w:type="dxa"/>
            <w:tcBorders>
              <w:top w:val="nil"/>
              <w:left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6,692</w:t>
            </w:r>
          </w:p>
        </w:tc>
      </w:tr>
      <w:tr w:rsidR="008835EB" w:rsidTr="007E3F2E">
        <w:trPr>
          <w:trHeight w:val="255"/>
        </w:trPr>
        <w:tc>
          <w:tcPr>
            <w:tcW w:w="6346" w:type="dxa"/>
            <w:tcBorders>
              <w:left w:val="nil"/>
              <w:right w:val="nil"/>
            </w:tcBorders>
            <w:shd w:val="clear" w:color="000000" w:fill="D9D9D9"/>
            <w:noWrap/>
            <w:vAlign w:val="bottom"/>
          </w:tcPr>
          <w:p w:rsidR="008835EB" w:rsidRDefault="008835EB" w:rsidP="007E3F2E">
            <w:pPr>
              <w:rPr>
                <w:rFonts w:cs="Calibri"/>
                <w:szCs w:val="18"/>
              </w:rPr>
            </w:pPr>
          </w:p>
        </w:tc>
        <w:tc>
          <w:tcPr>
            <w:tcW w:w="1252" w:type="dxa"/>
            <w:tcBorders>
              <w:left w:val="nil"/>
              <w:right w:val="nil"/>
            </w:tcBorders>
            <w:shd w:val="clear" w:color="000000" w:fill="D9D9D9"/>
            <w:noWrap/>
            <w:vAlign w:val="bottom"/>
          </w:tcPr>
          <w:p w:rsidR="008835EB" w:rsidRDefault="008835EB" w:rsidP="007E3F2E">
            <w:pPr>
              <w:rPr>
                <w:rFonts w:cs="Calibri"/>
                <w:b/>
                <w:bCs/>
                <w:szCs w:val="18"/>
              </w:rPr>
            </w:pPr>
          </w:p>
        </w:tc>
        <w:tc>
          <w:tcPr>
            <w:tcW w:w="239" w:type="dxa"/>
            <w:tcBorders>
              <w:left w:val="nil"/>
              <w:right w:val="nil"/>
            </w:tcBorders>
            <w:shd w:val="clear" w:color="000000" w:fill="D9D9D9"/>
            <w:noWrap/>
            <w:vAlign w:val="bottom"/>
          </w:tcPr>
          <w:p w:rsidR="008835EB" w:rsidRDefault="008835EB" w:rsidP="007E3F2E">
            <w:pPr>
              <w:rPr>
                <w:rFonts w:cs="Calibri"/>
                <w:sz w:val="16"/>
                <w:szCs w:val="16"/>
              </w:rPr>
            </w:pPr>
          </w:p>
        </w:tc>
        <w:tc>
          <w:tcPr>
            <w:tcW w:w="1250" w:type="dxa"/>
            <w:tcBorders>
              <w:left w:val="nil"/>
              <w:right w:val="nil"/>
            </w:tcBorders>
            <w:shd w:val="clear" w:color="000000" w:fill="D9D9D9"/>
            <w:noWrap/>
            <w:vAlign w:val="bottom"/>
          </w:tcPr>
          <w:p w:rsidR="008835EB" w:rsidRDefault="008835EB" w:rsidP="007E3F2E">
            <w:pPr>
              <w:rPr>
                <w:rFonts w:cs="Calibri"/>
                <w:szCs w:val="18"/>
              </w:rPr>
            </w:pPr>
          </w:p>
        </w:tc>
      </w:tr>
      <w:tr w:rsidR="008835EB" w:rsidTr="007E3F2E">
        <w:trPr>
          <w:trHeight w:val="240"/>
        </w:trPr>
        <w:tc>
          <w:tcPr>
            <w:tcW w:w="6346" w:type="dxa"/>
            <w:tcBorders>
              <w:left w:val="nil"/>
              <w:bottom w:val="nil"/>
              <w:right w:val="nil"/>
            </w:tcBorders>
            <w:shd w:val="clear" w:color="000000" w:fill="D9D9D9"/>
            <w:noWrap/>
            <w:vAlign w:val="bottom"/>
          </w:tcPr>
          <w:p w:rsidR="008835EB" w:rsidRDefault="008835EB" w:rsidP="007E3F2E">
            <w:pPr>
              <w:spacing w:line="240" w:lineRule="auto"/>
              <w:rPr>
                <w:rFonts w:ascii="Arial" w:hAnsi="Arial" w:cs="Arial"/>
                <w:color w:val="FFFFFF"/>
                <w:sz w:val="16"/>
                <w:szCs w:val="16"/>
              </w:rPr>
            </w:pPr>
            <w:r w:rsidRPr="00963F8F">
              <w:t xml:space="preserve">All </w:t>
            </w:r>
            <w:r>
              <w:t xml:space="preserve">personal benefits </w:t>
            </w:r>
            <w:r w:rsidRPr="00963F8F">
              <w:t>are expected to be settled in no more than 12 months.</w:t>
            </w:r>
          </w:p>
        </w:tc>
        <w:tc>
          <w:tcPr>
            <w:tcW w:w="1252" w:type="dxa"/>
            <w:tcBorders>
              <w:left w:val="nil"/>
              <w:bottom w:val="nil"/>
              <w:right w:val="nil"/>
            </w:tcBorders>
            <w:shd w:val="clear" w:color="000000" w:fill="D9D9D9"/>
            <w:noWrap/>
            <w:vAlign w:val="bottom"/>
          </w:tcPr>
          <w:p w:rsidR="008835EB" w:rsidRDefault="008835EB" w:rsidP="007E3F2E">
            <w:pPr>
              <w:spacing w:line="240" w:lineRule="auto"/>
              <w:jc w:val="right"/>
              <w:rPr>
                <w:rFonts w:cs="Calibri"/>
                <w:b/>
                <w:bCs/>
                <w:szCs w:val="18"/>
              </w:rPr>
            </w:pPr>
          </w:p>
        </w:tc>
        <w:tc>
          <w:tcPr>
            <w:tcW w:w="239" w:type="dxa"/>
            <w:tcBorders>
              <w:left w:val="nil"/>
              <w:bottom w:val="nil"/>
              <w:right w:val="nil"/>
            </w:tcBorders>
            <w:shd w:val="clear" w:color="000000" w:fill="D9D9D9"/>
            <w:noWrap/>
            <w:vAlign w:val="bottom"/>
          </w:tcPr>
          <w:p w:rsidR="008835EB" w:rsidRDefault="008835EB" w:rsidP="007E3F2E">
            <w:pPr>
              <w:spacing w:line="240" w:lineRule="auto"/>
              <w:jc w:val="right"/>
              <w:rPr>
                <w:rFonts w:cs="Calibri"/>
                <w:b/>
                <w:bCs/>
                <w:szCs w:val="18"/>
              </w:rPr>
            </w:pPr>
          </w:p>
        </w:tc>
        <w:tc>
          <w:tcPr>
            <w:tcW w:w="1250" w:type="dxa"/>
            <w:tcBorders>
              <w:left w:val="nil"/>
              <w:bottom w:val="nil"/>
              <w:right w:val="nil"/>
            </w:tcBorders>
            <w:shd w:val="clear" w:color="000000" w:fill="D9D9D9"/>
            <w:noWrap/>
            <w:vAlign w:val="bottom"/>
          </w:tcPr>
          <w:p w:rsidR="008835EB" w:rsidRDefault="008835EB" w:rsidP="007E3F2E">
            <w:pPr>
              <w:spacing w:line="240" w:lineRule="auto"/>
              <w:jc w:val="right"/>
              <w:rPr>
                <w:rFonts w:cs="Calibri"/>
                <w:szCs w:val="18"/>
              </w:rPr>
            </w:pPr>
          </w:p>
        </w:tc>
      </w:tr>
      <w:tr w:rsidR="008835EB" w:rsidTr="007E3F2E">
        <w:trPr>
          <w:trHeight w:val="240"/>
        </w:trPr>
        <w:tc>
          <w:tcPr>
            <w:tcW w:w="634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color w:val="FFFFFF"/>
                <w:sz w:val="16"/>
                <w:szCs w:val="16"/>
              </w:rPr>
            </w:pPr>
            <w:bookmarkStart w:id="326" w:name="Note_AGPTABLE1" w:colFirst="0" w:colLast="0"/>
            <w:r>
              <w:rPr>
                <w:rFonts w:ascii="Arial" w:hAnsi="Arial" w:cs="Arial"/>
                <w:color w:val="FFFFFF"/>
                <w:sz w:val="16"/>
                <w:szCs w:val="16"/>
              </w:rPr>
              <w:t> </w:t>
            </w:r>
          </w:p>
        </w:tc>
        <w:tc>
          <w:tcPr>
            <w:tcW w:w="1252" w:type="dxa"/>
            <w:tcBorders>
              <w:top w:val="nil"/>
              <w:left w:val="nil"/>
              <w:bottom w:val="nil"/>
              <w:right w:val="nil"/>
            </w:tcBorders>
            <w:shd w:val="clear" w:color="000000" w:fill="D9D9D9"/>
            <w:noWrap/>
            <w:vAlign w:val="bottom"/>
          </w:tcPr>
          <w:p w:rsidR="008835EB" w:rsidRDefault="008835EB" w:rsidP="007E3F2E">
            <w:pPr>
              <w:jc w:val="right"/>
              <w:rPr>
                <w:rFonts w:cs="Calibri"/>
                <w:b/>
                <w:bCs/>
                <w:szCs w:val="18"/>
              </w:rPr>
            </w:pPr>
          </w:p>
        </w:tc>
        <w:tc>
          <w:tcPr>
            <w:tcW w:w="239" w:type="dxa"/>
            <w:tcBorders>
              <w:top w:val="nil"/>
              <w:left w:val="nil"/>
              <w:bottom w:val="nil"/>
              <w:right w:val="nil"/>
            </w:tcBorders>
            <w:shd w:val="clear" w:color="000000" w:fill="D9D9D9"/>
            <w:noWrap/>
            <w:vAlign w:val="bottom"/>
          </w:tcPr>
          <w:p w:rsidR="008835EB" w:rsidRDefault="008835EB" w:rsidP="007E3F2E">
            <w:pPr>
              <w:jc w:val="right"/>
              <w:rPr>
                <w:rFonts w:cs="Calibri"/>
                <w:b/>
                <w:bCs/>
                <w:szCs w:val="18"/>
              </w:rPr>
            </w:pPr>
          </w:p>
        </w:tc>
        <w:tc>
          <w:tcPr>
            <w:tcW w:w="1250" w:type="dxa"/>
            <w:tcBorders>
              <w:top w:val="nil"/>
              <w:left w:val="nil"/>
              <w:bottom w:val="nil"/>
              <w:right w:val="nil"/>
            </w:tcBorders>
            <w:shd w:val="clear" w:color="000000" w:fill="D9D9D9"/>
            <w:noWrap/>
            <w:vAlign w:val="bottom"/>
          </w:tcPr>
          <w:p w:rsidR="008835EB" w:rsidRDefault="008835EB" w:rsidP="007E3F2E">
            <w:pPr>
              <w:jc w:val="right"/>
              <w:rPr>
                <w:rFonts w:cs="Calibri"/>
                <w:szCs w:val="18"/>
              </w:rPr>
            </w:pPr>
          </w:p>
        </w:tc>
      </w:tr>
      <w:bookmarkEnd w:id="326"/>
      <w:tr w:rsidR="008835EB" w:rsidTr="007E3F2E">
        <w:trPr>
          <w:trHeight w:val="255"/>
        </w:trPr>
        <w:tc>
          <w:tcPr>
            <w:tcW w:w="634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4.2D</w:t>
            </w:r>
            <w:proofErr w:type="spellEnd"/>
            <w:r>
              <w:rPr>
                <w:rFonts w:cs="Calibri"/>
                <w:b/>
                <w:bCs/>
                <w:szCs w:val="18"/>
                <w:u w:val="single"/>
              </w:rPr>
              <w:t>: Grants</w:t>
            </w:r>
          </w:p>
        </w:tc>
        <w:tc>
          <w:tcPr>
            <w:tcW w:w="1252" w:type="dxa"/>
            <w:tcBorders>
              <w:top w:val="nil"/>
              <w:left w:val="nil"/>
              <w:bottom w:val="nil"/>
              <w:right w:val="nil"/>
            </w:tcBorders>
            <w:shd w:val="clear" w:color="000000" w:fill="D9D9D9"/>
            <w:noWrap/>
            <w:vAlign w:val="bottom"/>
          </w:tcPr>
          <w:p w:rsidR="008835EB" w:rsidRDefault="008835EB" w:rsidP="007E3F2E">
            <w:pPr>
              <w:jc w:val="right"/>
              <w:rPr>
                <w:rFonts w:cs="Calibri"/>
                <w:b/>
                <w:bCs/>
                <w:szCs w:val="18"/>
              </w:rPr>
            </w:pPr>
          </w:p>
        </w:tc>
        <w:tc>
          <w:tcPr>
            <w:tcW w:w="239" w:type="dxa"/>
            <w:tcBorders>
              <w:top w:val="nil"/>
              <w:left w:val="nil"/>
              <w:bottom w:val="single" w:sz="4" w:space="0" w:color="D9D9D9"/>
              <w:right w:val="nil"/>
            </w:tcBorders>
            <w:shd w:val="clear" w:color="000000" w:fill="D9D9D9"/>
            <w:noWrap/>
            <w:vAlign w:val="bottom"/>
          </w:tcPr>
          <w:p w:rsidR="008835EB" w:rsidRDefault="008835EB" w:rsidP="007E3F2E">
            <w:pPr>
              <w:jc w:val="right"/>
              <w:rPr>
                <w:rFonts w:cs="Calibri"/>
                <w:b/>
                <w:bCs/>
                <w:szCs w:val="18"/>
              </w:rPr>
            </w:pPr>
          </w:p>
        </w:tc>
        <w:tc>
          <w:tcPr>
            <w:tcW w:w="1250" w:type="dxa"/>
            <w:tcBorders>
              <w:top w:val="nil"/>
              <w:left w:val="nil"/>
              <w:bottom w:val="nil"/>
              <w:right w:val="nil"/>
            </w:tcBorders>
            <w:shd w:val="clear" w:color="000000" w:fill="D9D9D9"/>
            <w:noWrap/>
            <w:vAlign w:val="bottom"/>
          </w:tcPr>
          <w:p w:rsidR="008835EB" w:rsidRDefault="008835EB" w:rsidP="007E3F2E">
            <w:pPr>
              <w:jc w:val="right"/>
              <w:rPr>
                <w:rFonts w:cs="Calibri"/>
                <w:szCs w:val="18"/>
              </w:rPr>
            </w:pP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20"/>
              </w:rPr>
            </w:pPr>
            <w:r>
              <w:rPr>
                <w:rFonts w:ascii="Arial" w:hAnsi="Arial" w:cs="Arial"/>
                <w:sz w:val="20"/>
              </w:rPr>
              <w:t> </w:t>
            </w:r>
          </w:p>
        </w:tc>
        <w:tc>
          <w:tcPr>
            <w:tcW w:w="239"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20"/>
              </w:rPr>
            </w:pPr>
            <w:r>
              <w:rPr>
                <w:rFonts w:ascii="Arial" w:hAnsi="Arial" w:cs="Arial"/>
                <w:sz w:val="20"/>
              </w:rPr>
              <w:t> </w:t>
            </w:r>
          </w:p>
        </w:tc>
        <w:tc>
          <w:tcPr>
            <w:tcW w:w="1250"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20"/>
              </w:rPr>
            </w:pPr>
            <w:r>
              <w:rPr>
                <w:rFonts w:ascii="Arial" w:hAnsi="Arial" w:cs="Arial"/>
                <w:sz w:val="20"/>
              </w:rPr>
              <w:t> </w:t>
            </w:r>
          </w:p>
        </w:tc>
      </w:tr>
      <w:tr w:rsidR="008835EB" w:rsidTr="007E3F2E">
        <w:trPr>
          <w:trHeight w:val="255"/>
        </w:trPr>
        <w:tc>
          <w:tcPr>
            <w:tcW w:w="634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Private sector</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Non-profit organisations</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306</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634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Other</w:t>
            </w:r>
          </w:p>
        </w:tc>
        <w:tc>
          <w:tcPr>
            <w:tcW w:w="1252"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1,862</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70"/>
        </w:trPr>
        <w:tc>
          <w:tcPr>
            <w:tcW w:w="6346"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grants</w:t>
            </w:r>
          </w:p>
        </w:tc>
        <w:tc>
          <w:tcPr>
            <w:tcW w:w="1252"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2,168</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422"/>
        </w:trPr>
        <w:tc>
          <w:tcPr>
            <w:tcW w:w="6346" w:type="dxa"/>
            <w:tcBorders>
              <w:left w:val="nil"/>
              <w:right w:val="nil"/>
            </w:tcBorders>
            <w:shd w:val="clear" w:color="000000" w:fill="D9D9D9"/>
            <w:noWrap/>
            <w:vAlign w:val="bottom"/>
            <w:hideMark/>
          </w:tcPr>
          <w:p w:rsidR="008835EB" w:rsidRDefault="008835EB" w:rsidP="007E3F2E">
            <w:pPr>
              <w:rPr>
                <w:rFonts w:cs="Calibri"/>
                <w:szCs w:val="18"/>
              </w:rPr>
            </w:pPr>
            <w:r>
              <w:rPr>
                <w:rFonts w:cs="Calibri"/>
                <w:szCs w:val="18"/>
              </w:rPr>
              <w:t>All grants are expected to be settled in no more than 12 months.</w:t>
            </w:r>
          </w:p>
        </w:tc>
        <w:tc>
          <w:tcPr>
            <w:tcW w:w="1252"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85"/>
        </w:trPr>
        <w:tc>
          <w:tcPr>
            <w:tcW w:w="6346" w:type="dxa"/>
            <w:tcBorders>
              <w:left w:val="nil"/>
              <w:right w:val="nil"/>
            </w:tcBorders>
            <w:shd w:val="clear" w:color="000000" w:fill="D9D9D9"/>
            <w:noWrap/>
            <w:vAlign w:val="bottom"/>
          </w:tcPr>
          <w:p w:rsidR="008835EB" w:rsidRDefault="008835EB" w:rsidP="007E3F2E">
            <w:pPr>
              <w:rPr>
                <w:rFonts w:cs="Calibri"/>
                <w:szCs w:val="18"/>
              </w:rPr>
            </w:pPr>
          </w:p>
        </w:tc>
        <w:tc>
          <w:tcPr>
            <w:tcW w:w="1252" w:type="dxa"/>
            <w:tcBorders>
              <w:left w:val="nil"/>
              <w:right w:val="nil"/>
            </w:tcBorders>
            <w:shd w:val="clear" w:color="000000" w:fill="D9D9D9"/>
            <w:noWrap/>
            <w:vAlign w:val="bottom"/>
          </w:tcPr>
          <w:p w:rsidR="008835EB" w:rsidRDefault="008835EB" w:rsidP="007E3F2E">
            <w:pPr>
              <w:rPr>
                <w:rFonts w:ascii="Arial" w:hAnsi="Arial" w:cs="Arial"/>
                <w:sz w:val="16"/>
                <w:szCs w:val="16"/>
              </w:rPr>
            </w:pPr>
          </w:p>
        </w:tc>
        <w:tc>
          <w:tcPr>
            <w:tcW w:w="239" w:type="dxa"/>
            <w:tcBorders>
              <w:left w:val="nil"/>
              <w:right w:val="nil"/>
            </w:tcBorders>
            <w:shd w:val="clear" w:color="000000" w:fill="D9D9D9"/>
            <w:noWrap/>
            <w:vAlign w:val="bottom"/>
          </w:tcPr>
          <w:p w:rsidR="008835EB" w:rsidRDefault="008835EB" w:rsidP="007E3F2E">
            <w:pPr>
              <w:rPr>
                <w:rFonts w:ascii="Arial" w:hAnsi="Arial" w:cs="Arial"/>
                <w:sz w:val="16"/>
                <w:szCs w:val="16"/>
              </w:rPr>
            </w:pPr>
          </w:p>
        </w:tc>
        <w:tc>
          <w:tcPr>
            <w:tcW w:w="1250" w:type="dxa"/>
            <w:tcBorders>
              <w:left w:val="nil"/>
              <w:right w:val="nil"/>
            </w:tcBorders>
            <w:shd w:val="clear" w:color="000000" w:fill="D9D9D9"/>
            <w:noWrap/>
            <w:vAlign w:val="bottom"/>
          </w:tcPr>
          <w:p w:rsidR="008835EB" w:rsidRDefault="008835EB" w:rsidP="007E3F2E">
            <w:pPr>
              <w:rPr>
                <w:rFonts w:ascii="Arial" w:hAnsi="Arial" w:cs="Arial"/>
                <w:sz w:val="16"/>
                <w:szCs w:val="16"/>
              </w:rPr>
            </w:pPr>
          </w:p>
        </w:tc>
      </w:tr>
      <w:tr w:rsidR="008835EB" w:rsidTr="007E3F2E">
        <w:trPr>
          <w:trHeight w:val="216"/>
        </w:trPr>
        <w:tc>
          <w:tcPr>
            <w:tcW w:w="6348" w:type="dxa"/>
            <w:tcBorders>
              <w:left w:val="nil"/>
              <w:bottom w:val="nil"/>
              <w:right w:val="nil"/>
            </w:tcBorders>
            <w:shd w:val="clear" w:color="000000" w:fill="D9D9D9"/>
            <w:noWrap/>
            <w:hideMark/>
          </w:tcPr>
          <w:p w:rsidR="008835EB" w:rsidRDefault="008835EB" w:rsidP="007E3F2E">
            <w:pPr>
              <w:rPr>
                <w:rFonts w:cs="Calibri"/>
                <w:b/>
                <w:bCs/>
                <w:szCs w:val="18"/>
                <w:u w:val="single"/>
              </w:rPr>
            </w:pPr>
            <w:bookmarkStart w:id="327" w:name="RANGE!D9:G18"/>
            <w:bookmarkEnd w:id="327"/>
            <w:r>
              <w:rPr>
                <w:rFonts w:cs="Calibri"/>
                <w:b/>
                <w:bCs/>
                <w:szCs w:val="18"/>
                <w:u w:val="single"/>
              </w:rPr>
              <w:t xml:space="preserve">Note </w:t>
            </w:r>
            <w:proofErr w:type="spellStart"/>
            <w:r>
              <w:rPr>
                <w:rFonts w:cs="Calibri"/>
                <w:b/>
                <w:bCs/>
                <w:szCs w:val="18"/>
                <w:u w:val="single"/>
              </w:rPr>
              <w:t>4.2E</w:t>
            </w:r>
            <w:proofErr w:type="spellEnd"/>
            <w:r>
              <w:rPr>
                <w:rFonts w:cs="Calibri"/>
                <w:b/>
                <w:bCs/>
                <w:szCs w:val="18"/>
                <w:u w:val="single"/>
              </w:rPr>
              <w:t>: Other Payables</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8"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85"/>
        </w:trPr>
        <w:tc>
          <w:tcPr>
            <w:tcW w:w="634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proofErr w:type="spellStart"/>
            <w:r>
              <w:rPr>
                <w:rFonts w:cs="Calibri"/>
                <w:szCs w:val="18"/>
              </w:rPr>
              <w:t>Comcare</w:t>
            </w:r>
            <w:proofErr w:type="spellEnd"/>
            <w:r>
              <w:rPr>
                <w:rFonts w:cs="Calibri"/>
                <w:szCs w:val="18"/>
              </w:rPr>
              <w:t xml:space="preserve"> </w:t>
            </w:r>
            <w:proofErr w:type="spellStart"/>
            <w:r>
              <w:rPr>
                <w:rFonts w:cs="Calibri"/>
                <w:szCs w:val="18"/>
              </w:rPr>
              <w:t>payable</w:t>
            </w:r>
            <w:r>
              <w:rPr>
                <w:rFonts w:cs="Calibri"/>
                <w:szCs w:val="18"/>
                <w:vertAlign w:val="superscript"/>
              </w:rPr>
              <w:t>1</w:t>
            </w:r>
            <w:proofErr w:type="spellEnd"/>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2,802,684</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2,787,681</w:t>
            </w:r>
          </w:p>
        </w:tc>
      </w:tr>
      <w:tr w:rsidR="008835EB" w:rsidTr="007E3F2E">
        <w:trPr>
          <w:trHeight w:val="255"/>
        </w:trPr>
        <w:tc>
          <w:tcPr>
            <w:tcW w:w="6348"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Cs w:val="18"/>
              </w:rPr>
            </w:pPr>
            <w:r>
              <w:rPr>
                <w:rFonts w:cs="Calibri"/>
                <w:szCs w:val="18"/>
              </w:rPr>
              <w:t>GST payable</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7,605</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6,765</w:t>
            </w:r>
          </w:p>
        </w:tc>
      </w:tr>
      <w:tr w:rsidR="008835EB" w:rsidTr="007E3F2E">
        <w:trPr>
          <w:trHeight w:val="270"/>
        </w:trPr>
        <w:tc>
          <w:tcPr>
            <w:tcW w:w="6348" w:type="dxa"/>
            <w:tcBorders>
              <w:top w:val="nil"/>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other payables</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2,810,289</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single" w:sz="4" w:space="0" w:color="auto"/>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2,794,446</w:t>
            </w:r>
          </w:p>
        </w:tc>
      </w:tr>
      <w:tr w:rsidR="008835EB" w:rsidTr="007E3F2E">
        <w:trPr>
          <w:trHeight w:val="255"/>
        </w:trPr>
        <w:tc>
          <w:tcPr>
            <w:tcW w:w="6348"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8" w:type="dxa"/>
            <w:tcBorders>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Other payables expected to be settled</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39"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6348"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No more than 12 months</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7,605 </w:t>
            </w:r>
          </w:p>
        </w:tc>
        <w:tc>
          <w:tcPr>
            <w:tcW w:w="239"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6,765 </w:t>
            </w:r>
          </w:p>
        </w:tc>
      </w:tr>
      <w:tr w:rsidR="008835EB" w:rsidTr="007E3F2E">
        <w:trPr>
          <w:trHeight w:val="255"/>
        </w:trPr>
        <w:tc>
          <w:tcPr>
            <w:tcW w:w="6348" w:type="dxa"/>
            <w:tcBorders>
              <w:top w:val="nil"/>
              <w:left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More than 12 months</w:t>
            </w:r>
          </w:p>
        </w:tc>
        <w:tc>
          <w:tcPr>
            <w:tcW w:w="1250" w:type="dxa"/>
            <w:tcBorders>
              <w:top w:val="nil"/>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2,802,684 </w:t>
            </w:r>
          </w:p>
        </w:tc>
        <w:tc>
          <w:tcPr>
            <w:tcW w:w="239"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0" w:type="dxa"/>
            <w:tcBorders>
              <w:top w:val="nil"/>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2,787,681 </w:t>
            </w:r>
          </w:p>
        </w:tc>
      </w:tr>
      <w:tr w:rsidR="008835EB" w:rsidTr="007E3F2E">
        <w:trPr>
          <w:trHeight w:val="270"/>
        </w:trPr>
        <w:tc>
          <w:tcPr>
            <w:tcW w:w="6348" w:type="dxa"/>
            <w:tcBorders>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other payables</w:t>
            </w:r>
          </w:p>
        </w:tc>
        <w:tc>
          <w:tcPr>
            <w:tcW w:w="1250" w:type="dxa"/>
            <w:tcBorders>
              <w:left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2,810,289</w:t>
            </w:r>
          </w:p>
        </w:tc>
        <w:tc>
          <w:tcPr>
            <w:tcW w:w="239" w:type="dxa"/>
            <w:tcBorders>
              <w:left w:val="nil"/>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250" w:type="dxa"/>
            <w:tcBorders>
              <w:left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2,794,446</w:t>
            </w:r>
          </w:p>
        </w:tc>
      </w:tr>
    </w:tbl>
    <w:p w:rsidR="008835EB" w:rsidRDefault="008835EB" w:rsidP="008835EB">
      <w:pPr>
        <w:pStyle w:val="GreyShadeTableBreak"/>
        <w:rPr>
          <w:szCs w:val="18"/>
        </w:rPr>
      </w:pPr>
    </w:p>
    <w:p w:rsidR="008835EB" w:rsidRDefault="008835EB" w:rsidP="008835EB">
      <w:pPr>
        <w:pStyle w:val="GreyShadeTableBreak"/>
      </w:pPr>
      <w:r w:rsidRPr="00735F0A">
        <w:rPr>
          <w:szCs w:val="18"/>
        </w:rPr>
        <w:t>1</w:t>
      </w:r>
      <w:r>
        <w:rPr>
          <w:szCs w:val="18"/>
        </w:rPr>
        <w:t>.</w:t>
      </w:r>
      <w:r>
        <w:t xml:space="preserve"> The amount payable to </w:t>
      </w:r>
      <w:proofErr w:type="spellStart"/>
      <w:r>
        <w:t>Comcare</w:t>
      </w:r>
      <w:proofErr w:type="spellEnd"/>
      <w:r>
        <w:t xml:space="preserve"> represents amounts payable by the Commonwealth for:</w:t>
      </w:r>
    </w:p>
    <w:p w:rsidR="008835EB" w:rsidRDefault="008835EB" w:rsidP="008835EB">
      <w:pPr>
        <w:pStyle w:val="GreyShadeTableBreak"/>
        <w:numPr>
          <w:ilvl w:val="0"/>
          <w:numId w:val="10"/>
        </w:numPr>
        <w:ind w:left="284" w:hanging="284"/>
      </w:pPr>
      <w:r>
        <w:t>— workers compensation claims resulting from injuries that occurred prior to 1 July 1989, referred to as ‘pre-premium’ claims;</w:t>
      </w:r>
    </w:p>
    <w:p w:rsidR="008835EB" w:rsidRDefault="008835EB" w:rsidP="008835EB">
      <w:pPr>
        <w:pStyle w:val="GreyShadeTableBreak"/>
        <w:numPr>
          <w:ilvl w:val="0"/>
          <w:numId w:val="10"/>
        </w:numPr>
        <w:ind w:left="284" w:hanging="284"/>
      </w:pPr>
      <w:r>
        <w:t>— workers compensation claims resulting from injuries that have occurred since 1 July 1989, referred to as ‘premium’ claims; and</w:t>
      </w:r>
    </w:p>
    <w:p w:rsidR="008835EB" w:rsidRDefault="008835EB" w:rsidP="008835EB">
      <w:pPr>
        <w:pStyle w:val="GreyShadeTableBreak"/>
        <w:numPr>
          <w:ilvl w:val="0"/>
          <w:numId w:val="10"/>
        </w:numPr>
        <w:ind w:left="284" w:hanging="284"/>
      </w:pPr>
      <w:r>
        <w:t xml:space="preserve">— </w:t>
      </w:r>
      <w:proofErr w:type="gramStart"/>
      <w:r>
        <w:t>the</w:t>
      </w:r>
      <w:proofErr w:type="gramEnd"/>
      <w:r>
        <w:t xml:space="preserve"> management of asbestos related personal injury common law disease claims against the Commonwealth.</w:t>
      </w:r>
    </w:p>
    <w:p w:rsidR="008835EB" w:rsidRDefault="008835EB" w:rsidP="008835EB">
      <w:pPr>
        <w:pStyle w:val="GreyShadeTableBreak"/>
        <w:spacing w:before="240"/>
      </w:pPr>
      <w:r>
        <w:t xml:space="preserve">Full details of the amounts payable may be found in the </w:t>
      </w:r>
      <w:proofErr w:type="spellStart"/>
      <w:r>
        <w:t>Comcare</w:t>
      </w:r>
      <w:proofErr w:type="spellEnd"/>
      <w:r>
        <w:t xml:space="preserve"> annual report.</w:t>
      </w:r>
    </w:p>
    <w:p w:rsidR="008835EB" w:rsidRDefault="008835EB" w:rsidP="008835EB">
      <w:pPr>
        <w:rPr>
          <w:rFonts w:ascii="Arial" w:hAnsi="Arial" w:cs="Arial"/>
          <w:b/>
          <w:bCs/>
          <w:szCs w:val="18"/>
        </w:rPr>
      </w:pPr>
    </w:p>
    <w:p w:rsidR="008835EB" w:rsidRDefault="008835EB" w:rsidP="008835EB">
      <w:pPr>
        <w:rPr>
          <w:rFonts w:ascii="Arial" w:hAnsi="Arial" w:cs="Arial"/>
          <w:b/>
          <w:bCs/>
          <w:szCs w:val="18"/>
        </w:rPr>
        <w:sectPr w:rsidR="008835EB" w:rsidSect="00F74C23">
          <w:pgSz w:w="11906" w:h="16838"/>
          <w:pgMar w:top="1134" w:right="1134" w:bottom="1134" w:left="1134" w:header="958" w:footer="737" w:gutter="0"/>
          <w:cols w:space="720"/>
        </w:sectPr>
      </w:pPr>
    </w:p>
    <w:p w:rsidR="008835EB" w:rsidRDefault="008835EB" w:rsidP="008835EB">
      <w:pPr>
        <w:pStyle w:val="SectionHeading"/>
      </w:pPr>
      <w:bookmarkStart w:id="328" w:name="_Toc443469538"/>
      <w:bookmarkStart w:id="329" w:name="_Toc444065792"/>
      <w:bookmarkStart w:id="330" w:name="_Toc444077350"/>
      <w:bookmarkStart w:id="331" w:name="_Toc456689854"/>
      <w:r>
        <w:lastRenderedPageBreak/>
        <w:t>Funding</w:t>
      </w:r>
      <w:bookmarkEnd w:id="328"/>
      <w:bookmarkEnd w:id="329"/>
      <w:bookmarkEnd w:id="330"/>
      <w:bookmarkEnd w:id="331"/>
    </w:p>
    <w:p w:rsidR="008835EB" w:rsidRDefault="008835EB" w:rsidP="008835EB">
      <w:pPr>
        <w:spacing w:after="120"/>
      </w:pPr>
      <w:r w:rsidRPr="00185212">
        <w:t xml:space="preserve">This section identifies the </w:t>
      </w:r>
      <w:r w:rsidR="00FA455C">
        <w:t>Department of Employment</w:t>
      </w:r>
      <w:r>
        <w:t xml:space="preserve">’s </w:t>
      </w:r>
      <w:r w:rsidRPr="00185212">
        <w:t>funding structure.</w:t>
      </w:r>
    </w:p>
    <w:p w:rsidR="008835EB" w:rsidRPr="00B87FC3" w:rsidRDefault="008835EB" w:rsidP="008835EB">
      <w:pPr>
        <w:pStyle w:val="SubHeading"/>
      </w:pPr>
      <w:bookmarkStart w:id="332" w:name="_Toc456689855"/>
      <w:r w:rsidRPr="00B87FC3">
        <w:t>A</w:t>
      </w:r>
      <w:r>
        <w:t>ppropriations</w:t>
      </w:r>
      <w:bookmarkEnd w:id="332"/>
    </w:p>
    <w:p w:rsidR="008835EB" w:rsidRDefault="008835EB" w:rsidP="008835EB">
      <w:pPr>
        <w:spacing w:line="240" w:lineRule="auto"/>
      </w:pPr>
    </w:p>
    <w:tbl>
      <w:tblPr>
        <w:tblW w:w="13991" w:type="dxa"/>
        <w:tblInd w:w="80" w:type="dxa"/>
        <w:tblLayout w:type="fixed"/>
        <w:tblLook w:val="04A0" w:firstRow="1" w:lastRow="0" w:firstColumn="1" w:lastColumn="0" w:noHBand="0" w:noVBand="1"/>
      </w:tblPr>
      <w:tblGrid>
        <w:gridCol w:w="3690"/>
        <w:gridCol w:w="1652"/>
        <w:gridCol w:w="1652"/>
        <w:gridCol w:w="1338"/>
        <w:gridCol w:w="1338"/>
        <w:gridCol w:w="1338"/>
        <w:gridCol w:w="1338"/>
        <w:gridCol w:w="1645"/>
      </w:tblGrid>
      <w:tr w:rsidR="008835EB" w:rsidTr="007E3F2E">
        <w:trPr>
          <w:trHeight w:val="255"/>
        </w:trPr>
        <w:tc>
          <w:tcPr>
            <w:tcW w:w="6248" w:type="dxa"/>
            <w:gridSpan w:val="3"/>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bookmarkStart w:id="333" w:name="Note_DAPTABLE1" w:colFirst="0" w:colLast="0"/>
            <w:r>
              <w:rPr>
                <w:rFonts w:cs="Calibri"/>
                <w:b/>
                <w:bCs/>
                <w:szCs w:val="18"/>
                <w:u w:val="single"/>
              </w:rPr>
              <w:t xml:space="preserve">Note </w:t>
            </w:r>
            <w:proofErr w:type="spellStart"/>
            <w:r>
              <w:rPr>
                <w:rFonts w:cs="Calibri"/>
                <w:b/>
                <w:bCs/>
                <w:szCs w:val="18"/>
                <w:u w:val="single"/>
              </w:rPr>
              <w:t>5.1A</w:t>
            </w:r>
            <w:proofErr w:type="spellEnd"/>
            <w:r>
              <w:rPr>
                <w:rFonts w:cs="Calibri"/>
                <w:b/>
                <w:bCs/>
                <w:szCs w:val="18"/>
                <w:u w:val="single"/>
              </w:rPr>
              <w:t>: Annual Appropriations ('Recoverable GST exclusive')</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47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bookmarkEnd w:id="333"/>
      <w:tr w:rsidR="008835EB" w:rsidTr="007E3F2E">
        <w:trPr>
          <w:trHeight w:val="255"/>
        </w:trPr>
        <w:tc>
          <w:tcPr>
            <w:tcW w:w="32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47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47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19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47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3296" w:type="dxa"/>
            <w:tcBorders>
              <w:top w:val="single" w:sz="4" w:space="0" w:color="auto"/>
              <w:left w:val="single" w:sz="4" w:space="0" w:color="auto"/>
              <w:bottom w:val="nil"/>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 </w:t>
            </w:r>
          </w:p>
        </w:tc>
        <w:tc>
          <w:tcPr>
            <w:tcW w:w="6540" w:type="dxa"/>
            <w:gridSpan w:val="5"/>
            <w:tcBorders>
              <w:top w:val="single" w:sz="4" w:space="0" w:color="auto"/>
              <w:left w:val="nil"/>
              <w:bottom w:val="single" w:sz="4" w:space="0" w:color="auto"/>
              <w:right w:val="single" w:sz="4" w:space="0" w:color="000000"/>
            </w:tcBorders>
            <w:shd w:val="clear" w:color="FFFFFF" w:fill="FFFFFF"/>
            <w:vAlign w:val="bottom"/>
            <w:hideMark/>
          </w:tcPr>
          <w:p w:rsidR="008835EB" w:rsidRDefault="008835EB" w:rsidP="007E3F2E">
            <w:pPr>
              <w:jc w:val="center"/>
              <w:rPr>
                <w:rFonts w:cs="Calibri"/>
                <w:b/>
                <w:bCs/>
                <w:sz w:val="16"/>
                <w:szCs w:val="16"/>
              </w:rPr>
            </w:pPr>
            <w:r>
              <w:rPr>
                <w:rFonts w:cs="Calibri"/>
                <w:b/>
                <w:bCs/>
                <w:sz w:val="16"/>
                <w:szCs w:val="16"/>
              </w:rPr>
              <w:t>2016 Appropriations</w:t>
            </w:r>
          </w:p>
        </w:tc>
        <w:tc>
          <w:tcPr>
            <w:tcW w:w="1196" w:type="dxa"/>
            <w:vMerge w:val="restart"/>
            <w:tcBorders>
              <w:top w:val="single" w:sz="4" w:space="0" w:color="auto"/>
              <w:left w:val="single" w:sz="4" w:space="0" w:color="auto"/>
              <w:bottom w:val="nil"/>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Appropriation applied in 2016 (current and prior years)</w:t>
            </w:r>
          </w:p>
        </w:tc>
        <w:tc>
          <w:tcPr>
            <w:tcW w:w="1470" w:type="dxa"/>
            <w:tcBorders>
              <w:top w:val="single" w:sz="4" w:space="0" w:color="auto"/>
              <w:left w:val="nil"/>
              <w:bottom w:val="nil"/>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 </w:t>
            </w:r>
          </w:p>
        </w:tc>
      </w:tr>
      <w:tr w:rsidR="008835EB" w:rsidTr="007E3F2E">
        <w:trPr>
          <w:trHeight w:val="252"/>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 </w:t>
            </w:r>
          </w:p>
        </w:tc>
        <w:tc>
          <w:tcPr>
            <w:tcW w:w="2952" w:type="dxa"/>
            <w:gridSpan w:val="2"/>
            <w:tcBorders>
              <w:top w:val="single" w:sz="4" w:space="0" w:color="auto"/>
              <w:left w:val="nil"/>
              <w:bottom w:val="single" w:sz="4" w:space="0" w:color="auto"/>
              <w:right w:val="single" w:sz="4" w:space="0" w:color="000000"/>
            </w:tcBorders>
            <w:shd w:val="clear" w:color="FFFFFF" w:fill="FFFFFF"/>
            <w:vAlign w:val="bottom"/>
            <w:hideMark/>
          </w:tcPr>
          <w:p w:rsidR="008835EB" w:rsidRDefault="008835EB" w:rsidP="007E3F2E">
            <w:pPr>
              <w:jc w:val="center"/>
              <w:rPr>
                <w:rFonts w:cs="Calibri"/>
                <w:b/>
                <w:bCs/>
                <w:i/>
                <w:iCs/>
                <w:color w:val="000000"/>
                <w:sz w:val="16"/>
                <w:szCs w:val="16"/>
              </w:rPr>
            </w:pPr>
            <w:r>
              <w:rPr>
                <w:rFonts w:cs="Calibri"/>
                <w:b/>
                <w:bCs/>
                <w:i/>
                <w:iCs/>
                <w:color w:val="000000"/>
                <w:sz w:val="16"/>
                <w:szCs w:val="16"/>
              </w:rPr>
              <w:t>Appropriation Act</w:t>
            </w:r>
          </w:p>
        </w:tc>
        <w:tc>
          <w:tcPr>
            <w:tcW w:w="2392" w:type="dxa"/>
            <w:gridSpan w:val="2"/>
            <w:tcBorders>
              <w:top w:val="single" w:sz="4" w:space="0" w:color="auto"/>
              <w:left w:val="nil"/>
              <w:bottom w:val="single" w:sz="4" w:space="0" w:color="auto"/>
              <w:right w:val="single" w:sz="4" w:space="0" w:color="000000"/>
            </w:tcBorders>
            <w:shd w:val="clear" w:color="FFFFFF" w:fill="FFFFFF"/>
            <w:vAlign w:val="bottom"/>
            <w:hideMark/>
          </w:tcPr>
          <w:p w:rsidR="008835EB" w:rsidRDefault="008835EB" w:rsidP="007E3F2E">
            <w:pPr>
              <w:jc w:val="center"/>
              <w:rPr>
                <w:rFonts w:cs="Calibri"/>
                <w:b/>
                <w:bCs/>
                <w:i/>
                <w:iCs/>
                <w:color w:val="000000"/>
                <w:sz w:val="16"/>
                <w:szCs w:val="16"/>
              </w:rPr>
            </w:pPr>
            <w:proofErr w:type="spellStart"/>
            <w:r>
              <w:rPr>
                <w:rFonts w:cs="Calibri"/>
                <w:b/>
                <w:bCs/>
                <w:i/>
                <w:iCs/>
                <w:color w:val="000000"/>
                <w:sz w:val="16"/>
                <w:szCs w:val="16"/>
              </w:rPr>
              <w:t>PGPA</w:t>
            </w:r>
            <w:proofErr w:type="spellEnd"/>
            <w:r>
              <w:rPr>
                <w:rFonts w:cs="Calibri"/>
                <w:b/>
                <w:bCs/>
                <w:i/>
                <w:iCs/>
                <w:color w:val="000000"/>
                <w:sz w:val="16"/>
                <w:szCs w:val="16"/>
              </w:rPr>
              <w:t xml:space="preserve"> Act</w:t>
            </w:r>
          </w:p>
        </w:tc>
        <w:tc>
          <w:tcPr>
            <w:tcW w:w="1196" w:type="dxa"/>
            <w:vMerge w:val="restart"/>
            <w:tcBorders>
              <w:top w:val="nil"/>
              <w:left w:val="single" w:sz="4" w:space="0" w:color="auto"/>
              <w:bottom w:val="nil"/>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Total appropriation</w:t>
            </w:r>
          </w:p>
        </w:tc>
        <w:tc>
          <w:tcPr>
            <w:tcW w:w="1196" w:type="dxa"/>
            <w:vMerge/>
            <w:tcBorders>
              <w:top w:val="single" w:sz="4" w:space="0" w:color="auto"/>
              <w:left w:val="single" w:sz="4" w:space="0" w:color="auto"/>
              <w:bottom w:val="nil"/>
              <w:right w:val="single" w:sz="4" w:space="0" w:color="auto"/>
            </w:tcBorders>
            <w:vAlign w:val="center"/>
            <w:hideMark/>
          </w:tcPr>
          <w:p w:rsidR="008835EB" w:rsidRDefault="008835EB" w:rsidP="007E3F2E">
            <w:pPr>
              <w:rPr>
                <w:rFonts w:cs="Calibri"/>
                <w:b/>
                <w:bCs/>
                <w:sz w:val="16"/>
                <w:szCs w:val="16"/>
              </w:rPr>
            </w:pPr>
          </w:p>
        </w:tc>
        <w:tc>
          <w:tcPr>
            <w:tcW w:w="1470"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 </w:t>
            </w:r>
          </w:p>
        </w:tc>
      </w:tr>
      <w:tr w:rsidR="008835EB" w:rsidTr="007E3F2E">
        <w:trPr>
          <w:trHeight w:val="458"/>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 </w:t>
            </w:r>
          </w:p>
        </w:tc>
        <w:tc>
          <w:tcPr>
            <w:tcW w:w="1476" w:type="dxa"/>
            <w:tcBorders>
              <w:top w:val="nil"/>
              <w:left w:val="nil"/>
              <w:bottom w:val="nil"/>
              <w:right w:val="nil"/>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Annual Appropriation</w:t>
            </w:r>
          </w:p>
        </w:tc>
        <w:tc>
          <w:tcPr>
            <w:tcW w:w="1476" w:type="dxa"/>
            <w:tcBorders>
              <w:top w:val="nil"/>
              <w:left w:val="nil"/>
              <w:bottom w:val="nil"/>
              <w:right w:val="nil"/>
            </w:tcBorders>
            <w:shd w:val="clear" w:color="FFFFFF" w:fill="FFFFFF"/>
            <w:vAlign w:val="bottom"/>
            <w:hideMark/>
          </w:tcPr>
          <w:p w:rsidR="008835EB" w:rsidRDefault="008835EB" w:rsidP="007E3F2E">
            <w:pPr>
              <w:jc w:val="right"/>
              <w:rPr>
                <w:rFonts w:cs="Calibri"/>
                <w:b/>
                <w:bCs/>
                <w:sz w:val="16"/>
                <w:szCs w:val="16"/>
              </w:rPr>
            </w:pPr>
            <w:proofErr w:type="spellStart"/>
            <w:r>
              <w:rPr>
                <w:rFonts w:cs="Calibri"/>
                <w:b/>
                <w:bCs/>
                <w:sz w:val="16"/>
                <w:szCs w:val="16"/>
              </w:rPr>
              <w:t>AFM</w:t>
            </w:r>
            <w:proofErr w:type="spellEnd"/>
          </w:p>
        </w:tc>
        <w:tc>
          <w:tcPr>
            <w:tcW w:w="1196" w:type="dxa"/>
            <w:tcBorders>
              <w:top w:val="nil"/>
              <w:left w:val="single" w:sz="4" w:space="0" w:color="auto"/>
              <w:bottom w:val="nil"/>
              <w:right w:val="nil"/>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Section 74</w:t>
            </w:r>
          </w:p>
        </w:tc>
        <w:tc>
          <w:tcPr>
            <w:tcW w:w="1196" w:type="dxa"/>
            <w:tcBorders>
              <w:top w:val="nil"/>
              <w:left w:val="nil"/>
              <w:bottom w:val="nil"/>
              <w:right w:val="nil"/>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Section 75</w:t>
            </w:r>
          </w:p>
        </w:tc>
        <w:tc>
          <w:tcPr>
            <w:tcW w:w="1196" w:type="dxa"/>
            <w:vMerge/>
            <w:tcBorders>
              <w:top w:val="nil"/>
              <w:left w:val="single" w:sz="4" w:space="0" w:color="auto"/>
              <w:bottom w:val="nil"/>
              <w:right w:val="single" w:sz="4" w:space="0" w:color="auto"/>
            </w:tcBorders>
            <w:vAlign w:val="center"/>
            <w:hideMark/>
          </w:tcPr>
          <w:p w:rsidR="008835EB" w:rsidRDefault="008835EB" w:rsidP="007E3F2E">
            <w:pPr>
              <w:rPr>
                <w:rFonts w:cs="Calibri"/>
                <w:b/>
                <w:bCs/>
                <w:sz w:val="16"/>
                <w:szCs w:val="16"/>
              </w:rPr>
            </w:pPr>
          </w:p>
        </w:tc>
        <w:tc>
          <w:tcPr>
            <w:tcW w:w="1196" w:type="dxa"/>
            <w:vMerge/>
            <w:tcBorders>
              <w:top w:val="single" w:sz="4" w:space="0" w:color="auto"/>
              <w:left w:val="single" w:sz="4" w:space="0" w:color="auto"/>
              <w:bottom w:val="nil"/>
              <w:right w:val="single" w:sz="4" w:space="0" w:color="auto"/>
            </w:tcBorders>
            <w:vAlign w:val="center"/>
            <w:hideMark/>
          </w:tcPr>
          <w:p w:rsidR="008835EB" w:rsidRDefault="008835EB" w:rsidP="007E3F2E">
            <w:pPr>
              <w:rPr>
                <w:rFonts w:cs="Calibri"/>
                <w:b/>
                <w:bCs/>
                <w:sz w:val="16"/>
                <w:szCs w:val="16"/>
              </w:rPr>
            </w:pPr>
          </w:p>
        </w:tc>
        <w:tc>
          <w:tcPr>
            <w:tcW w:w="1470"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 w:val="16"/>
                <w:szCs w:val="16"/>
              </w:rPr>
            </w:pPr>
            <w:proofErr w:type="spellStart"/>
            <w:r>
              <w:rPr>
                <w:rFonts w:cs="Calibri"/>
                <w:b/>
                <w:bCs/>
                <w:sz w:val="16"/>
                <w:szCs w:val="16"/>
              </w:rPr>
              <w:t>Variance</w:t>
            </w:r>
            <w:r>
              <w:rPr>
                <w:rFonts w:cs="Calibri"/>
                <w:b/>
                <w:bCs/>
                <w:sz w:val="16"/>
                <w:szCs w:val="16"/>
                <w:vertAlign w:val="superscript"/>
              </w:rPr>
              <w:t>1</w:t>
            </w:r>
            <w:proofErr w:type="spellEnd"/>
          </w:p>
        </w:tc>
      </w:tr>
      <w:tr w:rsidR="008835EB" w:rsidTr="007E3F2E">
        <w:trPr>
          <w:trHeight w:val="255"/>
        </w:trPr>
        <w:tc>
          <w:tcPr>
            <w:tcW w:w="3296" w:type="dxa"/>
            <w:tcBorders>
              <w:top w:val="nil"/>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 </w:t>
            </w:r>
          </w:p>
        </w:tc>
        <w:tc>
          <w:tcPr>
            <w:tcW w:w="1476"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$'000</w:t>
            </w:r>
          </w:p>
        </w:tc>
        <w:tc>
          <w:tcPr>
            <w:tcW w:w="1476"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$'000</w:t>
            </w:r>
          </w:p>
        </w:tc>
        <w:tc>
          <w:tcPr>
            <w:tcW w:w="1196"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$'000</w:t>
            </w:r>
          </w:p>
        </w:tc>
        <w:tc>
          <w:tcPr>
            <w:tcW w:w="1196"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$'000</w:t>
            </w:r>
          </w:p>
        </w:tc>
        <w:tc>
          <w:tcPr>
            <w:tcW w:w="1196" w:type="dxa"/>
            <w:tcBorders>
              <w:top w:val="nil"/>
              <w:left w:val="single" w:sz="4" w:space="0" w:color="auto"/>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$'000</w:t>
            </w:r>
          </w:p>
        </w:tc>
        <w:tc>
          <w:tcPr>
            <w:tcW w:w="1196"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$'000</w:t>
            </w:r>
          </w:p>
        </w:tc>
        <w:tc>
          <w:tcPr>
            <w:tcW w:w="1470"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 w:val="16"/>
                <w:szCs w:val="16"/>
              </w:rPr>
            </w:pPr>
            <w:r>
              <w:rPr>
                <w:rFonts w:cs="Calibri"/>
                <w:b/>
                <w:bCs/>
                <w:sz w:val="16"/>
                <w:szCs w:val="16"/>
              </w:rPr>
              <w:t>$'000</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DEPARTMENTAL</w:t>
            </w:r>
          </w:p>
        </w:tc>
        <w:tc>
          <w:tcPr>
            <w:tcW w:w="147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476" w:type="dxa"/>
            <w:tcBorders>
              <w:top w:val="nil"/>
              <w:left w:val="nil"/>
              <w:bottom w:val="nil"/>
              <w:right w:val="single" w:sz="4" w:space="0" w:color="auto"/>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 </w:t>
            </w:r>
          </w:p>
        </w:tc>
        <w:tc>
          <w:tcPr>
            <w:tcW w:w="1470" w:type="dxa"/>
            <w:tcBorders>
              <w:top w:val="nil"/>
              <w:left w:val="nil"/>
              <w:bottom w:val="nil"/>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 </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100" w:firstLine="160"/>
              <w:rPr>
                <w:rFonts w:cs="Calibri"/>
                <w:color w:val="000000"/>
                <w:sz w:val="16"/>
                <w:szCs w:val="16"/>
              </w:rPr>
            </w:pPr>
            <w:r>
              <w:rPr>
                <w:rFonts w:cs="Calibri"/>
                <w:color w:val="000000"/>
                <w:sz w:val="16"/>
                <w:szCs w:val="16"/>
              </w:rPr>
              <w:t>Ordinary annual services</w:t>
            </w:r>
          </w:p>
        </w:tc>
        <w:tc>
          <w:tcPr>
            <w:tcW w:w="147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285,566 </w:t>
            </w:r>
          </w:p>
        </w:tc>
        <w:tc>
          <w:tcPr>
            <w:tcW w:w="147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24,286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309,852</w:t>
            </w:r>
          </w:p>
        </w:tc>
        <w:tc>
          <w:tcPr>
            <w:tcW w:w="11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303,178 </w:t>
            </w:r>
          </w:p>
        </w:tc>
        <w:tc>
          <w:tcPr>
            <w:tcW w:w="1470"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6,674</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100" w:firstLine="160"/>
              <w:rPr>
                <w:rFonts w:cs="Calibri"/>
                <w:color w:val="000000"/>
                <w:sz w:val="16"/>
                <w:szCs w:val="16"/>
              </w:rPr>
            </w:pPr>
            <w:r>
              <w:rPr>
                <w:rFonts w:cs="Calibri"/>
                <w:color w:val="000000"/>
                <w:sz w:val="16"/>
                <w:szCs w:val="16"/>
              </w:rPr>
              <w:t xml:space="preserve">Capital </w:t>
            </w:r>
            <w:proofErr w:type="spellStart"/>
            <w:r>
              <w:rPr>
                <w:rFonts w:cs="Calibri"/>
                <w:color w:val="000000"/>
                <w:sz w:val="16"/>
                <w:szCs w:val="16"/>
              </w:rPr>
              <w:t>Budget</w:t>
            </w:r>
            <w:r>
              <w:rPr>
                <w:rFonts w:cs="Calibri"/>
                <w:color w:val="000000"/>
                <w:sz w:val="16"/>
                <w:szCs w:val="16"/>
                <w:vertAlign w:val="superscript"/>
              </w:rPr>
              <w:t>2</w:t>
            </w:r>
            <w:proofErr w:type="spellEnd"/>
          </w:p>
        </w:tc>
        <w:tc>
          <w:tcPr>
            <w:tcW w:w="147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27,378 </w:t>
            </w:r>
          </w:p>
        </w:tc>
        <w:tc>
          <w:tcPr>
            <w:tcW w:w="147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27,378</w:t>
            </w:r>
          </w:p>
        </w:tc>
        <w:tc>
          <w:tcPr>
            <w:tcW w:w="11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29,231 </w:t>
            </w:r>
          </w:p>
        </w:tc>
        <w:tc>
          <w:tcPr>
            <w:tcW w:w="1470"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(1,853)</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100" w:firstLine="160"/>
              <w:rPr>
                <w:rFonts w:cs="Calibri"/>
                <w:color w:val="000000"/>
                <w:sz w:val="16"/>
                <w:szCs w:val="16"/>
              </w:rPr>
            </w:pPr>
            <w:r>
              <w:rPr>
                <w:rFonts w:cs="Calibri"/>
                <w:color w:val="000000"/>
                <w:sz w:val="16"/>
                <w:szCs w:val="16"/>
              </w:rPr>
              <w:t>Other services</w:t>
            </w:r>
          </w:p>
        </w:tc>
        <w:tc>
          <w:tcPr>
            <w:tcW w:w="1476" w:type="dxa"/>
            <w:tcBorders>
              <w:top w:val="nil"/>
              <w:left w:val="nil"/>
              <w:bottom w:val="nil"/>
              <w:right w:val="nil"/>
            </w:tcBorders>
            <w:shd w:val="clear" w:color="FFFFFF" w:fill="FFFFFF"/>
            <w:vAlign w:val="bottom"/>
            <w:hideMark/>
          </w:tcPr>
          <w:p w:rsidR="008835EB" w:rsidRDefault="008835EB" w:rsidP="007E3F2E">
            <w:pPr>
              <w:rPr>
                <w:rFonts w:cs="Calibri"/>
                <w:b/>
                <w:bCs/>
                <w:sz w:val="16"/>
                <w:szCs w:val="16"/>
              </w:rPr>
            </w:pPr>
            <w:r>
              <w:rPr>
                <w:rFonts w:cs="Calibri"/>
                <w:b/>
                <w:bCs/>
                <w:sz w:val="16"/>
                <w:szCs w:val="16"/>
              </w:rPr>
              <w:t> </w:t>
            </w:r>
          </w:p>
        </w:tc>
        <w:tc>
          <w:tcPr>
            <w:tcW w:w="1476" w:type="dxa"/>
            <w:tcBorders>
              <w:top w:val="nil"/>
              <w:left w:val="nil"/>
              <w:bottom w:val="nil"/>
              <w:right w:val="single" w:sz="4" w:space="0" w:color="auto"/>
            </w:tcBorders>
            <w:shd w:val="clear" w:color="FFFFFF" w:fill="FFFFFF"/>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w:t>
            </w:r>
          </w:p>
        </w:tc>
        <w:tc>
          <w:tcPr>
            <w:tcW w:w="1196" w:type="dxa"/>
            <w:tcBorders>
              <w:top w:val="nil"/>
              <w:left w:val="nil"/>
              <w:bottom w:val="nil"/>
              <w:right w:val="single" w:sz="4" w:space="0" w:color="auto"/>
            </w:tcBorders>
            <w:shd w:val="clear" w:color="FFFFFF" w:fill="FFFFFF"/>
            <w:vAlign w:val="bottom"/>
            <w:hideMark/>
          </w:tcPr>
          <w:p w:rsidR="008835EB" w:rsidRDefault="008835EB" w:rsidP="007E3F2E">
            <w:pPr>
              <w:rPr>
                <w:rFonts w:cs="Calibri"/>
                <w:b/>
                <w:bCs/>
                <w:sz w:val="16"/>
                <w:szCs w:val="16"/>
              </w:rPr>
            </w:pPr>
            <w:r>
              <w:rPr>
                <w:rFonts w:cs="Calibri"/>
                <w:b/>
                <w:bCs/>
                <w:sz w:val="16"/>
                <w:szCs w:val="16"/>
              </w:rPr>
              <w:t> </w:t>
            </w:r>
          </w:p>
        </w:tc>
        <w:tc>
          <w:tcPr>
            <w:tcW w:w="1470"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200" w:firstLine="320"/>
              <w:rPr>
                <w:rFonts w:cs="Calibri"/>
                <w:color w:val="000000"/>
                <w:sz w:val="16"/>
                <w:szCs w:val="16"/>
              </w:rPr>
            </w:pPr>
            <w:r>
              <w:rPr>
                <w:rFonts w:cs="Calibri"/>
                <w:color w:val="000000"/>
                <w:sz w:val="16"/>
                <w:szCs w:val="16"/>
              </w:rPr>
              <w:t>Equity</w:t>
            </w:r>
          </w:p>
        </w:tc>
        <w:tc>
          <w:tcPr>
            <w:tcW w:w="147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15,408 </w:t>
            </w:r>
          </w:p>
        </w:tc>
        <w:tc>
          <w:tcPr>
            <w:tcW w:w="147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15,408</w:t>
            </w:r>
          </w:p>
        </w:tc>
        <w:tc>
          <w:tcPr>
            <w:tcW w:w="1196"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 xml:space="preserve">12,572 </w:t>
            </w:r>
          </w:p>
        </w:tc>
        <w:tc>
          <w:tcPr>
            <w:tcW w:w="1470"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2,836</w:t>
            </w:r>
          </w:p>
        </w:tc>
      </w:tr>
      <w:tr w:rsidR="008835EB" w:rsidTr="007E3F2E">
        <w:trPr>
          <w:trHeight w:val="255"/>
        </w:trPr>
        <w:tc>
          <w:tcPr>
            <w:tcW w:w="3296"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color w:val="000000"/>
                <w:sz w:val="16"/>
                <w:szCs w:val="16"/>
              </w:rPr>
            </w:pPr>
            <w:r>
              <w:rPr>
                <w:rFonts w:cs="Calibri"/>
                <w:b/>
                <w:bCs/>
                <w:color w:val="000000"/>
                <w:sz w:val="16"/>
                <w:szCs w:val="16"/>
              </w:rPr>
              <w:t>Total departmental</w:t>
            </w:r>
          </w:p>
        </w:tc>
        <w:tc>
          <w:tcPr>
            <w:tcW w:w="147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328,352</w:t>
            </w:r>
          </w:p>
        </w:tc>
        <w:tc>
          <w:tcPr>
            <w:tcW w:w="147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w:t>
            </w:r>
          </w:p>
        </w:tc>
        <w:tc>
          <w:tcPr>
            <w:tcW w:w="119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24,286</w:t>
            </w:r>
          </w:p>
        </w:tc>
        <w:tc>
          <w:tcPr>
            <w:tcW w:w="119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w:t>
            </w:r>
          </w:p>
        </w:tc>
        <w:tc>
          <w:tcPr>
            <w:tcW w:w="119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352,638</w:t>
            </w:r>
          </w:p>
        </w:tc>
        <w:tc>
          <w:tcPr>
            <w:tcW w:w="1196"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344,981</w:t>
            </w:r>
          </w:p>
        </w:tc>
        <w:tc>
          <w:tcPr>
            <w:tcW w:w="1470"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 w:val="16"/>
                <w:szCs w:val="16"/>
              </w:rPr>
            </w:pPr>
            <w:r>
              <w:rPr>
                <w:rFonts w:cs="Calibri"/>
                <w:b/>
                <w:bCs/>
                <w:sz w:val="16"/>
                <w:szCs w:val="16"/>
              </w:rPr>
              <w:t>7,657</w:t>
            </w:r>
          </w:p>
        </w:tc>
      </w:tr>
      <w:tr w:rsidR="008835EB" w:rsidTr="007E3F2E">
        <w:trPr>
          <w:trHeight w:val="255"/>
        </w:trPr>
        <w:tc>
          <w:tcPr>
            <w:tcW w:w="3296" w:type="dxa"/>
            <w:tcBorders>
              <w:top w:val="nil"/>
              <w:left w:val="single" w:sz="4" w:space="0" w:color="auto"/>
              <w:bottom w:val="nil"/>
              <w:right w:val="single" w:sz="4" w:space="0" w:color="auto"/>
            </w:tcBorders>
            <w:shd w:val="clear" w:color="000000" w:fill="D9D9D9"/>
            <w:vAlign w:val="bottom"/>
            <w:hideMark/>
          </w:tcPr>
          <w:p w:rsidR="008835EB" w:rsidRDefault="008835EB" w:rsidP="007E3F2E">
            <w:pPr>
              <w:rPr>
                <w:rFonts w:cs="Calibri"/>
                <w:b/>
                <w:bCs/>
                <w:sz w:val="16"/>
                <w:szCs w:val="16"/>
              </w:rPr>
            </w:pPr>
            <w:r>
              <w:rPr>
                <w:rFonts w:cs="Calibri"/>
                <w:b/>
                <w:bCs/>
                <w:sz w:val="16"/>
                <w:szCs w:val="16"/>
              </w:rPr>
              <w:t>ADMINISTERED</w:t>
            </w:r>
          </w:p>
        </w:tc>
        <w:tc>
          <w:tcPr>
            <w:tcW w:w="1476" w:type="dxa"/>
            <w:tcBorders>
              <w:top w:val="nil"/>
              <w:left w:val="nil"/>
              <w:bottom w:val="nil"/>
              <w:right w:val="nil"/>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47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nil"/>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nil"/>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single" w:sz="4" w:space="0" w:color="auto"/>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470"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r>
      <w:tr w:rsidR="008835EB" w:rsidTr="007E3F2E">
        <w:trPr>
          <w:trHeight w:val="255"/>
        </w:trPr>
        <w:tc>
          <w:tcPr>
            <w:tcW w:w="3296" w:type="dxa"/>
            <w:tcBorders>
              <w:top w:val="nil"/>
              <w:left w:val="single" w:sz="4" w:space="0" w:color="auto"/>
              <w:bottom w:val="nil"/>
              <w:right w:val="single" w:sz="4" w:space="0" w:color="auto"/>
            </w:tcBorders>
            <w:shd w:val="clear" w:color="000000" w:fill="D9D9D9"/>
            <w:vAlign w:val="bottom"/>
            <w:hideMark/>
          </w:tcPr>
          <w:p w:rsidR="008835EB" w:rsidRDefault="008835EB" w:rsidP="007E3F2E">
            <w:pPr>
              <w:ind w:firstLineChars="100" w:firstLine="160"/>
              <w:rPr>
                <w:rFonts w:cs="Calibri"/>
                <w:sz w:val="16"/>
                <w:szCs w:val="16"/>
              </w:rPr>
            </w:pPr>
            <w:r>
              <w:rPr>
                <w:rFonts w:cs="Calibri"/>
                <w:sz w:val="16"/>
                <w:szCs w:val="16"/>
              </w:rPr>
              <w:t>Ordinary annual services</w:t>
            </w:r>
          </w:p>
        </w:tc>
        <w:tc>
          <w:tcPr>
            <w:tcW w:w="1476" w:type="dxa"/>
            <w:tcBorders>
              <w:top w:val="nil"/>
              <w:left w:val="nil"/>
              <w:bottom w:val="nil"/>
              <w:right w:val="nil"/>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47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nil"/>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nil"/>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single" w:sz="4" w:space="0" w:color="auto"/>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c>
          <w:tcPr>
            <w:tcW w:w="1470"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b/>
                <w:bCs/>
                <w:sz w:val="16"/>
                <w:szCs w:val="16"/>
              </w:rPr>
            </w:pPr>
            <w:r>
              <w:rPr>
                <w:rFonts w:cs="Calibri"/>
                <w:b/>
                <w:bCs/>
                <w:sz w:val="16"/>
                <w:szCs w:val="16"/>
              </w:rPr>
              <w:t> </w:t>
            </w:r>
          </w:p>
        </w:tc>
      </w:tr>
      <w:tr w:rsidR="008835EB" w:rsidTr="007E3F2E">
        <w:trPr>
          <w:trHeight w:val="255"/>
        </w:trPr>
        <w:tc>
          <w:tcPr>
            <w:tcW w:w="3296" w:type="dxa"/>
            <w:tcBorders>
              <w:top w:val="nil"/>
              <w:left w:val="single" w:sz="4" w:space="0" w:color="auto"/>
              <w:bottom w:val="nil"/>
              <w:right w:val="nil"/>
            </w:tcBorders>
            <w:shd w:val="clear" w:color="000000" w:fill="D9D9D9"/>
            <w:vAlign w:val="bottom"/>
            <w:hideMark/>
          </w:tcPr>
          <w:p w:rsidR="008835EB" w:rsidRDefault="008835EB" w:rsidP="007E3F2E">
            <w:pPr>
              <w:ind w:firstLineChars="200" w:firstLine="320"/>
              <w:rPr>
                <w:rFonts w:cs="Calibri"/>
                <w:color w:val="000000"/>
                <w:sz w:val="16"/>
                <w:szCs w:val="16"/>
              </w:rPr>
            </w:pPr>
            <w:r>
              <w:rPr>
                <w:rFonts w:cs="Calibri"/>
                <w:color w:val="000000"/>
                <w:sz w:val="16"/>
                <w:szCs w:val="16"/>
              </w:rPr>
              <w:t>Administered items</w:t>
            </w:r>
          </w:p>
        </w:tc>
        <w:tc>
          <w:tcPr>
            <w:tcW w:w="147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1,544,684 </w:t>
            </w:r>
          </w:p>
        </w:tc>
        <w:tc>
          <w:tcPr>
            <w:tcW w:w="147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1,544,684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1,127,770 </w:t>
            </w:r>
          </w:p>
        </w:tc>
        <w:tc>
          <w:tcPr>
            <w:tcW w:w="1470"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416,914 </w:t>
            </w:r>
          </w:p>
        </w:tc>
      </w:tr>
      <w:tr w:rsidR="008835EB" w:rsidTr="007E3F2E">
        <w:trPr>
          <w:trHeight w:val="196"/>
        </w:trPr>
        <w:tc>
          <w:tcPr>
            <w:tcW w:w="3296" w:type="dxa"/>
            <w:tcBorders>
              <w:top w:val="nil"/>
              <w:left w:val="single" w:sz="4" w:space="0" w:color="auto"/>
              <w:bottom w:val="nil"/>
              <w:right w:val="nil"/>
            </w:tcBorders>
            <w:shd w:val="clear" w:color="000000" w:fill="D9D9D9"/>
            <w:vAlign w:val="bottom"/>
            <w:hideMark/>
          </w:tcPr>
          <w:p w:rsidR="008835EB" w:rsidRDefault="008835EB" w:rsidP="007E3F2E">
            <w:pPr>
              <w:ind w:firstLineChars="200" w:firstLine="320"/>
              <w:rPr>
                <w:rFonts w:cs="Calibri"/>
                <w:color w:val="000000"/>
                <w:sz w:val="16"/>
                <w:szCs w:val="16"/>
              </w:rPr>
            </w:pPr>
            <w:r>
              <w:rPr>
                <w:rFonts w:cs="Calibri"/>
                <w:color w:val="000000"/>
                <w:sz w:val="16"/>
                <w:szCs w:val="16"/>
              </w:rPr>
              <w:t>Payments to corporate Commonwealth entities</w:t>
            </w:r>
          </w:p>
        </w:tc>
        <w:tc>
          <w:tcPr>
            <w:tcW w:w="1476" w:type="dxa"/>
            <w:tcBorders>
              <w:top w:val="nil"/>
              <w:left w:val="single" w:sz="4" w:space="0" w:color="auto"/>
              <w:bottom w:val="single" w:sz="4" w:space="0" w:color="auto"/>
              <w:right w:val="nil"/>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7,727 </w:t>
            </w:r>
          </w:p>
        </w:tc>
        <w:tc>
          <w:tcPr>
            <w:tcW w:w="1476" w:type="dxa"/>
            <w:tcBorders>
              <w:top w:val="nil"/>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7,727 </w:t>
            </w:r>
          </w:p>
        </w:tc>
        <w:tc>
          <w:tcPr>
            <w:tcW w:w="1196" w:type="dxa"/>
            <w:tcBorders>
              <w:top w:val="nil"/>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7,727 </w:t>
            </w:r>
          </w:p>
        </w:tc>
        <w:tc>
          <w:tcPr>
            <w:tcW w:w="1470"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 xml:space="preserve"> -   </w:t>
            </w:r>
          </w:p>
        </w:tc>
      </w:tr>
      <w:tr w:rsidR="008835EB" w:rsidTr="007E3F2E">
        <w:trPr>
          <w:trHeight w:val="255"/>
        </w:trPr>
        <w:tc>
          <w:tcPr>
            <w:tcW w:w="3296"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8835EB" w:rsidRDefault="008835EB" w:rsidP="007E3F2E">
            <w:pPr>
              <w:rPr>
                <w:rFonts w:cs="Calibri"/>
                <w:b/>
                <w:bCs/>
                <w:sz w:val="16"/>
                <w:szCs w:val="16"/>
              </w:rPr>
            </w:pPr>
            <w:r>
              <w:rPr>
                <w:rFonts w:cs="Calibri"/>
                <w:b/>
                <w:bCs/>
                <w:sz w:val="16"/>
                <w:szCs w:val="16"/>
              </w:rPr>
              <w:t>Total administered</w:t>
            </w:r>
          </w:p>
        </w:tc>
        <w:tc>
          <w:tcPr>
            <w:tcW w:w="1476"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1,552,411</w:t>
            </w:r>
          </w:p>
        </w:tc>
        <w:tc>
          <w:tcPr>
            <w:tcW w:w="1476" w:type="dxa"/>
            <w:tcBorders>
              <w:top w:val="nil"/>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w:t>
            </w:r>
          </w:p>
        </w:tc>
        <w:tc>
          <w:tcPr>
            <w:tcW w:w="1196"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w:t>
            </w:r>
          </w:p>
        </w:tc>
        <w:tc>
          <w:tcPr>
            <w:tcW w:w="1196" w:type="dxa"/>
            <w:tcBorders>
              <w:top w:val="nil"/>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w:t>
            </w:r>
          </w:p>
        </w:tc>
        <w:tc>
          <w:tcPr>
            <w:tcW w:w="1196" w:type="dxa"/>
            <w:tcBorders>
              <w:top w:val="single" w:sz="4" w:space="0" w:color="auto"/>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1,552,411</w:t>
            </w:r>
          </w:p>
        </w:tc>
        <w:tc>
          <w:tcPr>
            <w:tcW w:w="1196" w:type="dxa"/>
            <w:tcBorders>
              <w:top w:val="nil"/>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1,135,497</w:t>
            </w:r>
          </w:p>
        </w:tc>
        <w:tc>
          <w:tcPr>
            <w:tcW w:w="1470" w:type="dxa"/>
            <w:tcBorders>
              <w:top w:val="single" w:sz="4" w:space="0" w:color="auto"/>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b/>
                <w:bCs/>
                <w:sz w:val="16"/>
                <w:szCs w:val="16"/>
              </w:rPr>
            </w:pPr>
            <w:r>
              <w:rPr>
                <w:rFonts w:cs="Calibri"/>
                <w:b/>
                <w:bCs/>
                <w:sz w:val="16"/>
                <w:szCs w:val="16"/>
              </w:rPr>
              <w:t>416,914</w:t>
            </w:r>
          </w:p>
        </w:tc>
      </w:tr>
    </w:tbl>
    <w:p w:rsidR="008835EB" w:rsidRDefault="008835EB" w:rsidP="008835EB">
      <w:pPr>
        <w:pStyle w:val="ReportText"/>
      </w:pPr>
      <w:bookmarkStart w:id="334" w:name="RANGE!D7:L24"/>
      <w:bookmarkStart w:id="335" w:name="RANGE!D7:L27"/>
      <w:bookmarkStart w:id="336" w:name="RANGE!D35:M54"/>
      <w:bookmarkEnd w:id="334"/>
      <w:bookmarkEnd w:id="335"/>
      <w:bookmarkEnd w:id="336"/>
      <w:r>
        <w:t>1. The departmental ordinary annual services variance is due to closing liabilities not yet paid and an operating surplus. The administered items variance relates to lower than planned administered expenditure. The Capital variances are due to timing differences between financial years.</w:t>
      </w:r>
    </w:p>
    <w:p w:rsidR="008835EB" w:rsidRDefault="008835EB" w:rsidP="008835EB">
      <w:pPr>
        <w:pStyle w:val="ReportText"/>
      </w:pPr>
      <w:r>
        <w:t>2. Departmental and Administered Capital Budgets are appropriated through Appropriation Acts (</w:t>
      </w:r>
      <w:proofErr w:type="spellStart"/>
      <w:r>
        <w:t>No.1</w:t>
      </w:r>
      <w:proofErr w:type="spellEnd"/>
      <w:r>
        <w:t>, 3 &amp; 5). They form part of ordinary annual services and are not separately identified in the Appropriation Acts.</w:t>
      </w:r>
    </w:p>
    <w:p w:rsidR="008835EB" w:rsidRDefault="008835EB" w:rsidP="008835EB">
      <w:pPr>
        <w:pStyle w:val="ReportText"/>
      </w:pPr>
      <w:r w:rsidRPr="00406C2B">
        <w:t>3. A section 51</w:t>
      </w:r>
      <w:r>
        <w:t xml:space="preserve"> determination reducing departmental o</w:t>
      </w:r>
      <w:r w:rsidRPr="00406C2B">
        <w:t>rdinary annual services</w:t>
      </w:r>
      <w:r>
        <w:t xml:space="preserve"> by $</w:t>
      </w:r>
      <w:proofErr w:type="spellStart"/>
      <w:r>
        <w:t>5.3m</w:t>
      </w:r>
      <w:proofErr w:type="spellEnd"/>
      <w:r>
        <w:t xml:space="preserve"> was processed in 2015–16.</w:t>
      </w:r>
    </w:p>
    <w:p w:rsidR="008835EB" w:rsidRDefault="008835EB" w:rsidP="008835EB">
      <w:pPr>
        <w:pStyle w:val="Policytextadminbold"/>
      </w:pPr>
      <w:r>
        <w:t>Accounting Policy</w:t>
      </w:r>
    </w:p>
    <w:p w:rsidR="008835EB" w:rsidRPr="008B022A" w:rsidRDefault="008835EB" w:rsidP="008835EB">
      <w:pPr>
        <w:pStyle w:val="Policytextadminunderline"/>
      </w:pPr>
      <w:r w:rsidRPr="008B022A">
        <w:t>Payments to Corporate Commonwealth Entities</w:t>
      </w:r>
    </w:p>
    <w:p w:rsidR="008835EB" w:rsidRDefault="008835EB" w:rsidP="008835EB">
      <w:pPr>
        <w:pStyle w:val="PolicyTextAdmin"/>
      </w:pPr>
      <w:r w:rsidRPr="008B022A">
        <w:t xml:space="preserve">Payments to </w:t>
      </w:r>
      <w:proofErr w:type="spellStart"/>
      <w:r w:rsidRPr="008B022A">
        <w:t>Comcare</w:t>
      </w:r>
      <w:proofErr w:type="spellEnd"/>
      <w:r w:rsidRPr="008B022A">
        <w:t xml:space="preserve"> from amounts appropriated for that purpose are classified as administer</w:t>
      </w:r>
      <w:r>
        <w:t xml:space="preserve">ed expenses of the Department. </w:t>
      </w:r>
      <w:r>
        <w:br w:type="page"/>
      </w:r>
    </w:p>
    <w:p w:rsidR="008835EB" w:rsidRDefault="008835EB" w:rsidP="008835EB">
      <w:pPr>
        <w:pStyle w:val="NotesText0"/>
      </w:pPr>
    </w:p>
    <w:tbl>
      <w:tblPr>
        <w:tblW w:w="13991" w:type="dxa"/>
        <w:tblInd w:w="80" w:type="dxa"/>
        <w:tblLayout w:type="fixed"/>
        <w:tblLook w:val="04A0" w:firstRow="1" w:lastRow="0" w:firstColumn="1" w:lastColumn="0" w:noHBand="0" w:noVBand="1"/>
      </w:tblPr>
      <w:tblGrid>
        <w:gridCol w:w="3711"/>
        <w:gridCol w:w="1662"/>
        <w:gridCol w:w="1662"/>
        <w:gridCol w:w="1346"/>
        <w:gridCol w:w="1346"/>
        <w:gridCol w:w="1346"/>
        <w:gridCol w:w="1346"/>
        <w:gridCol w:w="1572"/>
      </w:tblGrid>
      <w:tr w:rsidR="008835EB" w:rsidTr="007E3F2E">
        <w:trPr>
          <w:trHeight w:val="255"/>
        </w:trPr>
        <w:tc>
          <w:tcPr>
            <w:tcW w:w="3296" w:type="dxa"/>
            <w:tcBorders>
              <w:top w:val="single" w:sz="4" w:space="0" w:color="auto"/>
              <w:left w:val="single" w:sz="4" w:space="0" w:color="auto"/>
              <w:bottom w:val="nil"/>
              <w:right w:val="single" w:sz="4" w:space="0" w:color="auto"/>
            </w:tcBorders>
            <w:shd w:val="clear" w:color="FFFFFF" w:fill="FFFFFF"/>
            <w:vAlign w:val="bottom"/>
            <w:hideMark/>
          </w:tcPr>
          <w:p w:rsidR="008835EB" w:rsidRDefault="008835EB" w:rsidP="007E3F2E">
            <w:pPr>
              <w:rPr>
                <w:rFonts w:cs="Calibri"/>
                <w:color w:val="000000"/>
                <w:sz w:val="16"/>
                <w:szCs w:val="16"/>
              </w:rPr>
            </w:pPr>
            <w:bookmarkStart w:id="337" w:name="RANGE!D31:D46"/>
            <w:bookmarkStart w:id="338" w:name="Note_DAPTABLE2" w:colFirst="0" w:colLast="0"/>
            <w:r>
              <w:rPr>
                <w:rFonts w:cs="Calibri"/>
                <w:color w:val="000000"/>
                <w:sz w:val="16"/>
                <w:szCs w:val="16"/>
              </w:rPr>
              <w:t> </w:t>
            </w:r>
            <w:bookmarkEnd w:id="337"/>
          </w:p>
        </w:tc>
        <w:tc>
          <w:tcPr>
            <w:tcW w:w="9132" w:type="dxa"/>
            <w:gridSpan w:val="7"/>
            <w:tcBorders>
              <w:top w:val="single" w:sz="4" w:space="0" w:color="auto"/>
              <w:left w:val="nil"/>
              <w:bottom w:val="single" w:sz="4" w:space="0" w:color="auto"/>
              <w:right w:val="single" w:sz="4" w:space="0" w:color="000000"/>
            </w:tcBorders>
            <w:shd w:val="clear" w:color="FFFFFF" w:fill="FFFFFF"/>
            <w:vAlign w:val="bottom"/>
            <w:hideMark/>
          </w:tcPr>
          <w:p w:rsidR="008835EB" w:rsidRDefault="008835EB" w:rsidP="007E3F2E">
            <w:pPr>
              <w:jc w:val="center"/>
              <w:rPr>
                <w:rFonts w:cs="Calibri"/>
                <w:sz w:val="16"/>
                <w:szCs w:val="16"/>
              </w:rPr>
            </w:pPr>
            <w:r>
              <w:rPr>
                <w:rFonts w:cs="Calibri"/>
                <w:sz w:val="16"/>
                <w:szCs w:val="16"/>
              </w:rPr>
              <w:t>2015 Appropriations</w:t>
            </w:r>
          </w:p>
        </w:tc>
      </w:tr>
      <w:bookmarkEnd w:id="338"/>
      <w:tr w:rsidR="008835EB" w:rsidTr="007E3F2E">
        <w:trPr>
          <w:trHeight w:val="443"/>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color w:val="000000"/>
                <w:sz w:val="16"/>
                <w:szCs w:val="16"/>
              </w:rPr>
            </w:pPr>
            <w:r>
              <w:rPr>
                <w:rFonts w:cs="Calibri"/>
                <w:color w:val="000000"/>
                <w:sz w:val="16"/>
                <w:szCs w:val="16"/>
              </w:rPr>
              <w:t> </w:t>
            </w:r>
          </w:p>
        </w:tc>
        <w:tc>
          <w:tcPr>
            <w:tcW w:w="2952" w:type="dxa"/>
            <w:gridSpan w:val="2"/>
            <w:tcBorders>
              <w:top w:val="single" w:sz="4" w:space="0" w:color="auto"/>
              <w:left w:val="nil"/>
              <w:bottom w:val="single" w:sz="4" w:space="0" w:color="auto"/>
              <w:right w:val="nil"/>
            </w:tcBorders>
            <w:shd w:val="clear" w:color="FFFFFF" w:fill="FFFFFF"/>
            <w:vAlign w:val="bottom"/>
            <w:hideMark/>
          </w:tcPr>
          <w:p w:rsidR="008835EB" w:rsidRDefault="008835EB" w:rsidP="007E3F2E">
            <w:pPr>
              <w:jc w:val="center"/>
              <w:rPr>
                <w:rFonts w:cs="Calibri"/>
                <w:i/>
                <w:iCs/>
                <w:color w:val="000000"/>
                <w:sz w:val="16"/>
                <w:szCs w:val="16"/>
              </w:rPr>
            </w:pPr>
            <w:r>
              <w:rPr>
                <w:rFonts w:cs="Calibri"/>
                <w:i/>
                <w:iCs/>
                <w:color w:val="000000"/>
                <w:sz w:val="16"/>
                <w:szCs w:val="16"/>
              </w:rPr>
              <w:t>Appropriation Act</w:t>
            </w:r>
          </w:p>
        </w:tc>
        <w:tc>
          <w:tcPr>
            <w:tcW w:w="2392" w:type="dxa"/>
            <w:gridSpan w:val="2"/>
            <w:tcBorders>
              <w:top w:val="single" w:sz="4" w:space="0" w:color="auto"/>
              <w:left w:val="single" w:sz="4" w:space="0" w:color="auto"/>
              <w:bottom w:val="single" w:sz="4" w:space="0" w:color="auto"/>
              <w:right w:val="nil"/>
            </w:tcBorders>
            <w:shd w:val="clear" w:color="FFFFFF" w:fill="FFFFFF"/>
            <w:vAlign w:val="bottom"/>
            <w:hideMark/>
          </w:tcPr>
          <w:p w:rsidR="008835EB" w:rsidRDefault="008835EB" w:rsidP="007E3F2E">
            <w:pPr>
              <w:jc w:val="center"/>
              <w:rPr>
                <w:rFonts w:cs="Calibri"/>
                <w:i/>
                <w:iCs/>
                <w:color w:val="000000"/>
                <w:sz w:val="16"/>
                <w:szCs w:val="16"/>
              </w:rPr>
            </w:pPr>
            <w:proofErr w:type="spellStart"/>
            <w:r>
              <w:rPr>
                <w:rFonts w:cs="Calibri"/>
                <w:i/>
                <w:iCs/>
                <w:color w:val="000000"/>
                <w:sz w:val="16"/>
                <w:szCs w:val="16"/>
              </w:rPr>
              <w:t>PGPA</w:t>
            </w:r>
            <w:proofErr w:type="spellEnd"/>
            <w:r>
              <w:rPr>
                <w:rFonts w:cs="Calibri"/>
                <w:i/>
                <w:iCs/>
                <w:color w:val="000000"/>
                <w:sz w:val="16"/>
                <w:szCs w:val="16"/>
              </w:rPr>
              <w:t xml:space="preserve"> Act</w:t>
            </w:r>
          </w:p>
        </w:tc>
        <w:tc>
          <w:tcPr>
            <w:tcW w:w="1196" w:type="dxa"/>
            <w:vMerge w:val="restart"/>
            <w:tcBorders>
              <w:top w:val="nil"/>
              <w:left w:val="single" w:sz="4" w:space="0" w:color="auto"/>
              <w:bottom w:val="nil"/>
              <w:right w:val="single" w:sz="4" w:space="0" w:color="auto"/>
            </w:tcBorders>
            <w:shd w:val="clear" w:color="FFFFFF" w:fill="FFFFFF"/>
            <w:vAlign w:val="bottom"/>
            <w:hideMark/>
          </w:tcPr>
          <w:p w:rsidR="008835EB" w:rsidRDefault="008835EB" w:rsidP="007E3F2E">
            <w:pPr>
              <w:jc w:val="right"/>
              <w:rPr>
                <w:rFonts w:cs="Calibri"/>
                <w:sz w:val="16"/>
                <w:szCs w:val="16"/>
              </w:rPr>
            </w:pPr>
            <w:r>
              <w:rPr>
                <w:rFonts w:cs="Calibri"/>
                <w:sz w:val="16"/>
                <w:szCs w:val="16"/>
              </w:rPr>
              <w:t>Total appropriation</w:t>
            </w:r>
          </w:p>
        </w:tc>
        <w:tc>
          <w:tcPr>
            <w:tcW w:w="1196" w:type="dxa"/>
            <w:vMerge w:val="restart"/>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 w:val="16"/>
                <w:szCs w:val="16"/>
              </w:rPr>
            </w:pPr>
            <w:r>
              <w:rPr>
                <w:rFonts w:cs="Calibri"/>
                <w:sz w:val="16"/>
                <w:szCs w:val="16"/>
              </w:rPr>
              <w:t>Appropriation applied in 2015 (current and prior years)</w:t>
            </w:r>
          </w:p>
        </w:tc>
        <w:tc>
          <w:tcPr>
            <w:tcW w:w="1396"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 w:val="16"/>
                <w:szCs w:val="16"/>
              </w:rPr>
            </w:pPr>
            <w:r>
              <w:rPr>
                <w:rFonts w:cs="Calibri"/>
                <w:sz w:val="16"/>
                <w:szCs w:val="16"/>
              </w:rPr>
              <w:t> </w:t>
            </w:r>
          </w:p>
        </w:tc>
      </w:tr>
      <w:tr w:rsidR="008835EB" w:rsidTr="007E3F2E">
        <w:trPr>
          <w:trHeight w:val="503"/>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color w:val="000000"/>
                <w:sz w:val="16"/>
                <w:szCs w:val="16"/>
              </w:rPr>
            </w:pPr>
            <w:r>
              <w:rPr>
                <w:rFonts w:cs="Calibri"/>
                <w:color w:val="000000"/>
                <w:sz w:val="16"/>
                <w:szCs w:val="16"/>
              </w:rPr>
              <w:t> </w:t>
            </w:r>
          </w:p>
        </w:tc>
        <w:tc>
          <w:tcPr>
            <w:tcW w:w="1476" w:type="dxa"/>
            <w:tcBorders>
              <w:top w:val="nil"/>
              <w:left w:val="nil"/>
              <w:bottom w:val="nil"/>
              <w:right w:val="nil"/>
            </w:tcBorders>
            <w:shd w:val="clear" w:color="FFFFFF" w:fill="FFFFFF"/>
            <w:vAlign w:val="bottom"/>
            <w:hideMark/>
          </w:tcPr>
          <w:p w:rsidR="008835EB" w:rsidRDefault="008835EB" w:rsidP="007E3F2E">
            <w:pPr>
              <w:jc w:val="right"/>
              <w:rPr>
                <w:rFonts w:cs="Calibri"/>
                <w:sz w:val="16"/>
                <w:szCs w:val="16"/>
              </w:rPr>
            </w:pPr>
            <w:r>
              <w:rPr>
                <w:rFonts w:cs="Calibri"/>
                <w:sz w:val="16"/>
                <w:szCs w:val="16"/>
              </w:rPr>
              <w:t>Annual Appropriation</w:t>
            </w:r>
          </w:p>
        </w:tc>
        <w:tc>
          <w:tcPr>
            <w:tcW w:w="1476" w:type="dxa"/>
            <w:tcBorders>
              <w:top w:val="nil"/>
              <w:left w:val="nil"/>
              <w:bottom w:val="nil"/>
              <w:right w:val="nil"/>
            </w:tcBorders>
            <w:shd w:val="clear" w:color="FFFFFF" w:fill="FFFFFF"/>
            <w:vAlign w:val="bottom"/>
            <w:hideMark/>
          </w:tcPr>
          <w:p w:rsidR="008835EB" w:rsidRDefault="008835EB" w:rsidP="007E3F2E">
            <w:pPr>
              <w:jc w:val="right"/>
              <w:rPr>
                <w:rFonts w:cs="Calibri"/>
                <w:sz w:val="16"/>
                <w:szCs w:val="16"/>
              </w:rPr>
            </w:pPr>
            <w:proofErr w:type="spellStart"/>
            <w:r>
              <w:rPr>
                <w:rFonts w:cs="Calibri"/>
                <w:sz w:val="16"/>
                <w:szCs w:val="16"/>
              </w:rPr>
              <w:t>AFM</w:t>
            </w:r>
            <w:proofErr w:type="spellEnd"/>
          </w:p>
        </w:tc>
        <w:tc>
          <w:tcPr>
            <w:tcW w:w="1196" w:type="dxa"/>
            <w:tcBorders>
              <w:top w:val="nil"/>
              <w:left w:val="single" w:sz="4" w:space="0" w:color="auto"/>
              <w:bottom w:val="nil"/>
              <w:right w:val="nil"/>
            </w:tcBorders>
            <w:shd w:val="clear" w:color="FFFFFF" w:fill="FFFFFF"/>
            <w:vAlign w:val="bottom"/>
            <w:hideMark/>
          </w:tcPr>
          <w:p w:rsidR="008835EB" w:rsidRDefault="008835EB" w:rsidP="007E3F2E">
            <w:pPr>
              <w:jc w:val="right"/>
              <w:rPr>
                <w:rFonts w:cs="Calibri"/>
                <w:sz w:val="16"/>
                <w:szCs w:val="16"/>
              </w:rPr>
            </w:pPr>
            <w:r>
              <w:rPr>
                <w:rFonts w:cs="Calibri"/>
                <w:sz w:val="16"/>
                <w:szCs w:val="16"/>
              </w:rPr>
              <w:t>Section 74</w:t>
            </w:r>
          </w:p>
        </w:tc>
        <w:tc>
          <w:tcPr>
            <w:tcW w:w="1196" w:type="dxa"/>
            <w:tcBorders>
              <w:top w:val="nil"/>
              <w:left w:val="nil"/>
              <w:bottom w:val="nil"/>
              <w:right w:val="nil"/>
            </w:tcBorders>
            <w:shd w:val="clear" w:color="FFFFFF" w:fill="FFFFFF"/>
            <w:vAlign w:val="bottom"/>
            <w:hideMark/>
          </w:tcPr>
          <w:p w:rsidR="008835EB" w:rsidRDefault="008835EB" w:rsidP="007E3F2E">
            <w:pPr>
              <w:jc w:val="right"/>
              <w:rPr>
                <w:rFonts w:cs="Calibri"/>
                <w:sz w:val="16"/>
                <w:szCs w:val="16"/>
              </w:rPr>
            </w:pPr>
            <w:r>
              <w:rPr>
                <w:rFonts w:cs="Calibri"/>
                <w:sz w:val="16"/>
                <w:szCs w:val="16"/>
              </w:rPr>
              <w:t>Section 75</w:t>
            </w:r>
          </w:p>
        </w:tc>
        <w:tc>
          <w:tcPr>
            <w:tcW w:w="1196" w:type="dxa"/>
            <w:vMerge/>
            <w:tcBorders>
              <w:top w:val="nil"/>
              <w:left w:val="single" w:sz="4" w:space="0" w:color="auto"/>
              <w:bottom w:val="nil"/>
              <w:right w:val="single" w:sz="4" w:space="0" w:color="auto"/>
            </w:tcBorders>
            <w:vAlign w:val="center"/>
            <w:hideMark/>
          </w:tcPr>
          <w:p w:rsidR="008835EB" w:rsidRDefault="008835EB" w:rsidP="007E3F2E">
            <w:pPr>
              <w:rPr>
                <w:rFonts w:cs="Calibri"/>
                <w:sz w:val="16"/>
                <w:szCs w:val="16"/>
              </w:rPr>
            </w:pPr>
          </w:p>
        </w:tc>
        <w:tc>
          <w:tcPr>
            <w:tcW w:w="1196" w:type="dxa"/>
            <w:vMerge/>
            <w:tcBorders>
              <w:top w:val="nil"/>
              <w:left w:val="nil"/>
              <w:bottom w:val="nil"/>
              <w:right w:val="single" w:sz="4" w:space="0" w:color="auto"/>
            </w:tcBorders>
            <w:vAlign w:val="center"/>
            <w:hideMark/>
          </w:tcPr>
          <w:p w:rsidR="008835EB" w:rsidRDefault="008835EB" w:rsidP="007E3F2E">
            <w:pPr>
              <w:rPr>
                <w:rFonts w:cs="Calibri"/>
                <w:sz w:val="16"/>
                <w:szCs w:val="16"/>
              </w:rPr>
            </w:pPr>
          </w:p>
        </w:tc>
        <w:tc>
          <w:tcPr>
            <w:tcW w:w="1396"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 w:val="16"/>
                <w:szCs w:val="16"/>
              </w:rPr>
            </w:pPr>
            <w:proofErr w:type="spellStart"/>
            <w:r>
              <w:rPr>
                <w:rFonts w:cs="Calibri"/>
                <w:sz w:val="16"/>
                <w:szCs w:val="16"/>
              </w:rPr>
              <w:t>Variance</w:t>
            </w:r>
            <w:r>
              <w:rPr>
                <w:rFonts w:cs="Calibri"/>
                <w:sz w:val="16"/>
                <w:szCs w:val="16"/>
                <w:vertAlign w:val="superscript"/>
              </w:rPr>
              <w:t>1</w:t>
            </w:r>
            <w:proofErr w:type="spellEnd"/>
          </w:p>
        </w:tc>
      </w:tr>
      <w:tr w:rsidR="008835EB" w:rsidTr="007E3F2E">
        <w:trPr>
          <w:trHeight w:val="255"/>
        </w:trPr>
        <w:tc>
          <w:tcPr>
            <w:tcW w:w="3296" w:type="dxa"/>
            <w:tcBorders>
              <w:top w:val="nil"/>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color w:val="000000"/>
                <w:sz w:val="16"/>
                <w:szCs w:val="16"/>
              </w:rPr>
            </w:pPr>
            <w:r>
              <w:rPr>
                <w:rFonts w:cs="Calibri"/>
                <w:color w:val="000000"/>
                <w:sz w:val="16"/>
                <w:szCs w:val="16"/>
              </w:rPr>
              <w:t> </w:t>
            </w:r>
          </w:p>
        </w:tc>
        <w:tc>
          <w:tcPr>
            <w:tcW w:w="1476"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 w:val="16"/>
                <w:szCs w:val="16"/>
              </w:rPr>
            </w:pPr>
            <w:r>
              <w:rPr>
                <w:rFonts w:cs="Calibri"/>
                <w:sz w:val="16"/>
                <w:szCs w:val="16"/>
              </w:rPr>
              <w:t>$'000</w:t>
            </w:r>
          </w:p>
        </w:tc>
        <w:tc>
          <w:tcPr>
            <w:tcW w:w="1476"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 w:val="16"/>
                <w:szCs w:val="16"/>
              </w:rPr>
            </w:pPr>
            <w:r>
              <w:rPr>
                <w:rFonts w:cs="Calibri"/>
                <w:sz w:val="16"/>
                <w:szCs w:val="16"/>
              </w:rPr>
              <w:t>$'000</w:t>
            </w:r>
          </w:p>
        </w:tc>
        <w:tc>
          <w:tcPr>
            <w:tcW w:w="1196"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 w:val="16"/>
                <w:szCs w:val="16"/>
              </w:rPr>
            </w:pPr>
            <w:r>
              <w:rPr>
                <w:rFonts w:cs="Calibri"/>
                <w:sz w:val="16"/>
                <w:szCs w:val="16"/>
              </w:rPr>
              <w:t>$'000</w:t>
            </w:r>
          </w:p>
        </w:tc>
        <w:tc>
          <w:tcPr>
            <w:tcW w:w="1196"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 w:val="16"/>
                <w:szCs w:val="16"/>
              </w:rPr>
            </w:pPr>
            <w:r>
              <w:rPr>
                <w:rFonts w:cs="Calibri"/>
                <w:sz w:val="16"/>
                <w:szCs w:val="16"/>
              </w:rPr>
              <w:t>$'000</w:t>
            </w:r>
          </w:p>
        </w:tc>
        <w:tc>
          <w:tcPr>
            <w:tcW w:w="1196" w:type="dxa"/>
            <w:tcBorders>
              <w:top w:val="nil"/>
              <w:left w:val="single" w:sz="4" w:space="0" w:color="auto"/>
              <w:bottom w:val="single" w:sz="4" w:space="0" w:color="auto"/>
              <w:right w:val="single" w:sz="4" w:space="0" w:color="auto"/>
            </w:tcBorders>
            <w:shd w:val="clear" w:color="FFFFFF" w:fill="FFFFFF"/>
            <w:vAlign w:val="bottom"/>
            <w:hideMark/>
          </w:tcPr>
          <w:p w:rsidR="008835EB" w:rsidRDefault="008835EB" w:rsidP="007E3F2E">
            <w:pPr>
              <w:jc w:val="right"/>
              <w:rPr>
                <w:rFonts w:cs="Calibri"/>
                <w:sz w:val="16"/>
                <w:szCs w:val="16"/>
              </w:rPr>
            </w:pPr>
            <w:r>
              <w:rPr>
                <w:rFonts w:cs="Calibri"/>
                <w:sz w:val="16"/>
                <w:szCs w:val="16"/>
              </w:rPr>
              <w:t>$'000</w:t>
            </w:r>
          </w:p>
        </w:tc>
        <w:tc>
          <w:tcPr>
            <w:tcW w:w="1196"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 w:val="16"/>
                <w:szCs w:val="16"/>
              </w:rPr>
            </w:pPr>
            <w:r>
              <w:rPr>
                <w:rFonts w:cs="Calibri"/>
                <w:sz w:val="16"/>
                <w:szCs w:val="16"/>
              </w:rPr>
              <w:t>$'000</w:t>
            </w:r>
          </w:p>
        </w:tc>
        <w:tc>
          <w:tcPr>
            <w:tcW w:w="1396"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 w:val="16"/>
                <w:szCs w:val="16"/>
              </w:rPr>
            </w:pPr>
            <w:r>
              <w:rPr>
                <w:rFonts w:cs="Calibri"/>
                <w:sz w:val="16"/>
                <w:szCs w:val="16"/>
              </w:rPr>
              <w:t>$'000</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color w:val="000000"/>
                <w:sz w:val="16"/>
                <w:szCs w:val="16"/>
              </w:rPr>
            </w:pPr>
            <w:r>
              <w:rPr>
                <w:rFonts w:cs="Calibri"/>
                <w:color w:val="000000"/>
                <w:sz w:val="16"/>
                <w:szCs w:val="16"/>
              </w:rPr>
              <w:t>DEPARTMENTAL</w:t>
            </w:r>
          </w:p>
        </w:tc>
        <w:tc>
          <w:tcPr>
            <w:tcW w:w="147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476" w:type="dxa"/>
            <w:tcBorders>
              <w:top w:val="nil"/>
              <w:left w:val="nil"/>
              <w:bottom w:val="nil"/>
              <w:right w:val="single" w:sz="4" w:space="0" w:color="auto"/>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single" w:sz="4" w:space="0" w:color="auto"/>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color w:val="000000"/>
                <w:sz w:val="16"/>
                <w:szCs w:val="16"/>
              </w:rPr>
            </w:pPr>
            <w:r>
              <w:rPr>
                <w:rFonts w:cs="Calibri"/>
                <w:color w:val="000000"/>
                <w:sz w:val="16"/>
                <w:szCs w:val="16"/>
              </w:rPr>
              <w:t> </w:t>
            </w:r>
          </w:p>
        </w:tc>
        <w:tc>
          <w:tcPr>
            <w:tcW w:w="11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396" w:type="dxa"/>
            <w:tcBorders>
              <w:top w:val="nil"/>
              <w:left w:val="nil"/>
              <w:bottom w:val="nil"/>
              <w:right w:val="single" w:sz="4" w:space="0" w:color="auto"/>
            </w:tcBorders>
            <w:shd w:val="clear" w:color="FFFFFF" w:fill="FFFFFF"/>
            <w:vAlign w:val="bottom"/>
            <w:hideMark/>
          </w:tcPr>
          <w:p w:rsidR="008835EB" w:rsidRDefault="008835EB" w:rsidP="007E3F2E">
            <w:pPr>
              <w:rPr>
                <w:rFonts w:cs="Calibri"/>
                <w:color w:val="000000"/>
                <w:sz w:val="16"/>
                <w:szCs w:val="16"/>
              </w:rPr>
            </w:pPr>
            <w:r>
              <w:rPr>
                <w:rFonts w:cs="Calibri"/>
                <w:color w:val="000000"/>
                <w:sz w:val="16"/>
                <w:szCs w:val="16"/>
              </w:rPr>
              <w:t> </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100" w:firstLine="160"/>
              <w:rPr>
                <w:rFonts w:cs="Calibri"/>
                <w:color w:val="000000"/>
                <w:sz w:val="16"/>
                <w:szCs w:val="16"/>
              </w:rPr>
            </w:pPr>
            <w:r>
              <w:rPr>
                <w:rFonts w:cs="Calibri"/>
                <w:color w:val="000000"/>
                <w:sz w:val="16"/>
                <w:szCs w:val="16"/>
              </w:rPr>
              <w:t>Ordinary annual services</w:t>
            </w:r>
          </w:p>
        </w:tc>
        <w:tc>
          <w:tcPr>
            <w:tcW w:w="147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295,989 </w:t>
            </w:r>
          </w:p>
        </w:tc>
        <w:tc>
          <w:tcPr>
            <w:tcW w:w="147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26,198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322,187</w:t>
            </w:r>
          </w:p>
        </w:tc>
        <w:tc>
          <w:tcPr>
            <w:tcW w:w="11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260,377 </w:t>
            </w:r>
          </w:p>
        </w:tc>
        <w:tc>
          <w:tcPr>
            <w:tcW w:w="13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61,810</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100" w:firstLine="160"/>
              <w:rPr>
                <w:rFonts w:cs="Calibri"/>
                <w:color w:val="000000"/>
                <w:sz w:val="16"/>
                <w:szCs w:val="16"/>
              </w:rPr>
            </w:pPr>
            <w:r>
              <w:rPr>
                <w:rFonts w:cs="Calibri"/>
                <w:color w:val="000000"/>
                <w:sz w:val="16"/>
                <w:szCs w:val="16"/>
              </w:rPr>
              <w:t xml:space="preserve">Capital </w:t>
            </w:r>
            <w:proofErr w:type="spellStart"/>
            <w:r>
              <w:rPr>
                <w:rFonts w:cs="Calibri"/>
                <w:color w:val="000000"/>
                <w:sz w:val="16"/>
                <w:szCs w:val="16"/>
              </w:rPr>
              <w:t>Budget</w:t>
            </w:r>
            <w:r>
              <w:rPr>
                <w:rFonts w:cs="Calibri"/>
                <w:color w:val="000000"/>
                <w:sz w:val="16"/>
                <w:szCs w:val="16"/>
                <w:vertAlign w:val="superscript"/>
              </w:rPr>
              <w:t>2</w:t>
            </w:r>
            <w:proofErr w:type="spellEnd"/>
          </w:p>
        </w:tc>
        <w:tc>
          <w:tcPr>
            <w:tcW w:w="147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31,024 </w:t>
            </w:r>
          </w:p>
        </w:tc>
        <w:tc>
          <w:tcPr>
            <w:tcW w:w="147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31,024</w:t>
            </w:r>
          </w:p>
        </w:tc>
        <w:tc>
          <w:tcPr>
            <w:tcW w:w="11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47,619 </w:t>
            </w:r>
          </w:p>
        </w:tc>
        <w:tc>
          <w:tcPr>
            <w:tcW w:w="13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(16,595)</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100" w:firstLine="160"/>
              <w:rPr>
                <w:rFonts w:cs="Calibri"/>
                <w:color w:val="000000"/>
                <w:sz w:val="16"/>
                <w:szCs w:val="16"/>
              </w:rPr>
            </w:pPr>
            <w:r>
              <w:rPr>
                <w:rFonts w:cs="Calibri"/>
                <w:color w:val="000000"/>
                <w:sz w:val="16"/>
                <w:szCs w:val="16"/>
              </w:rPr>
              <w:t>Other services</w:t>
            </w:r>
          </w:p>
        </w:tc>
        <w:tc>
          <w:tcPr>
            <w:tcW w:w="147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476" w:type="dxa"/>
            <w:tcBorders>
              <w:top w:val="nil"/>
              <w:left w:val="nil"/>
              <w:bottom w:val="nil"/>
              <w:right w:val="single" w:sz="4" w:space="0" w:color="auto"/>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w:t>
            </w:r>
          </w:p>
        </w:tc>
        <w:tc>
          <w:tcPr>
            <w:tcW w:w="1196" w:type="dxa"/>
            <w:tcBorders>
              <w:top w:val="nil"/>
              <w:left w:val="nil"/>
              <w:bottom w:val="nil"/>
              <w:right w:val="single" w:sz="4" w:space="0" w:color="auto"/>
            </w:tcBorders>
            <w:shd w:val="clear" w:color="FFFFFF" w:fill="FFFFFF"/>
            <w:vAlign w:val="bottom"/>
            <w:hideMark/>
          </w:tcPr>
          <w:p w:rsidR="008835EB" w:rsidRDefault="008835EB" w:rsidP="007E3F2E">
            <w:pPr>
              <w:rPr>
                <w:rFonts w:cs="Calibri"/>
                <w:sz w:val="16"/>
                <w:szCs w:val="16"/>
              </w:rPr>
            </w:pPr>
            <w:r>
              <w:rPr>
                <w:rFonts w:cs="Calibri"/>
                <w:sz w:val="16"/>
                <w:szCs w:val="16"/>
              </w:rPr>
              <w:t> </w:t>
            </w:r>
          </w:p>
        </w:tc>
        <w:tc>
          <w:tcPr>
            <w:tcW w:w="13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w:t>
            </w:r>
          </w:p>
        </w:tc>
      </w:tr>
      <w:tr w:rsidR="008835EB" w:rsidTr="007E3F2E">
        <w:trPr>
          <w:trHeight w:val="255"/>
        </w:trPr>
        <w:tc>
          <w:tcPr>
            <w:tcW w:w="3296"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ind w:firstLineChars="200" w:firstLine="320"/>
              <w:rPr>
                <w:rFonts w:cs="Calibri"/>
                <w:color w:val="000000"/>
                <w:sz w:val="16"/>
                <w:szCs w:val="16"/>
              </w:rPr>
            </w:pPr>
            <w:r>
              <w:rPr>
                <w:rFonts w:cs="Calibri"/>
                <w:color w:val="000000"/>
                <w:sz w:val="16"/>
                <w:szCs w:val="16"/>
              </w:rPr>
              <w:t>Equity</w:t>
            </w:r>
          </w:p>
        </w:tc>
        <w:tc>
          <w:tcPr>
            <w:tcW w:w="147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23,987 </w:t>
            </w:r>
          </w:p>
        </w:tc>
        <w:tc>
          <w:tcPr>
            <w:tcW w:w="147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23,987</w:t>
            </w:r>
          </w:p>
        </w:tc>
        <w:tc>
          <w:tcPr>
            <w:tcW w:w="11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 xml:space="preserve">26,114 </w:t>
            </w:r>
          </w:p>
        </w:tc>
        <w:tc>
          <w:tcPr>
            <w:tcW w:w="139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(2,127)</w:t>
            </w:r>
          </w:p>
        </w:tc>
      </w:tr>
      <w:tr w:rsidR="008835EB" w:rsidTr="007E3F2E">
        <w:trPr>
          <w:trHeight w:val="255"/>
        </w:trPr>
        <w:tc>
          <w:tcPr>
            <w:tcW w:w="3296"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color w:val="000000"/>
                <w:sz w:val="16"/>
                <w:szCs w:val="16"/>
              </w:rPr>
            </w:pPr>
            <w:r>
              <w:rPr>
                <w:rFonts w:cs="Calibri"/>
                <w:color w:val="000000"/>
                <w:sz w:val="16"/>
                <w:szCs w:val="16"/>
              </w:rPr>
              <w:t>Total departmental</w:t>
            </w:r>
          </w:p>
        </w:tc>
        <w:tc>
          <w:tcPr>
            <w:tcW w:w="147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351,000</w:t>
            </w:r>
          </w:p>
        </w:tc>
        <w:tc>
          <w:tcPr>
            <w:tcW w:w="147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w:t>
            </w:r>
          </w:p>
        </w:tc>
        <w:tc>
          <w:tcPr>
            <w:tcW w:w="119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26,198</w:t>
            </w:r>
          </w:p>
        </w:tc>
        <w:tc>
          <w:tcPr>
            <w:tcW w:w="119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w:t>
            </w:r>
          </w:p>
        </w:tc>
        <w:tc>
          <w:tcPr>
            <w:tcW w:w="1196"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377,198</w:t>
            </w:r>
          </w:p>
        </w:tc>
        <w:tc>
          <w:tcPr>
            <w:tcW w:w="119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334,110</w:t>
            </w:r>
          </w:p>
        </w:tc>
        <w:tc>
          <w:tcPr>
            <w:tcW w:w="139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 w:val="16"/>
                <w:szCs w:val="16"/>
              </w:rPr>
            </w:pPr>
            <w:r>
              <w:rPr>
                <w:rFonts w:cs="Calibri"/>
                <w:sz w:val="16"/>
                <w:szCs w:val="16"/>
              </w:rPr>
              <w:t>43,088</w:t>
            </w:r>
          </w:p>
        </w:tc>
      </w:tr>
      <w:tr w:rsidR="008835EB" w:rsidTr="007E3F2E">
        <w:trPr>
          <w:trHeight w:val="255"/>
        </w:trPr>
        <w:tc>
          <w:tcPr>
            <w:tcW w:w="3296" w:type="dxa"/>
            <w:tcBorders>
              <w:top w:val="nil"/>
              <w:left w:val="single" w:sz="4" w:space="0" w:color="auto"/>
              <w:bottom w:val="nil"/>
              <w:right w:val="single" w:sz="4" w:space="0" w:color="auto"/>
            </w:tcBorders>
            <w:shd w:val="clear" w:color="000000" w:fill="D9D9D9"/>
            <w:vAlign w:val="bottom"/>
            <w:hideMark/>
          </w:tcPr>
          <w:p w:rsidR="008835EB" w:rsidRDefault="008835EB" w:rsidP="007E3F2E">
            <w:pPr>
              <w:rPr>
                <w:rFonts w:cs="Calibri"/>
                <w:sz w:val="16"/>
                <w:szCs w:val="16"/>
              </w:rPr>
            </w:pPr>
            <w:r>
              <w:rPr>
                <w:rFonts w:cs="Calibri"/>
                <w:sz w:val="16"/>
                <w:szCs w:val="16"/>
              </w:rPr>
              <w:t>ADMINISTERED</w:t>
            </w:r>
          </w:p>
        </w:tc>
        <w:tc>
          <w:tcPr>
            <w:tcW w:w="1476" w:type="dxa"/>
            <w:tcBorders>
              <w:top w:val="nil"/>
              <w:left w:val="nil"/>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476" w:type="dxa"/>
            <w:tcBorders>
              <w:top w:val="nil"/>
              <w:left w:val="nil"/>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single" w:sz="4" w:space="0" w:color="auto"/>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single" w:sz="4" w:space="0" w:color="auto"/>
              <w:bottom w:val="nil"/>
              <w:right w:val="single" w:sz="4" w:space="0" w:color="auto"/>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39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3296" w:type="dxa"/>
            <w:tcBorders>
              <w:top w:val="nil"/>
              <w:left w:val="single" w:sz="4" w:space="0" w:color="auto"/>
              <w:bottom w:val="nil"/>
              <w:right w:val="single" w:sz="4" w:space="0" w:color="auto"/>
            </w:tcBorders>
            <w:shd w:val="clear" w:color="000000" w:fill="D9D9D9"/>
            <w:vAlign w:val="bottom"/>
            <w:hideMark/>
          </w:tcPr>
          <w:p w:rsidR="008835EB" w:rsidRDefault="008835EB" w:rsidP="007E3F2E">
            <w:pPr>
              <w:ind w:firstLineChars="100" w:firstLine="160"/>
              <w:rPr>
                <w:rFonts w:cs="Calibri"/>
                <w:sz w:val="16"/>
                <w:szCs w:val="16"/>
              </w:rPr>
            </w:pPr>
            <w:r>
              <w:rPr>
                <w:rFonts w:cs="Calibri"/>
                <w:sz w:val="16"/>
                <w:szCs w:val="16"/>
              </w:rPr>
              <w:t>Ordinary annual services</w:t>
            </w:r>
          </w:p>
        </w:tc>
        <w:tc>
          <w:tcPr>
            <w:tcW w:w="1476" w:type="dxa"/>
            <w:tcBorders>
              <w:top w:val="nil"/>
              <w:left w:val="nil"/>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476" w:type="dxa"/>
            <w:tcBorders>
              <w:top w:val="nil"/>
              <w:left w:val="nil"/>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single" w:sz="4" w:space="0" w:color="auto"/>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nil"/>
              <w:bottom w:val="nil"/>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196" w:type="dxa"/>
            <w:tcBorders>
              <w:top w:val="nil"/>
              <w:left w:val="single" w:sz="4" w:space="0" w:color="auto"/>
              <w:bottom w:val="nil"/>
              <w:right w:val="single" w:sz="4" w:space="0" w:color="auto"/>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396" w:type="dxa"/>
            <w:tcBorders>
              <w:top w:val="nil"/>
              <w:left w:val="nil"/>
              <w:bottom w:val="nil"/>
              <w:right w:val="single" w:sz="4" w:space="0" w:color="auto"/>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255"/>
        </w:trPr>
        <w:tc>
          <w:tcPr>
            <w:tcW w:w="3296" w:type="dxa"/>
            <w:tcBorders>
              <w:top w:val="nil"/>
              <w:left w:val="single" w:sz="4" w:space="0" w:color="auto"/>
              <w:bottom w:val="nil"/>
              <w:right w:val="single" w:sz="4" w:space="0" w:color="auto"/>
            </w:tcBorders>
            <w:shd w:val="clear" w:color="000000" w:fill="D9D9D9"/>
            <w:vAlign w:val="bottom"/>
            <w:hideMark/>
          </w:tcPr>
          <w:p w:rsidR="008835EB" w:rsidRDefault="008835EB" w:rsidP="007E3F2E">
            <w:pPr>
              <w:ind w:firstLineChars="200" w:firstLine="320"/>
              <w:rPr>
                <w:rFonts w:cs="Calibri"/>
                <w:color w:val="000000"/>
                <w:sz w:val="16"/>
                <w:szCs w:val="16"/>
              </w:rPr>
            </w:pPr>
            <w:r>
              <w:rPr>
                <w:rFonts w:cs="Calibri"/>
                <w:color w:val="000000"/>
                <w:sz w:val="16"/>
                <w:szCs w:val="16"/>
              </w:rPr>
              <w:t>Administered items</w:t>
            </w:r>
          </w:p>
        </w:tc>
        <w:tc>
          <w:tcPr>
            <w:tcW w:w="1476" w:type="dxa"/>
            <w:tcBorders>
              <w:top w:val="nil"/>
              <w:left w:val="nil"/>
              <w:bottom w:val="nil"/>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1,552,552 </w:t>
            </w:r>
          </w:p>
        </w:tc>
        <w:tc>
          <w:tcPr>
            <w:tcW w:w="147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1,552,552</w:t>
            </w:r>
          </w:p>
        </w:tc>
        <w:tc>
          <w:tcPr>
            <w:tcW w:w="1196" w:type="dxa"/>
            <w:tcBorders>
              <w:top w:val="nil"/>
              <w:left w:val="single" w:sz="4" w:space="0" w:color="auto"/>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1,290,262 </w:t>
            </w:r>
          </w:p>
        </w:tc>
        <w:tc>
          <w:tcPr>
            <w:tcW w:w="13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262,290</w:t>
            </w:r>
          </w:p>
        </w:tc>
      </w:tr>
      <w:tr w:rsidR="008835EB" w:rsidTr="007E3F2E">
        <w:trPr>
          <w:trHeight w:val="255"/>
        </w:trPr>
        <w:tc>
          <w:tcPr>
            <w:tcW w:w="3296" w:type="dxa"/>
            <w:tcBorders>
              <w:top w:val="nil"/>
              <w:left w:val="single" w:sz="4" w:space="0" w:color="auto"/>
              <w:bottom w:val="nil"/>
              <w:right w:val="nil"/>
            </w:tcBorders>
            <w:shd w:val="clear" w:color="000000" w:fill="D9D9D9"/>
            <w:vAlign w:val="bottom"/>
            <w:hideMark/>
          </w:tcPr>
          <w:p w:rsidR="008835EB" w:rsidRDefault="008835EB" w:rsidP="007E3F2E">
            <w:pPr>
              <w:ind w:firstLineChars="200" w:firstLine="320"/>
              <w:rPr>
                <w:rFonts w:cs="Calibri"/>
                <w:sz w:val="16"/>
                <w:szCs w:val="16"/>
              </w:rPr>
            </w:pPr>
            <w:r>
              <w:rPr>
                <w:rFonts w:cs="Calibri"/>
                <w:sz w:val="16"/>
                <w:szCs w:val="16"/>
              </w:rPr>
              <w:t>Payments to corporate entities</w:t>
            </w:r>
          </w:p>
        </w:tc>
        <w:tc>
          <w:tcPr>
            <w:tcW w:w="147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7,563 </w:t>
            </w:r>
          </w:p>
        </w:tc>
        <w:tc>
          <w:tcPr>
            <w:tcW w:w="147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 -</w:t>
            </w:r>
          </w:p>
        </w:tc>
        <w:tc>
          <w:tcPr>
            <w:tcW w:w="1196" w:type="dxa"/>
            <w:tcBorders>
              <w:top w:val="nil"/>
              <w:left w:val="nil"/>
              <w:bottom w:val="nil"/>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7,563</w:t>
            </w:r>
          </w:p>
        </w:tc>
        <w:tc>
          <w:tcPr>
            <w:tcW w:w="1196" w:type="dxa"/>
            <w:tcBorders>
              <w:top w:val="nil"/>
              <w:left w:val="single" w:sz="4" w:space="0" w:color="auto"/>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7,563 </w:t>
            </w:r>
          </w:p>
        </w:tc>
        <w:tc>
          <w:tcPr>
            <w:tcW w:w="1396" w:type="dxa"/>
            <w:tcBorders>
              <w:top w:val="nil"/>
              <w:left w:val="nil"/>
              <w:bottom w:val="nil"/>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 xml:space="preserve"> -</w:t>
            </w:r>
          </w:p>
        </w:tc>
      </w:tr>
      <w:tr w:rsidR="008835EB" w:rsidTr="007E3F2E">
        <w:trPr>
          <w:trHeight w:val="255"/>
        </w:trPr>
        <w:tc>
          <w:tcPr>
            <w:tcW w:w="3296" w:type="dxa"/>
            <w:tcBorders>
              <w:top w:val="nil"/>
              <w:left w:val="single" w:sz="4" w:space="0" w:color="auto"/>
              <w:bottom w:val="single" w:sz="4" w:space="0" w:color="auto"/>
              <w:right w:val="nil"/>
            </w:tcBorders>
            <w:shd w:val="clear" w:color="000000" w:fill="D9D9D9"/>
            <w:vAlign w:val="bottom"/>
            <w:hideMark/>
          </w:tcPr>
          <w:p w:rsidR="008835EB" w:rsidRDefault="008835EB" w:rsidP="007E3F2E">
            <w:pPr>
              <w:rPr>
                <w:rFonts w:cs="Calibri"/>
                <w:sz w:val="16"/>
                <w:szCs w:val="16"/>
              </w:rPr>
            </w:pPr>
            <w:r>
              <w:rPr>
                <w:rFonts w:cs="Calibri"/>
                <w:sz w:val="16"/>
                <w:szCs w:val="16"/>
              </w:rPr>
              <w:t>Total administered</w:t>
            </w:r>
          </w:p>
        </w:tc>
        <w:tc>
          <w:tcPr>
            <w:tcW w:w="1476" w:type="dxa"/>
            <w:tcBorders>
              <w:top w:val="single" w:sz="4" w:space="0" w:color="auto"/>
              <w:left w:val="single" w:sz="4" w:space="0" w:color="auto"/>
              <w:bottom w:val="single" w:sz="4" w:space="0" w:color="auto"/>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1,560,115</w:t>
            </w:r>
          </w:p>
        </w:tc>
        <w:tc>
          <w:tcPr>
            <w:tcW w:w="1476" w:type="dxa"/>
            <w:tcBorders>
              <w:top w:val="single" w:sz="4" w:space="0" w:color="auto"/>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w:t>
            </w:r>
          </w:p>
        </w:tc>
        <w:tc>
          <w:tcPr>
            <w:tcW w:w="119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w:t>
            </w:r>
          </w:p>
        </w:tc>
        <w:tc>
          <w:tcPr>
            <w:tcW w:w="119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w:t>
            </w:r>
          </w:p>
        </w:tc>
        <w:tc>
          <w:tcPr>
            <w:tcW w:w="119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1,560,115</w:t>
            </w:r>
          </w:p>
        </w:tc>
        <w:tc>
          <w:tcPr>
            <w:tcW w:w="1196" w:type="dxa"/>
            <w:tcBorders>
              <w:top w:val="single" w:sz="4" w:space="0" w:color="auto"/>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1,297,825</w:t>
            </w:r>
          </w:p>
        </w:tc>
        <w:tc>
          <w:tcPr>
            <w:tcW w:w="1396" w:type="dxa"/>
            <w:tcBorders>
              <w:top w:val="single" w:sz="4" w:space="0" w:color="auto"/>
              <w:left w:val="nil"/>
              <w:bottom w:val="single" w:sz="4" w:space="0" w:color="auto"/>
              <w:right w:val="single" w:sz="4" w:space="0" w:color="auto"/>
            </w:tcBorders>
            <w:shd w:val="clear" w:color="000000" w:fill="D9D9D9"/>
            <w:noWrap/>
            <w:vAlign w:val="bottom"/>
            <w:hideMark/>
          </w:tcPr>
          <w:p w:rsidR="008835EB" w:rsidRDefault="008835EB" w:rsidP="007E3F2E">
            <w:pPr>
              <w:jc w:val="right"/>
              <w:rPr>
                <w:rFonts w:cs="Calibri"/>
                <w:sz w:val="16"/>
                <w:szCs w:val="16"/>
              </w:rPr>
            </w:pPr>
            <w:r>
              <w:rPr>
                <w:rFonts w:cs="Calibri"/>
                <w:sz w:val="16"/>
                <w:szCs w:val="16"/>
              </w:rPr>
              <w:t>262,290</w:t>
            </w:r>
          </w:p>
        </w:tc>
      </w:tr>
    </w:tbl>
    <w:p w:rsidR="008835EB" w:rsidRDefault="008835EB" w:rsidP="008835EB">
      <w:pPr>
        <w:pStyle w:val="ReportText"/>
      </w:pPr>
      <w:bookmarkStart w:id="339" w:name="RANGE!D31:K46"/>
      <w:bookmarkStart w:id="340" w:name="RANGE!D31:L46"/>
      <w:bookmarkStart w:id="341" w:name="RANGE!D32:M47"/>
      <w:bookmarkStart w:id="342" w:name="RANGE!D32:M51"/>
      <w:bookmarkEnd w:id="339"/>
      <w:bookmarkEnd w:id="340"/>
      <w:bookmarkEnd w:id="341"/>
      <w:bookmarkEnd w:id="342"/>
      <w:r>
        <w:t>1. The departmental ordinary annual services variance is due to closing liabilities not yet paid and operating surplus. The administered items variance relates to lower than planned administered expenditure.</w:t>
      </w:r>
    </w:p>
    <w:p w:rsidR="008835EB" w:rsidRDefault="008835EB" w:rsidP="008835EB">
      <w:pPr>
        <w:pStyle w:val="ReportText"/>
      </w:pPr>
      <w:r>
        <w:t>The variances in 2014 and 2015 are a timing difference between the purchase of the assets and drawdown of the capital budget.</w:t>
      </w:r>
    </w:p>
    <w:p w:rsidR="008835EB" w:rsidRDefault="008835EB" w:rsidP="008835EB">
      <w:pPr>
        <w:pStyle w:val="ReportText"/>
        <w:sectPr w:rsidR="008835EB" w:rsidSect="00F74C23">
          <w:pgSz w:w="16838" w:h="11906" w:orient="landscape"/>
          <w:pgMar w:top="1134" w:right="1134" w:bottom="1134" w:left="1134" w:header="958" w:footer="737" w:gutter="0"/>
          <w:cols w:space="720"/>
          <w:docGrid w:linePitch="245"/>
        </w:sectPr>
      </w:pPr>
      <w:r>
        <w:t>2. Departmental and Administered Capital Budgets are appropriated through Appropriation Acts (</w:t>
      </w:r>
      <w:proofErr w:type="spellStart"/>
      <w:r>
        <w:t>No.1</w:t>
      </w:r>
      <w:proofErr w:type="spellEnd"/>
      <w:r>
        <w:t xml:space="preserve">, 3 &amp; 5). They form part of ordinary annual services and are not separately identified in the Appropriation Acts. For more information on ordinary annual services appropriation, please see Note </w:t>
      </w:r>
      <w:proofErr w:type="spellStart"/>
      <w:r>
        <w:t>26A</w:t>
      </w:r>
      <w:proofErr w:type="spellEnd"/>
      <w:r>
        <w:t>: Annual appropriations.</w:t>
      </w:r>
    </w:p>
    <w:tbl>
      <w:tblPr>
        <w:tblW w:w="9087" w:type="dxa"/>
        <w:tblInd w:w="80" w:type="dxa"/>
        <w:tblLayout w:type="fixed"/>
        <w:tblLook w:val="04A0" w:firstRow="1" w:lastRow="0" w:firstColumn="1" w:lastColumn="0" w:noHBand="0" w:noVBand="1"/>
      </w:tblPr>
      <w:tblGrid>
        <w:gridCol w:w="6577"/>
        <w:gridCol w:w="1255"/>
        <w:gridCol w:w="1255"/>
      </w:tblGrid>
      <w:tr w:rsidR="008835EB" w:rsidTr="007E3F2E">
        <w:trPr>
          <w:trHeight w:val="255"/>
        </w:trPr>
        <w:tc>
          <w:tcPr>
            <w:tcW w:w="9087" w:type="dxa"/>
            <w:gridSpan w:val="3"/>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bookmarkStart w:id="343" w:name="RANGE!D7:F32"/>
            <w:bookmarkStart w:id="344" w:name="RANGE!D7:F24"/>
            <w:bookmarkStart w:id="345" w:name="RANGE!D7:F20"/>
            <w:bookmarkStart w:id="346" w:name="RANGE!D7:F18"/>
            <w:bookmarkStart w:id="347" w:name="RANGE!D7:F29"/>
            <w:bookmarkStart w:id="348" w:name="RANGE!D7:F34"/>
            <w:bookmarkStart w:id="349" w:name="RANGE!D7:F30"/>
            <w:bookmarkStart w:id="350" w:name="RANGE!D6:F15"/>
            <w:bookmarkStart w:id="351" w:name="RANGE!D6:F16"/>
            <w:bookmarkStart w:id="352" w:name="RANGE!D6:I16"/>
            <w:bookmarkStart w:id="353" w:name="RANGE!D20:F31"/>
            <w:bookmarkStart w:id="354" w:name="RANGE!D20:F27"/>
            <w:bookmarkStart w:id="355" w:name="Note_DUATABLE1" w:colFirst="0" w:colLast="0"/>
            <w:bookmarkEnd w:id="343"/>
            <w:bookmarkEnd w:id="344"/>
            <w:bookmarkEnd w:id="345"/>
            <w:bookmarkEnd w:id="346"/>
            <w:bookmarkEnd w:id="347"/>
            <w:bookmarkEnd w:id="348"/>
            <w:bookmarkEnd w:id="349"/>
            <w:bookmarkEnd w:id="350"/>
            <w:bookmarkEnd w:id="351"/>
            <w:bookmarkEnd w:id="352"/>
            <w:bookmarkEnd w:id="353"/>
            <w:bookmarkEnd w:id="354"/>
            <w:r>
              <w:rPr>
                <w:rFonts w:cs="Calibri"/>
                <w:b/>
                <w:bCs/>
                <w:szCs w:val="18"/>
                <w:u w:val="single"/>
              </w:rPr>
              <w:lastRenderedPageBreak/>
              <w:t xml:space="preserve">Note </w:t>
            </w:r>
            <w:proofErr w:type="spellStart"/>
            <w:r>
              <w:rPr>
                <w:rFonts w:cs="Calibri"/>
                <w:b/>
                <w:bCs/>
                <w:szCs w:val="18"/>
                <w:u w:val="single"/>
              </w:rPr>
              <w:t>5.1B</w:t>
            </w:r>
            <w:proofErr w:type="spellEnd"/>
            <w:r>
              <w:rPr>
                <w:rFonts w:cs="Calibri"/>
                <w:b/>
                <w:bCs/>
                <w:szCs w:val="18"/>
                <w:u w:val="single"/>
              </w:rPr>
              <w:t>: Unspent Annual Appropriations ('Recoverable GST exclusive')</w:t>
            </w:r>
          </w:p>
        </w:tc>
      </w:tr>
      <w:bookmarkEnd w:id="355"/>
      <w:tr w:rsidR="008835EB" w:rsidTr="007E3F2E">
        <w:trPr>
          <w:trHeight w:val="255"/>
        </w:trPr>
        <w:tc>
          <w:tcPr>
            <w:tcW w:w="6577"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5"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5"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577" w:type="dxa"/>
            <w:vMerge w:val="restart"/>
            <w:tcBorders>
              <w:top w:val="single" w:sz="4" w:space="0" w:color="auto"/>
              <w:left w:val="nil"/>
              <w:bottom w:val="single" w:sz="4" w:space="0" w:color="000000"/>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255"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255"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6577" w:type="dxa"/>
            <w:vMerge/>
            <w:tcBorders>
              <w:top w:val="single" w:sz="4" w:space="0" w:color="auto"/>
              <w:left w:val="nil"/>
              <w:bottom w:val="single" w:sz="4" w:space="0" w:color="000000"/>
              <w:right w:val="nil"/>
            </w:tcBorders>
            <w:vAlign w:val="center"/>
            <w:hideMark/>
          </w:tcPr>
          <w:p w:rsidR="008835EB" w:rsidRDefault="008835EB" w:rsidP="007E3F2E">
            <w:pPr>
              <w:rPr>
                <w:rFonts w:cs="Calibri"/>
                <w:b/>
                <w:bCs/>
                <w:szCs w:val="18"/>
              </w:rPr>
            </w:pPr>
          </w:p>
        </w:tc>
        <w:tc>
          <w:tcPr>
            <w:tcW w:w="1255"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55"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577" w:type="dxa"/>
            <w:vMerge w:val="restart"/>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Departmental</w:t>
            </w:r>
          </w:p>
        </w:tc>
        <w:tc>
          <w:tcPr>
            <w:tcW w:w="1255"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255"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577" w:type="dxa"/>
            <w:vMerge/>
            <w:tcBorders>
              <w:top w:val="nil"/>
              <w:left w:val="nil"/>
              <w:bottom w:val="nil"/>
              <w:right w:val="nil"/>
            </w:tcBorders>
            <w:vAlign w:val="center"/>
            <w:hideMark/>
          </w:tcPr>
          <w:p w:rsidR="008835EB" w:rsidRDefault="008835EB" w:rsidP="007E3F2E">
            <w:pPr>
              <w:rPr>
                <w:rFonts w:cs="Calibri"/>
                <w:b/>
                <w:bCs/>
                <w:szCs w:val="18"/>
              </w:rPr>
            </w:pPr>
          </w:p>
        </w:tc>
        <w:tc>
          <w:tcPr>
            <w:tcW w:w="1255"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c>
          <w:tcPr>
            <w:tcW w:w="1255"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1) 2013–14</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18,428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3) 2013–14</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195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1) 2014–15</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45,505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1) Capital Budget 2014–15</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2,059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3) 2014–15</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40,409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3) Capital Budget 2014–15</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2,611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1) 2015–16</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107,487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1) Capital Budget 2015–16</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2,817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Appropriation Act (No. 4) 2015–16</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2,836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6577"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Cash at bank</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3,876 </w:t>
            </w:r>
          </w:p>
        </w:tc>
        <w:tc>
          <w:tcPr>
            <w:tcW w:w="125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6,321 </w:t>
            </w:r>
          </w:p>
        </w:tc>
      </w:tr>
      <w:tr w:rsidR="008835EB" w:rsidTr="007E3F2E">
        <w:trPr>
          <w:trHeight w:val="270"/>
        </w:trPr>
        <w:tc>
          <w:tcPr>
            <w:tcW w:w="657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w:t>
            </w:r>
          </w:p>
        </w:tc>
        <w:tc>
          <w:tcPr>
            <w:tcW w:w="125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117,016</w:t>
            </w:r>
          </w:p>
        </w:tc>
        <w:tc>
          <w:tcPr>
            <w:tcW w:w="1255"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115,528</w:t>
            </w:r>
          </w:p>
        </w:tc>
      </w:tr>
      <w:tr w:rsidR="008835EB" w:rsidTr="007E3F2E">
        <w:trPr>
          <w:trHeight w:val="270"/>
        </w:trPr>
        <w:tc>
          <w:tcPr>
            <w:tcW w:w="6577" w:type="dxa"/>
            <w:vMerge w:val="restart"/>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Administered</w:t>
            </w:r>
          </w:p>
        </w:tc>
        <w:tc>
          <w:tcPr>
            <w:tcW w:w="125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25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577" w:type="dxa"/>
            <w:vMerge/>
            <w:tcBorders>
              <w:top w:val="nil"/>
              <w:left w:val="nil"/>
              <w:bottom w:val="nil"/>
              <w:right w:val="nil"/>
            </w:tcBorders>
            <w:vAlign w:val="center"/>
            <w:hideMark/>
          </w:tcPr>
          <w:p w:rsidR="008835EB" w:rsidRDefault="008835EB" w:rsidP="007E3F2E">
            <w:pPr>
              <w:rPr>
                <w:rFonts w:cs="Calibri"/>
                <w:b/>
                <w:bCs/>
                <w:szCs w:val="18"/>
              </w:rPr>
            </w:pPr>
          </w:p>
        </w:tc>
        <w:tc>
          <w:tcPr>
            <w:tcW w:w="125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25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577"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Appropriation Act (</w:t>
            </w:r>
            <w:proofErr w:type="spellStart"/>
            <w:r>
              <w:rPr>
                <w:rFonts w:cs="Calibri"/>
                <w:szCs w:val="18"/>
              </w:rPr>
              <w:t>No.1</w:t>
            </w:r>
            <w:proofErr w:type="spellEnd"/>
            <w:r>
              <w:rPr>
                <w:rFonts w:cs="Calibri"/>
                <w:szCs w:val="18"/>
              </w:rPr>
              <w:t>) 2013–14</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25,880 </w:t>
            </w:r>
          </w:p>
        </w:tc>
      </w:tr>
      <w:tr w:rsidR="008835EB" w:rsidTr="007E3F2E">
        <w:trPr>
          <w:trHeight w:val="255"/>
        </w:trPr>
        <w:tc>
          <w:tcPr>
            <w:tcW w:w="6577"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Appropriation Act (No. 1) 2014–15</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40,377 </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191,498 </w:t>
            </w:r>
          </w:p>
        </w:tc>
      </w:tr>
      <w:tr w:rsidR="008835EB" w:rsidTr="007E3F2E">
        <w:trPr>
          <w:trHeight w:val="255"/>
        </w:trPr>
        <w:tc>
          <w:tcPr>
            <w:tcW w:w="6577"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Appropriation Act (No. 3) 2014–15</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317 </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70,792 </w:t>
            </w:r>
          </w:p>
        </w:tc>
      </w:tr>
      <w:tr w:rsidR="008835EB" w:rsidTr="007E3F2E">
        <w:trPr>
          <w:trHeight w:val="255"/>
        </w:trPr>
        <w:tc>
          <w:tcPr>
            <w:tcW w:w="6577"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Appropriation Act (No. 1) 2015–16</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503,112 </w:t>
            </w:r>
          </w:p>
        </w:tc>
        <w:tc>
          <w:tcPr>
            <w:tcW w:w="125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70"/>
        </w:trPr>
        <w:tc>
          <w:tcPr>
            <w:tcW w:w="6577" w:type="dxa"/>
            <w:tcBorders>
              <w:top w:val="nil"/>
              <w:left w:val="nil"/>
              <w:bottom w:val="single" w:sz="8" w:space="0" w:color="D9D9D9"/>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w:t>
            </w:r>
          </w:p>
        </w:tc>
        <w:tc>
          <w:tcPr>
            <w:tcW w:w="1255"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543,806</w:t>
            </w:r>
          </w:p>
        </w:tc>
        <w:tc>
          <w:tcPr>
            <w:tcW w:w="1255"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288,170</w:t>
            </w:r>
          </w:p>
        </w:tc>
      </w:tr>
    </w:tbl>
    <w:p w:rsidR="008835EB" w:rsidRDefault="008835EB" w:rsidP="008835EB">
      <w:bookmarkStart w:id="356" w:name="RANGE!D7:F31"/>
      <w:bookmarkEnd w:id="356"/>
    </w:p>
    <w:p w:rsidR="008835EB" w:rsidRDefault="008835EB" w:rsidP="008835EB">
      <w:pPr>
        <w:sectPr w:rsidR="008835EB" w:rsidSect="00F74C23">
          <w:pgSz w:w="11906" w:h="16838"/>
          <w:pgMar w:top="1134" w:right="1134" w:bottom="1134" w:left="1134" w:header="958" w:footer="737" w:gutter="0"/>
          <w:cols w:space="720"/>
          <w:docGrid w:linePitch="245"/>
        </w:sectPr>
      </w:pPr>
    </w:p>
    <w:tbl>
      <w:tblPr>
        <w:tblW w:w="13991" w:type="dxa"/>
        <w:tblInd w:w="80" w:type="dxa"/>
        <w:tblLayout w:type="fixed"/>
        <w:tblLook w:val="04A0" w:firstRow="1" w:lastRow="0" w:firstColumn="1" w:lastColumn="0" w:noHBand="0" w:noVBand="1"/>
      </w:tblPr>
      <w:tblGrid>
        <w:gridCol w:w="5721"/>
        <w:gridCol w:w="1198"/>
        <w:gridCol w:w="4678"/>
        <w:gridCol w:w="1197"/>
        <w:gridCol w:w="1197"/>
      </w:tblGrid>
      <w:tr w:rsidR="008835EB" w:rsidTr="007E3F2E">
        <w:trPr>
          <w:trHeight w:val="255"/>
        </w:trPr>
        <w:tc>
          <w:tcPr>
            <w:tcW w:w="13883" w:type="dxa"/>
            <w:gridSpan w:val="5"/>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bookmarkStart w:id="357" w:name="Note_DSATABLE1" w:colFirst="0" w:colLast="0"/>
            <w:r>
              <w:rPr>
                <w:rFonts w:cs="Calibri"/>
                <w:b/>
                <w:bCs/>
                <w:szCs w:val="18"/>
                <w:u w:val="single"/>
              </w:rPr>
              <w:lastRenderedPageBreak/>
              <w:t xml:space="preserve">Note </w:t>
            </w:r>
            <w:proofErr w:type="spellStart"/>
            <w:r>
              <w:rPr>
                <w:rFonts w:cs="Calibri"/>
                <w:b/>
                <w:bCs/>
                <w:szCs w:val="18"/>
                <w:u w:val="single"/>
              </w:rPr>
              <w:t>5.1C</w:t>
            </w:r>
            <w:proofErr w:type="spellEnd"/>
            <w:r>
              <w:rPr>
                <w:rFonts w:cs="Calibri"/>
                <w:b/>
                <w:bCs/>
                <w:szCs w:val="18"/>
                <w:u w:val="single"/>
              </w:rPr>
              <w:t>: Special Appropriations ('Recoverable GST exclusive')</w:t>
            </w:r>
          </w:p>
        </w:tc>
      </w:tr>
      <w:bookmarkEnd w:id="357"/>
      <w:tr w:rsidR="008835EB" w:rsidTr="007E3F2E">
        <w:trPr>
          <w:trHeight w:val="255"/>
        </w:trPr>
        <w:tc>
          <w:tcPr>
            <w:tcW w:w="567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8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464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8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8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5676" w:type="dxa"/>
            <w:vMerge w:val="restart"/>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Authority</w:t>
            </w:r>
          </w:p>
        </w:tc>
        <w:tc>
          <w:tcPr>
            <w:tcW w:w="1189" w:type="dxa"/>
            <w:vMerge w:val="restart"/>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Type</w:t>
            </w:r>
          </w:p>
        </w:tc>
        <w:tc>
          <w:tcPr>
            <w:tcW w:w="4642" w:type="dxa"/>
            <w:vMerge w:val="restart"/>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Purpose</w:t>
            </w:r>
          </w:p>
        </w:tc>
        <w:tc>
          <w:tcPr>
            <w:tcW w:w="2376" w:type="dxa"/>
            <w:gridSpan w:val="2"/>
            <w:tcBorders>
              <w:top w:val="single" w:sz="4" w:space="0" w:color="auto"/>
              <w:left w:val="nil"/>
              <w:bottom w:val="single" w:sz="4" w:space="0" w:color="auto"/>
              <w:right w:val="single" w:sz="4" w:space="0" w:color="000000"/>
            </w:tcBorders>
            <w:shd w:val="clear" w:color="FFFFFF" w:fill="FFFFFF"/>
            <w:vAlign w:val="bottom"/>
            <w:hideMark/>
          </w:tcPr>
          <w:p w:rsidR="008835EB" w:rsidRDefault="008835EB" w:rsidP="007E3F2E">
            <w:pPr>
              <w:jc w:val="center"/>
              <w:rPr>
                <w:rFonts w:cs="Calibri"/>
                <w:b/>
                <w:bCs/>
                <w:szCs w:val="18"/>
              </w:rPr>
            </w:pPr>
            <w:r>
              <w:rPr>
                <w:rFonts w:cs="Calibri"/>
                <w:b/>
                <w:bCs/>
                <w:szCs w:val="18"/>
              </w:rPr>
              <w:t>Appropriation applied</w:t>
            </w:r>
          </w:p>
        </w:tc>
      </w:tr>
      <w:tr w:rsidR="008835EB" w:rsidTr="007E3F2E">
        <w:trPr>
          <w:trHeight w:val="255"/>
        </w:trPr>
        <w:tc>
          <w:tcPr>
            <w:tcW w:w="5676" w:type="dxa"/>
            <w:vMerge/>
            <w:tcBorders>
              <w:top w:val="single" w:sz="4" w:space="0" w:color="auto"/>
              <w:left w:val="single" w:sz="4" w:space="0" w:color="auto"/>
              <w:bottom w:val="single" w:sz="4" w:space="0" w:color="auto"/>
              <w:right w:val="single" w:sz="4" w:space="0" w:color="auto"/>
            </w:tcBorders>
            <w:vAlign w:val="center"/>
            <w:hideMark/>
          </w:tcPr>
          <w:p w:rsidR="008835EB" w:rsidRDefault="008835EB" w:rsidP="007E3F2E">
            <w:pPr>
              <w:rPr>
                <w:rFonts w:cs="Calibri"/>
                <w:b/>
                <w:bCs/>
                <w:szCs w:val="18"/>
              </w:rPr>
            </w:pPr>
          </w:p>
        </w:tc>
        <w:tc>
          <w:tcPr>
            <w:tcW w:w="1189" w:type="dxa"/>
            <w:vMerge/>
            <w:tcBorders>
              <w:top w:val="single" w:sz="4" w:space="0" w:color="auto"/>
              <w:left w:val="single" w:sz="4" w:space="0" w:color="auto"/>
              <w:bottom w:val="single" w:sz="4" w:space="0" w:color="auto"/>
              <w:right w:val="single" w:sz="4" w:space="0" w:color="auto"/>
            </w:tcBorders>
            <w:vAlign w:val="center"/>
            <w:hideMark/>
          </w:tcPr>
          <w:p w:rsidR="008835EB" w:rsidRDefault="008835EB" w:rsidP="007E3F2E">
            <w:pPr>
              <w:rPr>
                <w:rFonts w:cs="Calibri"/>
                <w:b/>
                <w:bCs/>
                <w:szCs w:val="18"/>
              </w:rPr>
            </w:pPr>
          </w:p>
        </w:tc>
        <w:tc>
          <w:tcPr>
            <w:tcW w:w="4642" w:type="dxa"/>
            <w:vMerge/>
            <w:tcBorders>
              <w:top w:val="single" w:sz="4" w:space="0" w:color="auto"/>
              <w:left w:val="single" w:sz="4" w:space="0" w:color="auto"/>
              <w:bottom w:val="single" w:sz="4" w:space="0" w:color="auto"/>
              <w:right w:val="single" w:sz="4" w:space="0" w:color="auto"/>
            </w:tcBorders>
            <w:vAlign w:val="center"/>
            <w:hideMark/>
          </w:tcPr>
          <w:p w:rsidR="008835EB" w:rsidRDefault="008835EB" w:rsidP="007E3F2E">
            <w:pPr>
              <w:rPr>
                <w:rFonts w:cs="Calibri"/>
                <w:b/>
                <w:bCs/>
                <w:szCs w:val="18"/>
              </w:rPr>
            </w:pPr>
          </w:p>
        </w:tc>
        <w:tc>
          <w:tcPr>
            <w:tcW w:w="1188"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188"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5676" w:type="dxa"/>
            <w:vMerge/>
            <w:tcBorders>
              <w:top w:val="single" w:sz="4" w:space="0" w:color="auto"/>
              <w:left w:val="single" w:sz="4" w:space="0" w:color="auto"/>
              <w:bottom w:val="single" w:sz="4" w:space="0" w:color="auto"/>
              <w:right w:val="single" w:sz="4" w:space="0" w:color="auto"/>
            </w:tcBorders>
            <w:vAlign w:val="center"/>
            <w:hideMark/>
          </w:tcPr>
          <w:p w:rsidR="008835EB" w:rsidRDefault="008835EB" w:rsidP="007E3F2E">
            <w:pPr>
              <w:rPr>
                <w:rFonts w:cs="Calibri"/>
                <w:b/>
                <w:bCs/>
                <w:szCs w:val="18"/>
              </w:rPr>
            </w:pPr>
          </w:p>
        </w:tc>
        <w:tc>
          <w:tcPr>
            <w:tcW w:w="1189" w:type="dxa"/>
            <w:vMerge/>
            <w:tcBorders>
              <w:top w:val="single" w:sz="4" w:space="0" w:color="auto"/>
              <w:left w:val="single" w:sz="4" w:space="0" w:color="auto"/>
              <w:bottom w:val="single" w:sz="4" w:space="0" w:color="auto"/>
              <w:right w:val="single" w:sz="4" w:space="0" w:color="auto"/>
            </w:tcBorders>
            <w:vAlign w:val="center"/>
            <w:hideMark/>
          </w:tcPr>
          <w:p w:rsidR="008835EB" w:rsidRDefault="008835EB" w:rsidP="007E3F2E">
            <w:pPr>
              <w:rPr>
                <w:rFonts w:cs="Calibri"/>
                <w:b/>
                <w:bCs/>
                <w:szCs w:val="18"/>
              </w:rPr>
            </w:pPr>
          </w:p>
        </w:tc>
        <w:tc>
          <w:tcPr>
            <w:tcW w:w="4642" w:type="dxa"/>
            <w:vMerge/>
            <w:tcBorders>
              <w:top w:val="single" w:sz="4" w:space="0" w:color="auto"/>
              <w:left w:val="single" w:sz="4" w:space="0" w:color="auto"/>
              <w:bottom w:val="single" w:sz="4" w:space="0" w:color="auto"/>
              <w:right w:val="single" w:sz="4" w:space="0" w:color="auto"/>
            </w:tcBorders>
            <w:vAlign w:val="center"/>
            <w:hideMark/>
          </w:tcPr>
          <w:p w:rsidR="008835EB" w:rsidRDefault="008835EB" w:rsidP="007E3F2E">
            <w:pPr>
              <w:rPr>
                <w:rFonts w:cs="Calibri"/>
                <w:b/>
                <w:bCs/>
                <w:szCs w:val="18"/>
              </w:rPr>
            </w:pPr>
          </w:p>
        </w:tc>
        <w:tc>
          <w:tcPr>
            <w:tcW w:w="1188"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188"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720"/>
        </w:trPr>
        <w:tc>
          <w:tcPr>
            <w:tcW w:w="5676" w:type="dxa"/>
            <w:tcBorders>
              <w:top w:val="nil"/>
              <w:left w:val="single" w:sz="4" w:space="0" w:color="auto"/>
              <w:bottom w:val="single" w:sz="4" w:space="0" w:color="auto"/>
              <w:right w:val="single" w:sz="4" w:space="0" w:color="auto"/>
            </w:tcBorders>
            <w:shd w:val="clear" w:color="FFFFFF" w:fill="FFFFFF"/>
            <w:hideMark/>
          </w:tcPr>
          <w:p w:rsidR="008835EB" w:rsidRPr="0057202E" w:rsidRDefault="008835EB" w:rsidP="007E3F2E">
            <w:pPr>
              <w:rPr>
                <w:rFonts w:cs="Calibri"/>
                <w:i/>
                <w:szCs w:val="18"/>
              </w:rPr>
            </w:pPr>
            <w:r w:rsidRPr="0057202E">
              <w:rPr>
                <w:rFonts w:cs="Calibri"/>
                <w:i/>
                <w:szCs w:val="18"/>
              </w:rPr>
              <w:t>Fair Entitlements Guarantee Act 2012</w:t>
            </w:r>
            <w:r>
              <w:rPr>
                <w:rFonts w:cs="Calibri"/>
                <w:i/>
                <w:szCs w:val="18"/>
              </w:rPr>
              <w:t>—</w:t>
            </w:r>
            <w:r w:rsidRPr="0057202E">
              <w:rPr>
                <w:rFonts w:cs="Calibri"/>
                <w:szCs w:val="18"/>
              </w:rPr>
              <w:t>Section 50 (Administered)</w:t>
            </w:r>
          </w:p>
        </w:tc>
        <w:tc>
          <w:tcPr>
            <w:tcW w:w="1189"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Unlimited Amount</w:t>
            </w:r>
          </w:p>
        </w:tc>
        <w:tc>
          <w:tcPr>
            <w:tcW w:w="4642"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An Act to provide for financial assistance for workers who have not been fully paid for work done for insolvents or bankrupts, and for related purposes.</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b/>
                <w:bCs/>
                <w:szCs w:val="18"/>
              </w:rPr>
            </w:pPr>
            <w:r w:rsidRPr="001C23B9">
              <w:rPr>
                <w:rFonts w:cs="Calibri"/>
                <w:b/>
                <w:bCs/>
                <w:szCs w:val="18"/>
              </w:rPr>
              <w:t xml:space="preserve">259,980 </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szCs w:val="18"/>
              </w:rPr>
            </w:pPr>
            <w:r w:rsidRPr="001C23B9">
              <w:rPr>
                <w:rFonts w:cs="Calibri"/>
                <w:szCs w:val="18"/>
              </w:rPr>
              <w:t xml:space="preserve">307,890 </w:t>
            </w:r>
          </w:p>
        </w:tc>
      </w:tr>
      <w:tr w:rsidR="008835EB" w:rsidTr="007E3F2E">
        <w:trPr>
          <w:trHeight w:val="480"/>
        </w:trPr>
        <w:tc>
          <w:tcPr>
            <w:tcW w:w="5676" w:type="dxa"/>
            <w:tcBorders>
              <w:top w:val="nil"/>
              <w:left w:val="single" w:sz="4" w:space="0" w:color="auto"/>
              <w:bottom w:val="single" w:sz="4" w:space="0" w:color="auto"/>
              <w:right w:val="single" w:sz="4" w:space="0" w:color="auto"/>
            </w:tcBorders>
            <w:shd w:val="clear" w:color="FFFFFF" w:fill="FFFFFF"/>
            <w:hideMark/>
          </w:tcPr>
          <w:p w:rsidR="008835EB" w:rsidRPr="0057202E" w:rsidRDefault="008835EB" w:rsidP="007E3F2E">
            <w:pPr>
              <w:rPr>
                <w:rFonts w:cs="Calibri"/>
                <w:i/>
                <w:szCs w:val="18"/>
              </w:rPr>
            </w:pPr>
            <w:r w:rsidRPr="0057202E">
              <w:rPr>
                <w:rFonts w:cs="Calibri"/>
                <w:i/>
                <w:szCs w:val="18"/>
              </w:rPr>
              <w:t xml:space="preserve">Coal Mining Industry (Long Service Leave Funding) Act 1992 </w:t>
            </w:r>
            <w:r w:rsidRPr="0057202E">
              <w:rPr>
                <w:rFonts w:cs="Calibri"/>
                <w:szCs w:val="18"/>
              </w:rPr>
              <w:t>(Administered)</w:t>
            </w:r>
          </w:p>
        </w:tc>
        <w:tc>
          <w:tcPr>
            <w:tcW w:w="1189"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Unlimited Amount</w:t>
            </w:r>
          </w:p>
        </w:tc>
        <w:tc>
          <w:tcPr>
            <w:tcW w:w="4642"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 xml:space="preserve">An Act to manage the long service </w:t>
            </w:r>
            <w:proofErr w:type="gramStart"/>
            <w:r>
              <w:rPr>
                <w:rFonts w:cs="Calibri"/>
                <w:szCs w:val="18"/>
              </w:rPr>
              <w:t>leave</w:t>
            </w:r>
            <w:proofErr w:type="gramEnd"/>
            <w:r>
              <w:rPr>
                <w:rFonts w:cs="Calibri"/>
                <w:szCs w:val="18"/>
              </w:rPr>
              <w:t xml:space="preserve"> entitlement of the Coal Mining Industry.</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b/>
                <w:bCs/>
                <w:szCs w:val="18"/>
              </w:rPr>
            </w:pPr>
            <w:r w:rsidRPr="001C23B9">
              <w:rPr>
                <w:rFonts w:cs="Calibri"/>
                <w:b/>
                <w:bCs/>
                <w:szCs w:val="18"/>
              </w:rPr>
              <w:t xml:space="preserve">146,970 </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szCs w:val="18"/>
              </w:rPr>
            </w:pPr>
            <w:r w:rsidRPr="001C23B9">
              <w:rPr>
                <w:rFonts w:cs="Calibri"/>
                <w:szCs w:val="18"/>
              </w:rPr>
              <w:t xml:space="preserve">158,607 </w:t>
            </w:r>
          </w:p>
        </w:tc>
      </w:tr>
      <w:tr w:rsidR="008835EB" w:rsidTr="007E3F2E">
        <w:trPr>
          <w:trHeight w:val="720"/>
        </w:trPr>
        <w:tc>
          <w:tcPr>
            <w:tcW w:w="5676" w:type="dxa"/>
            <w:tcBorders>
              <w:top w:val="nil"/>
              <w:left w:val="single" w:sz="4" w:space="0" w:color="auto"/>
              <w:bottom w:val="single" w:sz="4" w:space="0" w:color="auto"/>
              <w:right w:val="single" w:sz="4" w:space="0" w:color="auto"/>
            </w:tcBorders>
            <w:shd w:val="clear" w:color="FFFFFF" w:fill="FFFFFF"/>
            <w:hideMark/>
          </w:tcPr>
          <w:p w:rsidR="008835EB" w:rsidRPr="0057202E" w:rsidRDefault="008835EB" w:rsidP="007E3F2E">
            <w:pPr>
              <w:rPr>
                <w:rFonts w:cs="Calibri"/>
                <w:i/>
                <w:szCs w:val="18"/>
              </w:rPr>
            </w:pPr>
            <w:r w:rsidRPr="0057202E">
              <w:rPr>
                <w:rFonts w:cs="Calibri"/>
                <w:i/>
                <w:szCs w:val="18"/>
              </w:rPr>
              <w:t xml:space="preserve">Safety, Rehabilitation and Compensation Act 1988 </w:t>
            </w:r>
            <w:r w:rsidRPr="0057202E">
              <w:rPr>
                <w:rFonts w:cs="Calibri"/>
                <w:szCs w:val="18"/>
              </w:rPr>
              <w:t>(</w:t>
            </w:r>
            <w:proofErr w:type="spellStart"/>
            <w:r w:rsidRPr="0057202E">
              <w:rPr>
                <w:rFonts w:cs="Calibri"/>
                <w:szCs w:val="18"/>
              </w:rPr>
              <w:t>SRC</w:t>
            </w:r>
            <w:proofErr w:type="spellEnd"/>
            <w:r w:rsidRPr="0057202E">
              <w:rPr>
                <w:rFonts w:cs="Calibri"/>
                <w:szCs w:val="18"/>
              </w:rPr>
              <w:t xml:space="preserve"> Act) (Administered)</w:t>
            </w:r>
          </w:p>
        </w:tc>
        <w:tc>
          <w:tcPr>
            <w:tcW w:w="1189"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Unlimited Amount</w:t>
            </w:r>
          </w:p>
        </w:tc>
        <w:tc>
          <w:tcPr>
            <w:tcW w:w="4642"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 xml:space="preserve">An Act to provide for the payment of workers compensation claims and associated expenses in accordance with the provisions of the </w:t>
            </w:r>
            <w:proofErr w:type="spellStart"/>
            <w:r>
              <w:rPr>
                <w:rFonts w:cs="Calibri"/>
                <w:szCs w:val="18"/>
              </w:rPr>
              <w:t>SRC</w:t>
            </w:r>
            <w:proofErr w:type="spellEnd"/>
            <w:r>
              <w:rPr>
                <w:rFonts w:cs="Calibri"/>
                <w:szCs w:val="18"/>
              </w:rPr>
              <w:t xml:space="preserve"> Act.</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b/>
                <w:bCs/>
                <w:szCs w:val="18"/>
              </w:rPr>
            </w:pPr>
            <w:r w:rsidRPr="001C23B9">
              <w:rPr>
                <w:rFonts w:cs="Calibri"/>
                <w:b/>
                <w:bCs/>
                <w:szCs w:val="18"/>
              </w:rPr>
              <w:t xml:space="preserve">35,174 </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szCs w:val="18"/>
              </w:rPr>
            </w:pPr>
            <w:r w:rsidRPr="001C23B9">
              <w:rPr>
                <w:rFonts w:cs="Calibri"/>
                <w:szCs w:val="18"/>
              </w:rPr>
              <w:t xml:space="preserve">39,503 </w:t>
            </w:r>
          </w:p>
        </w:tc>
      </w:tr>
      <w:tr w:rsidR="008835EB" w:rsidTr="007E3F2E">
        <w:trPr>
          <w:trHeight w:val="720"/>
        </w:trPr>
        <w:tc>
          <w:tcPr>
            <w:tcW w:w="5676" w:type="dxa"/>
            <w:tcBorders>
              <w:top w:val="nil"/>
              <w:left w:val="single" w:sz="4" w:space="0" w:color="auto"/>
              <w:bottom w:val="single" w:sz="4" w:space="0" w:color="auto"/>
              <w:right w:val="single" w:sz="4" w:space="0" w:color="auto"/>
            </w:tcBorders>
            <w:shd w:val="clear" w:color="FFFFFF" w:fill="FFFFFF"/>
            <w:hideMark/>
          </w:tcPr>
          <w:p w:rsidR="008835EB" w:rsidRPr="0057202E" w:rsidRDefault="008835EB" w:rsidP="007E3F2E">
            <w:pPr>
              <w:rPr>
                <w:rFonts w:cs="Calibri"/>
                <w:i/>
                <w:szCs w:val="18"/>
              </w:rPr>
            </w:pPr>
            <w:r w:rsidRPr="0057202E">
              <w:rPr>
                <w:rFonts w:cs="Calibri"/>
                <w:i/>
                <w:szCs w:val="18"/>
              </w:rPr>
              <w:t xml:space="preserve">Asbestos-related Claims (Management of Commonwealth Liabilities) Act 2005 </w:t>
            </w:r>
            <w:r w:rsidRPr="003F586E">
              <w:rPr>
                <w:rFonts w:cs="Calibri"/>
                <w:szCs w:val="18"/>
              </w:rPr>
              <w:t>(Administered)</w:t>
            </w:r>
          </w:p>
        </w:tc>
        <w:tc>
          <w:tcPr>
            <w:tcW w:w="1189"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Unlimited Amount</w:t>
            </w:r>
          </w:p>
        </w:tc>
        <w:tc>
          <w:tcPr>
            <w:tcW w:w="4642"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An Act to assign responsibility for the management of certain liabilities relating to asbestos-related claims, and for related purposes.</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b/>
                <w:bCs/>
                <w:szCs w:val="18"/>
              </w:rPr>
            </w:pPr>
            <w:r w:rsidRPr="001C23B9">
              <w:rPr>
                <w:rFonts w:cs="Calibri"/>
                <w:b/>
                <w:bCs/>
                <w:szCs w:val="18"/>
              </w:rPr>
              <w:t xml:space="preserve">28,635 </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szCs w:val="18"/>
              </w:rPr>
            </w:pPr>
            <w:r w:rsidRPr="001C23B9">
              <w:rPr>
                <w:rFonts w:cs="Calibri"/>
                <w:szCs w:val="18"/>
              </w:rPr>
              <w:t xml:space="preserve">26,356 </w:t>
            </w:r>
          </w:p>
        </w:tc>
      </w:tr>
      <w:tr w:rsidR="008835EB" w:rsidTr="007E3F2E">
        <w:trPr>
          <w:trHeight w:val="1048"/>
        </w:trPr>
        <w:tc>
          <w:tcPr>
            <w:tcW w:w="5676" w:type="dxa"/>
            <w:tcBorders>
              <w:top w:val="nil"/>
              <w:left w:val="single" w:sz="4" w:space="0" w:color="auto"/>
              <w:bottom w:val="single" w:sz="4" w:space="0" w:color="auto"/>
              <w:right w:val="single" w:sz="4" w:space="0" w:color="auto"/>
            </w:tcBorders>
            <w:shd w:val="clear" w:color="FFFFFF" w:fill="FFFFFF"/>
            <w:hideMark/>
          </w:tcPr>
          <w:p w:rsidR="008835EB" w:rsidRPr="0057202E" w:rsidRDefault="008835EB" w:rsidP="007E3F2E">
            <w:pPr>
              <w:rPr>
                <w:rFonts w:cs="Calibri"/>
                <w:i/>
                <w:szCs w:val="18"/>
              </w:rPr>
            </w:pPr>
            <w:r w:rsidRPr="0057202E">
              <w:rPr>
                <w:rFonts w:cs="Calibri"/>
                <w:i/>
                <w:szCs w:val="18"/>
              </w:rPr>
              <w:t>Public Governance, Performance and Accountability Act 2013</w:t>
            </w:r>
            <w:r>
              <w:rPr>
                <w:rFonts w:cs="Calibri"/>
                <w:i/>
                <w:szCs w:val="18"/>
              </w:rPr>
              <w:t>—</w:t>
            </w:r>
            <w:r w:rsidRPr="003F586E">
              <w:rPr>
                <w:rFonts w:cs="Calibri"/>
                <w:szCs w:val="18"/>
              </w:rPr>
              <w:t>Section 77</w:t>
            </w:r>
          </w:p>
        </w:tc>
        <w:tc>
          <w:tcPr>
            <w:tcW w:w="1189" w:type="dxa"/>
            <w:tcBorders>
              <w:top w:val="nil"/>
              <w:left w:val="nil"/>
              <w:bottom w:val="single" w:sz="4" w:space="0" w:color="auto"/>
              <w:right w:val="single" w:sz="4" w:space="0" w:color="auto"/>
            </w:tcBorders>
            <w:shd w:val="clear" w:color="FFFFFF" w:fill="FFFFFF"/>
            <w:hideMark/>
          </w:tcPr>
          <w:p w:rsidR="008835EB" w:rsidRDefault="008835EB" w:rsidP="007E3F2E">
            <w:pPr>
              <w:rPr>
                <w:rFonts w:cs="Calibri"/>
                <w:szCs w:val="18"/>
              </w:rPr>
            </w:pPr>
            <w:r>
              <w:rPr>
                <w:rFonts w:cs="Calibri"/>
                <w:szCs w:val="18"/>
              </w:rPr>
              <w:t>Refund</w:t>
            </w:r>
          </w:p>
        </w:tc>
        <w:tc>
          <w:tcPr>
            <w:tcW w:w="4642"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rPr>
                <w:rFonts w:cs="Calibri"/>
                <w:szCs w:val="18"/>
              </w:rPr>
            </w:pPr>
            <w:r>
              <w:rPr>
                <w:rFonts w:cs="Calibri"/>
                <w:szCs w:val="18"/>
              </w:rPr>
              <w:t>To provide an appropriation where an Act or other law requires or permits the repayment of an amount received by the Commonwealth and apart from this section there is no specific appropriation for the repayment.</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b/>
                <w:bCs/>
                <w:szCs w:val="18"/>
              </w:rPr>
            </w:pPr>
            <w:r w:rsidRPr="001C23B9">
              <w:rPr>
                <w:rFonts w:cs="Calibri"/>
                <w:b/>
                <w:bCs/>
                <w:szCs w:val="18"/>
              </w:rPr>
              <w:t xml:space="preserve">4 </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szCs w:val="18"/>
              </w:rPr>
            </w:pPr>
            <w:r w:rsidRPr="001C23B9">
              <w:rPr>
                <w:rFonts w:cs="Calibri"/>
                <w:szCs w:val="18"/>
              </w:rPr>
              <w:t xml:space="preserve"> -</w:t>
            </w:r>
          </w:p>
        </w:tc>
      </w:tr>
      <w:tr w:rsidR="008835EB" w:rsidTr="007E3F2E">
        <w:trPr>
          <w:trHeight w:val="255"/>
        </w:trPr>
        <w:tc>
          <w:tcPr>
            <w:tcW w:w="5676" w:type="dxa"/>
            <w:tcBorders>
              <w:top w:val="nil"/>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Total special appropriations applied</w:t>
            </w:r>
          </w:p>
        </w:tc>
        <w:tc>
          <w:tcPr>
            <w:tcW w:w="1189"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4642"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b/>
                <w:bCs/>
                <w:szCs w:val="18"/>
              </w:rPr>
            </w:pPr>
            <w:r w:rsidRPr="001C23B9">
              <w:rPr>
                <w:rFonts w:cs="Calibri"/>
                <w:b/>
                <w:bCs/>
                <w:szCs w:val="18"/>
              </w:rPr>
              <w:t>470,763</w:t>
            </w:r>
          </w:p>
        </w:tc>
        <w:tc>
          <w:tcPr>
            <w:tcW w:w="1188" w:type="dxa"/>
            <w:tcBorders>
              <w:top w:val="nil"/>
              <w:left w:val="nil"/>
              <w:bottom w:val="single" w:sz="4" w:space="0" w:color="auto"/>
              <w:right w:val="single" w:sz="4" w:space="0" w:color="auto"/>
            </w:tcBorders>
            <w:shd w:val="clear" w:color="FFFFFF" w:fill="FFFFFF"/>
            <w:noWrap/>
            <w:vAlign w:val="bottom"/>
            <w:hideMark/>
          </w:tcPr>
          <w:p w:rsidR="008835EB" w:rsidRPr="001C23B9" w:rsidRDefault="008835EB" w:rsidP="007E3F2E">
            <w:pPr>
              <w:jc w:val="right"/>
              <w:rPr>
                <w:rFonts w:cs="Calibri"/>
                <w:b/>
                <w:bCs/>
                <w:szCs w:val="18"/>
              </w:rPr>
            </w:pPr>
            <w:r w:rsidRPr="001C23B9">
              <w:rPr>
                <w:rFonts w:cs="Calibri"/>
                <w:b/>
                <w:bCs/>
                <w:szCs w:val="18"/>
              </w:rPr>
              <w:t>532,356</w:t>
            </w:r>
          </w:p>
        </w:tc>
      </w:tr>
    </w:tbl>
    <w:p w:rsidR="008835EB" w:rsidRDefault="008835EB" w:rsidP="008835EB">
      <w:pPr>
        <w:spacing w:line="240" w:lineRule="auto"/>
        <w:sectPr w:rsidR="008835EB" w:rsidSect="00F74C23">
          <w:pgSz w:w="16838" w:h="11906" w:orient="landscape"/>
          <w:pgMar w:top="1134" w:right="1134" w:bottom="1134" w:left="1134" w:header="958" w:footer="737" w:gutter="0"/>
          <w:cols w:space="720"/>
          <w:docGrid w:linePitch="245"/>
        </w:sectPr>
      </w:pPr>
      <w:bookmarkStart w:id="358" w:name="RANGE!D7:H17"/>
      <w:bookmarkStart w:id="359" w:name="RANGE!D7:H16"/>
      <w:bookmarkStart w:id="360" w:name="RANGE!D7:H21"/>
      <w:bookmarkStart w:id="361" w:name="RANGE!D7:H30"/>
      <w:bookmarkStart w:id="362" w:name="RANGE!D7:H29"/>
      <w:bookmarkStart w:id="363" w:name="RANGE!D7:H24"/>
      <w:bookmarkStart w:id="364" w:name="RANGE!D7:H26"/>
      <w:bookmarkStart w:id="365" w:name="RANGE!D6:H25"/>
      <w:bookmarkStart w:id="366" w:name="RANGE!D6:I15"/>
      <w:bookmarkStart w:id="367" w:name="RANGE!D8:G19"/>
      <w:bookmarkStart w:id="368" w:name="RANGE!D25:H32"/>
      <w:bookmarkEnd w:id="358"/>
      <w:bookmarkEnd w:id="359"/>
      <w:bookmarkEnd w:id="360"/>
      <w:bookmarkEnd w:id="361"/>
      <w:bookmarkEnd w:id="362"/>
      <w:bookmarkEnd w:id="363"/>
      <w:bookmarkEnd w:id="364"/>
      <w:bookmarkEnd w:id="365"/>
      <w:bookmarkEnd w:id="366"/>
      <w:bookmarkEnd w:id="367"/>
      <w:bookmarkEnd w:id="368"/>
    </w:p>
    <w:p w:rsidR="008835EB" w:rsidRDefault="008835EB" w:rsidP="008835EB">
      <w:pPr>
        <w:spacing w:line="240" w:lineRule="auto"/>
      </w:pPr>
    </w:p>
    <w:p w:rsidR="008835EB" w:rsidRDefault="008835EB" w:rsidP="008835EB">
      <w:pPr>
        <w:pStyle w:val="SubHeading"/>
      </w:pPr>
      <w:bookmarkStart w:id="369" w:name="_Toc456689856"/>
      <w:r>
        <w:t>Net Cash Appropriation Arrangements</w:t>
      </w:r>
      <w:bookmarkEnd w:id="369"/>
    </w:p>
    <w:tbl>
      <w:tblPr>
        <w:tblW w:w="9087" w:type="dxa"/>
        <w:tblInd w:w="80" w:type="dxa"/>
        <w:tblLayout w:type="fixed"/>
        <w:tblLook w:val="04A0" w:firstRow="1" w:lastRow="0" w:firstColumn="1" w:lastColumn="0" w:noHBand="0" w:noVBand="1"/>
      </w:tblPr>
      <w:tblGrid>
        <w:gridCol w:w="6723"/>
        <w:gridCol w:w="1047"/>
        <w:gridCol w:w="270"/>
        <w:gridCol w:w="1047"/>
      </w:tblGrid>
      <w:tr w:rsidR="008835EB" w:rsidTr="007E3F2E">
        <w:trPr>
          <w:trHeight w:val="240"/>
        </w:trPr>
        <w:tc>
          <w:tcPr>
            <w:tcW w:w="665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bookmarkStart w:id="370" w:name="Note_NCATABLE1" w:colFirst="0" w:colLast="0"/>
            <w:r>
              <w:rPr>
                <w:rFonts w:ascii="Arial" w:hAnsi="Arial" w:cs="Arial"/>
                <w:szCs w:val="18"/>
              </w:rPr>
              <w:t> </w:t>
            </w:r>
          </w:p>
        </w:tc>
        <w:tc>
          <w:tcPr>
            <w:tcW w:w="1036"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267"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0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bookmarkEnd w:id="370"/>
      <w:tr w:rsidR="008835EB" w:rsidTr="007E3F2E">
        <w:trPr>
          <w:trHeight w:val="240"/>
        </w:trPr>
        <w:tc>
          <w:tcPr>
            <w:tcW w:w="665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036"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267"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0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510"/>
        </w:trPr>
        <w:tc>
          <w:tcPr>
            <w:tcW w:w="665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 xml:space="preserve">Total comprehensive income less depreciation/amortisation expenses previously funded through revenue </w:t>
            </w:r>
            <w:proofErr w:type="spellStart"/>
            <w:r>
              <w:rPr>
                <w:rFonts w:cs="Calibri"/>
                <w:b/>
                <w:bCs/>
                <w:i/>
                <w:iCs/>
                <w:szCs w:val="18"/>
              </w:rPr>
              <w:t>appropriations</w:t>
            </w:r>
            <w:r>
              <w:rPr>
                <w:rFonts w:ascii="Arial" w:hAnsi="Arial" w:cs="Arial"/>
                <w:b/>
                <w:bCs/>
                <w:szCs w:val="18"/>
                <w:vertAlign w:val="superscript"/>
              </w:rPr>
              <w:t>1</w:t>
            </w:r>
            <w:proofErr w:type="spellEnd"/>
          </w:p>
        </w:tc>
        <w:tc>
          <w:tcPr>
            <w:tcW w:w="103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8,855 </w:t>
            </w:r>
          </w:p>
        </w:tc>
        <w:tc>
          <w:tcPr>
            <w:tcW w:w="267"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0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15,726 </w:t>
            </w:r>
          </w:p>
        </w:tc>
      </w:tr>
      <w:tr w:rsidR="008835EB" w:rsidTr="007E3F2E">
        <w:trPr>
          <w:trHeight w:val="480"/>
        </w:trPr>
        <w:tc>
          <w:tcPr>
            <w:tcW w:w="665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Plus: depreciation/amortisation expenses previously funded through revenue appropriation</w:t>
            </w:r>
          </w:p>
        </w:tc>
        <w:tc>
          <w:tcPr>
            <w:tcW w:w="103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(21,861)</w:t>
            </w:r>
          </w:p>
        </w:tc>
        <w:tc>
          <w:tcPr>
            <w:tcW w:w="267"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0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(27,875)</w:t>
            </w:r>
          </w:p>
        </w:tc>
      </w:tr>
      <w:tr w:rsidR="008835EB" w:rsidTr="007E3F2E">
        <w:trPr>
          <w:trHeight w:val="270"/>
        </w:trPr>
        <w:tc>
          <w:tcPr>
            <w:tcW w:w="665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comprehensive loss—as per the Statement of Comprehensive Income</w:t>
            </w:r>
          </w:p>
        </w:tc>
        <w:tc>
          <w:tcPr>
            <w:tcW w:w="10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(13,006)</w:t>
            </w:r>
          </w:p>
        </w:tc>
        <w:tc>
          <w:tcPr>
            <w:tcW w:w="26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0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(12,149)</w:t>
            </w:r>
          </w:p>
        </w:tc>
      </w:tr>
    </w:tbl>
    <w:p w:rsidR="008835EB" w:rsidRDefault="008835EB" w:rsidP="008835EB">
      <w:pPr>
        <w:pStyle w:val="ReportText"/>
        <w:spacing w:before="240"/>
        <w:ind w:right="567"/>
      </w:pPr>
      <w:r>
        <w:t>1 From 2010–11, the Government introduced net cash appropriation arrangements, where revenue appropriations for depreciation/amortisation expenses ceased. Entities now receive a separate capital budget provided through equity appropriations. Capital budgets are to be appropriated in the period when cash payment for capital expenditure is required.</w:t>
      </w:r>
    </w:p>
    <w:p w:rsidR="008835EB" w:rsidRDefault="008835EB" w:rsidP="008835EB">
      <w:pPr>
        <w:spacing w:line="240" w:lineRule="auto"/>
        <w:rPr>
          <w:rFonts w:asciiTheme="minorHAnsi" w:hAnsiTheme="minorHAnsi" w:cstheme="minorHAnsi"/>
          <w:lang w:eastAsia="en-AU"/>
        </w:rPr>
      </w:pPr>
      <w:r>
        <w:br w:type="page"/>
      </w:r>
    </w:p>
    <w:p w:rsidR="008835EB" w:rsidRDefault="008835EB" w:rsidP="008835EB">
      <w:pPr>
        <w:pStyle w:val="SubHeading"/>
      </w:pPr>
      <w:bookmarkStart w:id="371" w:name="_Toc456689857"/>
      <w:r>
        <w:lastRenderedPageBreak/>
        <w:t>Cash Flow Reconciliation</w:t>
      </w:r>
      <w:bookmarkEnd w:id="371"/>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7598" w:type="dxa"/>
            <w:gridSpan w:val="2"/>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Reconciliation of net cost of services to net cash from (used by) operating activities</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Net cost of services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(300,187)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(308,138)</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Revenue from Government</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280,305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295,989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Adjustments for non-cash items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First time recognition of non-financial assets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(266)</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Reversal of impairment losses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Depreciation / amortisation</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21,861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27,875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Net write-down and impairment of non-financial assets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367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830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Net losses from sale of assets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463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224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Finance costs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95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474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Asset other movements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(153)</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Movements in assets and liabilities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Assets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Increase in net receivables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(9,853)</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(39,504)</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Decrease in accrued revenue</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2,330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(1,490)</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Decrease in prepayments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2,376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4,039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Liabilities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Increase in employee provisions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4,733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3,036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Increase in supplier payables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1,865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10,157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Decrease in other provisions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(3,867)</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3,667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Decrease in unearned income</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(2,718)</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1,434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Increase in other payables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741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4,337 </w:t>
            </w:r>
          </w:p>
        </w:tc>
      </w:tr>
      <w:tr w:rsidR="008835EB" w:rsidTr="007E3F2E">
        <w:trPr>
          <w:trHeight w:val="27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Net cash from operating activities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(1,819)</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2,511</w:t>
            </w:r>
          </w:p>
        </w:tc>
      </w:tr>
    </w:tbl>
    <w:p w:rsidR="008835EB" w:rsidRDefault="008835EB" w:rsidP="008835EB">
      <w:pPr>
        <w:pStyle w:val="GreyShadeTableBreak"/>
      </w:pPr>
    </w:p>
    <w:p w:rsidR="008835EB" w:rsidRDefault="008835EB" w:rsidP="008835EB">
      <w:pPr>
        <w:pStyle w:val="GreyShadeTableBreak"/>
        <w:rPr>
          <w:b/>
        </w:rPr>
      </w:pPr>
      <w:r w:rsidRPr="004B520A">
        <w:rPr>
          <w:b/>
        </w:rPr>
        <w:t>Administered</w:t>
      </w:r>
    </w:p>
    <w:p w:rsidR="008835EB" w:rsidRPr="004B520A" w:rsidRDefault="008835EB" w:rsidP="008835EB">
      <w:pPr>
        <w:pStyle w:val="GreyShadeTableBreak"/>
        <w:rPr>
          <w:b/>
        </w:rPr>
      </w:pPr>
    </w:p>
    <w:tbl>
      <w:tblPr>
        <w:tblW w:w="9087" w:type="dxa"/>
        <w:tblInd w:w="80" w:type="dxa"/>
        <w:tblLayout w:type="fixed"/>
        <w:tblLook w:val="04A0" w:firstRow="1" w:lastRow="0" w:firstColumn="1" w:lastColumn="0" w:noHBand="0" w:noVBand="1"/>
      </w:tblPr>
      <w:tblGrid>
        <w:gridCol w:w="6206"/>
        <w:gridCol w:w="1305"/>
        <w:gridCol w:w="271"/>
        <w:gridCol w:w="1305"/>
      </w:tblGrid>
      <w:tr w:rsidR="008835EB" w:rsidTr="007E3F2E">
        <w:trPr>
          <w:trHeight w:val="255"/>
        </w:trPr>
        <w:tc>
          <w:tcPr>
            <w:tcW w:w="7232" w:type="dxa"/>
            <w:gridSpan w:val="2"/>
            <w:tcBorders>
              <w:top w:val="single" w:sz="4" w:space="0" w:color="D9D9D9"/>
              <w:left w:val="nil"/>
              <w:bottom w:val="single" w:sz="4" w:space="0" w:color="D9D9D9"/>
              <w:right w:val="nil"/>
            </w:tcBorders>
            <w:shd w:val="clear" w:color="000000" w:fill="D9D9D9"/>
            <w:vAlign w:val="bottom"/>
            <w:hideMark/>
          </w:tcPr>
          <w:p w:rsidR="008835EB" w:rsidRDefault="008835EB" w:rsidP="007E3F2E">
            <w:pPr>
              <w:rPr>
                <w:rFonts w:cs="Calibri"/>
                <w:b/>
                <w:bCs/>
                <w:szCs w:val="18"/>
              </w:rPr>
            </w:pPr>
            <w:bookmarkStart w:id="372" w:name="RANGE!E7:E29"/>
            <w:bookmarkStart w:id="373" w:name="Note_AFRTABLE1" w:colFirst="0" w:colLast="0"/>
            <w:r>
              <w:rPr>
                <w:rFonts w:cs="Calibri"/>
                <w:b/>
                <w:bCs/>
                <w:szCs w:val="18"/>
              </w:rPr>
              <w:t>Reconciliation of net cost of services to net cash from/(used by) operating activities</w:t>
            </w:r>
            <w:bookmarkEnd w:id="372"/>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bookmarkEnd w:id="373"/>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Net cost of services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(1,367,327)</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(1,763,321)</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GST appropriation</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(106,756)</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Return of GST appropriation</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99,229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97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Adjustments for non-cash items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Net write down of non-financial assets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155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97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Movements in assets/liabilities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97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Assets</w:t>
            </w:r>
          </w:p>
        </w:tc>
        <w:tc>
          <w:tcPr>
            <w:tcW w:w="125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Increase in net receivables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(10,213)</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(8,987)</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Increase in other non-financial assets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(307)</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(46)</w:t>
            </w:r>
          </w:p>
        </w:tc>
      </w:tr>
      <w:tr w:rsidR="008835EB" w:rsidTr="007E3F2E">
        <w:trPr>
          <w:trHeight w:val="255"/>
        </w:trPr>
        <w:tc>
          <w:tcPr>
            <w:tcW w:w="597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Liabilities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Decrease in supplier payables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(38,496)</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105,432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Decrease in subsidies payable</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(28,438)</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10,163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Decrease in personal benefits payable</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(3,938)</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(2,749)</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Increase in other payables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15,003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23,141 </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Increase in grants payable</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2,168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(459)</w:t>
            </w:r>
          </w:p>
        </w:tc>
      </w:tr>
      <w:tr w:rsidR="008835EB" w:rsidTr="007E3F2E">
        <w:trPr>
          <w:trHeight w:val="255"/>
        </w:trPr>
        <w:tc>
          <w:tcPr>
            <w:tcW w:w="597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Increase in GST payable</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840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70"/>
        </w:trPr>
        <w:tc>
          <w:tcPr>
            <w:tcW w:w="5976"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Net cash used by operating activities</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(1,438,235)</w:t>
            </w:r>
          </w:p>
        </w:tc>
        <w:tc>
          <w:tcPr>
            <w:tcW w:w="261"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(1,636,671)</w:t>
            </w:r>
          </w:p>
        </w:tc>
      </w:tr>
    </w:tbl>
    <w:p w:rsidR="008835EB" w:rsidRDefault="008835EB" w:rsidP="008835EB">
      <w:pPr>
        <w:spacing w:line="240" w:lineRule="auto"/>
        <w:rPr>
          <w:rFonts w:ascii="Arial Bold" w:hAnsi="Arial Bold"/>
          <w:b/>
          <w:color w:val="FFFFFF" w:themeColor="background1"/>
          <w:sz w:val="24"/>
        </w:rPr>
      </w:pPr>
      <w:bookmarkStart w:id="374" w:name="RANGE!E7:H27"/>
      <w:bookmarkStart w:id="375" w:name="_Toc443469544"/>
      <w:bookmarkStart w:id="376" w:name="_Toc444065799"/>
      <w:bookmarkStart w:id="377" w:name="_Toc444077357"/>
      <w:bookmarkStart w:id="378" w:name="_Toc456689858"/>
      <w:bookmarkStart w:id="379" w:name="_Toc416956177"/>
      <w:bookmarkEnd w:id="374"/>
      <w:r>
        <w:rPr>
          <w:rFonts w:ascii="Arial Bold" w:hAnsi="Arial Bold"/>
          <w:b/>
          <w:color w:val="FFFFFF" w:themeColor="background1"/>
          <w:sz w:val="24"/>
        </w:rPr>
        <w:br w:type="page"/>
      </w:r>
    </w:p>
    <w:p w:rsidR="008835EB" w:rsidRDefault="008835EB" w:rsidP="008835EB">
      <w:pPr>
        <w:pStyle w:val="SectionHeading"/>
      </w:pPr>
      <w:r>
        <w:lastRenderedPageBreak/>
        <w:t>People and Relationships</w:t>
      </w:r>
      <w:bookmarkEnd w:id="375"/>
      <w:bookmarkEnd w:id="376"/>
      <w:bookmarkEnd w:id="377"/>
      <w:bookmarkEnd w:id="378"/>
    </w:p>
    <w:p w:rsidR="008835EB" w:rsidRDefault="008835EB" w:rsidP="008835EB">
      <w:pPr>
        <w:spacing w:after="120"/>
      </w:pPr>
      <w:r w:rsidRPr="00185212">
        <w:t>This section describes a range of employment and post-employment benefits provided to our people and our relationships with other key people.</w:t>
      </w:r>
    </w:p>
    <w:p w:rsidR="008835EB" w:rsidRDefault="008835EB" w:rsidP="008835EB">
      <w:pPr>
        <w:pStyle w:val="SubHeading"/>
      </w:pPr>
      <w:bookmarkStart w:id="380" w:name="_Toc456689859"/>
      <w:r>
        <w:t>Employee Provisions</w:t>
      </w:r>
      <w:bookmarkEnd w:id="380"/>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bookmarkStart w:id="381" w:name="Note_PROTABLE1" w:colFirst="0" w:colLast="0"/>
            <w:r>
              <w:rPr>
                <w:rFonts w:cs="Calibri"/>
                <w:szCs w:val="18"/>
              </w:rPr>
              <w:t> </w:t>
            </w:r>
          </w:p>
        </w:tc>
        <w:tc>
          <w:tcPr>
            <w:tcW w:w="123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w:t>
            </w:r>
          </w:p>
        </w:tc>
      </w:tr>
      <w:bookmarkEnd w:id="381"/>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r>
              <w:rPr>
                <w:rFonts w:cs="Calibri"/>
                <w:b/>
                <w:bCs/>
                <w:szCs w:val="18"/>
                <w:u w:val="single"/>
              </w:rPr>
              <w:t xml:space="preserve">Note </w:t>
            </w:r>
            <w:proofErr w:type="spellStart"/>
            <w:r>
              <w:rPr>
                <w:rFonts w:cs="Calibri"/>
                <w:b/>
                <w:bCs/>
                <w:szCs w:val="18"/>
                <w:u w:val="single"/>
              </w:rPr>
              <w:t>6.1A</w:t>
            </w:r>
            <w:proofErr w:type="spellEnd"/>
            <w:r>
              <w:rPr>
                <w:rFonts w:cs="Calibri"/>
                <w:b/>
                <w:bCs/>
                <w:szCs w:val="18"/>
                <w:u w:val="single"/>
              </w:rPr>
              <w:t>: Employee Provisions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Leave</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67,329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62,596</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employee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67,329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62,596</w:t>
            </w:r>
          </w:p>
        </w:tc>
      </w:tr>
      <w:tr w:rsidR="008835EB" w:rsidTr="007E3F2E">
        <w:trPr>
          <w:trHeight w:val="270"/>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color w:val="FF0000"/>
                <w:szCs w:val="18"/>
              </w:rPr>
            </w:pPr>
            <w:r>
              <w:rPr>
                <w:rFonts w:ascii="Arial" w:hAnsi="Arial" w:cs="Arial"/>
                <w:color w:val="FF0000"/>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Employee provisions expected to be settled</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No 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20,619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18,545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More than 12 months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46,710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44,051 </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employee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67,329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62,596</w:t>
            </w:r>
          </w:p>
        </w:tc>
      </w:tr>
    </w:tbl>
    <w:p w:rsidR="008835EB" w:rsidRPr="004A43F1" w:rsidRDefault="008835EB" w:rsidP="008835EB">
      <w:pPr>
        <w:pStyle w:val="PolicyheadingDept"/>
      </w:pPr>
      <w:r w:rsidRPr="004A43F1">
        <w:t>Accounting Policy</w:t>
      </w:r>
    </w:p>
    <w:p w:rsidR="008835EB" w:rsidRPr="00947672" w:rsidRDefault="008835EB" w:rsidP="008835EB">
      <w:pPr>
        <w:pStyle w:val="Policytextunderline"/>
      </w:pPr>
      <w:r w:rsidRPr="00947672">
        <w:t>Employee Benefits</w:t>
      </w:r>
    </w:p>
    <w:p w:rsidR="008835EB" w:rsidRDefault="008835EB" w:rsidP="008835EB">
      <w:pPr>
        <w:pStyle w:val="PolicytextDept"/>
      </w:pPr>
      <w:r w:rsidRPr="00947672">
        <w:t xml:space="preserve">Liabilities for ‘short-term employee benefits’ (as defined in </w:t>
      </w:r>
      <w:proofErr w:type="spellStart"/>
      <w:r w:rsidRPr="00947672">
        <w:t>AASB</w:t>
      </w:r>
      <w:proofErr w:type="spellEnd"/>
      <w:r w:rsidRPr="00947672">
        <w:t xml:space="preserve"> 119 </w:t>
      </w:r>
      <w:r w:rsidRPr="00947672">
        <w:rPr>
          <w:i/>
        </w:rPr>
        <w:t>Employee Benefits</w:t>
      </w:r>
      <w:r w:rsidRPr="00947672">
        <w:t>) and termination benefits expected within twelve months of the end of reporting period are measured at their nominal amounts.</w:t>
      </w:r>
      <w:r>
        <w:t xml:space="preserve"> </w:t>
      </w:r>
      <w:r w:rsidRPr="00947672">
        <w:t>The nominal amount is calculated with regard to the rates expected to be paid on settlement of the liability.</w:t>
      </w:r>
      <w:r>
        <w:t xml:space="preserve"> </w:t>
      </w:r>
    </w:p>
    <w:p w:rsidR="008835EB" w:rsidRPr="00947672" w:rsidRDefault="008835EB" w:rsidP="008835EB">
      <w:pPr>
        <w:pStyle w:val="PolicytextDept"/>
      </w:pPr>
      <w:r w:rsidRPr="00947672">
        <w:t>Other long-term employee benefits are measured as net total of the present value of the defined benefit obligation at the end of the reporting period minus the fair value at the end of the reporting period of plan assets (if any) out of which the obligations are to be settled directly.</w:t>
      </w:r>
    </w:p>
    <w:p w:rsidR="008835EB" w:rsidRPr="00947672" w:rsidRDefault="008835EB" w:rsidP="008835EB">
      <w:pPr>
        <w:pStyle w:val="Policytextunderline"/>
      </w:pPr>
      <w:r w:rsidRPr="00947672">
        <w:t>Leave</w:t>
      </w:r>
    </w:p>
    <w:p w:rsidR="008835EB" w:rsidRDefault="008835EB" w:rsidP="008835EB">
      <w:pPr>
        <w:pStyle w:val="PolicytextDept"/>
      </w:pPr>
      <w:r w:rsidRPr="00947672">
        <w:t xml:space="preserve">The liability for employee benefits includes provision for annual leave and long service leave. No provision has been made for sick leave as all sick </w:t>
      </w:r>
      <w:proofErr w:type="gramStart"/>
      <w:r w:rsidRPr="00947672">
        <w:t>leave</w:t>
      </w:r>
      <w:proofErr w:type="gramEnd"/>
      <w:r w:rsidRPr="00947672">
        <w:t xml:space="preserve"> is non-vesting and the average sick leave taken in fu</w:t>
      </w:r>
      <w:r>
        <w:t>ture years by employees of the D</w:t>
      </w:r>
      <w:r w:rsidRPr="00947672">
        <w:t>epartment is estimated to be less than the annual entitlement for sick leave.</w:t>
      </w:r>
    </w:p>
    <w:p w:rsidR="008835EB" w:rsidRDefault="008835EB" w:rsidP="008835EB">
      <w:pPr>
        <w:pStyle w:val="PolicytextDept"/>
      </w:pPr>
      <w:r w:rsidRPr="00947672">
        <w:t>The leave liabilities are calculated on the basis of employees’ remuneration at the estimated salary rates that will be applied at the time the</w:t>
      </w:r>
      <w:r>
        <w:t xml:space="preserve"> leave is taken, including the D</w:t>
      </w:r>
      <w:r w:rsidRPr="00947672">
        <w:t>epartment’s employer superannuation contribution rates, to the extent that the leave is likely to be taken during service rather than paid out on termination.</w:t>
      </w:r>
    </w:p>
    <w:p w:rsidR="008835EB" w:rsidRPr="00200687" w:rsidRDefault="008835EB" w:rsidP="008835EB">
      <w:pPr>
        <w:pStyle w:val="PolicytextDept"/>
      </w:pPr>
      <w:r w:rsidRPr="00200687">
        <w:t>The liability for long service leave has been determined by reference to the work of an actuary as at 30 June 201</w:t>
      </w:r>
      <w:r>
        <w:t xml:space="preserve">6. </w:t>
      </w:r>
      <w:r w:rsidRPr="00200687">
        <w:t>The estimate of the present value of the liability takes into account attrition rates and pay increases through promotion and inflation.</w:t>
      </w:r>
    </w:p>
    <w:p w:rsidR="008835EB" w:rsidRPr="00200687" w:rsidRDefault="008835EB" w:rsidP="008835EB">
      <w:pPr>
        <w:pStyle w:val="Policytextunderline"/>
      </w:pPr>
      <w:r w:rsidRPr="00200687">
        <w:t>Separation and Redundancy</w:t>
      </w:r>
    </w:p>
    <w:p w:rsidR="008835EB" w:rsidRPr="00200687" w:rsidRDefault="008835EB" w:rsidP="008835EB">
      <w:pPr>
        <w:pStyle w:val="PolicytextDept"/>
      </w:pPr>
      <w:r w:rsidRPr="00200687">
        <w:t>Provision is made for separation an</w:t>
      </w:r>
      <w:r>
        <w:t>d redundancy benefit payments. The D</w:t>
      </w:r>
      <w:r w:rsidRPr="00200687">
        <w:t>epartment recognises a provision for termination when it has developed a detailed formal plan for the terminations and has informed those employees affected that it will carry out the terminations.</w:t>
      </w:r>
    </w:p>
    <w:p w:rsidR="008835EB" w:rsidRPr="00200687" w:rsidRDefault="008835EB" w:rsidP="008835EB">
      <w:pPr>
        <w:pStyle w:val="Policytextunderline"/>
      </w:pPr>
      <w:r w:rsidRPr="00200687">
        <w:t>Superannuation</w:t>
      </w:r>
    </w:p>
    <w:p w:rsidR="008835EB" w:rsidRDefault="008835EB" w:rsidP="008835EB">
      <w:pPr>
        <w:pStyle w:val="PolicytextDept"/>
        <w:spacing w:after="100"/>
      </w:pPr>
      <w:r w:rsidRPr="00947672">
        <w:t>The majority of the Department’s staff are members of the Commonwealth Superannuation Scheme (</w:t>
      </w:r>
      <w:proofErr w:type="spellStart"/>
      <w:r w:rsidRPr="00947672">
        <w:t>CSS</w:t>
      </w:r>
      <w:proofErr w:type="spellEnd"/>
      <w:r w:rsidRPr="00947672">
        <w:t>), the Public Sector Superannuation Scheme (PSS), the PSS accumulation plan (</w:t>
      </w:r>
      <w:proofErr w:type="spellStart"/>
      <w:r w:rsidRPr="00947672">
        <w:t>PSSap</w:t>
      </w:r>
      <w:proofErr w:type="spellEnd"/>
      <w:r w:rsidRPr="00947672">
        <w:t>) or the Australian Government Employees Superannuation Trust (</w:t>
      </w:r>
      <w:proofErr w:type="spellStart"/>
      <w:r w:rsidRPr="00947672">
        <w:t>AGEST</w:t>
      </w:r>
      <w:proofErr w:type="spellEnd"/>
      <w:r w:rsidRPr="00947672">
        <w:t>).</w:t>
      </w:r>
    </w:p>
    <w:p w:rsidR="008835EB" w:rsidRDefault="008835EB" w:rsidP="008835EB">
      <w:pPr>
        <w:pStyle w:val="PolicytextDept"/>
        <w:spacing w:after="100"/>
      </w:pPr>
      <w:r w:rsidRPr="00947672">
        <w:t xml:space="preserve">The </w:t>
      </w:r>
      <w:proofErr w:type="spellStart"/>
      <w:r w:rsidRPr="00947672">
        <w:t>CSS</w:t>
      </w:r>
      <w:proofErr w:type="spellEnd"/>
      <w:r w:rsidRPr="00947672">
        <w:t xml:space="preserve">, PSS and </w:t>
      </w:r>
      <w:proofErr w:type="spellStart"/>
      <w:r w:rsidRPr="00947672">
        <w:t>AGEST</w:t>
      </w:r>
      <w:proofErr w:type="spellEnd"/>
      <w:r w:rsidRPr="00947672">
        <w:t xml:space="preserve"> are defined benefit schemes </w:t>
      </w:r>
      <w:r>
        <w:t xml:space="preserve">for the Australian Government. </w:t>
      </w:r>
      <w:r w:rsidRPr="00947672">
        <w:t xml:space="preserve">The </w:t>
      </w:r>
      <w:proofErr w:type="spellStart"/>
      <w:r w:rsidRPr="00947672">
        <w:t>PSSap</w:t>
      </w:r>
      <w:proofErr w:type="spellEnd"/>
      <w:r w:rsidRPr="00947672">
        <w:t xml:space="preserve"> is a defined contribution scheme.</w:t>
      </w:r>
      <w:r>
        <w:t xml:space="preserve"> T</w:t>
      </w:r>
      <w:r w:rsidRPr="00947672">
        <w:t>he liability for defined benefits is recognised in the financial statements of the Australian Government and is settled by the Australian Government in due course. This liability is reported in the Department of Finance’s administered schedules and notes.</w:t>
      </w:r>
      <w:r>
        <w:t xml:space="preserve"> </w:t>
      </w:r>
    </w:p>
    <w:p w:rsidR="008835EB" w:rsidRDefault="008835EB" w:rsidP="008835EB">
      <w:pPr>
        <w:pStyle w:val="PolicytextDept"/>
        <w:spacing w:after="100"/>
      </w:pPr>
      <w:r>
        <w:t>The D</w:t>
      </w:r>
      <w:r w:rsidRPr="00200687">
        <w:t>epartment makes employer contributions to the employee’s superannuation scheme at rates determined by an actuary to be sufficient to meet the c</w:t>
      </w:r>
      <w:r>
        <w:t>urrent cost to the Government. The D</w:t>
      </w:r>
      <w:r w:rsidRPr="00200687">
        <w:t>epartment accounts for the contributions as if they were contributions to defined contribution plans.</w:t>
      </w:r>
    </w:p>
    <w:p w:rsidR="008835EB" w:rsidRDefault="008835EB" w:rsidP="008835EB">
      <w:pPr>
        <w:pStyle w:val="PolicytextDept"/>
        <w:spacing w:after="100"/>
      </w:pPr>
      <w:r w:rsidRPr="00200687">
        <w:t xml:space="preserve">The liability for superannuation recognised as at 30 June </w:t>
      </w:r>
      <w:r w:rsidR="00FA455C">
        <w:t>2016</w:t>
      </w:r>
      <w:r>
        <w:t xml:space="preserve"> </w:t>
      </w:r>
      <w:r w:rsidRPr="00200687">
        <w:t>represents outstanding contributions for the final fortnight of the year.</w:t>
      </w:r>
      <w:r>
        <w:br w:type="page"/>
      </w:r>
    </w:p>
    <w:p w:rsidR="008835EB" w:rsidRPr="003E50C6" w:rsidRDefault="008835EB" w:rsidP="008835EB">
      <w:pPr>
        <w:pStyle w:val="SubHeading"/>
      </w:pPr>
      <w:bookmarkStart w:id="382" w:name="_Toc456689860"/>
      <w:r w:rsidRPr="004A40AC">
        <w:lastRenderedPageBreak/>
        <w:t>Senior Management Personnel Remuneration</w:t>
      </w:r>
      <w:bookmarkEnd w:id="379"/>
      <w:bookmarkEnd w:id="382"/>
    </w:p>
    <w:p w:rsidR="008835EB" w:rsidRDefault="008835EB" w:rsidP="008835EB"/>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8982" w:type="dxa"/>
            <w:gridSpan w:val="4"/>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bookmarkStart w:id="383" w:name="Note_ERETABLE1" w:colFirst="0" w:colLast="0"/>
            <w:r>
              <w:rPr>
                <w:rFonts w:cs="Calibri"/>
                <w:b/>
                <w:bCs/>
                <w:szCs w:val="18"/>
                <w:u w:val="single"/>
              </w:rPr>
              <w:t xml:space="preserve">Note </w:t>
            </w:r>
            <w:proofErr w:type="spellStart"/>
            <w:r>
              <w:rPr>
                <w:rFonts w:cs="Calibri"/>
                <w:b/>
                <w:bCs/>
                <w:szCs w:val="18"/>
                <w:u w:val="single"/>
              </w:rPr>
              <w:t>6.3A</w:t>
            </w:r>
            <w:proofErr w:type="spellEnd"/>
            <w:r>
              <w:rPr>
                <w:rFonts w:cs="Calibri"/>
                <w:b/>
                <w:bCs/>
                <w:szCs w:val="18"/>
                <w:u w:val="single"/>
              </w:rPr>
              <w:t>: Senior Management Personnel Remuneration</w:t>
            </w:r>
          </w:p>
        </w:tc>
      </w:tr>
      <w:bookmarkEnd w:id="383"/>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Short-term employee benefits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Salary</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12,019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12,055 </w:t>
            </w:r>
          </w:p>
        </w:tc>
      </w:tr>
      <w:tr w:rsidR="008835EB" w:rsidTr="007E3F2E">
        <w:trPr>
          <w:trHeight w:val="28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proofErr w:type="spellStart"/>
            <w:r>
              <w:rPr>
                <w:rFonts w:cs="Calibri"/>
                <w:szCs w:val="18"/>
              </w:rPr>
              <w:t>Other</w:t>
            </w:r>
            <w:r>
              <w:rPr>
                <w:rFonts w:cs="Calibri"/>
                <w:szCs w:val="18"/>
                <w:vertAlign w:val="superscript"/>
              </w:rPr>
              <w:t>1</w:t>
            </w:r>
            <w:proofErr w:type="spellEnd"/>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2,177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2,357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short-term employee benefits</w:t>
            </w:r>
          </w:p>
        </w:tc>
        <w:tc>
          <w:tcPr>
            <w:tcW w:w="12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14,196</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14,412</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Post-employment benefits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Superannuation</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2,453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2,107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post-employment benefits</w:t>
            </w:r>
          </w:p>
        </w:tc>
        <w:tc>
          <w:tcPr>
            <w:tcW w:w="12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2,453</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2,107</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Other long-term employee benefits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Annual leave accrued</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891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990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Long-service leave</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299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670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other long-term employee benefits</w:t>
            </w:r>
          </w:p>
        </w:tc>
        <w:tc>
          <w:tcPr>
            <w:tcW w:w="12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1,190</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1,660</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Termination benefits</w:t>
            </w:r>
          </w:p>
        </w:tc>
        <w:tc>
          <w:tcPr>
            <w:tcW w:w="123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272"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Separation and redundancy payments</w:t>
            </w:r>
          </w:p>
        </w:tc>
        <w:tc>
          <w:tcPr>
            <w:tcW w:w="123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135 </w:t>
            </w:r>
          </w:p>
        </w:tc>
      </w:tr>
      <w:tr w:rsidR="008835EB" w:rsidTr="007E3F2E">
        <w:trPr>
          <w:trHeight w:val="255"/>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termination benefits</w:t>
            </w:r>
          </w:p>
        </w:tc>
        <w:tc>
          <w:tcPr>
            <w:tcW w:w="123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3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135</w:t>
            </w:r>
          </w:p>
        </w:tc>
      </w:tr>
      <w:tr w:rsidR="008835EB" w:rsidTr="007E3F2E">
        <w:trPr>
          <w:trHeight w:val="270"/>
        </w:trPr>
        <w:tc>
          <w:tcPr>
            <w:tcW w:w="6272"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senior executive remuneration expenses</w:t>
            </w:r>
          </w:p>
        </w:tc>
        <w:tc>
          <w:tcPr>
            <w:tcW w:w="1238"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17,839</w:t>
            </w:r>
          </w:p>
        </w:tc>
        <w:tc>
          <w:tcPr>
            <w:tcW w:w="23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36" w:type="dxa"/>
            <w:tcBorders>
              <w:top w:val="nil"/>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18,314</w:t>
            </w:r>
          </w:p>
        </w:tc>
      </w:tr>
    </w:tbl>
    <w:p w:rsidR="008835EB" w:rsidRDefault="008835EB" w:rsidP="008835EB">
      <w:pPr>
        <w:pStyle w:val="ReportText"/>
        <w:spacing w:before="240" w:after="120"/>
        <w:ind w:right="567"/>
      </w:pPr>
      <w:r w:rsidRPr="00697675">
        <w:t>1.</w:t>
      </w:r>
      <w:r>
        <w:t xml:space="preserve"> Other includes motor vehicle allowances, other allowances and reportable fringe benefits.</w:t>
      </w:r>
    </w:p>
    <w:p w:rsidR="008835EB" w:rsidRDefault="008835EB" w:rsidP="008835EB">
      <w:pPr>
        <w:pStyle w:val="ReportText"/>
        <w:spacing w:before="120" w:after="120"/>
        <w:ind w:right="567"/>
      </w:pPr>
      <w:r>
        <w:t xml:space="preserve">The total number of senior management personnel that are included in the above table is </w:t>
      </w:r>
      <w:r w:rsidRPr="00EE56E7">
        <w:t xml:space="preserve">68 </w:t>
      </w:r>
      <w:r w:rsidRPr="0073408E">
        <w:t>(</w:t>
      </w:r>
      <w:r w:rsidR="00FA455C">
        <w:t>2015</w:t>
      </w:r>
      <w:r w:rsidRPr="0073408E">
        <w:t>: 66).</w:t>
      </w:r>
    </w:p>
    <w:p w:rsidR="008835EB" w:rsidRDefault="008835EB" w:rsidP="008835EB">
      <w:pPr>
        <w:pStyle w:val="ReportText"/>
        <w:spacing w:before="120" w:after="120"/>
        <w:ind w:right="567"/>
      </w:pPr>
      <w:r>
        <w:t>This note was prepared on an accrual basis and excludes acting arrangements, unless these are deemed to be significant long-term acting.</w:t>
      </w:r>
    </w:p>
    <w:p w:rsidR="008835EB" w:rsidRDefault="008835EB" w:rsidP="008835EB">
      <w:pPr>
        <w:pStyle w:val="ReportText"/>
        <w:spacing w:before="120" w:after="120"/>
        <w:ind w:right="567"/>
      </w:pPr>
      <w:r>
        <w:t>A</w:t>
      </w:r>
      <w:r w:rsidRPr="00747E05">
        <w:t>ll substantive SES are included as headcount in the note regardless of time engaged with the agency for the reporting period or dollar value of remuneration. Acco</w:t>
      </w:r>
      <w:r>
        <w:t>rdingly SES staff movements may</w:t>
      </w:r>
      <w:r w:rsidRPr="00747E05">
        <w:t xml:space="preserve"> result in SES numbers that exceed the number of SES positions.</w:t>
      </w:r>
    </w:p>
    <w:p w:rsidR="008835EB" w:rsidRDefault="008835EB" w:rsidP="008835EB">
      <w:pPr>
        <w:spacing w:line="240" w:lineRule="auto"/>
        <w:rPr>
          <w:rFonts w:asciiTheme="minorHAnsi" w:hAnsiTheme="minorHAnsi" w:cstheme="minorHAnsi"/>
          <w:lang w:eastAsia="en-AU"/>
        </w:rPr>
      </w:pPr>
      <w:r>
        <w:br w:type="page"/>
      </w:r>
    </w:p>
    <w:p w:rsidR="008835EB" w:rsidRDefault="008835EB" w:rsidP="008835EB">
      <w:pPr>
        <w:pStyle w:val="SectionHeading"/>
      </w:pPr>
      <w:bookmarkStart w:id="384" w:name="_Toc443469547"/>
      <w:bookmarkStart w:id="385" w:name="_Toc444065802"/>
      <w:bookmarkStart w:id="386" w:name="_Toc444077360"/>
      <w:bookmarkStart w:id="387" w:name="_Toc456689861"/>
      <w:bookmarkStart w:id="388" w:name="_Ref317489574"/>
      <w:r>
        <w:lastRenderedPageBreak/>
        <w:t>Managing Uncertainties</w:t>
      </w:r>
      <w:bookmarkEnd w:id="384"/>
      <w:bookmarkEnd w:id="385"/>
      <w:bookmarkEnd w:id="386"/>
      <w:bookmarkEnd w:id="387"/>
    </w:p>
    <w:p w:rsidR="008835EB" w:rsidRDefault="008835EB" w:rsidP="008835EB">
      <w:pPr>
        <w:spacing w:after="120"/>
      </w:pPr>
      <w:r w:rsidRPr="00185212">
        <w:t xml:space="preserve">This section analyses how the </w:t>
      </w:r>
      <w:r w:rsidR="00FA455C">
        <w:t>Department of Employment</w:t>
      </w:r>
      <w:r>
        <w:t xml:space="preserve"> </w:t>
      </w:r>
      <w:r w:rsidRPr="00185212">
        <w:t>manages financial risks within its operating environment.</w:t>
      </w:r>
    </w:p>
    <w:p w:rsidR="008835EB" w:rsidRDefault="008835EB" w:rsidP="008835EB">
      <w:pPr>
        <w:pStyle w:val="SubHeading"/>
      </w:pPr>
      <w:bookmarkStart w:id="389" w:name="_Toc456689862"/>
      <w:r>
        <w:t>Contingent Assets and Liabilities</w:t>
      </w:r>
      <w:bookmarkEnd w:id="388"/>
      <w:bookmarkEnd w:id="389"/>
    </w:p>
    <w:tbl>
      <w:tblPr>
        <w:tblW w:w="9087" w:type="dxa"/>
        <w:tblInd w:w="80" w:type="dxa"/>
        <w:tblLayout w:type="fixed"/>
        <w:tblLook w:val="04A0" w:firstRow="1" w:lastRow="0" w:firstColumn="1" w:lastColumn="0" w:noHBand="0" w:noVBand="1"/>
      </w:tblPr>
      <w:tblGrid>
        <w:gridCol w:w="3511"/>
        <w:gridCol w:w="1394"/>
        <w:gridCol w:w="1394"/>
        <w:gridCol w:w="1394"/>
        <w:gridCol w:w="1394"/>
      </w:tblGrid>
      <w:tr w:rsidR="008835EB" w:rsidTr="007E3F2E">
        <w:trPr>
          <w:trHeight w:val="255"/>
        </w:trPr>
        <w:tc>
          <w:tcPr>
            <w:tcW w:w="341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bookmarkStart w:id="390" w:name="Note_CLATABLE1" w:colFirst="0" w:colLast="0"/>
            <w:r>
              <w:rPr>
                <w:rFonts w:ascii="Arial" w:hAnsi="Arial" w:cs="Arial"/>
                <w:b/>
                <w:bCs/>
                <w:szCs w:val="18"/>
              </w:rPr>
              <w:t> </w:t>
            </w:r>
          </w:p>
        </w:tc>
        <w:tc>
          <w:tcPr>
            <w:tcW w:w="2712" w:type="dxa"/>
            <w:gridSpan w:val="2"/>
            <w:tcBorders>
              <w:top w:val="nil"/>
              <w:left w:val="nil"/>
              <w:bottom w:val="nil"/>
              <w:right w:val="nil"/>
            </w:tcBorders>
            <w:shd w:val="clear" w:color="FFFFFF" w:fill="FFFFFF"/>
            <w:vAlign w:val="bottom"/>
            <w:hideMark/>
          </w:tcPr>
          <w:p w:rsidR="008835EB" w:rsidRDefault="008835EB" w:rsidP="007E3F2E">
            <w:pPr>
              <w:jc w:val="center"/>
              <w:rPr>
                <w:rFonts w:cs="Calibri"/>
                <w:b/>
                <w:bCs/>
                <w:szCs w:val="18"/>
              </w:rPr>
            </w:pPr>
            <w:r>
              <w:rPr>
                <w:rFonts w:cs="Calibri"/>
                <w:b/>
                <w:bCs/>
                <w:szCs w:val="18"/>
              </w:rPr>
              <w:t>Claims for Damages and Costs</w:t>
            </w:r>
          </w:p>
        </w:tc>
        <w:tc>
          <w:tcPr>
            <w:tcW w:w="2712" w:type="dxa"/>
            <w:gridSpan w:val="2"/>
            <w:tcBorders>
              <w:top w:val="nil"/>
              <w:left w:val="nil"/>
              <w:bottom w:val="nil"/>
              <w:right w:val="nil"/>
            </w:tcBorders>
            <w:shd w:val="clear" w:color="FFFFFF" w:fill="FFFFFF"/>
            <w:vAlign w:val="bottom"/>
            <w:hideMark/>
          </w:tcPr>
          <w:p w:rsidR="008835EB" w:rsidRDefault="008835EB" w:rsidP="007E3F2E">
            <w:pPr>
              <w:jc w:val="center"/>
              <w:rPr>
                <w:rFonts w:cs="Calibri"/>
                <w:b/>
                <w:bCs/>
                <w:szCs w:val="18"/>
              </w:rPr>
            </w:pPr>
            <w:r>
              <w:rPr>
                <w:rFonts w:cs="Calibri"/>
                <w:b/>
                <w:bCs/>
                <w:szCs w:val="18"/>
              </w:rPr>
              <w:t>Total</w:t>
            </w:r>
          </w:p>
        </w:tc>
      </w:tr>
      <w:bookmarkEnd w:id="390"/>
      <w:tr w:rsidR="008835EB" w:rsidTr="007E3F2E">
        <w:trPr>
          <w:trHeight w:val="255"/>
        </w:trPr>
        <w:tc>
          <w:tcPr>
            <w:tcW w:w="341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356"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Contingent liabilities</w:t>
            </w:r>
          </w:p>
        </w:tc>
        <w:tc>
          <w:tcPr>
            <w:tcW w:w="135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35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35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35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Balance from previous period</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308 </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180 </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308</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180</w:t>
            </w:r>
          </w:p>
        </w:tc>
      </w:tr>
      <w:tr w:rsidR="008835EB" w:rsidTr="007E3F2E">
        <w:trPr>
          <w:trHeight w:val="270"/>
        </w:trPr>
        <w:tc>
          <w:tcPr>
            <w:tcW w:w="341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New contingent liabilities recognised</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125 </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125</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Re-measurement</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 </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3</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Liabilities realised</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(112)</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(112)</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Obligations expired</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(196)</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(196)</w:t>
            </w:r>
          </w:p>
        </w:tc>
        <w:tc>
          <w:tcPr>
            <w:tcW w:w="1356"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Total contingent liabilities</w:t>
            </w:r>
          </w:p>
        </w:tc>
        <w:tc>
          <w:tcPr>
            <w:tcW w:w="135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35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308</w:t>
            </w:r>
          </w:p>
        </w:tc>
        <w:tc>
          <w:tcPr>
            <w:tcW w:w="135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356"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308</w:t>
            </w:r>
          </w:p>
        </w:tc>
      </w:tr>
      <w:tr w:rsidR="008835EB" w:rsidTr="007E3F2E">
        <w:trPr>
          <w:trHeight w:val="255"/>
        </w:trPr>
        <w:tc>
          <w:tcPr>
            <w:tcW w:w="341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Net contingent liabilities</w:t>
            </w:r>
          </w:p>
        </w:tc>
        <w:tc>
          <w:tcPr>
            <w:tcW w:w="135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35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(308)</w:t>
            </w:r>
          </w:p>
        </w:tc>
        <w:tc>
          <w:tcPr>
            <w:tcW w:w="135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356"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(308)</w:t>
            </w:r>
          </w:p>
        </w:tc>
      </w:tr>
    </w:tbl>
    <w:p w:rsidR="008835EB" w:rsidRPr="00963F8F" w:rsidRDefault="008835EB" w:rsidP="008835EB">
      <w:pPr>
        <w:pStyle w:val="ReportText"/>
        <w:spacing w:before="240"/>
        <w:ind w:right="567"/>
        <w:rPr>
          <w:i/>
          <w:u w:val="single"/>
        </w:rPr>
      </w:pPr>
      <w:bookmarkStart w:id="391" w:name="RANGE!D7:K24"/>
      <w:bookmarkStart w:id="392" w:name="RANGE!D7:K23"/>
      <w:bookmarkStart w:id="393" w:name="RANGE!D6:K22"/>
      <w:bookmarkStart w:id="394" w:name="RANGE!D6:K24"/>
      <w:bookmarkEnd w:id="391"/>
      <w:bookmarkEnd w:id="392"/>
      <w:bookmarkEnd w:id="393"/>
      <w:bookmarkEnd w:id="394"/>
      <w:r w:rsidRPr="00963F8F">
        <w:rPr>
          <w:i/>
          <w:u w:val="single"/>
        </w:rPr>
        <w:t>Quantifiable Contingencies</w:t>
      </w:r>
    </w:p>
    <w:p w:rsidR="008835EB" w:rsidRPr="00EB1043" w:rsidRDefault="008835EB" w:rsidP="008835EB">
      <w:pPr>
        <w:pStyle w:val="ReportText"/>
      </w:pPr>
      <w:r>
        <w:t>The Department does not have any new quantifiable contingencies</w:t>
      </w:r>
      <w:r w:rsidRPr="00EB1043">
        <w:t>.</w:t>
      </w:r>
      <w:r>
        <w:t xml:space="preserve"> All prior year contingencies have been realised or expired.</w:t>
      </w:r>
    </w:p>
    <w:p w:rsidR="008835EB" w:rsidRPr="00963F8F" w:rsidRDefault="008835EB" w:rsidP="008835EB">
      <w:pPr>
        <w:pStyle w:val="ReportText"/>
        <w:rPr>
          <w:i/>
          <w:u w:val="single"/>
        </w:rPr>
      </w:pPr>
      <w:r w:rsidRPr="00963F8F">
        <w:rPr>
          <w:i/>
          <w:u w:val="single"/>
        </w:rPr>
        <w:t>Unquantifiable Contingencies</w:t>
      </w:r>
    </w:p>
    <w:p w:rsidR="008835EB" w:rsidRDefault="008835EB" w:rsidP="008835EB">
      <w:pPr>
        <w:pStyle w:val="ReportText"/>
      </w:pPr>
      <w:r>
        <w:t xml:space="preserve">As at 30 June </w:t>
      </w:r>
      <w:r w:rsidR="00FA455C">
        <w:t>2016</w:t>
      </w:r>
      <w:r>
        <w:t>, the D</w:t>
      </w:r>
      <w:r w:rsidRPr="00EB1043">
        <w:t>epartment had no contingent liabilities likely to be paid in respect of damages and claims that are not quantifiable.</w:t>
      </w:r>
    </w:p>
    <w:p w:rsidR="008835EB" w:rsidRPr="00EB1043" w:rsidRDefault="008835EB" w:rsidP="008835EB">
      <w:pPr>
        <w:pStyle w:val="ReportText"/>
      </w:pPr>
      <w:r>
        <w:t>The Department has one unquantifiable contingent asset in respect of recovery of employee entitlements paid under Act of Grace.</w:t>
      </w:r>
    </w:p>
    <w:p w:rsidR="008835EB" w:rsidRDefault="008835EB" w:rsidP="008835EB">
      <w:pPr>
        <w:pStyle w:val="PolicyheadingDept"/>
      </w:pPr>
      <w:r>
        <w:t>Accounting Policy</w:t>
      </w:r>
    </w:p>
    <w:p w:rsidR="008835EB" w:rsidRPr="00200687" w:rsidRDefault="008835EB" w:rsidP="008835EB">
      <w:pPr>
        <w:pStyle w:val="Policytextunderline"/>
      </w:pPr>
      <w:r w:rsidRPr="00200687">
        <w:t>Contingent Assets and Contingent Liabilities</w:t>
      </w:r>
    </w:p>
    <w:p w:rsidR="008835EB" w:rsidRDefault="008835EB" w:rsidP="008835EB">
      <w:pPr>
        <w:pStyle w:val="PolicytextDept"/>
        <w:spacing w:after="0"/>
      </w:pPr>
      <w:r w:rsidRPr="00200687">
        <w:rPr>
          <w:lang w:eastAsia="en-AU"/>
        </w:rPr>
        <w:t>Contingent liabilities and contingent assets are not recognised in the Statement of Financial Position but are reporte</w:t>
      </w:r>
      <w:r>
        <w:rPr>
          <w:lang w:eastAsia="en-AU"/>
        </w:rPr>
        <w:t xml:space="preserve">d in the relevant notes. </w:t>
      </w:r>
      <w:r w:rsidRPr="00200687">
        <w:rPr>
          <w:lang w:eastAsia="en-AU"/>
        </w:rPr>
        <w:t>They may arise from uncertainty as to the existence of a liability or asset or represent an asset or liability in respect of which the amount cannot be reliably measured. Contingent assets are disclosed when settlement is probable but not virtually certain and contingent liabilities are disclosed when settlement is greater than remote</w:t>
      </w:r>
      <w:r w:rsidRPr="00200687">
        <w:t>.</w:t>
      </w:r>
    </w:p>
    <w:p w:rsidR="008835EB" w:rsidRDefault="008835EB" w:rsidP="008835EB">
      <w:pPr>
        <w:spacing w:line="240" w:lineRule="auto"/>
      </w:pPr>
      <w:r>
        <w:br w:type="page"/>
      </w:r>
    </w:p>
    <w:p w:rsidR="008835EB" w:rsidRPr="004B520A" w:rsidRDefault="008835EB" w:rsidP="008835EB">
      <w:pPr>
        <w:pStyle w:val="GreyShadeTableBreak"/>
        <w:rPr>
          <w:b/>
        </w:rPr>
      </w:pPr>
      <w:r w:rsidRPr="004B520A">
        <w:rPr>
          <w:b/>
        </w:rPr>
        <w:lastRenderedPageBreak/>
        <w:t>Administered</w:t>
      </w:r>
    </w:p>
    <w:tbl>
      <w:tblPr>
        <w:tblW w:w="9087" w:type="dxa"/>
        <w:tblInd w:w="80" w:type="dxa"/>
        <w:tblLayout w:type="fixed"/>
        <w:tblLook w:val="04A0" w:firstRow="1" w:lastRow="0" w:firstColumn="1" w:lastColumn="0" w:noHBand="0" w:noVBand="1"/>
      </w:tblPr>
      <w:tblGrid>
        <w:gridCol w:w="3511"/>
        <w:gridCol w:w="1394"/>
        <w:gridCol w:w="1394"/>
        <w:gridCol w:w="1394"/>
        <w:gridCol w:w="1394"/>
      </w:tblGrid>
      <w:tr w:rsidR="008835EB" w:rsidTr="007E3F2E">
        <w:trPr>
          <w:trHeight w:val="255"/>
        </w:trPr>
        <w:tc>
          <w:tcPr>
            <w:tcW w:w="341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bookmarkStart w:id="395" w:name="Note_ACLTABLE1" w:colFirst="0" w:colLast="0"/>
            <w:r>
              <w:rPr>
                <w:rFonts w:ascii="Arial" w:hAnsi="Arial" w:cs="Arial"/>
                <w:sz w:val="16"/>
                <w:szCs w:val="16"/>
              </w:rPr>
              <w:t> </w:t>
            </w:r>
          </w:p>
        </w:tc>
        <w:tc>
          <w:tcPr>
            <w:tcW w:w="2712" w:type="dxa"/>
            <w:gridSpan w:val="2"/>
            <w:tcBorders>
              <w:top w:val="nil"/>
              <w:left w:val="nil"/>
              <w:bottom w:val="nil"/>
              <w:right w:val="nil"/>
            </w:tcBorders>
            <w:shd w:val="clear" w:color="000000" w:fill="D9D9D9"/>
            <w:vAlign w:val="bottom"/>
            <w:hideMark/>
          </w:tcPr>
          <w:p w:rsidR="008835EB" w:rsidRDefault="008835EB" w:rsidP="007E3F2E">
            <w:pPr>
              <w:jc w:val="center"/>
              <w:rPr>
                <w:rFonts w:cs="Calibri"/>
                <w:b/>
                <w:bCs/>
                <w:szCs w:val="18"/>
              </w:rPr>
            </w:pPr>
            <w:r>
              <w:rPr>
                <w:rFonts w:cs="Calibri"/>
                <w:b/>
                <w:bCs/>
                <w:szCs w:val="18"/>
              </w:rPr>
              <w:t>Claims for damages or costs</w:t>
            </w:r>
          </w:p>
        </w:tc>
        <w:tc>
          <w:tcPr>
            <w:tcW w:w="2712" w:type="dxa"/>
            <w:gridSpan w:val="2"/>
            <w:tcBorders>
              <w:top w:val="nil"/>
              <w:left w:val="nil"/>
              <w:bottom w:val="nil"/>
              <w:right w:val="nil"/>
            </w:tcBorders>
            <w:shd w:val="clear" w:color="000000" w:fill="D9D9D9"/>
            <w:vAlign w:val="bottom"/>
            <w:hideMark/>
          </w:tcPr>
          <w:p w:rsidR="008835EB" w:rsidRDefault="008835EB" w:rsidP="007E3F2E">
            <w:pPr>
              <w:jc w:val="center"/>
              <w:rPr>
                <w:rFonts w:cs="Calibri"/>
                <w:b/>
                <w:bCs/>
                <w:szCs w:val="18"/>
              </w:rPr>
            </w:pPr>
            <w:r>
              <w:rPr>
                <w:rFonts w:cs="Calibri"/>
                <w:b/>
                <w:bCs/>
                <w:szCs w:val="18"/>
              </w:rPr>
              <w:t>Total</w:t>
            </w:r>
          </w:p>
        </w:tc>
      </w:tr>
      <w:bookmarkEnd w:id="395"/>
      <w:tr w:rsidR="008835EB" w:rsidTr="007E3F2E">
        <w:trPr>
          <w:trHeight w:val="255"/>
        </w:trPr>
        <w:tc>
          <w:tcPr>
            <w:tcW w:w="341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c>
          <w:tcPr>
            <w:tcW w:w="1356"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341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356"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c>
          <w:tcPr>
            <w:tcW w:w="1356"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341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Contingent assets</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41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Balance from previous period</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24,903 </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22,724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24,903</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22,724</w:t>
            </w:r>
          </w:p>
        </w:tc>
      </w:tr>
      <w:tr w:rsidR="008835EB" w:rsidTr="007E3F2E">
        <w:trPr>
          <w:trHeight w:val="255"/>
        </w:trPr>
        <w:tc>
          <w:tcPr>
            <w:tcW w:w="341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Re-measurement</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89,379 </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25,471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89,379</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25,471</w:t>
            </w:r>
          </w:p>
        </w:tc>
      </w:tr>
      <w:tr w:rsidR="008835EB" w:rsidTr="007E3F2E">
        <w:trPr>
          <w:trHeight w:val="255"/>
        </w:trPr>
        <w:tc>
          <w:tcPr>
            <w:tcW w:w="341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Assets realised</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(70,544)</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(23,292)</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(70,544)</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(23,292)</w:t>
            </w:r>
          </w:p>
        </w:tc>
      </w:tr>
      <w:tr w:rsidR="008835EB" w:rsidTr="007E3F2E">
        <w:trPr>
          <w:trHeight w:val="255"/>
        </w:trPr>
        <w:tc>
          <w:tcPr>
            <w:tcW w:w="341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Total contingent assets</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43,738</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24,903</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43,738</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24,903</w:t>
            </w:r>
          </w:p>
        </w:tc>
      </w:tr>
      <w:tr w:rsidR="008835EB" w:rsidTr="007E3F2E">
        <w:trPr>
          <w:trHeight w:val="255"/>
        </w:trPr>
        <w:tc>
          <w:tcPr>
            <w:tcW w:w="3416"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b/>
                <w:bCs/>
                <w:sz w:val="16"/>
                <w:szCs w:val="16"/>
              </w:rPr>
            </w:pPr>
            <w:r>
              <w:rPr>
                <w:rFonts w:ascii="Arial" w:hAnsi="Arial" w:cs="Arial"/>
                <w:b/>
                <w:bCs/>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41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Contingent liabilities</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b/>
                <w:bCs/>
                <w:sz w:val="16"/>
                <w:szCs w:val="16"/>
              </w:rPr>
            </w:pPr>
            <w:r>
              <w:rPr>
                <w:rFonts w:ascii="Arial" w:hAnsi="Arial" w:cs="Arial"/>
                <w:b/>
                <w:bCs/>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41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Balance from previous period</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44,433 </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114,469 </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44,433</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114,469</w:t>
            </w:r>
          </w:p>
        </w:tc>
      </w:tr>
      <w:tr w:rsidR="008835EB" w:rsidTr="007E3F2E">
        <w:trPr>
          <w:trHeight w:val="255"/>
        </w:trPr>
        <w:tc>
          <w:tcPr>
            <w:tcW w:w="341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Re-measurement</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7,125 </w:t>
            </w:r>
          </w:p>
        </w:tc>
        <w:tc>
          <w:tcPr>
            <w:tcW w:w="13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(70,036)</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7,125</w:t>
            </w:r>
          </w:p>
        </w:tc>
        <w:tc>
          <w:tcPr>
            <w:tcW w:w="13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(70,036)</w:t>
            </w:r>
          </w:p>
        </w:tc>
      </w:tr>
      <w:tr w:rsidR="008835EB" w:rsidTr="007E3F2E">
        <w:trPr>
          <w:trHeight w:val="255"/>
        </w:trPr>
        <w:tc>
          <w:tcPr>
            <w:tcW w:w="341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Total contingent liabilities</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51,558</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44,433</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51,558</w:t>
            </w:r>
          </w:p>
        </w:tc>
        <w:tc>
          <w:tcPr>
            <w:tcW w:w="13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44,433</w:t>
            </w:r>
          </w:p>
        </w:tc>
      </w:tr>
      <w:tr w:rsidR="008835EB" w:rsidTr="007E3F2E">
        <w:trPr>
          <w:trHeight w:val="255"/>
        </w:trPr>
        <w:tc>
          <w:tcPr>
            <w:tcW w:w="3416"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Net contingent assets / (liabilities)</w:t>
            </w:r>
          </w:p>
        </w:tc>
        <w:tc>
          <w:tcPr>
            <w:tcW w:w="1356"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(7,820)</w:t>
            </w:r>
          </w:p>
        </w:tc>
        <w:tc>
          <w:tcPr>
            <w:tcW w:w="1356"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(19,530)</w:t>
            </w:r>
          </w:p>
        </w:tc>
        <w:tc>
          <w:tcPr>
            <w:tcW w:w="1356"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(7,820)</w:t>
            </w:r>
          </w:p>
        </w:tc>
        <w:tc>
          <w:tcPr>
            <w:tcW w:w="1356"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(19,530)</w:t>
            </w:r>
          </w:p>
        </w:tc>
      </w:tr>
    </w:tbl>
    <w:p w:rsidR="008835EB" w:rsidRDefault="008835EB" w:rsidP="008835EB">
      <w:pPr>
        <w:pStyle w:val="GreyShadeTableBreak"/>
      </w:pPr>
      <w:bookmarkStart w:id="396" w:name="RANGE!D7:J26"/>
      <w:bookmarkEnd w:id="396"/>
    </w:p>
    <w:p w:rsidR="008835EB" w:rsidRDefault="008835EB" w:rsidP="008835EB">
      <w:pPr>
        <w:pStyle w:val="GreyShadeTableBreak"/>
        <w:rPr>
          <w:i/>
          <w:u w:val="single"/>
        </w:rPr>
      </w:pPr>
      <w:r w:rsidRPr="004B520A">
        <w:rPr>
          <w:i/>
          <w:u w:val="single"/>
        </w:rPr>
        <w:t xml:space="preserve">Quantifiable Contingencies </w:t>
      </w:r>
    </w:p>
    <w:p w:rsidR="008835EB" w:rsidRDefault="008835EB" w:rsidP="008835EB">
      <w:pPr>
        <w:pStyle w:val="GreyShadeTableBreak"/>
      </w:pPr>
      <w:r w:rsidRPr="003C2992">
        <w:t xml:space="preserve">The </w:t>
      </w:r>
      <w:r>
        <w:t>above table</w:t>
      </w:r>
      <w:r w:rsidRPr="003C2992">
        <w:t xml:space="preserve"> reports contingent assets and liabilities in respect of estimated payments and recoveries in relation to dividends for General Employee Entitlement</w:t>
      </w:r>
      <w:r>
        <w:t>s and Redundancy Scheme (</w:t>
      </w:r>
      <w:proofErr w:type="spellStart"/>
      <w:r>
        <w:t>GEERS</w:t>
      </w:r>
      <w:proofErr w:type="spellEnd"/>
      <w:r>
        <w:t>) and</w:t>
      </w:r>
      <w:r w:rsidRPr="003C2992">
        <w:t xml:space="preserve"> the Fair Entitlements Guaran</w:t>
      </w:r>
      <w:r>
        <w:t>tee (</w:t>
      </w:r>
      <w:proofErr w:type="spellStart"/>
      <w:r>
        <w:t>FEG</w:t>
      </w:r>
      <w:proofErr w:type="spellEnd"/>
      <w:r>
        <w:t xml:space="preserve">). </w:t>
      </w:r>
      <w:r w:rsidRPr="003C2992">
        <w:t>The esti</w:t>
      </w:r>
      <w:r>
        <w:t xml:space="preserve">mated contingent liability is </w:t>
      </w:r>
      <w:r w:rsidRPr="00447B7C">
        <w:t>$</w:t>
      </w:r>
      <w:r>
        <w:t xml:space="preserve">51.56 million. </w:t>
      </w:r>
      <w:r w:rsidRPr="003C2992">
        <w:t xml:space="preserve">The estimated contingent asset is </w:t>
      </w:r>
      <w:r>
        <w:t>$43.74</w:t>
      </w:r>
      <w:r w:rsidRPr="003C2992">
        <w:t xml:space="preserve"> million.</w:t>
      </w:r>
    </w:p>
    <w:p w:rsidR="008835EB" w:rsidRDefault="008835EB" w:rsidP="008835EB">
      <w:pPr>
        <w:pStyle w:val="GreyShadeTableBreak"/>
        <w:spacing w:before="120"/>
        <w:rPr>
          <w:i/>
          <w:u w:val="single"/>
        </w:rPr>
      </w:pPr>
      <w:r w:rsidRPr="004B520A">
        <w:rPr>
          <w:i/>
          <w:u w:val="single"/>
        </w:rPr>
        <w:t xml:space="preserve">Unquantifiable Contingencies </w:t>
      </w:r>
    </w:p>
    <w:p w:rsidR="008835EB" w:rsidRDefault="008835EB" w:rsidP="008835EB">
      <w:pPr>
        <w:pStyle w:val="GreyShadeTableBreak"/>
      </w:pPr>
      <w:r w:rsidRPr="00B96620">
        <w:t xml:space="preserve">As at 30 June </w:t>
      </w:r>
      <w:r w:rsidR="00FA455C">
        <w:t>2016</w:t>
      </w:r>
      <w:r>
        <w:t>, the D</w:t>
      </w:r>
      <w:r w:rsidRPr="00B96620">
        <w:t xml:space="preserve">epartment had a number of claims for employee entitlements under the </w:t>
      </w:r>
      <w:r w:rsidRPr="00400A0B">
        <w:rPr>
          <w:i/>
        </w:rPr>
        <w:t>Fair Entitlements Guarantee Act 2012</w:t>
      </w:r>
      <w:r>
        <w:t xml:space="preserve"> </w:t>
      </w:r>
      <w:r w:rsidRPr="00B96620">
        <w:t>which were currently subject to review by the Administrative Appeals Tribunal.</w:t>
      </w:r>
    </w:p>
    <w:p w:rsidR="008835EB" w:rsidRPr="003C2992" w:rsidRDefault="008835EB" w:rsidP="008835EB">
      <w:pPr>
        <w:pStyle w:val="GreyShadeTableBreak"/>
        <w:spacing w:before="120"/>
      </w:pPr>
      <w:r w:rsidRPr="003C2992">
        <w:t xml:space="preserve">Relating to </w:t>
      </w:r>
      <w:proofErr w:type="spellStart"/>
      <w:r w:rsidRPr="003C2992">
        <w:t>FEG</w:t>
      </w:r>
      <w:proofErr w:type="spellEnd"/>
      <w:r w:rsidRPr="003C2992">
        <w:t>, it is known that there are employers with outstanding employee entitlements that have been placed into liquidation. The amounts are unable to be quantified as no claim forms have been received.</w:t>
      </w:r>
    </w:p>
    <w:p w:rsidR="008835EB" w:rsidRDefault="008835EB" w:rsidP="008835EB">
      <w:pPr>
        <w:spacing w:line="240" w:lineRule="auto"/>
        <w:rPr>
          <w:rFonts w:asciiTheme="minorHAnsi" w:hAnsiTheme="minorHAnsi" w:cstheme="minorHAnsi"/>
          <w:lang w:eastAsia="en-AU"/>
        </w:rPr>
      </w:pPr>
      <w:r>
        <w:br w:type="page"/>
      </w:r>
    </w:p>
    <w:p w:rsidR="008835EB" w:rsidRDefault="008835EB" w:rsidP="008835EB">
      <w:pPr>
        <w:pStyle w:val="SubHeading"/>
      </w:pPr>
      <w:bookmarkStart w:id="397" w:name="_Toc456689863"/>
      <w:r>
        <w:lastRenderedPageBreak/>
        <w:t>Financial Instruments</w:t>
      </w:r>
      <w:bookmarkEnd w:id="397"/>
    </w:p>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bookmarkStart w:id="398" w:name="Note_FIATABLE1" w:colFirst="0" w:colLast="0"/>
            <w:r>
              <w:rPr>
                <w:rFonts w:cs="Calibri"/>
                <w:szCs w:val="18"/>
              </w:rPr>
              <w:t> </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bookmarkEnd w:id="398"/>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9087" w:type="dxa"/>
            <w:gridSpan w:val="4"/>
            <w:tcBorders>
              <w:top w:val="nil"/>
              <w:left w:val="nil"/>
              <w:bottom w:val="nil"/>
              <w:right w:val="nil"/>
            </w:tcBorders>
            <w:shd w:val="clear" w:color="FFFFFF" w:fill="FFFFFF"/>
            <w:noWrap/>
            <w:vAlign w:val="bottom"/>
            <w:hideMark/>
          </w:tcPr>
          <w:p w:rsidR="008835EB" w:rsidRDefault="008835EB" w:rsidP="007E3F2E">
            <w:pPr>
              <w:pStyle w:val="NotesHeading-Level1"/>
            </w:pPr>
            <w:r>
              <w:t xml:space="preserve">Note </w:t>
            </w:r>
            <w:proofErr w:type="spellStart"/>
            <w:r>
              <w:t>7.2A</w:t>
            </w:r>
            <w:proofErr w:type="spellEnd"/>
            <w:r>
              <w:t>: Categories of Financial Instruments</w:t>
            </w:r>
          </w:p>
        </w:tc>
      </w:tr>
      <w:tr w:rsidR="008835EB" w:rsidTr="007E3F2E">
        <w:trPr>
          <w:trHeight w:val="417"/>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Financial Assets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Loans and receivables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Cash and cash equivalents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3,876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6,321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3,870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4,712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loans and receivables</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7,746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11,033</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7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financial assets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7,746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11,033</w:t>
            </w:r>
          </w:p>
        </w:tc>
      </w:tr>
      <w:tr w:rsidR="008835EB" w:rsidTr="007E3F2E">
        <w:trPr>
          <w:trHeight w:val="270"/>
        </w:trPr>
        <w:tc>
          <w:tcPr>
            <w:tcW w:w="634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Financial Liabilities</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Financial liabilities measured at amortised cost</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Trade creditors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17,879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16,720 </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financial liabilities measured at amortised cost</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17,879</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16,720</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7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financial liabilities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17,879</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16,720</w:t>
            </w:r>
          </w:p>
        </w:tc>
      </w:tr>
    </w:tbl>
    <w:p w:rsidR="008835EB" w:rsidRDefault="008835EB" w:rsidP="008835EB">
      <w:pPr>
        <w:pStyle w:val="PolicyheadingDept"/>
        <w:spacing w:before="120"/>
      </w:pPr>
      <w:bookmarkStart w:id="399" w:name="RANGE!D7:G24"/>
      <w:bookmarkStart w:id="400" w:name="RANGE!D7:G20"/>
      <w:bookmarkStart w:id="401" w:name="RANGE!D7:G22"/>
      <w:bookmarkStart w:id="402" w:name="RANGE!D6:G44"/>
      <w:bookmarkStart w:id="403" w:name="RANGE!D6:D46"/>
      <w:bookmarkStart w:id="404" w:name="RANGE!D6:G46"/>
      <w:bookmarkEnd w:id="399"/>
      <w:bookmarkEnd w:id="400"/>
      <w:bookmarkEnd w:id="401"/>
      <w:bookmarkEnd w:id="402"/>
      <w:bookmarkEnd w:id="403"/>
      <w:bookmarkEnd w:id="404"/>
      <w:r>
        <w:t>Accounting Policy</w:t>
      </w:r>
    </w:p>
    <w:p w:rsidR="008835EB" w:rsidRPr="00913E18" w:rsidRDefault="008835EB" w:rsidP="008835EB">
      <w:pPr>
        <w:pStyle w:val="Policytextunderline"/>
        <w:rPr>
          <w:b/>
        </w:rPr>
      </w:pPr>
      <w:r w:rsidRPr="00913E18">
        <w:rPr>
          <w:b/>
        </w:rPr>
        <w:t>Financial Assets</w:t>
      </w:r>
    </w:p>
    <w:p w:rsidR="008835EB" w:rsidRPr="000A630E" w:rsidRDefault="008835EB" w:rsidP="008835EB">
      <w:pPr>
        <w:pStyle w:val="Policytextunderline"/>
        <w:spacing w:after="0"/>
        <w:rPr>
          <w:i w:val="0"/>
          <w:u w:val="none"/>
          <w:lang w:eastAsia="en-AU"/>
        </w:rPr>
      </w:pPr>
      <w:r>
        <w:rPr>
          <w:i w:val="0"/>
          <w:u w:val="none"/>
          <w:lang w:eastAsia="en-AU"/>
        </w:rPr>
        <w:t>The D</w:t>
      </w:r>
      <w:r w:rsidRPr="000A630E">
        <w:rPr>
          <w:i w:val="0"/>
          <w:u w:val="none"/>
          <w:lang w:eastAsia="en-AU"/>
        </w:rPr>
        <w:t>epartment classifies its financial assets in the following category:</w:t>
      </w:r>
    </w:p>
    <w:p w:rsidR="008835EB" w:rsidRPr="000A630E" w:rsidRDefault="008835EB" w:rsidP="008835EB">
      <w:pPr>
        <w:pStyle w:val="Policytextunderline"/>
        <w:numPr>
          <w:ilvl w:val="0"/>
          <w:numId w:val="35"/>
        </w:numPr>
        <w:rPr>
          <w:i w:val="0"/>
          <w:u w:val="none"/>
          <w:lang w:eastAsia="en-AU"/>
        </w:rPr>
      </w:pPr>
      <w:proofErr w:type="gramStart"/>
      <w:r w:rsidRPr="000A630E">
        <w:rPr>
          <w:i w:val="0"/>
          <w:u w:val="none"/>
          <w:lang w:eastAsia="en-AU"/>
        </w:rPr>
        <w:t>loans</w:t>
      </w:r>
      <w:proofErr w:type="gramEnd"/>
      <w:r w:rsidRPr="000A630E">
        <w:rPr>
          <w:i w:val="0"/>
          <w:u w:val="none"/>
          <w:lang w:eastAsia="en-AU"/>
        </w:rPr>
        <w:t xml:space="preserve"> and receivables.</w:t>
      </w:r>
    </w:p>
    <w:p w:rsidR="008835EB" w:rsidRPr="000A630E" w:rsidRDefault="008835EB" w:rsidP="008835EB">
      <w:pPr>
        <w:pStyle w:val="Policytextunderline"/>
        <w:rPr>
          <w:i w:val="0"/>
          <w:u w:val="none"/>
          <w:lang w:eastAsia="en-AU"/>
        </w:rPr>
      </w:pPr>
      <w:r w:rsidRPr="000A630E">
        <w:rPr>
          <w:i w:val="0"/>
          <w:u w:val="none"/>
          <w:lang w:eastAsia="en-AU"/>
        </w:rPr>
        <w:t>The classification depends on the nature and purpose of the financial assets and is determined at th</w:t>
      </w:r>
      <w:r>
        <w:rPr>
          <w:i w:val="0"/>
          <w:u w:val="none"/>
          <w:lang w:eastAsia="en-AU"/>
        </w:rPr>
        <w:t xml:space="preserve">e time of initial recognition. </w:t>
      </w:r>
      <w:r w:rsidRPr="000A630E">
        <w:rPr>
          <w:i w:val="0"/>
          <w:u w:val="none"/>
          <w:lang w:eastAsia="en-AU"/>
        </w:rPr>
        <w:t xml:space="preserve">Financial assets are recognised and derecognised upon trade date. </w:t>
      </w:r>
    </w:p>
    <w:p w:rsidR="008835EB" w:rsidRPr="00913E18" w:rsidRDefault="008835EB" w:rsidP="008835EB">
      <w:pPr>
        <w:pStyle w:val="Policytextunderline"/>
        <w:rPr>
          <w:lang w:eastAsia="en-AU"/>
        </w:rPr>
      </w:pPr>
      <w:r w:rsidRPr="00913E18">
        <w:rPr>
          <w:lang w:eastAsia="en-AU"/>
        </w:rPr>
        <w:t>Loans and Receivables</w:t>
      </w:r>
    </w:p>
    <w:p w:rsidR="008835EB" w:rsidRPr="000A630E" w:rsidRDefault="008835EB" w:rsidP="008835EB">
      <w:pPr>
        <w:pStyle w:val="Policytextunderline"/>
        <w:rPr>
          <w:i w:val="0"/>
          <w:u w:val="none"/>
          <w:lang w:eastAsia="en-AU"/>
        </w:rPr>
      </w:pPr>
      <w:r w:rsidRPr="000A630E">
        <w:rPr>
          <w:i w:val="0"/>
          <w:u w:val="none"/>
          <w:lang w:eastAsia="en-AU"/>
        </w:rPr>
        <w:t>Trade receivables, loans and other receivables that have fixed or determinable payments that are not quoted in an active market are classifi</w:t>
      </w:r>
      <w:r>
        <w:rPr>
          <w:i w:val="0"/>
          <w:u w:val="none"/>
          <w:lang w:eastAsia="en-AU"/>
        </w:rPr>
        <w:t>ed as ‘loans and receivables’. The D</w:t>
      </w:r>
      <w:r w:rsidRPr="000A630E">
        <w:rPr>
          <w:i w:val="0"/>
          <w:u w:val="none"/>
          <w:lang w:eastAsia="en-AU"/>
        </w:rPr>
        <w:t>epartment’s loans and receivables are measured at their nominal amount less impairment.</w:t>
      </w:r>
    </w:p>
    <w:p w:rsidR="008835EB" w:rsidRPr="00913E18" w:rsidRDefault="008835EB" w:rsidP="008835EB">
      <w:pPr>
        <w:pStyle w:val="Policytextunderline"/>
        <w:rPr>
          <w:lang w:eastAsia="en-AU"/>
        </w:rPr>
      </w:pPr>
      <w:r w:rsidRPr="00913E18">
        <w:rPr>
          <w:lang w:eastAsia="en-AU"/>
        </w:rPr>
        <w:t>Impairment of Financial Assets</w:t>
      </w:r>
    </w:p>
    <w:p w:rsidR="008835EB" w:rsidRPr="000A630E" w:rsidRDefault="008835EB" w:rsidP="008835EB">
      <w:pPr>
        <w:pStyle w:val="Policytextunderline"/>
        <w:rPr>
          <w:i w:val="0"/>
          <w:u w:val="none"/>
          <w:lang w:eastAsia="en-AU"/>
        </w:rPr>
      </w:pPr>
      <w:r w:rsidRPr="000A630E">
        <w:rPr>
          <w:i w:val="0"/>
          <w:u w:val="none"/>
          <w:lang w:eastAsia="en-AU"/>
        </w:rPr>
        <w:t>Financial assets are assessed for impairment at the end of the reporting period.</w:t>
      </w:r>
    </w:p>
    <w:p w:rsidR="008835EB" w:rsidRDefault="008835EB" w:rsidP="008835EB">
      <w:pPr>
        <w:pStyle w:val="Policytextunderline"/>
        <w:rPr>
          <w:i w:val="0"/>
          <w:u w:val="none"/>
          <w:lang w:eastAsia="en-AU"/>
        </w:rPr>
      </w:pPr>
      <w:r>
        <w:rPr>
          <w:i w:val="0"/>
          <w:u w:val="none"/>
          <w:lang w:eastAsia="en-AU"/>
        </w:rPr>
        <w:t>Financial assets held at cost—i</w:t>
      </w:r>
      <w:r w:rsidRPr="000A630E">
        <w:rPr>
          <w:i w:val="0"/>
          <w:u w:val="none"/>
          <w:lang w:eastAsia="en-AU"/>
        </w:rPr>
        <w:t>f there is objective evidence that an impairment loss has been incurred, the amount of the impairment loss is the difference between the carrying amount of the asset and the present value of the estimated future cash flows discounted at the current market rate for similar assets.</w:t>
      </w:r>
    </w:p>
    <w:p w:rsidR="008835EB" w:rsidRPr="00913E18" w:rsidRDefault="008835EB" w:rsidP="008835EB">
      <w:pPr>
        <w:pStyle w:val="Policytextunderline"/>
        <w:rPr>
          <w:b/>
        </w:rPr>
      </w:pPr>
      <w:r w:rsidRPr="00913E18">
        <w:rPr>
          <w:b/>
        </w:rPr>
        <w:t>Financial Liabilities</w:t>
      </w:r>
    </w:p>
    <w:p w:rsidR="008835EB" w:rsidRPr="000A630E" w:rsidRDefault="008835EB" w:rsidP="008835EB">
      <w:pPr>
        <w:pStyle w:val="Policytextunderline"/>
        <w:rPr>
          <w:i w:val="0"/>
          <w:u w:val="none"/>
          <w:lang w:eastAsia="en-AU"/>
        </w:rPr>
      </w:pPr>
      <w:r w:rsidRPr="000A630E">
        <w:rPr>
          <w:i w:val="0"/>
          <w:u w:val="none"/>
          <w:lang w:eastAsia="en-AU"/>
        </w:rPr>
        <w:t>Financial liabilities are classified as either financial liabilities ‘at fair value through profit or loss’ o</w:t>
      </w:r>
      <w:r>
        <w:rPr>
          <w:i w:val="0"/>
          <w:u w:val="none"/>
          <w:lang w:eastAsia="en-AU"/>
        </w:rPr>
        <w:t xml:space="preserve">r other financial liabilities. </w:t>
      </w:r>
      <w:r w:rsidRPr="000A630E">
        <w:rPr>
          <w:i w:val="0"/>
          <w:u w:val="none"/>
          <w:lang w:eastAsia="en-AU"/>
        </w:rPr>
        <w:t xml:space="preserve">Financial liabilities are recognised and derecognised upon trade date. </w:t>
      </w:r>
    </w:p>
    <w:p w:rsidR="008835EB" w:rsidRPr="00913E18" w:rsidRDefault="008835EB" w:rsidP="008835EB">
      <w:pPr>
        <w:pStyle w:val="Policytextunderline"/>
        <w:rPr>
          <w:lang w:eastAsia="en-AU"/>
        </w:rPr>
      </w:pPr>
      <w:r w:rsidRPr="00913E18">
        <w:rPr>
          <w:lang w:eastAsia="en-AU"/>
        </w:rPr>
        <w:t>Financial Liabilities at Fair Value through Profit or Loss</w:t>
      </w:r>
    </w:p>
    <w:p w:rsidR="008835EB" w:rsidRPr="000A630E" w:rsidRDefault="008835EB" w:rsidP="008835EB">
      <w:pPr>
        <w:pStyle w:val="Policytextunderline"/>
        <w:rPr>
          <w:i w:val="0"/>
          <w:u w:val="none"/>
          <w:lang w:eastAsia="en-AU"/>
        </w:rPr>
      </w:pPr>
      <w:r w:rsidRPr="000A630E">
        <w:rPr>
          <w:i w:val="0"/>
          <w:u w:val="none"/>
          <w:lang w:eastAsia="en-AU"/>
        </w:rPr>
        <w:t>Financial liabilities at fair value through profit or loss are initially measured at fair value. Subsequent fair value adjustments are</w:t>
      </w:r>
      <w:r>
        <w:rPr>
          <w:i w:val="0"/>
          <w:u w:val="none"/>
          <w:lang w:eastAsia="en-AU"/>
        </w:rPr>
        <w:t xml:space="preserve"> recognised in profit or loss. </w:t>
      </w:r>
      <w:r w:rsidRPr="000A630E">
        <w:rPr>
          <w:i w:val="0"/>
          <w:u w:val="none"/>
          <w:lang w:eastAsia="en-AU"/>
        </w:rPr>
        <w:t>The net gain or loss recognised in profit or loss incorporates any interest paid on the financial liability.</w:t>
      </w:r>
    </w:p>
    <w:p w:rsidR="008835EB" w:rsidRPr="00913E18" w:rsidRDefault="008835EB" w:rsidP="008835EB">
      <w:pPr>
        <w:pStyle w:val="Policytextunderline"/>
        <w:rPr>
          <w:lang w:eastAsia="en-AU"/>
        </w:rPr>
      </w:pPr>
      <w:r w:rsidRPr="00913E18">
        <w:rPr>
          <w:lang w:eastAsia="en-AU"/>
        </w:rPr>
        <w:t>Other Financial Liabilities</w:t>
      </w:r>
    </w:p>
    <w:p w:rsidR="008835EB" w:rsidRPr="000A630E" w:rsidRDefault="008835EB" w:rsidP="008835EB">
      <w:pPr>
        <w:pStyle w:val="Policytextunderline"/>
        <w:rPr>
          <w:i w:val="0"/>
          <w:u w:val="none"/>
          <w:lang w:eastAsia="en-AU"/>
        </w:rPr>
      </w:pPr>
      <w:r w:rsidRPr="000A630E">
        <w:rPr>
          <w:i w:val="0"/>
          <w:u w:val="none"/>
          <w:lang w:eastAsia="en-AU"/>
        </w:rPr>
        <w:t>Other financial liabilities are initially measured at fair v</w:t>
      </w:r>
      <w:r>
        <w:rPr>
          <w:i w:val="0"/>
          <w:u w:val="none"/>
          <w:lang w:eastAsia="en-AU"/>
        </w:rPr>
        <w:t>alue, net of transaction costs.</w:t>
      </w:r>
      <w:r w:rsidRPr="000A630E">
        <w:rPr>
          <w:i w:val="0"/>
          <w:u w:val="none"/>
          <w:lang w:eastAsia="en-AU"/>
        </w:rPr>
        <w:t xml:space="preserve"> These liabilities are subsequently measured at amortised cost using the effective interest method, with interest expense recognised on an effective yield basis.</w:t>
      </w:r>
    </w:p>
    <w:p w:rsidR="008835EB" w:rsidRDefault="008835EB" w:rsidP="008835EB">
      <w:pPr>
        <w:pStyle w:val="Policytextunderline"/>
        <w:rPr>
          <w:i w:val="0"/>
          <w:u w:val="none"/>
          <w:lang w:eastAsia="en-AU"/>
        </w:rPr>
      </w:pPr>
      <w:r w:rsidRPr="000A630E">
        <w:rPr>
          <w:i w:val="0"/>
          <w:u w:val="none"/>
          <w:lang w:eastAsia="en-AU"/>
        </w:rPr>
        <w:t>The effective interest method is a method of calculating the amortised cost of a financial liability and of allocating interest exp</w:t>
      </w:r>
      <w:r>
        <w:rPr>
          <w:i w:val="0"/>
          <w:u w:val="none"/>
          <w:lang w:eastAsia="en-AU"/>
        </w:rPr>
        <w:t xml:space="preserve">ense over the relevant period. </w:t>
      </w:r>
      <w:r w:rsidRPr="000A630E">
        <w:rPr>
          <w:i w:val="0"/>
          <w:u w:val="none"/>
          <w:lang w:eastAsia="en-AU"/>
        </w:rPr>
        <w:t>The effective interest rate is the rate that exactly discounts estimated future cash payments through the expected life of the financial liability, or, where appropriate, a shorter period.</w:t>
      </w:r>
    </w:p>
    <w:p w:rsidR="008835EB" w:rsidRPr="000A630E" w:rsidRDefault="008835EB" w:rsidP="008835EB">
      <w:pPr>
        <w:pStyle w:val="Policytextunderline"/>
        <w:rPr>
          <w:i w:val="0"/>
          <w:u w:val="none"/>
          <w:lang w:eastAsia="en-AU"/>
        </w:rPr>
      </w:pPr>
      <w:r w:rsidRPr="000A630E">
        <w:rPr>
          <w:i w:val="0"/>
          <w:u w:val="none"/>
          <w:lang w:eastAsia="en-AU"/>
        </w:rPr>
        <w:t>Supplier and other payables are recognised at amortised cost.  Liabilities are recognised to the extent that the goods or services have been received (and irrespective of having been invoiced).</w:t>
      </w:r>
    </w:p>
    <w:p w:rsidR="008835EB" w:rsidRDefault="008835EB" w:rsidP="008835EB"/>
    <w:tbl>
      <w:tblPr>
        <w:tblW w:w="9087" w:type="dxa"/>
        <w:tblInd w:w="80" w:type="dxa"/>
        <w:tblLayout w:type="fixed"/>
        <w:tblLook w:val="04A0" w:firstRow="1" w:lastRow="0" w:firstColumn="1" w:lastColumn="0" w:noHBand="0" w:noVBand="1"/>
      </w:tblPr>
      <w:tblGrid>
        <w:gridCol w:w="6346"/>
        <w:gridCol w:w="1252"/>
        <w:gridCol w:w="239"/>
        <w:gridCol w:w="1250"/>
      </w:tblGrid>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cs="Calibri"/>
                <w:b/>
                <w:bCs/>
                <w:szCs w:val="18"/>
                <w:u w:val="single"/>
              </w:rPr>
            </w:pPr>
            <w:bookmarkStart w:id="405" w:name="Note_FIBTABLE1" w:colFirst="0" w:colLast="0"/>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bookmarkEnd w:id="405"/>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pStyle w:val="NotesHeading-Level1"/>
            </w:pPr>
            <w:r>
              <w:t xml:space="preserve">Note </w:t>
            </w:r>
            <w:proofErr w:type="spellStart"/>
            <w:r>
              <w:t>7.2B</w:t>
            </w:r>
            <w:proofErr w:type="spellEnd"/>
            <w:r>
              <w:t>: Net Gains or Losses on Financial Assets</w:t>
            </w:r>
          </w:p>
        </w:tc>
        <w:tc>
          <w:tcPr>
            <w:tcW w:w="1252" w:type="dxa"/>
            <w:tcBorders>
              <w:top w:val="nil"/>
              <w:left w:val="nil"/>
              <w:bottom w:val="nil"/>
              <w:right w:val="nil"/>
            </w:tcBorders>
            <w:shd w:val="clear" w:color="FFFFFF" w:fill="FFFFFF"/>
            <w:noWrap/>
            <w:vAlign w:val="bottom"/>
            <w:hideMark/>
          </w:tcPr>
          <w:p w:rsidR="008835EB" w:rsidRDefault="008835EB" w:rsidP="007E3F2E">
            <w:pPr>
              <w:pStyle w:val="NotesHeading-Level1"/>
              <w:rPr>
                <w:rFonts w:ascii="Arial" w:hAnsi="Arial" w:cs="Arial"/>
              </w:rPr>
            </w:pPr>
          </w:p>
        </w:tc>
        <w:tc>
          <w:tcPr>
            <w:tcW w:w="239" w:type="dxa"/>
            <w:tcBorders>
              <w:top w:val="nil"/>
              <w:left w:val="nil"/>
              <w:bottom w:val="nil"/>
              <w:right w:val="nil"/>
            </w:tcBorders>
            <w:shd w:val="clear" w:color="FFFFFF" w:fill="FFFFFF"/>
            <w:noWrap/>
            <w:vAlign w:val="bottom"/>
            <w:hideMark/>
          </w:tcPr>
          <w:p w:rsidR="008835EB" w:rsidRDefault="008835EB" w:rsidP="007E3F2E">
            <w:pPr>
              <w:pStyle w:val="NotesHeading-Level1"/>
              <w:rPr>
                <w:rFonts w:ascii="Arial" w:hAnsi="Arial" w:cs="Arial"/>
              </w:rPr>
            </w:pPr>
          </w:p>
        </w:tc>
        <w:tc>
          <w:tcPr>
            <w:tcW w:w="1250" w:type="dxa"/>
            <w:tcBorders>
              <w:top w:val="nil"/>
              <w:left w:val="nil"/>
              <w:bottom w:val="nil"/>
              <w:right w:val="nil"/>
            </w:tcBorders>
            <w:shd w:val="clear" w:color="FFFFFF" w:fill="FFFFFF"/>
            <w:noWrap/>
            <w:vAlign w:val="bottom"/>
            <w:hideMark/>
          </w:tcPr>
          <w:p w:rsidR="008835EB" w:rsidRDefault="008835EB" w:rsidP="007E3F2E">
            <w:pPr>
              <w:pStyle w:val="NotesHeading-Level1"/>
              <w:rPr>
                <w:rFonts w:ascii="Arial" w:hAnsi="Arial" w:cs="Arial"/>
              </w:rPr>
            </w:pPr>
          </w:p>
        </w:tc>
      </w:tr>
      <w:tr w:rsidR="008835EB" w:rsidTr="007E3F2E">
        <w:trPr>
          <w:trHeight w:val="417"/>
        </w:trPr>
        <w:tc>
          <w:tcPr>
            <w:tcW w:w="6346" w:type="dxa"/>
            <w:tcBorders>
              <w:top w:val="nil"/>
              <w:left w:val="nil"/>
              <w:bottom w:val="nil"/>
              <w:right w:val="nil"/>
            </w:tcBorders>
            <w:shd w:val="clear" w:color="FFFFFF" w:fill="FFFFFF"/>
            <w:vAlign w:val="bottom"/>
          </w:tcPr>
          <w:p w:rsidR="008835EB" w:rsidRDefault="008835EB" w:rsidP="007E3F2E">
            <w:pPr>
              <w:rPr>
                <w:rFonts w:cs="Calibri"/>
                <w:b/>
                <w:bCs/>
                <w:szCs w:val="18"/>
                <w:u w:val="single"/>
              </w:rPr>
            </w:pPr>
            <w:r>
              <w:rPr>
                <w:rFonts w:cs="Calibri"/>
                <w:b/>
                <w:bCs/>
                <w:szCs w:val="18"/>
              </w:rPr>
              <w:t>Loans and receivables</w:t>
            </w:r>
          </w:p>
        </w:tc>
        <w:tc>
          <w:tcPr>
            <w:tcW w:w="1252" w:type="dxa"/>
            <w:tcBorders>
              <w:top w:val="nil"/>
              <w:left w:val="nil"/>
              <w:bottom w:val="nil"/>
              <w:right w:val="nil"/>
            </w:tcBorders>
            <w:shd w:val="clear" w:color="FFFFFF" w:fill="FFFFFF"/>
            <w:noWrap/>
            <w:vAlign w:val="bottom"/>
          </w:tcPr>
          <w:p w:rsidR="008835EB" w:rsidRDefault="008835EB" w:rsidP="007E3F2E">
            <w:pPr>
              <w:rPr>
                <w:rFonts w:ascii="Arial" w:hAnsi="Arial" w:cs="Arial"/>
                <w:b/>
                <w:bCs/>
                <w:szCs w:val="18"/>
              </w:rPr>
            </w:pPr>
          </w:p>
        </w:tc>
        <w:tc>
          <w:tcPr>
            <w:tcW w:w="239" w:type="dxa"/>
            <w:tcBorders>
              <w:top w:val="nil"/>
              <w:left w:val="nil"/>
              <w:bottom w:val="nil"/>
              <w:right w:val="nil"/>
            </w:tcBorders>
            <w:shd w:val="clear" w:color="FFFFFF" w:fill="FFFFFF"/>
            <w:noWrap/>
            <w:vAlign w:val="bottom"/>
          </w:tcPr>
          <w:p w:rsidR="008835EB" w:rsidRDefault="008835EB" w:rsidP="007E3F2E">
            <w:pPr>
              <w:rPr>
                <w:rFonts w:ascii="Arial" w:hAnsi="Arial" w:cs="Arial"/>
                <w:szCs w:val="18"/>
              </w:rPr>
            </w:pPr>
          </w:p>
        </w:tc>
        <w:tc>
          <w:tcPr>
            <w:tcW w:w="1250" w:type="dxa"/>
            <w:tcBorders>
              <w:top w:val="nil"/>
              <w:left w:val="nil"/>
              <w:bottom w:val="nil"/>
              <w:right w:val="nil"/>
            </w:tcBorders>
            <w:shd w:val="clear" w:color="FFFFFF" w:fill="FFFFFF"/>
            <w:noWrap/>
            <w:vAlign w:val="bottom"/>
          </w:tcPr>
          <w:p w:rsidR="008835EB" w:rsidRDefault="008835EB" w:rsidP="007E3F2E">
            <w:pPr>
              <w:rPr>
                <w:rFonts w:ascii="Arial" w:hAnsi="Arial" w:cs="Arial"/>
                <w:szCs w:val="18"/>
              </w:rPr>
            </w:pP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8835EB">
            <w:pPr>
              <w:ind w:firstLineChars="100" w:firstLine="180"/>
              <w:rPr>
                <w:rFonts w:cs="Calibri"/>
                <w:szCs w:val="18"/>
              </w:rPr>
            </w:pPr>
            <w:r>
              <w:rPr>
                <w:rFonts w:cs="Calibri"/>
                <w:szCs w:val="18"/>
              </w:rPr>
              <w:t>Write off - goods and services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8835EB">
            <w:pPr>
              <w:ind w:firstLineChars="100" w:firstLine="180"/>
              <w:rPr>
                <w:rFonts w:cs="Calibri"/>
                <w:szCs w:val="18"/>
              </w:rPr>
            </w:pPr>
            <w:r>
              <w:rPr>
                <w:rFonts w:cs="Calibri"/>
                <w:szCs w:val="18"/>
              </w:rPr>
              <w:t>Impairment of receivables - goods and services</w:t>
            </w:r>
          </w:p>
        </w:tc>
        <w:tc>
          <w:tcPr>
            <w:tcW w:w="125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w:t>
            </w:r>
          </w:p>
        </w:tc>
      </w:tr>
      <w:tr w:rsidR="008835EB" w:rsidTr="007E3F2E">
        <w:trPr>
          <w:trHeight w:val="255"/>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Net losses on loans and receivables</w:t>
            </w:r>
          </w:p>
        </w:tc>
        <w:tc>
          <w:tcPr>
            <w:tcW w:w="1252"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w:t>
            </w:r>
          </w:p>
        </w:tc>
      </w:tr>
      <w:tr w:rsidR="008835EB" w:rsidTr="007E3F2E">
        <w:trPr>
          <w:trHeight w:val="255"/>
        </w:trPr>
        <w:tc>
          <w:tcPr>
            <w:tcW w:w="6346"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70"/>
        </w:trPr>
        <w:tc>
          <w:tcPr>
            <w:tcW w:w="6346"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Net losses on financial assets</w:t>
            </w:r>
          </w:p>
        </w:tc>
        <w:tc>
          <w:tcPr>
            <w:tcW w:w="1252"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w:t>
            </w:r>
          </w:p>
        </w:tc>
        <w:tc>
          <w:tcPr>
            <w:tcW w:w="23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(18)</w:t>
            </w:r>
          </w:p>
        </w:tc>
      </w:tr>
    </w:tbl>
    <w:p w:rsidR="008835EB" w:rsidRDefault="008835EB" w:rsidP="008835EB">
      <w:pPr>
        <w:pStyle w:val="ReportText"/>
        <w:spacing w:before="120" w:after="360"/>
        <w:ind w:right="567"/>
      </w:pPr>
      <w:bookmarkStart w:id="406" w:name="RANGE!D6:G49"/>
      <w:bookmarkStart w:id="407" w:name="RANGE!D6:D50"/>
      <w:bookmarkStart w:id="408" w:name="RANGE!D6:G50"/>
      <w:bookmarkEnd w:id="406"/>
      <w:bookmarkEnd w:id="407"/>
      <w:bookmarkEnd w:id="408"/>
      <w:r>
        <w:t>The carrying amount of financial assets and liabilities is a reasonable approximation of fair value.</w:t>
      </w:r>
    </w:p>
    <w:tbl>
      <w:tblPr>
        <w:tblW w:w="9087" w:type="dxa"/>
        <w:tblInd w:w="80" w:type="dxa"/>
        <w:tblLayout w:type="fixed"/>
        <w:tblLook w:val="04A0" w:firstRow="1" w:lastRow="0" w:firstColumn="1" w:lastColumn="0" w:noHBand="0" w:noVBand="1"/>
      </w:tblPr>
      <w:tblGrid>
        <w:gridCol w:w="4075"/>
        <w:gridCol w:w="1253"/>
        <w:gridCol w:w="1253"/>
        <w:gridCol w:w="1253"/>
        <w:gridCol w:w="1253"/>
      </w:tblGrid>
      <w:tr w:rsidR="008835EB" w:rsidTr="007E3F2E">
        <w:trPr>
          <w:trHeight w:val="467"/>
        </w:trPr>
        <w:tc>
          <w:tcPr>
            <w:tcW w:w="9087" w:type="dxa"/>
            <w:gridSpan w:val="5"/>
            <w:tcBorders>
              <w:top w:val="nil"/>
              <w:left w:val="nil"/>
              <w:bottom w:val="nil"/>
              <w:right w:val="nil"/>
            </w:tcBorders>
            <w:shd w:val="clear" w:color="FFFFFF" w:fill="FFFFFF"/>
            <w:noWrap/>
            <w:hideMark/>
          </w:tcPr>
          <w:p w:rsidR="008835EB" w:rsidRDefault="008835EB" w:rsidP="007E3F2E">
            <w:pPr>
              <w:pStyle w:val="NotesHeading-Level1"/>
              <w:rPr>
                <w:rFonts w:ascii="Arial" w:hAnsi="Arial" w:cs="Arial"/>
                <w:color w:val="FF0000"/>
              </w:rPr>
            </w:pPr>
            <w:bookmarkStart w:id="409" w:name="RANGE!D8:D21"/>
            <w:bookmarkStart w:id="410" w:name="Note_FIETABLE1" w:colFirst="0" w:colLast="0"/>
            <w:r>
              <w:t xml:space="preserve">Note </w:t>
            </w:r>
            <w:proofErr w:type="spellStart"/>
            <w:r>
              <w:t>7.2C</w:t>
            </w:r>
            <w:proofErr w:type="spellEnd"/>
            <w:r>
              <w:t>: Fair Value of Financial Instruments</w:t>
            </w:r>
            <w:bookmarkEnd w:id="409"/>
          </w:p>
        </w:tc>
      </w:tr>
      <w:bookmarkEnd w:id="410"/>
      <w:tr w:rsidR="008835EB" w:rsidTr="007E3F2E">
        <w:trPr>
          <w:trHeight w:val="530"/>
        </w:trPr>
        <w:tc>
          <w:tcPr>
            <w:tcW w:w="4075" w:type="dxa"/>
            <w:tcBorders>
              <w:top w:val="single" w:sz="4" w:space="0" w:color="auto"/>
              <w:left w:val="nil"/>
              <w:right w:val="nil"/>
            </w:tcBorders>
            <w:shd w:val="clear" w:color="FFFFFF" w:fill="FFFFFF"/>
            <w:noWrap/>
            <w:vAlign w:val="bottom"/>
            <w:hideMark/>
          </w:tcPr>
          <w:p w:rsidR="008835EB" w:rsidRDefault="008835EB" w:rsidP="007E3F2E">
            <w:pPr>
              <w:rPr>
                <w:rFonts w:ascii="Arial" w:hAnsi="Arial" w:cs="Arial"/>
                <w:szCs w:val="18"/>
              </w:rPr>
            </w:pPr>
          </w:p>
        </w:tc>
        <w:tc>
          <w:tcPr>
            <w:tcW w:w="1253" w:type="dxa"/>
            <w:tcBorders>
              <w:top w:val="single" w:sz="4" w:space="0" w:color="auto"/>
              <w:left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Carrying amount</w:t>
            </w:r>
          </w:p>
        </w:tc>
        <w:tc>
          <w:tcPr>
            <w:tcW w:w="1253" w:type="dxa"/>
            <w:tcBorders>
              <w:top w:val="single" w:sz="4" w:space="0" w:color="auto"/>
              <w:left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xml:space="preserve">Fair </w:t>
            </w:r>
            <w:r>
              <w:rPr>
                <w:rFonts w:cs="Calibri"/>
                <w:b/>
                <w:bCs/>
                <w:szCs w:val="18"/>
              </w:rPr>
              <w:br/>
              <w:t>value</w:t>
            </w:r>
          </w:p>
        </w:tc>
        <w:tc>
          <w:tcPr>
            <w:tcW w:w="1253" w:type="dxa"/>
            <w:tcBorders>
              <w:top w:val="single" w:sz="4" w:space="0" w:color="auto"/>
              <w:left w:val="nil"/>
              <w:right w:val="nil"/>
            </w:tcBorders>
            <w:shd w:val="clear" w:color="FFFFFF" w:fill="FFFFFF"/>
            <w:vAlign w:val="bottom"/>
            <w:hideMark/>
          </w:tcPr>
          <w:p w:rsidR="008835EB" w:rsidRDefault="008835EB" w:rsidP="007E3F2E">
            <w:pPr>
              <w:jc w:val="right"/>
              <w:rPr>
                <w:rFonts w:cs="Calibri"/>
                <w:szCs w:val="18"/>
              </w:rPr>
            </w:pPr>
            <w:r>
              <w:rPr>
                <w:rFonts w:cs="Calibri"/>
                <w:szCs w:val="18"/>
              </w:rPr>
              <w:t>Carrying amount</w:t>
            </w:r>
          </w:p>
        </w:tc>
        <w:tc>
          <w:tcPr>
            <w:tcW w:w="1253" w:type="dxa"/>
            <w:tcBorders>
              <w:top w:val="single" w:sz="4" w:space="0" w:color="auto"/>
              <w:left w:val="nil"/>
              <w:right w:val="nil"/>
            </w:tcBorders>
            <w:shd w:val="clear" w:color="FFFFFF" w:fill="FFFFFF"/>
            <w:vAlign w:val="bottom"/>
            <w:hideMark/>
          </w:tcPr>
          <w:p w:rsidR="008835EB" w:rsidRDefault="008835EB" w:rsidP="007E3F2E">
            <w:pPr>
              <w:jc w:val="right"/>
              <w:rPr>
                <w:rFonts w:cs="Calibri"/>
                <w:szCs w:val="18"/>
              </w:rPr>
            </w:pPr>
            <w:r>
              <w:rPr>
                <w:rFonts w:cs="Calibri"/>
                <w:szCs w:val="18"/>
              </w:rPr>
              <w:t xml:space="preserve">Fair </w:t>
            </w:r>
            <w:r>
              <w:rPr>
                <w:rFonts w:cs="Calibri"/>
                <w:szCs w:val="18"/>
              </w:rPr>
              <w:br/>
              <w:t>value</w:t>
            </w:r>
          </w:p>
        </w:tc>
      </w:tr>
      <w:tr w:rsidR="008835EB" w:rsidTr="007E3F2E">
        <w:trPr>
          <w:trHeight w:val="255"/>
        </w:trPr>
        <w:tc>
          <w:tcPr>
            <w:tcW w:w="4075"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p>
        </w:tc>
        <w:tc>
          <w:tcPr>
            <w:tcW w:w="1253"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253"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253"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c>
          <w:tcPr>
            <w:tcW w:w="1253"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4075"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szCs w:val="18"/>
              </w:rPr>
            </w:pPr>
          </w:p>
        </w:tc>
        <w:tc>
          <w:tcPr>
            <w:tcW w:w="1253"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53"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53"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253"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4075"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Financial Assets</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4075"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Cash and cash equivalents</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3,876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3,876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6,321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6,321 </w:t>
            </w:r>
          </w:p>
        </w:tc>
      </w:tr>
      <w:tr w:rsidR="008835EB" w:rsidTr="007E3F2E">
        <w:trPr>
          <w:trHeight w:val="255"/>
        </w:trPr>
        <w:tc>
          <w:tcPr>
            <w:tcW w:w="4075"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3,870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3,873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4,712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4,722 </w:t>
            </w:r>
          </w:p>
        </w:tc>
      </w:tr>
      <w:tr w:rsidR="008835EB" w:rsidTr="007E3F2E">
        <w:trPr>
          <w:trHeight w:val="255"/>
        </w:trPr>
        <w:tc>
          <w:tcPr>
            <w:tcW w:w="4075"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 Financial Assets</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7,746</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7,749</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11,033</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11,043</w:t>
            </w:r>
          </w:p>
        </w:tc>
      </w:tr>
      <w:tr w:rsidR="008835EB" w:rsidTr="007E3F2E">
        <w:trPr>
          <w:trHeight w:val="255"/>
        </w:trPr>
        <w:tc>
          <w:tcPr>
            <w:tcW w:w="4075"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4075"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Financial Liabilities</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5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4075"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Trade creditors</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17,879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17,879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16,720 </w:t>
            </w:r>
          </w:p>
        </w:tc>
        <w:tc>
          <w:tcPr>
            <w:tcW w:w="1253"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16,720 </w:t>
            </w:r>
          </w:p>
        </w:tc>
      </w:tr>
      <w:tr w:rsidR="008835EB" w:rsidTr="007E3F2E">
        <w:trPr>
          <w:trHeight w:val="255"/>
        </w:trPr>
        <w:tc>
          <w:tcPr>
            <w:tcW w:w="4075"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 Financial Liabilities</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17,879</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17,879</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16,720</w:t>
            </w:r>
          </w:p>
        </w:tc>
        <w:tc>
          <w:tcPr>
            <w:tcW w:w="1253"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16,720</w:t>
            </w:r>
          </w:p>
        </w:tc>
      </w:tr>
    </w:tbl>
    <w:p w:rsidR="008835EB" w:rsidRDefault="008835EB" w:rsidP="008835EB">
      <w:bookmarkStart w:id="411" w:name="RANGE!D8:H21"/>
      <w:bookmarkStart w:id="412" w:name="RANGE!D7:H22"/>
      <w:bookmarkStart w:id="413" w:name="RANGE!D7:H23"/>
      <w:bookmarkStart w:id="414" w:name="RANGE!D6:H23"/>
      <w:bookmarkStart w:id="415" w:name="RANGE!D6:G28"/>
      <w:bookmarkStart w:id="416" w:name="RANGE!D6:D29"/>
      <w:bookmarkStart w:id="417" w:name="RANGE!D6:G29"/>
      <w:bookmarkStart w:id="418" w:name="RANGE!D6:H18"/>
      <w:bookmarkStart w:id="419" w:name="RANGE!D6:H19"/>
      <w:bookmarkEnd w:id="411"/>
      <w:bookmarkEnd w:id="412"/>
      <w:bookmarkEnd w:id="413"/>
      <w:bookmarkEnd w:id="414"/>
      <w:bookmarkEnd w:id="415"/>
      <w:bookmarkEnd w:id="416"/>
      <w:bookmarkEnd w:id="417"/>
      <w:bookmarkEnd w:id="418"/>
      <w:bookmarkEnd w:id="419"/>
      <w:r>
        <w:br w:type="page"/>
      </w:r>
    </w:p>
    <w:p w:rsidR="008835EB" w:rsidRDefault="008835EB" w:rsidP="008835EB">
      <w:pPr>
        <w:pStyle w:val="NotesHeading-Level1"/>
      </w:pPr>
      <w:r>
        <w:lastRenderedPageBreak/>
        <w:t xml:space="preserve">Note </w:t>
      </w:r>
      <w:proofErr w:type="spellStart"/>
      <w:r>
        <w:t>7.2D</w:t>
      </w:r>
      <w:proofErr w:type="spellEnd"/>
      <w:r>
        <w:t>: Credit Risk</w:t>
      </w:r>
    </w:p>
    <w:p w:rsidR="008835EB" w:rsidRDefault="008835EB" w:rsidP="008835EB">
      <w:pPr>
        <w:spacing w:before="120" w:after="120"/>
        <w:rPr>
          <w:rFonts w:cs="Calibri"/>
          <w:szCs w:val="18"/>
        </w:rPr>
      </w:pPr>
      <w:r>
        <w:rPr>
          <w:rFonts w:cs="Calibri"/>
          <w:szCs w:val="18"/>
        </w:rPr>
        <w:t>The Department is exposed to minimal credit risk as loans and receivables were cash, cash on deposit and trade receivables. The maximum exposure to credit risk was the risk that arises from potential default of a debtor. This amount was equal to the total amount of trade receivables of $3,873,000 (2015: $4,722,000). The Department assessed the risk of the default on payment and allocated $3,000 to an impairment allowance account (2015: $10,000).</w:t>
      </w:r>
    </w:p>
    <w:p w:rsidR="008835EB" w:rsidRDefault="008835EB" w:rsidP="008835EB">
      <w:pPr>
        <w:spacing w:after="240"/>
      </w:pPr>
      <w:r>
        <w:rPr>
          <w:rFonts w:cs="Calibri"/>
          <w:szCs w:val="18"/>
        </w:rPr>
        <w:t>The Department has no significant exposures to any concentrations of credit risk. All figures for credit risk referred to did not take into account the value of any collateral of other security.</w:t>
      </w:r>
    </w:p>
    <w:tbl>
      <w:tblPr>
        <w:tblW w:w="9087" w:type="dxa"/>
        <w:tblInd w:w="80" w:type="dxa"/>
        <w:tblLayout w:type="fixed"/>
        <w:tblLook w:val="04A0" w:firstRow="1" w:lastRow="0" w:firstColumn="1" w:lastColumn="0" w:noHBand="0" w:noVBand="1"/>
      </w:tblPr>
      <w:tblGrid>
        <w:gridCol w:w="2740"/>
        <w:gridCol w:w="1271"/>
        <w:gridCol w:w="1269"/>
        <w:gridCol w:w="1269"/>
        <w:gridCol w:w="1269"/>
        <w:gridCol w:w="1269"/>
      </w:tblGrid>
      <w:tr w:rsidR="008835EB" w:rsidTr="007E3F2E">
        <w:trPr>
          <w:trHeight w:val="255"/>
        </w:trPr>
        <w:tc>
          <w:tcPr>
            <w:tcW w:w="6549" w:type="dxa"/>
            <w:gridSpan w:val="4"/>
            <w:tcBorders>
              <w:top w:val="single" w:sz="4" w:space="0" w:color="auto"/>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Maximum exposure to credit risk (excluding any collateral or credit enhancements)</w:t>
            </w:r>
          </w:p>
        </w:tc>
        <w:tc>
          <w:tcPr>
            <w:tcW w:w="1269"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269"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2740"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2740"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Financial assets</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Cash and cash equivalents</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3,876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6,321 </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3,873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4,722 </w:t>
            </w:r>
          </w:p>
        </w:tc>
      </w:tr>
      <w:tr w:rsidR="008835EB" w:rsidTr="007E3F2E">
        <w:trPr>
          <w:trHeight w:val="255"/>
        </w:trPr>
        <w:tc>
          <w:tcPr>
            <w:tcW w:w="274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w:t>
            </w:r>
          </w:p>
        </w:tc>
        <w:tc>
          <w:tcPr>
            <w:tcW w:w="1271"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269"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269"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7,749</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11,043</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9087" w:type="dxa"/>
            <w:gridSpan w:val="6"/>
            <w:tcBorders>
              <w:top w:val="nil"/>
              <w:left w:val="nil"/>
              <w:bottom w:val="nil"/>
              <w:right w:val="nil"/>
            </w:tcBorders>
            <w:shd w:val="clear" w:color="auto" w:fill="auto"/>
            <w:vAlign w:val="bottom"/>
            <w:hideMark/>
          </w:tcPr>
          <w:p w:rsidR="008835EB" w:rsidRDefault="008835EB" w:rsidP="007E3F2E">
            <w:pPr>
              <w:rPr>
                <w:rFonts w:cs="Calibri"/>
                <w:szCs w:val="18"/>
              </w:rPr>
            </w:pPr>
            <w:r>
              <w:rPr>
                <w:rFonts w:cs="Calibri"/>
                <w:szCs w:val="18"/>
              </w:rPr>
              <w:t>In relation to the department’s gross credit risk there is no collateral held.</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720"/>
        </w:trPr>
        <w:tc>
          <w:tcPr>
            <w:tcW w:w="4011" w:type="dxa"/>
            <w:gridSpan w:val="2"/>
            <w:tcBorders>
              <w:top w:val="single" w:sz="4" w:space="0" w:color="auto"/>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Credit quality of financial instruments not past due or individually determined as impaired</w:t>
            </w:r>
          </w:p>
        </w:tc>
        <w:tc>
          <w:tcPr>
            <w:tcW w:w="1269"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Not past due nor impaired</w:t>
            </w:r>
          </w:p>
        </w:tc>
        <w:tc>
          <w:tcPr>
            <w:tcW w:w="1269"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Not past due nor impaired</w:t>
            </w:r>
          </w:p>
        </w:tc>
        <w:tc>
          <w:tcPr>
            <w:tcW w:w="1269"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Past due or impaired</w:t>
            </w:r>
          </w:p>
        </w:tc>
        <w:tc>
          <w:tcPr>
            <w:tcW w:w="1269"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Past due or impaired</w:t>
            </w:r>
          </w:p>
        </w:tc>
      </w:tr>
      <w:tr w:rsidR="008835EB" w:rsidTr="007E3F2E">
        <w:trPr>
          <w:trHeight w:val="255"/>
        </w:trPr>
        <w:tc>
          <w:tcPr>
            <w:tcW w:w="2740" w:type="dxa"/>
            <w:tcBorders>
              <w:top w:val="nil"/>
              <w:left w:val="nil"/>
              <w:bottom w:val="nil"/>
              <w:right w:val="nil"/>
            </w:tcBorders>
            <w:shd w:val="clear" w:color="FFFFFF" w:fill="FFFFFF"/>
            <w:hideMark/>
          </w:tcPr>
          <w:p w:rsidR="008835EB" w:rsidRDefault="008835EB" w:rsidP="007E3F2E">
            <w:pPr>
              <w:rPr>
                <w:rFonts w:cs="Calibri"/>
                <w:b/>
                <w:bCs/>
                <w:szCs w:val="18"/>
              </w:rPr>
            </w:pPr>
            <w:r>
              <w:rPr>
                <w:rFonts w:cs="Calibri"/>
                <w:b/>
                <w:bCs/>
                <w:szCs w:val="18"/>
              </w:rPr>
              <w:t> </w:t>
            </w:r>
          </w:p>
        </w:tc>
        <w:tc>
          <w:tcPr>
            <w:tcW w:w="1271" w:type="dxa"/>
            <w:tcBorders>
              <w:top w:val="nil"/>
              <w:left w:val="nil"/>
              <w:bottom w:val="nil"/>
              <w:right w:val="nil"/>
            </w:tcBorders>
            <w:shd w:val="clear" w:color="FFFFFF" w:fill="FFFFFF"/>
            <w:hideMark/>
          </w:tcPr>
          <w:p w:rsidR="008835EB" w:rsidRDefault="008835EB" w:rsidP="007E3F2E">
            <w:pPr>
              <w:rPr>
                <w:rFonts w:cs="Calibri"/>
                <w:b/>
                <w:bCs/>
                <w:szCs w:val="18"/>
              </w:rPr>
            </w:pPr>
            <w:r>
              <w:rPr>
                <w:rFonts w:cs="Calibri"/>
                <w:b/>
                <w:bCs/>
                <w:szCs w:val="18"/>
              </w:rPr>
              <w:t> </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2740"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sz w:val="20"/>
              </w:rPr>
            </w:pPr>
            <w:r>
              <w:rPr>
                <w:rFonts w:ascii="Arial" w:hAnsi="Arial" w:cs="Arial"/>
                <w:sz w:val="20"/>
              </w:rPr>
              <w:t> </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Cash and cash equivalents</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3,876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6,321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1,796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4,457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2,077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265 </w:t>
            </w:r>
          </w:p>
        </w:tc>
      </w:tr>
      <w:tr w:rsidR="008835EB" w:rsidTr="007E3F2E">
        <w:trPr>
          <w:trHeight w:val="255"/>
        </w:trPr>
        <w:tc>
          <w:tcPr>
            <w:tcW w:w="274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w:t>
            </w:r>
          </w:p>
        </w:tc>
        <w:tc>
          <w:tcPr>
            <w:tcW w:w="1271"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 </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5,672</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10,778</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2,077</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265</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c>
          <w:tcPr>
            <w:tcW w:w="1269" w:type="dxa"/>
            <w:tcBorders>
              <w:top w:val="nil"/>
              <w:left w:val="nil"/>
              <w:bottom w:val="nil"/>
              <w:right w:val="nil"/>
            </w:tcBorders>
            <w:shd w:val="clear" w:color="auto" w:fill="auto"/>
            <w:noWrap/>
            <w:vAlign w:val="bottom"/>
            <w:hideMark/>
          </w:tcPr>
          <w:p w:rsidR="008835EB" w:rsidRDefault="008835EB" w:rsidP="007E3F2E">
            <w:pPr>
              <w:rPr>
                <w:rFonts w:ascii="Arial" w:hAnsi="Arial" w:cs="Arial"/>
                <w:sz w:val="20"/>
              </w:rPr>
            </w:pPr>
          </w:p>
        </w:tc>
      </w:tr>
      <w:tr w:rsidR="008835EB" w:rsidTr="007E3F2E">
        <w:trPr>
          <w:trHeight w:val="255"/>
        </w:trPr>
        <w:tc>
          <w:tcPr>
            <w:tcW w:w="9087" w:type="dxa"/>
            <w:gridSpan w:val="6"/>
            <w:tcBorders>
              <w:top w:val="nil"/>
              <w:left w:val="nil"/>
              <w:bottom w:val="single" w:sz="4" w:space="0" w:color="auto"/>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Ageing of financial assets that were past due but not impaired in 2016</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xml:space="preserve">0 to 30 </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31 to 60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61 to 90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90+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Total</w:t>
            </w:r>
          </w:p>
        </w:tc>
      </w:tr>
      <w:tr w:rsidR="008835EB" w:rsidTr="007E3F2E">
        <w:trPr>
          <w:trHeight w:val="255"/>
        </w:trPr>
        <w:tc>
          <w:tcPr>
            <w:tcW w:w="2740"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269"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27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341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1,058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165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510 </w:t>
            </w:r>
          </w:p>
        </w:tc>
        <w:tc>
          <w:tcPr>
            <w:tcW w:w="126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2,074 </w:t>
            </w:r>
          </w:p>
        </w:tc>
      </w:tr>
      <w:tr w:rsidR="008835EB" w:rsidTr="007E3F2E">
        <w:trPr>
          <w:trHeight w:val="255"/>
        </w:trPr>
        <w:tc>
          <w:tcPr>
            <w:tcW w:w="2740"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w:t>
            </w:r>
          </w:p>
        </w:tc>
        <w:tc>
          <w:tcPr>
            <w:tcW w:w="127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341</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1,058</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165</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510</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2,074</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6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9087" w:type="dxa"/>
            <w:gridSpan w:val="6"/>
            <w:tcBorders>
              <w:top w:val="nil"/>
              <w:left w:val="nil"/>
              <w:bottom w:val="single" w:sz="4" w:space="0" w:color="auto"/>
              <w:right w:val="nil"/>
            </w:tcBorders>
            <w:shd w:val="clear" w:color="FFFFFF" w:fill="FFFFFF"/>
            <w:noWrap/>
            <w:vAlign w:val="bottom"/>
            <w:hideMark/>
          </w:tcPr>
          <w:p w:rsidR="008835EB" w:rsidRDefault="008835EB" w:rsidP="007E3F2E">
            <w:pPr>
              <w:rPr>
                <w:rFonts w:cs="Calibri"/>
                <w:szCs w:val="18"/>
              </w:rPr>
            </w:pPr>
            <w:r>
              <w:rPr>
                <w:rFonts w:cs="Calibri"/>
                <w:szCs w:val="18"/>
              </w:rPr>
              <w:t>Ageing of financial assets that were past due but not impaired for 2015</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xml:space="preserve">0 to 30 </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31 to 60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61 to 90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90+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days</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Total</w:t>
            </w:r>
          </w:p>
        </w:tc>
      </w:tr>
      <w:tr w:rsidR="008835EB" w:rsidTr="007E3F2E">
        <w:trPr>
          <w:trHeight w:val="255"/>
        </w:trPr>
        <w:tc>
          <w:tcPr>
            <w:tcW w:w="27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1"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269" w:type="dxa"/>
            <w:tcBorders>
              <w:top w:val="nil"/>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2740" w:type="dxa"/>
            <w:tcBorders>
              <w:top w:val="single" w:sz="4" w:space="0" w:color="auto"/>
              <w:left w:val="nil"/>
              <w:bottom w:val="single" w:sz="4" w:space="0" w:color="auto"/>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27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20 </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60 </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28 </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147 </w:t>
            </w:r>
          </w:p>
        </w:tc>
        <w:tc>
          <w:tcPr>
            <w:tcW w:w="1269"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255 </w:t>
            </w:r>
          </w:p>
        </w:tc>
      </w:tr>
      <w:tr w:rsidR="008835EB" w:rsidTr="007E3F2E">
        <w:trPr>
          <w:trHeight w:val="255"/>
        </w:trPr>
        <w:tc>
          <w:tcPr>
            <w:tcW w:w="2740" w:type="dxa"/>
            <w:tcBorders>
              <w:top w:val="nil"/>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w:t>
            </w:r>
          </w:p>
        </w:tc>
        <w:tc>
          <w:tcPr>
            <w:tcW w:w="1271"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w:t>
            </w:r>
          </w:p>
        </w:tc>
        <w:tc>
          <w:tcPr>
            <w:tcW w:w="1269"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60</w:t>
            </w:r>
          </w:p>
        </w:tc>
        <w:tc>
          <w:tcPr>
            <w:tcW w:w="1269"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28</w:t>
            </w:r>
          </w:p>
        </w:tc>
        <w:tc>
          <w:tcPr>
            <w:tcW w:w="1269"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147</w:t>
            </w:r>
          </w:p>
        </w:tc>
        <w:tc>
          <w:tcPr>
            <w:tcW w:w="1269"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255</w:t>
            </w:r>
          </w:p>
        </w:tc>
      </w:tr>
    </w:tbl>
    <w:p w:rsidR="008835EB" w:rsidRDefault="008835EB" w:rsidP="008835EB">
      <w:pPr>
        <w:spacing w:line="240" w:lineRule="auto"/>
        <w:rPr>
          <w:rFonts w:asciiTheme="minorHAnsi" w:hAnsiTheme="minorHAnsi" w:cstheme="minorHAnsi"/>
          <w:szCs w:val="18"/>
          <w:lang w:eastAsia="en-AU"/>
        </w:rPr>
      </w:pPr>
      <w:bookmarkStart w:id="420" w:name="RANGE!D7:J39"/>
      <w:bookmarkStart w:id="421" w:name="RANGE!D7:I39"/>
      <w:bookmarkStart w:id="422" w:name="RANGE!D7:I41"/>
      <w:bookmarkStart w:id="423" w:name="RANGE!D7:I46"/>
      <w:bookmarkStart w:id="424" w:name="RANGE!D7:I45"/>
      <w:bookmarkStart w:id="425" w:name="RANGE!D7:I44"/>
      <w:bookmarkStart w:id="426" w:name="RANGE!D7:I42"/>
      <w:bookmarkStart w:id="427" w:name="RANGE!D6:I42"/>
      <w:bookmarkStart w:id="428" w:name="RANGE!D6:I47"/>
      <w:bookmarkStart w:id="429" w:name="RANGE!D21:H37"/>
      <w:bookmarkStart w:id="430" w:name="RANGE!D22:H38"/>
      <w:bookmarkStart w:id="431" w:name="RANGE!D40:H88"/>
      <w:bookmarkStart w:id="432" w:name="RANGE!D41:H89"/>
      <w:bookmarkStart w:id="433" w:name="RANGE!D6:G30"/>
      <w:bookmarkStart w:id="434" w:name="RANGE!D6:D31"/>
      <w:bookmarkStart w:id="435" w:name="RANGE!D6:G31"/>
      <w:bookmarkStart w:id="436" w:name="RANGE!D6:F17"/>
      <w:bookmarkStart w:id="437" w:name="RANGE!D6:I46"/>
      <w:bookmarkStart w:id="438" w:name="RANGE!D6:I44"/>
      <w:bookmarkStart w:id="439" w:name="RANGE!D6:D45"/>
      <w:bookmarkStart w:id="440" w:name="RANGE!D6:I45"/>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8835EB" w:rsidRDefault="008835EB" w:rsidP="008835EB">
      <w:bookmarkStart w:id="441" w:name="RANGE!D7:D21"/>
      <w:r>
        <w:br w:type="page"/>
      </w:r>
    </w:p>
    <w:p w:rsidR="008835EB" w:rsidRDefault="008835EB" w:rsidP="008835EB">
      <w:pPr>
        <w:rPr>
          <w:rFonts w:cs="Calibri"/>
          <w:b/>
          <w:bCs/>
          <w:sz w:val="20"/>
          <w:u w:val="single"/>
        </w:rPr>
      </w:pPr>
      <w:r w:rsidRPr="008463C2">
        <w:rPr>
          <w:rFonts w:cs="Calibri"/>
          <w:b/>
          <w:bCs/>
          <w:sz w:val="20"/>
          <w:u w:val="single"/>
        </w:rPr>
        <w:lastRenderedPageBreak/>
        <w:t xml:space="preserve">Note </w:t>
      </w:r>
      <w:proofErr w:type="spellStart"/>
      <w:r w:rsidRPr="008463C2">
        <w:rPr>
          <w:rFonts w:cs="Calibri"/>
          <w:b/>
          <w:bCs/>
          <w:sz w:val="20"/>
          <w:u w:val="single"/>
        </w:rPr>
        <w:t>7.2E</w:t>
      </w:r>
      <w:proofErr w:type="spellEnd"/>
      <w:r w:rsidRPr="008463C2">
        <w:rPr>
          <w:rFonts w:cs="Calibri"/>
          <w:b/>
          <w:bCs/>
          <w:sz w:val="20"/>
          <w:u w:val="single"/>
        </w:rPr>
        <w:t>: Liquidity Risk</w:t>
      </w:r>
    </w:p>
    <w:p w:rsidR="008835EB" w:rsidRDefault="008835EB" w:rsidP="008835EB">
      <w:pPr>
        <w:spacing w:before="120" w:after="240"/>
      </w:pPr>
      <w:r>
        <w:rPr>
          <w:rFonts w:cs="Calibri"/>
          <w:szCs w:val="18"/>
        </w:rPr>
        <w:t>The Department’s financial liabilities were trade creditors and accrued expenses. The exposure to liquidity risk was based on the notion that the Department will encounter difficulty in meeting its obligations associated with financial liabilities. This was highly unlikely as the Department is appropriated funding from the Australian Government. The Department manages its budgeted funds to ensure it has adequate funds to meet payments as they fall due. In addition, the Department has policies in place to ensure timely payments are made when due and has no past experience of default.</w:t>
      </w:r>
    </w:p>
    <w:tbl>
      <w:tblPr>
        <w:tblW w:w="9087" w:type="dxa"/>
        <w:tblInd w:w="80" w:type="dxa"/>
        <w:tblLayout w:type="fixed"/>
        <w:tblLook w:val="04A0" w:firstRow="1" w:lastRow="0" w:firstColumn="1" w:lastColumn="0" w:noHBand="0" w:noVBand="1"/>
      </w:tblPr>
      <w:tblGrid>
        <w:gridCol w:w="2247"/>
        <w:gridCol w:w="1140"/>
        <w:gridCol w:w="1140"/>
        <w:gridCol w:w="1140"/>
        <w:gridCol w:w="1140"/>
        <w:gridCol w:w="1140"/>
        <w:gridCol w:w="1140"/>
      </w:tblGrid>
      <w:tr w:rsidR="008835EB" w:rsidTr="007E3F2E">
        <w:trPr>
          <w:trHeight w:val="255"/>
        </w:trPr>
        <w:tc>
          <w:tcPr>
            <w:tcW w:w="4527" w:type="dxa"/>
            <w:gridSpan w:val="3"/>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Maturities for non-derivative financial liabilities in 2016</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480"/>
        </w:trPr>
        <w:tc>
          <w:tcPr>
            <w:tcW w:w="2247" w:type="dxa"/>
            <w:tcBorders>
              <w:top w:val="single" w:sz="4" w:space="0" w:color="auto"/>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On demand</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Within one year</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Between one to two years</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Between two and five years</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More than five years</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Total</w:t>
            </w:r>
          </w:p>
        </w:tc>
      </w:tr>
      <w:tr w:rsidR="008835EB" w:rsidTr="007E3F2E">
        <w:trPr>
          <w:trHeight w:val="255"/>
        </w:trPr>
        <w:tc>
          <w:tcPr>
            <w:tcW w:w="2247"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b/>
                <w:bCs/>
                <w:szCs w:val="18"/>
              </w:rPr>
            </w:pPr>
            <w:r>
              <w:rPr>
                <w:rFonts w:ascii="Arial" w:hAnsi="Arial" w:cs="Arial"/>
                <w:b/>
                <w:bCs/>
                <w:szCs w:val="18"/>
              </w:rPr>
              <w:t> </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55"/>
        </w:trPr>
        <w:tc>
          <w:tcPr>
            <w:tcW w:w="224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Trade creditors</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17,104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621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154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17,879 </w:t>
            </w:r>
          </w:p>
        </w:tc>
      </w:tr>
      <w:tr w:rsidR="008835EB" w:rsidTr="007E3F2E">
        <w:trPr>
          <w:trHeight w:val="255"/>
        </w:trPr>
        <w:tc>
          <w:tcPr>
            <w:tcW w:w="2247"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17,104</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621</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154</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17,879</w:t>
            </w:r>
          </w:p>
        </w:tc>
      </w:tr>
      <w:tr w:rsidR="008835EB" w:rsidTr="007E3F2E">
        <w:trPr>
          <w:trHeight w:val="255"/>
        </w:trPr>
        <w:tc>
          <w:tcPr>
            <w:tcW w:w="2247"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255"/>
        </w:trPr>
        <w:tc>
          <w:tcPr>
            <w:tcW w:w="4527" w:type="dxa"/>
            <w:gridSpan w:val="3"/>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Maturities for non-derivative financial liabilities 2015</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720"/>
        </w:trPr>
        <w:tc>
          <w:tcPr>
            <w:tcW w:w="2247" w:type="dxa"/>
            <w:tcBorders>
              <w:top w:val="single" w:sz="4" w:space="0" w:color="auto"/>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On demand</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Within one year</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Between one to two years</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Between two and five years</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More than five years</w:t>
            </w:r>
          </w:p>
        </w:tc>
        <w:tc>
          <w:tcPr>
            <w:tcW w:w="1140" w:type="dxa"/>
            <w:tcBorders>
              <w:top w:val="single" w:sz="4" w:space="0" w:color="auto"/>
              <w:left w:val="nil"/>
              <w:bottom w:val="nil"/>
              <w:right w:val="nil"/>
            </w:tcBorders>
            <w:shd w:val="clear" w:color="FFFFFF" w:fill="FFFFFF"/>
            <w:vAlign w:val="bottom"/>
            <w:hideMark/>
          </w:tcPr>
          <w:p w:rsidR="008835EB" w:rsidRDefault="008835EB" w:rsidP="007E3F2E">
            <w:pPr>
              <w:jc w:val="right"/>
              <w:rPr>
                <w:rFonts w:cs="Calibri"/>
                <w:szCs w:val="18"/>
              </w:rPr>
            </w:pPr>
            <w:r>
              <w:rPr>
                <w:rFonts w:cs="Calibri"/>
                <w:szCs w:val="18"/>
              </w:rPr>
              <w:t>Total</w:t>
            </w:r>
          </w:p>
        </w:tc>
      </w:tr>
      <w:tr w:rsidR="008835EB" w:rsidTr="007E3F2E">
        <w:trPr>
          <w:trHeight w:val="255"/>
        </w:trPr>
        <w:tc>
          <w:tcPr>
            <w:tcW w:w="2247"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2247" w:type="dxa"/>
            <w:tcBorders>
              <w:top w:val="nil"/>
              <w:left w:val="nil"/>
              <w:bottom w:val="nil"/>
              <w:right w:val="nil"/>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Trade creditors</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15,652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656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109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303 </w:t>
            </w:r>
          </w:p>
        </w:tc>
        <w:tc>
          <w:tcPr>
            <w:tcW w:w="1140"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16,720 </w:t>
            </w:r>
          </w:p>
        </w:tc>
      </w:tr>
      <w:tr w:rsidR="008835EB" w:rsidTr="007E3F2E">
        <w:trPr>
          <w:trHeight w:val="255"/>
        </w:trPr>
        <w:tc>
          <w:tcPr>
            <w:tcW w:w="2247"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Total</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15,652</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656</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109</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303</w:t>
            </w:r>
          </w:p>
        </w:tc>
        <w:tc>
          <w:tcPr>
            <w:tcW w:w="1140"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16,720</w:t>
            </w:r>
          </w:p>
        </w:tc>
      </w:tr>
    </w:tbl>
    <w:p w:rsidR="008835EB" w:rsidRDefault="008835EB" w:rsidP="008835EB">
      <w:bookmarkStart w:id="442" w:name="RANGE!D7:J21"/>
      <w:bookmarkEnd w:id="441"/>
      <w:bookmarkEnd w:id="442"/>
    </w:p>
    <w:p w:rsidR="008835EB" w:rsidRPr="008463C2" w:rsidRDefault="008835EB" w:rsidP="008835EB">
      <w:pPr>
        <w:spacing w:before="120"/>
        <w:rPr>
          <w:rFonts w:cs="Calibri"/>
          <w:b/>
          <w:bCs/>
          <w:sz w:val="20"/>
          <w:u w:val="single"/>
        </w:rPr>
      </w:pPr>
      <w:bookmarkStart w:id="443" w:name="RANGE!D7:G9"/>
      <w:bookmarkEnd w:id="443"/>
      <w:r w:rsidRPr="008463C2">
        <w:rPr>
          <w:rFonts w:cs="Calibri"/>
          <w:b/>
          <w:bCs/>
          <w:sz w:val="20"/>
          <w:u w:val="single"/>
        </w:rPr>
        <w:t xml:space="preserve">Note </w:t>
      </w:r>
      <w:proofErr w:type="spellStart"/>
      <w:r w:rsidRPr="008463C2">
        <w:rPr>
          <w:rFonts w:cs="Calibri"/>
          <w:b/>
          <w:bCs/>
          <w:sz w:val="20"/>
          <w:u w:val="single"/>
        </w:rPr>
        <w:t>7.2F</w:t>
      </w:r>
      <w:proofErr w:type="spellEnd"/>
      <w:r w:rsidRPr="008463C2">
        <w:rPr>
          <w:rFonts w:cs="Calibri"/>
          <w:b/>
          <w:bCs/>
          <w:sz w:val="20"/>
          <w:u w:val="single"/>
        </w:rPr>
        <w:t>: Market Risk</w:t>
      </w:r>
    </w:p>
    <w:p w:rsidR="008835EB" w:rsidRDefault="008835EB" w:rsidP="008835EB">
      <w:pPr>
        <w:spacing w:before="120"/>
      </w:pPr>
      <w:r>
        <w:rPr>
          <w:rFonts w:cs="Calibri"/>
          <w:szCs w:val="18"/>
        </w:rPr>
        <w:t>The Department held basic financial instruments that did not expose the Department to market risks.</w:t>
      </w:r>
    </w:p>
    <w:p w:rsidR="008835EB" w:rsidRDefault="008835EB" w:rsidP="008835EB">
      <w:pPr>
        <w:sectPr w:rsidR="008835EB" w:rsidSect="00F74C23">
          <w:pgSz w:w="11906" w:h="16838"/>
          <w:pgMar w:top="1134" w:right="1134" w:bottom="1134" w:left="1134" w:header="958" w:footer="737" w:gutter="0"/>
          <w:cols w:space="720"/>
          <w:docGrid w:linePitch="245"/>
        </w:sectPr>
      </w:pPr>
      <w:r>
        <w:br w:type="page"/>
      </w:r>
    </w:p>
    <w:p w:rsidR="008835EB" w:rsidRDefault="008835EB" w:rsidP="008835EB">
      <w:pPr>
        <w:pStyle w:val="SubHeading"/>
      </w:pPr>
      <w:bookmarkStart w:id="444" w:name="_Toc456689864"/>
      <w:r>
        <w:lastRenderedPageBreak/>
        <w:t>Administered - Financial Instruments</w:t>
      </w:r>
      <w:bookmarkEnd w:id="444"/>
    </w:p>
    <w:tbl>
      <w:tblPr>
        <w:tblW w:w="9087" w:type="dxa"/>
        <w:tblInd w:w="80" w:type="dxa"/>
        <w:tblLayout w:type="fixed"/>
        <w:tblLook w:val="04A0" w:firstRow="1" w:lastRow="0" w:firstColumn="1" w:lastColumn="0" w:noHBand="0" w:noVBand="1"/>
      </w:tblPr>
      <w:tblGrid>
        <w:gridCol w:w="5868"/>
        <w:gridCol w:w="1458"/>
        <w:gridCol w:w="303"/>
        <w:gridCol w:w="1458"/>
      </w:tblGrid>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bookmarkStart w:id="445" w:name="Note_AFATABLE1" w:colFirst="0" w:colLast="0"/>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2016</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bookmarkEnd w:id="445"/>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5056" w:type="dxa"/>
            <w:tcBorders>
              <w:top w:val="nil"/>
              <w:left w:val="nil"/>
              <w:bottom w:val="nil"/>
              <w:right w:val="nil"/>
            </w:tcBorders>
            <w:shd w:val="clear" w:color="000000" w:fill="D9D9D9"/>
            <w:noWrap/>
            <w:hideMark/>
          </w:tcPr>
          <w:p w:rsidR="008835EB" w:rsidRDefault="008835EB" w:rsidP="007E3F2E">
            <w:pPr>
              <w:pStyle w:val="NotesHeading-Level1"/>
            </w:pPr>
            <w:r>
              <w:t xml:space="preserve">Note </w:t>
            </w:r>
            <w:proofErr w:type="spellStart"/>
            <w:r>
              <w:t>7.3A</w:t>
            </w:r>
            <w:proofErr w:type="spellEnd"/>
            <w:r>
              <w:t>: Categories of Financial Instruments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pStyle w:val="NotesHeading-Level1"/>
              <w:rPr>
                <w:rFonts w:ascii="Arial" w:hAnsi="Arial" w:cs="Arial"/>
                <w:sz w:val="16"/>
                <w:szCs w:val="16"/>
              </w:rPr>
            </w:pP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pStyle w:val="NotesHeading-Level1"/>
              <w:rPr>
                <w:rFonts w:ascii="Arial" w:hAnsi="Arial" w:cs="Arial"/>
                <w:sz w:val="16"/>
                <w:szCs w:val="16"/>
              </w:rPr>
            </w:pP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pStyle w:val="NotesHeading-Level1"/>
              <w:rPr>
                <w:rFonts w:ascii="Arial" w:hAnsi="Arial" w:cs="Arial"/>
                <w:sz w:val="16"/>
                <w:szCs w:val="16"/>
              </w:rPr>
            </w:pPr>
          </w:p>
        </w:tc>
      </w:tr>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Assets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Available-for-sale financial assets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Investments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240,897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224,658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available-for-sale financial assets</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256" w:type="dxa"/>
            <w:tcBorders>
              <w:top w:val="nil"/>
              <w:left w:val="nil"/>
              <w:bottom w:val="nil"/>
              <w:right w:val="nil"/>
            </w:tcBorders>
            <w:shd w:val="clear" w:color="000000" w:fill="D9D9D9"/>
            <w:noWrap/>
            <w:vAlign w:val="bottom"/>
            <w:hideMark/>
          </w:tcPr>
          <w:p w:rsidR="008835EB" w:rsidRDefault="008835EB" w:rsidP="007E3F2E">
            <w:pPr>
              <w:rPr>
                <w:rFonts w:cs="Calibri"/>
                <w:b/>
                <w:bCs/>
                <w:szCs w:val="18"/>
              </w:rPr>
            </w:pPr>
            <w:r>
              <w:rPr>
                <w:rFonts w:cs="Calibri"/>
                <w:b/>
                <w:bCs/>
                <w:szCs w:val="18"/>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Loans and receivables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Cash and cash equivalents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104 </w:t>
            </w:r>
          </w:p>
        </w:tc>
      </w:tr>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2,193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698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loans and receivables</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2,197</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802</w:t>
            </w:r>
          </w:p>
        </w:tc>
      </w:tr>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70"/>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financial assets</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243,094</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225,460</w:t>
            </w:r>
          </w:p>
        </w:tc>
      </w:tr>
      <w:tr w:rsidR="008835EB" w:rsidTr="007E3F2E">
        <w:trPr>
          <w:trHeight w:val="270"/>
        </w:trPr>
        <w:tc>
          <w:tcPr>
            <w:tcW w:w="50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Liabilities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liabilities measured at amortised cost</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Trade creditors and accruals</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60,980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99,476 </w:t>
            </w:r>
          </w:p>
        </w:tc>
      </w:tr>
      <w:tr w:rsidR="008835EB" w:rsidTr="007E3F2E">
        <w:trPr>
          <w:trHeight w:val="255"/>
        </w:trPr>
        <w:tc>
          <w:tcPr>
            <w:tcW w:w="505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Total financial liabilities measured at amortised cost</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99,476</w:t>
            </w:r>
          </w:p>
        </w:tc>
      </w:tr>
      <w:tr w:rsidR="008835EB" w:rsidTr="007E3F2E">
        <w:trPr>
          <w:trHeight w:val="255"/>
        </w:trPr>
        <w:tc>
          <w:tcPr>
            <w:tcW w:w="50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70"/>
        </w:trPr>
        <w:tc>
          <w:tcPr>
            <w:tcW w:w="5056"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szCs w:val="18"/>
              </w:rPr>
            </w:pPr>
            <w:r>
              <w:rPr>
                <w:rFonts w:cs="Calibri"/>
                <w:b/>
                <w:bCs/>
                <w:szCs w:val="18"/>
              </w:rPr>
              <w:t>Total financial liabilities</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261"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99,476</w:t>
            </w:r>
          </w:p>
        </w:tc>
      </w:tr>
    </w:tbl>
    <w:p w:rsidR="008835EB" w:rsidRDefault="008835EB" w:rsidP="008835EB">
      <w:pPr>
        <w:pStyle w:val="GreyShadeTableBreak"/>
      </w:pPr>
      <w:bookmarkStart w:id="446" w:name="RANGE!D7:G31"/>
      <w:bookmarkEnd w:id="446"/>
    </w:p>
    <w:tbl>
      <w:tblPr>
        <w:tblW w:w="9087" w:type="dxa"/>
        <w:tblInd w:w="80" w:type="dxa"/>
        <w:tblLayout w:type="fixed"/>
        <w:tblLook w:val="04A0" w:firstRow="1" w:lastRow="0" w:firstColumn="1" w:lastColumn="0" w:noHBand="0" w:noVBand="1"/>
      </w:tblPr>
      <w:tblGrid>
        <w:gridCol w:w="5901"/>
        <w:gridCol w:w="1443"/>
        <w:gridCol w:w="300"/>
        <w:gridCol w:w="1443"/>
      </w:tblGrid>
      <w:tr w:rsidR="008835EB" w:rsidTr="007E3F2E">
        <w:trPr>
          <w:trHeight w:val="255"/>
        </w:trPr>
        <w:tc>
          <w:tcPr>
            <w:tcW w:w="5136" w:type="dxa"/>
            <w:tcBorders>
              <w:top w:val="nil"/>
              <w:left w:val="nil"/>
              <w:bottom w:val="nil"/>
              <w:right w:val="nil"/>
            </w:tcBorders>
            <w:shd w:val="clear" w:color="000000" w:fill="D9D9D9"/>
            <w:noWrap/>
            <w:hideMark/>
          </w:tcPr>
          <w:p w:rsidR="008835EB" w:rsidRDefault="008835EB" w:rsidP="007E3F2E">
            <w:pPr>
              <w:rPr>
                <w:rFonts w:cs="Calibri"/>
                <w:b/>
                <w:bCs/>
                <w:szCs w:val="18"/>
                <w:u w:val="single"/>
              </w:rPr>
            </w:pPr>
            <w:bookmarkStart w:id="447" w:name="RANGE!D7:D18"/>
            <w:bookmarkStart w:id="448" w:name="Note_AFBTABLE1" w:colFirst="0" w:colLast="0"/>
            <w:r>
              <w:rPr>
                <w:rFonts w:cs="Calibri"/>
                <w:b/>
                <w:bCs/>
                <w:szCs w:val="18"/>
                <w:u w:val="single"/>
              </w:rPr>
              <w:t xml:space="preserve">Note </w:t>
            </w:r>
            <w:proofErr w:type="spellStart"/>
            <w:r>
              <w:rPr>
                <w:rFonts w:cs="Calibri"/>
                <w:b/>
                <w:bCs/>
                <w:szCs w:val="18"/>
                <w:u w:val="single"/>
              </w:rPr>
              <w:t>7.3B</w:t>
            </w:r>
            <w:proofErr w:type="spellEnd"/>
            <w:r>
              <w:rPr>
                <w:rFonts w:cs="Calibri"/>
                <w:b/>
                <w:bCs/>
                <w:szCs w:val="18"/>
                <w:u w:val="single"/>
              </w:rPr>
              <w:t>: Net Gains or Losses on Financial Assets</w:t>
            </w:r>
            <w:bookmarkEnd w:id="447"/>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bookmarkEnd w:id="448"/>
      <w:tr w:rsidR="008835EB" w:rsidTr="007E3F2E">
        <w:trPr>
          <w:trHeight w:val="255"/>
        </w:trPr>
        <w:tc>
          <w:tcPr>
            <w:tcW w:w="513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Available-for-sale financial assets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13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Gains recognised in equity</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16,239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79,181 </w:t>
            </w:r>
          </w:p>
        </w:tc>
      </w:tr>
      <w:tr w:rsidR="008835EB" w:rsidTr="007E3F2E">
        <w:trPr>
          <w:trHeight w:val="255"/>
        </w:trPr>
        <w:tc>
          <w:tcPr>
            <w:tcW w:w="513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Net gains from available-for-sale financial assets</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16,239</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79,181</w:t>
            </w:r>
          </w:p>
        </w:tc>
      </w:tr>
      <w:tr w:rsidR="008835EB" w:rsidTr="007E3F2E">
        <w:trPr>
          <w:trHeight w:val="255"/>
        </w:trPr>
        <w:tc>
          <w:tcPr>
            <w:tcW w:w="51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13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Loans and receivables</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513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Interest revenue</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29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20 </w:t>
            </w:r>
          </w:p>
        </w:tc>
      </w:tr>
      <w:tr w:rsidR="008835EB" w:rsidTr="007E3F2E">
        <w:trPr>
          <w:trHeight w:val="255"/>
        </w:trPr>
        <w:tc>
          <w:tcPr>
            <w:tcW w:w="513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Write-down and impairment</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(2,293)</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(155)</w:t>
            </w:r>
          </w:p>
        </w:tc>
      </w:tr>
      <w:tr w:rsidR="008835EB" w:rsidTr="007E3F2E">
        <w:trPr>
          <w:trHeight w:val="255"/>
        </w:trPr>
        <w:tc>
          <w:tcPr>
            <w:tcW w:w="5136"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Net losses from loans and receivables</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(2,264)</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(135)</w:t>
            </w:r>
          </w:p>
        </w:tc>
      </w:tr>
      <w:tr w:rsidR="008835EB" w:rsidTr="007E3F2E">
        <w:trPr>
          <w:trHeight w:val="255"/>
        </w:trPr>
        <w:tc>
          <w:tcPr>
            <w:tcW w:w="513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70"/>
        </w:trPr>
        <w:tc>
          <w:tcPr>
            <w:tcW w:w="5136" w:type="dxa"/>
            <w:tcBorders>
              <w:top w:val="single" w:sz="4" w:space="0" w:color="D9D9D9"/>
              <w:left w:val="nil"/>
              <w:bottom w:val="single" w:sz="24" w:space="0" w:color="D8D8D8"/>
              <w:right w:val="nil"/>
            </w:tcBorders>
            <w:shd w:val="clear" w:color="000000" w:fill="D9D9D9"/>
            <w:vAlign w:val="bottom"/>
            <w:hideMark/>
          </w:tcPr>
          <w:p w:rsidR="008835EB" w:rsidRDefault="008835EB" w:rsidP="007E3F2E">
            <w:pPr>
              <w:rPr>
                <w:rFonts w:cs="Calibri"/>
                <w:b/>
                <w:bCs/>
                <w:szCs w:val="18"/>
              </w:rPr>
            </w:pPr>
            <w:r>
              <w:rPr>
                <w:rFonts w:cs="Calibri"/>
                <w:b/>
                <w:bCs/>
                <w:szCs w:val="18"/>
              </w:rPr>
              <w:t>Net gains on financial assets</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13,975</w:t>
            </w:r>
          </w:p>
        </w:tc>
        <w:tc>
          <w:tcPr>
            <w:tcW w:w="261" w:type="dxa"/>
            <w:tcBorders>
              <w:top w:val="single" w:sz="4" w:space="0" w:color="D9D9D9"/>
              <w:left w:val="nil"/>
              <w:bottom w:val="single" w:sz="24" w:space="0" w:color="D8D8D8"/>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79,046</w:t>
            </w:r>
          </w:p>
        </w:tc>
      </w:tr>
    </w:tbl>
    <w:p w:rsidR="008835EB" w:rsidRDefault="008835EB" w:rsidP="008835EB">
      <w:pPr>
        <w:pStyle w:val="GreyShadeTableBreak"/>
      </w:pPr>
      <w:bookmarkStart w:id="449" w:name="RANGE!D7:K27"/>
      <w:bookmarkStart w:id="450" w:name="RANGE!D7:G27"/>
      <w:bookmarkStart w:id="451" w:name="RANGE!D7:L30"/>
      <w:bookmarkStart w:id="452" w:name="RANGE!D7:L31"/>
      <w:bookmarkStart w:id="453" w:name="RANGE!D7:L32"/>
      <w:bookmarkStart w:id="454" w:name="RANGE!D6:L31"/>
      <w:bookmarkStart w:id="455" w:name="RANGE!D6:L30"/>
      <w:bookmarkEnd w:id="449"/>
      <w:bookmarkEnd w:id="450"/>
      <w:bookmarkEnd w:id="451"/>
      <w:bookmarkEnd w:id="452"/>
      <w:bookmarkEnd w:id="453"/>
      <w:bookmarkEnd w:id="454"/>
      <w:bookmarkEnd w:id="455"/>
    </w:p>
    <w:p w:rsidR="008835EB" w:rsidRDefault="008835EB" w:rsidP="008835EB">
      <w:pPr>
        <w:spacing w:line="240" w:lineRule="auto"/>
      </w:pPr>
      <w:r>
        <w:br w:type="page"/>
      </w:r>
    </w:p>
    <w:tbl>
      <w:tblPr>
        <w:tblW w:w="9087" w:type="dxa"/>
        <w:tblInd w:w="80" w:type="dxa"/>
        <w:tblLayout w:type="fixed"/>
        <w:tblLook w:val="04A0" w:firstRow="1" w:lastRow="0" w:firstColumn="1" w:lastColumn="0" w:noHBand="0" w:noVBand="1"/>
      </w:tblPr>
      <w:tblGrid>
        <w:gridCol w:w="3512"/>
        <w:gridCol w:w="158"/>
        <w:gridCol w:w="1083"/>
        <w:gridCol w:w="467"/>
        <w:gridCol w:w="616"/>
        <w:gridCol w:w="471"/>
        <w:gridCol w:w="612"/>
        <w:gridCol w:w="1082"/>
        <w:gridCol w:w="1086"/>
      </w:tblGrid>
      <w:tr w:rsidR="008835EB" w:rsidTr="007E3F2E">
        <w:trPr>
          <w:trHeight w:val="255"/>
        </w:trPr>
        <w:tc>
          <w:tcPr>
            <w:tcW w:w="9087" w:type="dxa"/>
            <w:gridSpan w:val="9"/>
            <w:tcBorders>
              <w:top w:val="nil"/>
              <w:left w:val="nil"/>
              <w:bottom w:val="nil"/>
              <w:right w:val="nil"/>
            </w:tcBorders>
            <w:shd w:val="clear" w:color="000000" w:fill="D9D9D9"/>
            <w:noWrap/>
            <w:hideMark/>
          </w:tcPr>
          <w:p w:rsidR="008835EB" w:rsidRDefault="008835EB" w:rsidP="007E3F2E">
            <w:pPr>
              <w:pStyle w:val="NotesHeading-Level1"/>
            </w:pPr>
            <w:bookmarkStart w:id="456" w:name="Note_AFGTABLE1" w:colFirst="0" w:colLast="0"/>
            <w:r>
              <w:lastRenderedPageBreak/>
              <w:t xml:space="preserve">Note </w:t>
            </w:r>
            <w:proofErr w:type="spellStart"/>
            <w:r>
              <w:t>7.3C</w:t>
            </w:r>
            <w:proofErr w:type="spellEnd"/>
            <w:r>
              <w:t>: Fair value of Financial Instruments</w:t>
            </w:r>
          </w:p>
        </w:tc>
      </w:tr>
      <w:bookmarkEnd w:id="456"/>
      <w:tr w:rsidR="008835EB" w:rsidTr="007E3F2E">
        <w:trPr>
          <w:trHeight w:val="255"/>
        </w:trPr>
        <w:tc>
          <w:tcPr>
            <w:tcW w:w="3514" w:type="dxa"/>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709" w:type="dxa"/>
            <w:gridSpan w:val="3"/>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gridSpan w:val="2"/>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690" w:type="dxa"/>
            <w:gridSpan w:val="2"/>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51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709" w:type="dxa"/>
            <w:gridSpan w:val="3"/>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Carrying amount</w:t>
            </w:r>
          </w:p>
        </w:tc>
        <w:tc>
          <w:tcPr>
            <w:tcW w:w="1087"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Fair value</w:t>
            </w:r>
          </w:p>
        </w:tc>
        <w:tc>
          <w:tcPr>
            <w:tcW w:w="1690"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Carrying amount</w:t>
            </w:r>
          </w:p>
        </w:tc>
        <w:tc>
          <w:tcPr>
            <w:tcW w:w="108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Fair value</w:t>
            </w:r>
          </w:p>
        </w:tc>
      </w:tr>
      <w:tr w:rsidR="008835EB" w:rsidTr="007E3F2E">
        <w:trPr>
          <w:trHeight w:val="255"/>
        </w:trPr>
        <w:tc>
          <w:tcPr>
            <w:tcW w:w="3514"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709" w:type="dxa"/>
            <w:gridSpan w:val="3"/>
            <w:tcBorders>
              <w:top w:val="single" w:sz="4" w:space="0" w:color="D9D9D9"/>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087" w:type="dxa"/>
            <w:gridSpan w:val="2"/>
            <w:tcBorders>
              <w:top w:val="single" w:sz="4" w:space="0" w:color="D9D9D9"/>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690" w:type="dxa"/>
            <w:gridSpan w:val="2"/>
            <w:tcBorders>
              <w:top w:val="single" w:sz="4" w:space="0" w:color="D9D9D9"/>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c>
          <w:tcPr>
            <w:tcW w:w="1087" w:type="dxa"/>
            <w:tcBorders>
              <w:top w:val="single" w:sz="4" w:space="0" w:color="D9D9D9"/>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3514" w:type="dxa"/>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709" w:type="dxa"/>
            <w:gridSpan w:val="3"/>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87"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690" w:type="dxa"/>
            <w:gridSpan w:val="2"/>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1087"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3514" w:type="dxa"/>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Assets</w:t>
            </w:r>
          </w:p>
        </w:tc>
        <w:tc>
          <w:tcPr>
            <w:tcW w:w="1709" w:type="dxa"/>
            <w:gridSpan w:val="3"/>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690"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514"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Available-for-sale financial assets</w:t>
            </w:r>
          </w:p>
        </w:tc>
        <w:tc>
          <w:tcPr>
            <w:tcW w:w="1709" w:type="dxa"/>
            <w:gridSpan w:val="3"/>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690"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514"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Investments</w:t>
            </w:r>
          </w:p>
        </w:tc>
        <w:tc>
          <w:tcPr>
            <w:tcW w:w="1709"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240,897 </w:t>
            </w:r>
          </w:p>
        </w:tc>
        <w:tc>
          <w:tcPr>
            <w:tcW w:w="1087"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240,897 </w:t>
            </w:r>
          </w:p>
        </w:tc>
        <w:tc>
          <w:tcPr>
            <w:tcW w:w="1690"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224,658 </w:t>
            </w:r>
          </w:p>
        </w:tc>
        <w:tc>
          <w:tcPr>
            <w:tcW w:w="108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224,658 </w:t>
            </w:r>
          </w:p>
        </w:tc>
      </w:tr>
      <w:tr w:rsidR="008835EB" w:rsidTr="007E3F2E">
        <w:trPr>
          <w:trHeight w:val="255"/>
        </w:trPr>
        <w:tc>
          <w:tcPr>
            <w:tcW w:w="3514"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Loans and receivables</w:t>
            </w:r>
          </w:p>
        </w:tc>
        <w:tc>
          <w:tcPr>
            <w:tcW w:w="1709" w:type="dxa"/>
            <w:gridSpan w:val="3"/>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690"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514"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Cash at bank and on hand</w:t>
            </w:r>
          </w:p>
        </w:tc>
        <w:tc>
          <w:tcPr>
            <w:tcW w:w="1709"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 </w:t>
            </w:r>
          </w:p>
        </w:tc>
        <w:tc>
          <w:tcPr>
            <w:tcW w:w="1087"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 </w:t>
            </w:r>
          </w:p>
        </w:tc>
        <w:tc>
          <w:tcPr>
            <w:tcW w:w="1690"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104 </w:t>
            </w:r>
          </w:p>
        </w:tc>
        <w:tc>
          <w:tcPr>
            <w:tcW w:w="108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104 </w:t>
            </w:r>
          </w:p>
        </w:tc>
      </w:tr>
      <w:tr w:rsidR="008835EB" w:rsidTr="007E3F2E">
        <w:trPr>
          <w:trHeight w:val="255"/>
        </w:trPr>
        <w:tc>
          <w:tcPr>
            <w:tcW w:w="3514"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Receivables for goods and services</w:t>
            </w:r>
          </w:p>
        </w:tc>
        <w:tc>
          <w:tcPr>
            <w:tcW w:w="1709"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2,193 </w:t>
            </w:r>
          </w:p>
        </w:tc>
        <w:tc>
          <w:tcPr>
            <w:tcW w:w="1087"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4,335 </w:t>
            </w:r>
          </w:p>
        </w:tc>
        <w:tc>
          <w:tcPr>
            <w:tcW w:w="1690"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698 </w:t>
            </w:r>
          </w:p>
        </w:tc>
        <w:tc>
          <w:tcPr>
            <w:tcW w:w="108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835 </w:t>
            </w:r>
          </w:p>
        </w:tc>
      </w:tr>
      <w:tr w:rsidR="008835EB" w:rsidTr="007E3F2E">
        <w:trPr>
          <w:trHeight w:val="255"/>
        </w:trPr>
        <w:tc>
          <w:tcPr>
            <w:tcW w:w="3514" w:type="dxa"/>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financial assets</w:t>
            </w:r>
          </w:p>
        </w:tc>
        <w:tc>
          <w:tcPr>
            <w:tcW w:w="1709" w:type="dxa"/>
            <w:gridSpan w:val="3"/>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243,094</w:t>
            </w:r>
          </w:p>
        </w:tc>
        <w:tc>
          <w:tcPr>
            <w:tcW w:w="1087"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245,236</w:t>
            </w:r>
          </w:p>
        </w:tc>
        <w:tc>
          <w:tcPr>
            <w:tcW w:w="1690"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225,460</w:t>
            </w:r>
          </w:p>
        </w:tc>
        <w:tc>
          <w:tcPr>
            <w:tcW w:w="1087"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225,597</w:t>
            </w:r>
          </w:p>
        </w:tc>
      </w:tr>
      <w:tr w:rsidR="008835EB" w:rsidTr="007E3F2E">
        <w:trPr>
          <w:trHeight w:val="255"/>
        </w:trPr>
        <w:tc>
          <w:tcPr>
            <w:tcW w:w="3514"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Liabilities</w:t>
            </w:r>
          </w:p>
        </w:tc>
        <w:tc>
          <w:tcPr>
            <w:tcW w:w="1709" w:type="dxa"/>
            <w:gridSpan w:val="3"/>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b/>
                <w:bCs/>
                <w:sz w:val="16"/>
                <w:szCs w:val="16"/>
              </w:rPr>
            </w:pPr>
            <w:r>
              <w:rPr>
                <w:rFonts w:ascii="Arial" w:hAnsi="Arial" w:cs="Arial"/>
                <w:b/>
                <w:bCs/>
                <w:sz w:val="16"/>
                <w:szCs w:val="16"/>
              </w:rPr>
              <w:t> </w:t>
            </w:r>
          </w:p>
        </w:tc>
        <w:tc>
          <w:tcPr>
            <w:tcW w:w="1087"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b/>
                <w:bCs/>
                <w:sz w:val="16"/>
                <w:szCs w:val="16"/>
              </w:rPr>
            </w:pPr>
            <w:r>
              <w:rPr>
                <w:rFonts w:ascii="Arial" w:hAnsi="Arial" w:cs="Arial"/>
                <w:b/>
                <w:bCs/>
                <w:sz w:val="16"/>
                <w:szCs w:val="16"/>
              </w:rPr>
              <w:t> </w:t>
            </w:r>
          </w:p>
        </w:tc>
        <w:tc>
          <w:tcPr>
            <w:tcW w:w="1690"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514"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liabilities measured at amortised cost</w:t>
            </w:r>
          </w:p>
        </w:tc>
        <w:tc>
          <w:tcPr>
            <w:tcW w:w="1709" w:type="dxa"/>
            <w:gridSpan w:val="3"/>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690"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7"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514" w:type="dxa"/>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Trade creditors and accruals</w:t>
            </w:r>
          </w:p>
        </w:tc>
        <w:tc>
          <w:tcPr>
            <w:tcW w:w="1709"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60,980 </w:t>
            </w:r>
          </w:p>
        </w:tc>
        <w:tc>
          <w:tcPr>
            <w:tcW w:w="1087"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60,980 </w:t>
            </w:r>
          </w:p>
        </w:tc>
        <w:tc>
          <w:tcPr>
            <w:tcW w:w="1690"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99,476 </w:t>
            </w:r>
          </w:p>
        </w:tc>
        <w:tc>
          <w:tcPr>
            <w:tcW w:w="108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99,476 </w:t>
            </w:r>
          </w:p>
        </w:tc>
      </w:tr>
      <w:tr w:rsidR="008835EB" w:rsidTr="007E3F2E">
        <w:trPr>
          <w:trHeight w:val="255"/>
        </w:trPr>
        <w:tc>
          <w:tcPr>
            <w:tcW w:w="3514" w:type="dxa"/>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financial liabilities</w:t>
            </w:r>
          </w:p>
        </w:tc>
        <w:tc>
          <w:tcPr>
            <w:tcW w:w="1709" w:type="dxa"/>
            <w:gridSpan w:val="3"/>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1087"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1690"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99,476</w:t>
            </w:r>
          </w:p>
        </w:tc>
        <w:tc>
          <w:tcPr>
            <w:tcW w:w="1087"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99,476</w:t>
            </w:r>
          </w:p>
        </w:tc>
      </w:tr>
      <w:tr w:rsidR="008835EB" w:rsidTr="007E3F2E">
        <w:trPr>
          <w:trHeight w:val="255"/>
        </w:trPr>
        <w:tc>
          <w:tcPr>
            <w:tcW w:w="9087" w:type="dxa"/>
            <w:gridSpan w:val="9"/>
            <w:tcBorders>
              <w:top w:val="nil"/>
              <w:left w:val="nil"/>
              <w:bottom w:val="nil"/>
              <w:right w:val="nil"/>
            </w:tcBorders>
            <w:shd w:val="clear" w:color="000000" w:fill="D9D9D9"/>
            <w:noWrap/>
            <w:hideMark/>
          </w:tcPr>
          <w:p w:rsidR="008835EB" w:rsidRDefault="008835EB" w:rsidP="007E3F2E">
            <w:pPr>
              <w:pStyle w:val="NotesHeading-Level1"/>
              <w:spacing w:before="240"/>
              <w:rPr>
                <w:rFonts w:ascii="Arial" w:hAnsi="Arial" w:cs="Arial"/>
                <w:sz w:val="16"/>
                <w:szCs w:val="16"/>
              </w:rPr>
            </w:pPr>
            <w:bookmarkStart w:id="457" w:name="RANGE!D7:H25"/>
            <w:bookmarkStart w:id="458" w:name="RANGE!D7:K25"/>
            <w:bookmarkStart w:id="459" w:name="RANGE!D53:K74"/>
            <w:bookmarkStart w:id="460" w:name="RANGE!D56:L79"/>
            <w:bookmarkStart w:id="461" w:name="RANGE!D57:L80"/>
            <w:bookmarkStart w:id="462" w:name="RANGE!D7:D8"/>
            <w:bookmarkStart w:id="463" w:name="Note_AFJTABLE1" w:colFirst="0" w:colLast="0"/>
            <w:bookmarkEnd w:id="457"/>
            <w:bookmarkEnd w:id="458"/>
            <w:bookmarkEnd w:id="459"/>
            <w:bookmarkEnd w:id="460"/>
            <w:bookmarkEnd w:id="461"/>
            <w:r>
              <w:t xml:space="preserve">Note </w:t>
            </w:r>
            <w:proofErr w:type="spellStart"/>
            <w:r>
              <w:t>7.3D</w:t>
            </w:r>
            <w:proofErr w:type="spellEnd"/>
            <w:r>
              <w:t>: Credit Risk</w:t>
            </w:r>
            <w:bookmarkEnd w:id="462"/>
          </w:p>
        </w:tc>
      </w:tr>
      <w:bookmarkEnd w:id="463"/>
      <w:tr w:rsidR="008835EB" w:rsidTr="007E3F2E">
        <w:trPr>
          <w:trHeight w:val="983"/>
        </w:trPr>
        <w:tc>
          <w:tcPr>
            <w:tcW w:w="9087" w:type="dxa"/>
            <w:gridSpan w:val="9"/>
            <w:tcBorders>
              <w:top w:val="single" w:sz="4" w:space="0" w:color="D9D9D9"/>
              <w:left w:val="nil"/>
              <w:bottom w:val="single" w:sz="4" w:space="0" w:color="D9D9D9"/>
              <w:right w:val="nil"/>
            </w:tcBorders>
            <w:shd w:val="clear" w:color="000000" w:fill="D9D9D9"/>
            <w:vAlign w:val="bottom"/>
            <w:hideMark/>
          </w:tcPr>
          <w:p w:rsidR="008835EB" w:rsidRDefault="008835EB" w:rsidP="007E3F2E">
            <w:pPr>
              <w:spacing w:before="120" w:after="120"/>
            </w:pPr>
            <w:r>
              <w:t>The administered loans and receivables of the Department were not exposed to a high level of credit risk as the financial assets were trade receivables. The Department manages its credit risk by undertaking background and credit checks prior to allowing a debtor relationship. In addition, the Department had policies and procedures that guide employees’ debt recovery techniques that were to be applied.</w:t>
            </w:r>
          </w:p>
          <w:p w:rsidR="008835EB" w:rsidRDefault="008835EB" w:rsidP="007E3F2E">
            <w:pPr>
              <w:spacing w:before="120" w:after="120"/>
            </w:pPr>
            <w:r>
              <w:t xml:space="preserve">The Department assessed the risk of the default on payment and allocated </w:t>
            </w:r>
            <w:r w:rsidRPr="00414398">
              <w:t>$</w:t>
            </w:r>
            <w:r>
              <w:t xml:space="preserve">2.14 million in </w:t>
            </w:r>
            <w:r w:rsidR="00FA455C">
              <w:t>2016</w:t>
            </w:r>
            <w:r>
              <w:t xml:space="preserve"> (</w:t>
            </w:r>
            <w:r w:rsidR="00FA455C">
              <w:t>2015</w:t>
            </w:r>
            <w:r>
              <w:t>: $</w:t>
            </w:r>
            <w:proofErr w:type="spellStart"/>
            <w:r>
              <w:t>0.137m</w:t>
            </w:r>
            <w:proofErr w:type="spellEnd"/>
            <w:r>
              <w:t>) to an impairment allowance for doubtful debts for goods and services receivables.</w:t>
            </w:r>
          </w:p>
          <w:p w:rsidR="008835EB" w:rsidRPr="007872C6" w:rsidRDefault="008835EB" w:rsidP="007E3F2E">
            <w:pPr>
              <w:spacing w:before="120" w:after="120"/>
            </w:pPr>
            <w:r w:rsidRPr="00905B24">
              <w:t xml:space="preserve">The </w:t>
            </w:r>
            <w:r>
              <w:t>Department</w:t>
            </w:r>
            <w:r w:rsidRPr="00905B24">
              <w:t xml:space="preserve"> held no collateral to </w:t>
            </w:r>
            <w:proofErr w:type="gramStart"/>
            <w:r w:rsidRPr="00905B24">
              <w:t>mitigate</w:t>
            </w:r>
            <w:proofErr w:type="gramEnd"/>
            <w:r w:rsidRPr="00905B24">
              <w:t xml:space="preserve"> against credit risk.</w:t>
            </w:r>
          </w:p>
        </w:tc>
      </w:tr>
      <w:tr w:rsidR="008835EB" w:rsidTr="007E3F2E">
        <w:trPr>
          <w:trHeight w:val="769"/>
        </w:trPr>
        <w:tc>
          <w:tcPr>
            <w:tcW w:w="4756" w:type="dxa"/>
            <w:gridSpan w:val="3"/>
            <w:tcBorders>
              <w:top w:val="single" w:sz="4" w:space="0" w:color="auto"/>
              <w:left w:val="nil"/>
              <w:bottom w:val="nil"/>
              <w:right w:val="nil"/>
            </w:tcBorders>
            <w:shd w:val="clear" w:color="000000" w:fill="D9D9D9"/>
            <w:vAlign w:val="center"/>
            <w:hideMark/>
          </w:tcPr>
          <w:p w:rsidR="008835EB" w:rsidRDefault="008835EB" w:rsidP="007E3F2E">
            <w:pPr>
              <w:rPr>
                <w:rFonts w:cs="Calibri"/>
                <w:b/>
                <w:bCs/>
                <w:szCs w:val="18"/>
              </w:rPr>
            </w:pPr>
            <w:bookmarkStart w:id="464" w:name="RANGE!D7:I8"/>
            <w:bookmarkStart w:id="465" w:name="RANGE!D7:K9"/>
            <w:bookmarkStart w:id="466" w:name="RANGE!D7:I9"/>
            <w:bookmarkStart w:id="467" w:name="RANGE!D7:I10"/>
            <w:bookmarkStart w:id="468" w:name="RANGE!D7:I19"/>
            <w:bookmarkStart w:id="469" w:name="RANGE!D7:I21"/>
            <w:bookmarkStart w:id="470" w:name="RANGE!D7:I22"/>
            <w:bookmarkStart w:id="471" w:name="RANGE!D7:I25"/>
            <w:bookmarkStart w:id="472" w:name="RANGE!D7:I26"/>
            <w:bookmarkStart w:id="473" w:name="RANGE!D6:I24"/>
            <w:bookmarkStart w:id="474" w:name="RANGE!D6:I25"/>
            <w:bookmarkStart w:id="475" w:name="RANGE!D6:I27"/>
            <w:bookmarkStart w:id="476" w:name="RANGE!D6:I58"/>
            <w:bookmarkStart w:id="477" w:name="RANGE!D10:D30"/>
            <w:bookmarkStart w:id="478" w:name="Note_AFJTABLE2" w:colFirst="0" w:colLast="0"/>
            <w:bookmarkEnd w:id="464"/>
            <w:bookmarkEnd w:id="465"/>
            <w:bookmarkEnd w:id="466"/>
            <w:bookmarkEnd w:id="467"/>
            <w:bookmarkEnd w:id="468"/>
            <w:bookmarkEnd w:id="469"/>
            <w:bookmarkEnd w:id="470"/>
            <w:bookmarkEnd w:id="471"/>
            <w:bookmarkEnd w:id="472"/>
            <w:bookmarkEnd w:id="473"/>
            <w:bookmarkEnd w:id="474"/>
            <w:bookmarkEnd w:id="475"/>
            <w:bookmarkEnd w:id="476"/>
            <w:r>
              <w:rPr>
                <w:rFonts w:cs="Calibri"/>
                <w:b/>
                <w:bCs/>
                <w:szCs w:val="18"/>
              </w:rPr>
              <w:t>Credit quality of financial instruments not past due or individually determined as impaired</w:t>
            </w:r>
            <w:bookmarkEnd w:id="477"/>
          </w:p>
        </w:tc>
        <w:tc>
          <w:tcPr>
            <w:tcW w:w="1083" w:type="dxa"/>
            <w:gridSpan w:val="2"/>
            <w:tcBorders>
              <w:top w:val="single" w:sz="4" w:space="0" w:color="auto"/>
              <w:left w:val="nil"/>
              <w:bottom w:val="nil"/>
              <w:right w:val="nil"/>
            </w:tcBorders>
            <w:shd w:val="clear" w:color="000000" w:fill="D9D9D9"/>
            <w:hideMark/>
          </w:tcPr>
          <w:p w:rsidR="008835EB" w:rsidRDefault="008835EB" w:rsidP="007E3F2E">
            <w:pPr>
              <w:jc w:val="right"/>
              <w:rPr>
                <w:rFonts w:cs="Calibri"/>
                <w:b/>
                <w:bCs/>
                <w:szCs w:val="18"/>
              </w:rPr>
            </w:pPr>
            <w:r>
              <w:rPr>
                <w:rFonts w:cs="Calibri"/>
                <w:b/>
                <w:bCs/>
                <w:szCs w:val="18"/>
              </w:rPr>
              <w:t>Not past due nor impaired</w:t>
            </w:r>
          </w:p>
        </w:tc>
        <w:tc>
          <w:tcPr>
            <w:tcW w:w="1083" w:type="dxa"/>
            <w:gridSpan w:val="2"/>
            <w:tcBorders>
              <w:top w:val="single" w:sz="4" w:space="0" w:color="auto"/>
              <w:left w:val="nil"/>
              <w:bottom w:val="nil"/>
              <w:right w:val="nil"/>
            </w:tcBorders>
            <w:shd w:val="clear" w:color="000000" w:fill="D9D9D9"/>
            <w:hideMark/>
          </w:tcPr>
          <w:p w:rsidR="008835EB" w:rsidRDefault="008835EB" w:rsidP="007E3F2E">
            <w:pPr>
              <w:jc w:val="right"/>
              <w:rPr>
                <w:rFonts w:cs="Calibri"/>
                <w:szCs w:val="18"/>
              </w:rPr>
            </w:pPr>
            <w:r>
              <w:rPr>
                <w:rFonts w:cs="Calibri"/>
                <w:szCs w:val="18"/>
              </w:rPr>
              <w:t>Not past due nor impaired</w:t>
            </w:r>
          </w:p>
        </w:tc>
        <w:tc>
          <w:tcPr>
            <w:tcW w:w="1083" w:type="dxa"/>
            <w:tcBorders>
              <w:top w:val="single" w:sz="4" w:space="0" w:color="auto"/>
              <w:left w:val="nil"/>
              <w:bottom w:val="nil"/>
              <w:right w:val="nil"/>
            </w:tcBorders>
            <w:shd w:val="clear" w:color="000000" w:fill="D9D9D9"/>
            <w:hideMark/>
          </w:tcPr>
          <w:p w:rsidR="008835EB" w:rsidRDefault="008835EB" w:rsidP="007E3F2E">
            <w:pPr>
              <w:jc w:val="right"/>
              <w:rPr>
                <w:rFonts w:cs="Calibri"/>
                <w:b/>
                <w:bCs/>
                <w:szCs w:val="18"/>
              </w:rPr>
            </w:pPr>
            <w:r>
              <w:rPr>
                <w:rFonts w:cs="Calibri"/>
                <w:b/>
                <w:bCs/>
                <w:szCs w:val="18"/>
              </w:rPr>
              <w:t>Past due or impaired</w:t>
            </w:r>
          </w:p>
        </w:tc>
        <w:tc>
          <w:tcPr>
            <w:tcW w:w="1082" w:type="dxa"/>
            <w:tcBorders>
              <w:top w:val="single" w:sz="4" w:space="0" w:color="auto"/>
              <w:left w:val="nil"/>
              <w:bottom w:val="nil"/>
              <w:right w:val="nil"/>
            </w:tcBorders>
            <w:shd w:val="clear" w:color="000000" w:fill="D9D9D9"/>
            <w:hideMark/>
          </w:tcPr>
          <w:p w:rsidR="008835EB" w:rsidRDefault="008835EB" w:rsidP="007E3F2E">
            <w:pPr>
              <w:jc w:val="right"/>
              <w:rPr>
                <w:rFonts w:cs="Calibri"/>
                <w:szCs w:val="18"/>
              </w:rPr>
            </w:pPr>
            <w:r>
              <w:rPr>
                <w:rFonts w:cs="Calibri"/>
                <w:szCs w:val="18"/>
              </w:rPr>
              <w:t>Past due or impaired</w:t>
            </w:r>
          </w:p>
        </w:tc>
      </w:tr>
      <w:bookmarkEnd w:id="478"/>
      <w:tr w:rsidR="008835EB" w:rsidTr="007E3F2E">
        <w:trPr>
          <w:trHeight w:val="255"/>
        </w:trPr>
        <w:tc>
          <w:tcPr>
            <w:tcW w:w="3672" w:type="dxa"/>
            <w:gridSpan w:val="2"/>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08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083" w:type="dxa"/>
            <w:gridSpan w:val="2"/>
            <w:tcBorders>
              <w:top w:val="single" w:sz="4" w:space="0" w:color="D9D9D9"/>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c>
          <w:tcPr>
            <w:tcW w:w="1083"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082" w:type="dxa"/>
            <w:tcBorders>
              <w:top w:val="single" w:sz="4" w:space="0" w:color="D9D9D9"/>
              <w:left w:val="nil"/>
              <w:bottom w:val="single" w:sz="4" w:space="0" w:color="D9D9D9"/>
              <w:right w:val="nil"/>
            </w:tcBorders>
            <w:shd w:val="clear" w:color="000000" w:fill="D9D9D9"/>
            <w:noWrap/>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55"/>
        </w:trPr>
        <w:tc>
          <w:tcPr>
            <w:tcW w:w="3672" w:type="dxa"/>
            <w:gridSpan w:val="2"/>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083"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83"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c>
          <w:tcPr>
            <w:tcW w:w="1083"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82"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3672" w:type="dxa"/>
            <w:gridSpan w:val="2"/>
            <w:tcBorders>
              <w:top w:val="nil"/>
              <w:left w:val="nil"/>
              <w:bottom w:val="single" w:sz="4" w:space="0" w:color="D9D9D9"/>
              <w:right w:val="nil"/>
            </w:tcBorders>
            <w:shd w:val="clear" w:color="000000" w:fill="D9D9D9"/>
            <w:vAlign w:val="bottom"/>
            <w:hideMark/>
          </w:tcPr>
          <w:p w:rsidR="008835EB" w:rsidRDefault="008835EB" w:rsidP="007E3F2E">
            <w:pPr>
              <w:rPr>
                <w:rFonts w:cs="Calibri"/>
                <w:b/>
                <w:bCs/>
                <w:szCs w:val="18"/>
              </w:rPr>
            </w:pPr>
            <w:r>
              <w:rPr>
                <w:rFonts w:cs="Calibri"/>
                <w:b/>
                <w:bCs/>
                <w:szCs w:val="18"/>
              </w:rPr>
              <w:t>Loans and receivables</w:t>
            </w:r>
          </w:p>
        </w:tc>
        <w:tc>
          <w:tcPr>
            <w:tcW w:w="1084"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3"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2"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3672" w:type="dxa"/>
            <w:gridSpan w:val="2"/>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Cash at bank and on hand</w:t>
            </w:r>
          </w:p>
        </w:tc>
        <w:tc>
          <w:tcPr>
            <w:tcW w:w="1084"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4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104 </w:t>
            </w:r>
          </w:p>
        </w:tc>
        <w:tc>
          <w:tcPr>
            <w:tcW w:w="1083"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r>
      <w:tr w:rsidR="008835EB" w:rsidTr="007E3F2E">
        <w:trPr>
          <w:trHeight w:val="255"/>
        </w:trPr>
        <w:tc>
          <w:tcPr>
            <w:tcW w:w="3672" w:type="dxa"/>
            <w:gridSpan w:val="2"/>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Goods and services receivables</w:t>
            </w:r>
          </w:p>
        </w:tc>
        <w:tc>
          <w:tcPr>
            <w:tcW w:w="1084"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1,509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215 </w:t>
            </w:r>
          </w:p>
        </w:tc>
        <w:tc>
          <w:tcPr>
            <w:tcW w:w="1083"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2,826 </w:t>
            </w:r>
          </w:p>
        </w:tc>
        <w:tc>
          <w:tcPr>
            <w:tcW w:w="108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620 </w:t>
            </w:r>
          </w:p>
        </w:tc>
      </w:tr>
      <w:tr w:rsidR="008835EB" w:rsidTr="007E3F2E">
        <w:trPr>
          <w:trHeight w:val="255"/>
        </w:trPr>
        <w:tc>
          <w:tcPr>
            <w:tcW w:w="3672" w:type="dxa"/>
            <w:gridSpan w:val="2"/>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b/>
                <w:bCs/>
                <w:szCs w:val="18"/>
              </w:rPr>
            </w:pPr>
            <w:r>
              <w:rPr>
                <w:rFonts w:cs="Calibri"/>
                <w:b/>
                <w:bCs/>
                <w:szCs w:val="18"/>
              </w:rPr>
              <w:t>Total</w:t>
            </w:r>
          </w:p>
        </w:tc>
        <w:tc>
          <w:tcPr>
            <w:tcW w:w="1084" w:type="dxa"/>
            <w:tcBorders>
              <w:top w:val="single" w:sz="4" w:space="0" w:color="auto"/>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c>
          <w:tcPr>
            <w:tcW w:w="1083"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1,513</w:t>
            </w:r>
          </w:p>
        </w:tc>
        <w:tc>
          <w:tcPr>
            <w:tcW w:w="1083"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319</w:t>
            </w:r>
          </w:p>
        </w:tc>
        <w:tc>
          <w:tcPr>
            <w:tcW w:w="1083"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2,826</w:t>
            </w:r>
          </w:p>
        </w:tc>
        <w:tc>
          <w:tcPr>
            <w:tcW w:w="108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620</w:t>
            </w:r>
          </w:p>
        </w:tc>
      </w:tr>
      <w:tr w:rsidR="008835EB" w:rsidTr="007E3F2E">
        <w:trPr>
          <w:trHeight w:val="263"/>
        </w:trPr>
        <w:tc>
          <w:tcPr>
            <w:tcW w:w="3672" w:type="dxa"/>
            <w:gridSpan w:val="2"/>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084"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083" w:type="dxa"/>
            <w:gridSpan w:val="2"/>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083" w:type="dxa"/>
            <w:gridSpan w:val="2"/>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083"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1082"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r>
      <w:tr w:rsidR="008835EB" w:rsidTr="007E3F2E">
        <w:trPr>
          <w:trHeight w:val="255"/>
        </w:trPr>
        <w:tc>
          <w:tcPr>
            <w:tcW w:w="9087" w:type="dxa"/>
            <w:gridSpan w:val="9"/>
            <w:tcBorders>
              <w:top w:val="nil"/>
              <w:left w:val="nil"/>
              <w:bottom w:val="single" w:sz="4" w:space="0" w:color="auto"/>
              <w:right w:val="nil"/>
            </w:tcBorders>
            <w:shd w:val="clear" w:color="000000" w:fill="D9D9D9"/>
            <w:vAlign w:val="bottom"/>
            <w:hideMark/>
          </w:tcPr>
          <w:p w:rsidR="008835EB" w:rsidRDefault="008835EB" w:rsidP="007E3F2E">
            <w:pPr>
              <w:rPr>
                <w:rFonts w:cs="Calibri"/>
                <w:b/>
                <w:bCs/>
                <w:szCs w:val="18"/>
              </w:rPr>
            </w:pPr>
            <w:r>
              <w:rPr>
                <w:rFonts w:cs="Calibri"/>
                <w:b/>
                <w:bCs/>
                <w:szCs w:val="18"/>
              </w:rPr>
              <w:t>Ageing of financial assets that were past due but not impaired for 2016</w:t>
            </w:r>
          </w:p>
        </w:tc>
      </w:tr>
      <w:tr w:rsidR="008835EB" w:rsidTr="007E3F2E">
        <w:trPr>
          <w:trHeight w:val="255"/>
        </w:trPr>
        <w:tc>
          <w:tcPr>
            <w:tcW w:w="3672"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xml:space="preserve">0 to 30 </w:t>
            </w:r>
          </w:p>
        </w:tc>
        <w:tc>
          <w:tcPr>
            <w:tcW w:w="108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31 to 60</w:t>
            </w:r>
          </w:p>
        </w:tc>
        <w:tc>
          <w:tcPr>
            <w:tcW w:w="108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61 to 90</w:t>
            </w:r>
          </w:p>
        </w:tc>
        <w:tc>
          <w:tcPr>
            <w:tcW w:w="1083"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90+</w:t>
            </w:r>
          </w:p>
        </w:tc>
        <w:tc>
          <w:tcPr>
            <w:tcW w:w="1082"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r>
      <w:tr w:rsidR="008835EB" w:rsidTr="007E3F2E">
        <w:trPr>
          <w:trHeight w:val="255"/>
        </w:trPr>
        <w:tc>
          <w:tcPr>
            <w:tcW w:w="3672" w:type="dxa"/>
            <w:gridSpan w:val="2"/>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days</w:t>
            </w:r>
          </w:p>
        </w:tc>
        <w:tc>
          <w:tcPr>
            <w:tcW w:w="108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days</w:t>
            </w:r>
          </w:p>
        </w:tc>
        <w:tc>
          <w:tcPr>
            <w:tcW w:w="108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days</w:t>
            </w:r>
          </w:p>
        </w:tc>
        <w:tc>
          <w:tcPr>
            <w:tcW w:w="1083"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days</w:t>
            </w:r>
          </w:p>
        </w:tc>
        <w:tc>
          <w:tcPr>
            <w:tcW w:w="1082"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Total</w:t>
            </w:r>
          </w:p>
        </w:tc>
      </w:tr>
      <w:tr w:rsidR="008835EB" w:rsidTr="007E3F2E">
        <w:trPr>
          <w:trHeight w:val="255"/>
        </w:trPr>
        <w:tc>
          <w:tcPr>
            <w:tcW w:w="3672" w:type="dxa"/>
            <w:gridSpan w:val="2"/>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83"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83"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83"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82"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55"/>
        </w:trPr>
        <w:tc>
          <w:tcPr>
            <w:tcW w:w="3672" w:type="dxa"/>
            <w:gridSpan w:val="2"/>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Goods and services and other receivables</w:t>
            </w:r>
          </w:p>
        </w:tc>
        <w:tc>
          <w:tcPr>
            <w:tcW w:w="1084"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9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163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180 </w:t>
            </w:r>
          </w:p>
        </w:tc>
        <w:tc>
          <w:tcPr>
            <w:tcW w:w="1083"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332 </w:t>
            </w:r>
          </w:p>
        </w:tc>
        <w:tc>
          <w:tcPr>
            <w:tcW w:w="1082"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684 </w:t>
            </w:r>
          </w:p>
        </w:tc>
      </w:tr>
      <w:tr w:rsidR="008835EB" w:rsidTr="007E3F2E">
        <w:trPr>
          <w:trHeight w:val="255"/>
        </w:trPr>
        <w:tc>
          <w:tcPr>
            <w:tcW w:w="3672" w:type="dxa"/>
            <w:gridSpan w:val="2"/>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b/>
                <w:bCs/>
                <w:szCs w:val="18"/>
              </w:rPr>
            </w:pPr>
            <w:r>
              <w:rPr>
                <w:rFonts w:cs="Calibri"/>
                <w:b/>
                <w:bCs/>
                <w:szCs w:val="18"/>
              </w:rPr>
              <w:t>Total</w:t>
            </w:r>
          </w:p>
        </w:tc>
        <w:tc>
          <w:tcPr>
            <w:tcW w:w="1084"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9</w:t>
            </w:r>
          </w:p>
        </w:tc>
        <w:tc>
          <w:tcPr>
            <w:tcW w:w="1083"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163</w:t>
            </w:r>
          </w:p>
        </w:tc>
        <w:tc>
          <w:tcPr>
            <w:tcW w:w="1083"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180</w:t>
            </w:r>
          </w:p>
        </w:tc>
        <w:tc>
          <w:tcPr>
            <w:tcW w:w="1083"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332</w:t>
            </w:r>
          </w:p>
        </w:tc>
        <w:tc>
          <w:tcPr>
            <w:tcW w:w="108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684</w:t>
            </w:r>
          </w:p>
        </w:tc>
      </w:tr>
      <w:tr w:rsidR="008835EB" w:rsidTr="007E3F2E">
        <w:trPr>
          <w:trHeight w:val="263"/>
        </w:trPr>
        <w:tc>
          <w:tcPr>
            <w:tcW w:w="3672" w:type="dxa"/>
            <w:gridSpan w:val="2"/>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84"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83" w:type="dxa"/>
            <w:gridSpan w:val="2"/>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83" w:type="dxa"/>
            <w:gridSpan w:val="2"/>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83"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82"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9087" w:type="dxa"/>
            <w:gridSpan w:val="9"/>
            <w:tcBorders>
              <w:top w:val="nil"/>
              <w:left w:val="nil"/>
              <w:bottom w:val="single" w:sz="4" w:space="0" w:color="auto"/>
              <w:right w:val="nil"/>
            </w:tcBorders>
            <w:shd w:val="clear" w:color="000000" w:fill="D9D9D9"/>
            <w:vAlign w:val="bottom"/>
            <w:hideMark/>
          </w:tcPr>
          <w:p w:rsidR="008835EB" w:rsidRDefault="008835EB" w:rsidP="007E3F2E">
            <w:pPr>
              <w:rPr>
                <w:rFonts w:cs="Calibri"/>
                <w:szCs w:val="18"/>
              </w:rPr>
            </w:pPr>
            <w:r>
              <w:rPr>
                <w:rFonts w:cs="Calibri"/>
                <w:szCs w:val="18"/>
              </w:rPr>
              <w:t>Ageing of financial assets that were past due but not impaired for 2015</w:t>
            </w:r>
          </w:p>
        </w:tc>
      </w:tr>
      <w:tr w:rsidR="008835EB" w:rsidTr="007E3F2E">
        <w:trPr>
          <w:trHeight w:val="255"/>
        </w:trPr>
        <w:tc>
          <w:tcPr>
            <w:tcW w:w="3672"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nil"/>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 xml:space="preserve">0 to 30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31 to 60</w:t>
            </w:r>
          </w:p>
        </w:tc>
        <w:tc>
          <w:tcPr>
            <w:tcW w:w="108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61 to 90</w:t>
            </w:r>
          </w:p>
        </w:tc>
        <w:tc>
          <w:tcPr>
            <w:tcW w:w="1083"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90+</w:t>
            </w:r>
          </w:p>
        </w:tc>
        <w:tc>
          <w:tcPr>
            <w:tcW w:w="1082"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3672" w:type="dxa"/>
            <w:gridSpan w:val="2"/>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nil"/>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days</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days</w:t>
            </w:r>
          </w:p>
        </w:tc>
        <w:tc>
          <w:tcPr>
            <w:tcW w:w="108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days</w:t>
            </w:r>
          </w:p>
        </w:tc>
        <w:tc>
          <w:tcPr>
            <w:tcW w:w="1083"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days</w:t>
            </w:r>
          </w:p>
        </w:tc>
        <w:tc>
          <w:tcPr>
            <w:tcW w:w="1082"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Total</w:t>
            </w:r>
          </w:p>
        </w:tc>
      </w:tr>
      <w:tr w:rsidR="008835EB" w:rsidTr="007E3F2E">
        <w:trPr>
          <w:trHeight w:val="255"/>
        </w:trPr>
        <w:tc>
          <w:tcPr>
            <w:tcW w:w="3672" w:type="dxa"/>
            <w:gridSpan w:val="2"/>
            <w:tcBorders>
              <w:top w:val="nil"/>
              <w:left w:val="nil"/>
              <w:bottom w:val="single" w:sz="4" w:space="0" w:color="auto"/>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$'000</w:t>
            </w:r>
          </w:p>
        </w:tc>
        <w:tc>
          <w:tcPr>
            <w:tcW w:w="1083" w:type="dxa"/>
            <w:gridSpan w:val="2"/>
            <w:tcBorders>
              <w:top w:val="nil"/>
              <w:left w:val="nil"/>
              <w:bottom w:val="single" w:sz="4" w:space="0" w:color="auto"/>
              <w:right w:val="nil"/>
            </w:tcBorders>
            <w:shd w:val="clear" w:color="000000" w:fill="D9D9D9"/>
            <w:noWrap/>
            <w:vAlign w:val="bottom"/>
            <w:hideMark/>
          </w:tcPr>
          <w:p w:rsidR="008835EB" w:rsidRDefault="008835EB" w:rsidP="007E3F2E">
            <w:pPr>
              <w:jc w:val="right"/>
              <w:rPr>
                <w:rFonts w:ascii="Arial" w:hAnsi="Arial" w:cs="Arial"/>
                <w:sz w:val="16"/>
                <w:szCs w:val="16"/>
              </w:rPr>
            </w:pPr>
            <w:r>
              <w:rPr>
                <w:rFonts w:ascii="Arial" w:hAnsi="Arial" w:cs="Arial"/>
                <w:sz w:val="16"/>
                <w:szCs w:val="16"/>
              </w:rPr>
              <w:t>$'000</w:t>
            </w:r>
          </w:p>
        </w:tc>
        <w:tc>
          <w:tcPr>
            <w:tcW w:w="1083"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c>
          <w:tcPr>
            <w:tcW w:w="1083"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c>
          <w:tcPr>
            <w:tcW w:w="1082"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3672" w:type="dxa"/>
            <w:gridSpan w:val="2"/>
            <w:tcBorders>
              <w:top w:val="nil"/>
              <w:left w:val="nil"/>
              <w:bottom w:val="nil"/>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Goods and services and other receivables</w:t>
            </w:r>
          </w:p>
        </w:tc>
        <w:tc>
          <w:tcPr>
            <w:tcW w:w="1084"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 </w:t>
            </w:r>
          </w:p>
        </w:tc>
        <w:tc>
          <w:tcPr>
            <w:tcW w:w="1083"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53 </w:t>
            </w:r>
          </w:p>
        </w:tc>
        <w:tc>
          <w:tcPr>
            <w:tcW w:w="1083"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402 </w:t>
            </w:r>
          </w:p>
        </w:tc>
        <w:tc>
          <w:tcPr>
            <w:tcW w:w="1082"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483 </w:t>
            </w:r>
          </w:p>
        </w:tc>
      </w:tr>
      <w:tr w:rsidR="008835EB" w:rsidTr="007E3F2E">
        <w:trPr>
          <w:trHeight w:val="255"/>
        </w:trPr>
        <w:tc>
          <w:tcPr>
            <w:tcW w:w="3672" w:type="dxa"/>
            <w:gridSpan w:val="2"/>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b/>
                <w:bCs/>
                <w:szCs w:val="18"/>
              </w:rPr>
            </w:pPr>
            <w:r>
              <w:rPr>
                <w:rFonts w:cs="Calibri"/>
                <w:b/>
                <w:bCs/>
                <w:szCs w:val="18"/>
              </w:rPr>
              <w:t>Total</w:t>
            </w:r>
          </w:p>
        </w:tc>
        <w:tc>
          <w:tcPr>
            <w:tcW w:w="1084" w:type="dxa"/>
            <w:tcBorders>
              <w:top w:val="single" w:sz="4" w:space="0" w:color="auto"/>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 xml:space="preserve"> 14 </w:t>
            </w:r>
          </w:p>
        </w:tc>
        <w:tc>
          <w:tcPr>
            <w:tcW w:w="1083" w:type="dxa"/>
            <w:gridSpan w:val="2"/>
            <w:tcBorders>
              <w:top w:val="single" w:sz="4" w:space="0" w:color="auto"/>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 xml:space="preserve"> 14 </w:t>
            </w:r>
          </w:p>
        </w:tc>
        <w:tc>
          <w:tcPr>
            <w:tcW w:w="1083"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53</w:t>
            </w:r>
          </w:p>
        </w:tc>
        <w:tc>
          <w:tcPr>
            <w:tcW w:w="1083"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402</w:t>
            </w:r>
          </w:p>
        </w:tc>
        <w:tc>
          <w:tcPr>
            <w:tcW w:w="1082"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483</w:t>
            </w:r>
          </w:p>
        </w:tc>
      </w:tr>
    </w:tbl>
    <w:p w:rsidR="008835EB" w:rsidRDefault="008835EB" w:rsidP="008835EB">
      <w:pPr>
        <w:spacing w:line="240" w:lineRule="auto"/>
      </w:pPr>
      <w:bookmarkStart w:id="479" w:name="RANGE!D10:I30"/>
      <w:bookmarkStart w:id="480" w:name="RANGE!D7:J41"/>
      <w:bookmarkStart w:id="481" w:name="RANGE!D7:J42"/>
      <w:bookmarkStart w:id="482" w:name="RANGE!D7:J31"/>
      <w:bookmarkStart w:id="483" w:name="RANGE!D7:J32"/>
      <w:bookmarkStart w:id="484" w:name="RANGE!D7:J33"/>
      <w:bookmarkStart w:id="485" w:name="RANGE!D6:J32"/>
      <w:bookmarkEnd w:id="479"/>
      <w:bookmarkEnd w:id="480"/>
      <w:bookmarkEnd w:id="481"/>
      <w:bookmarkEnd w:id="482"/>
      <w:bookmarkEnd w:id="483"/>
      <w:bookmarkEnd w:id="484"/>
      <w:bookmarkEnd w:id="485"/>
      <w:r>
        <w:br w:type="page"/>
      </w:r>
    </w:p>
    <w:tbl>
      <w:tblPr>
        <w:tblW w:w="9087" w:type="dxa"/>
        <w:tblInd w:w="80" w:type="dxa"/>
        <w:tblLayout w:type="fixed"/>
        <w:tblLook w:val="04A0" w:firstRow="1" w:lastRow="0" w:firstColumn="1" w:lastColumn="0" w:noHBand="0" w:noVBand="1"/>
      </w:tblPr>
      <w:tblGrid>
        <w:gridCol w:w="2875"/>
        <w:gridCol w:w="1037"/>
        <w:gridCol w:w="1035"/>
        <w:gridCol w:w="1035"/>
        <w:gridCol w:w="1035"/>
        <w:gridCol w:w="1035"/>
        <w:gridCol w:w="1035"/>
      </w:tblGrid>
      <w:tr w:rsidR="008835EB" w:rsidTr="007E3F2E">
        <w:trPr>
          <w:trHeight w:val="255"/>
        </w:trPr>
        <w:tc>
          <w:tcPr>
            <w:tcW w:w="9087" w:type="dxa"/>
            <w:gridSpan w:val="7"/>
            <w:tcBorders>
              <w:top w:val="nil"/>
              <w:left w:val="nil"/>
              <w:bottom w:val="nil"/>
              <w:right w:val="nil"/>
            </w:tcBorders>
            <w:shd w:val="clear" w:color="000000" w:fill="D9D9D9"/>
            <w:noWrap/>
            <w:hideMark/>
          </w:tcPr>
          <w:p w:rsidR="008835EB" w:rsidRPr="007872C6" w:rsidRDefault="008835EB" w:rsidP="007E3F2E">
            <w:pPr>
              <w:pStyle w:val="NotesHeading-Level1"/>
            </w:pPr>
            <w:bookmarkStart w:id="486" w:name="Note_AFLTABLE1" w:colFirst="0" w:colLast="0"/>
            <w:r>
              <w:lastRenderedPageBreak/>
              <w:t xml:space="preserve">Note </w:t>
            </w:r>
            <w:proofErr w:type="spellStart"/>
            <w:r>
              <w:t>7.3E</w:t>
            </w:r>
            <w:proofErr w:type="spellEnd"/>
            <w:r>
              <w:t>: Liquidity Risk</w:t>
            </w:r>
          </w:p>
        </w:tc>
      </w:tr>
      <w:bookmarkEnd w:id="486"/>
      <w:tr w:rsidR="008835EB" w:rsidTr="007E3F2E">
        <w:trPr>
          <w:trHeight w:val="1485"/>
        </w:trPr>
        <w:tc>
          <w:tcPr>
            <w:tcW w:w="9087" w:type="dxa"/>
            <w:gridSpan w:val="7"/>
            <w:tcBorders>
              <w:top w:val="single" w:sz="4" w:space="0" w:color="D9D9D9"/>
              <w:left w:val="nil"/>
              <w:bottom w:val="single" w:sz="4" w:space="0" w:color="D9D9D9"/>
              <w:right w:val="nil"/>
            </w:tcBorders>
            <w:shd w:val="clear" w:color="000000" w:fill="D9D9D9"/>
            <w:vAlign w:val="bottom"/>
            <w:hideMark/>
          </w:tcPr>
          <w:p w:rsidR="008835EB" w:rsidRDefault="008835EB" w:rsidP="007E3F2E">
            <w:pPr>
              <w:spacing w:after="120"/>
              <w:rPr>
                <w:rFonts w:cs="Calibri"/>
                <w:szCs w:val="18"/>
              </w:rPr>
            </w:pPr>
            <w:r>
              <w:rPr>
                <w:rFonts w:cs="Calibri"/>
                <w:szCs w:val="18"/>
              </w:rPr>
              <w:t>The Department's financial liabilities were trade creditors.  The exposure to liquidity risk is based on the notion that the department would encounter difficulty in meeting its obligations associated with financial liabilities.  This was highly unlikely as the department was appropriated funding from the Australian Government and the department manages its budgeted funds to ensure it had adequate funds to meet payments as they fall due.  In addition, the department has policies in place to ensure timely payments were made when due and had no past experience of default.</w:t>
            </w:r>
          </w:p>
        </w:tc>
      </w:tr>
      <w:tr w:rsidR="008835EB" w:rsidTr="007E3F2E">
        <w:trPr>
          <w:trHeight w:val="255"/>
        </w:trPr>
        <w:tc>
          <w:tcPr>
            <w:tcW w:w="9087" w:type="dxa"/>
            <w:gridSpan w:val="7"/>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Maturities for non-derivative financial liabilities in 2016</w:t>
            </w:r>
          </w:p>
        </w:tc>
      </w:tr>
      <w:tr w:rsidR="008835EB" w:rsidTr="007E3F2E">
        <w:trPr>
          <w:trHeight w:val="780"/>
        </w:trPr>
        <w:tc>
          <w:tcPr>
            <w:tcW w:w="2875" w:type="dxa"/>
            <w:tcBorders>
              <w:top w:val="nil"/>
              <w:left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p w:rsidR="008835EB" w:rsidRDefault="008835EB" w:rsidP="007E3F2E">
            <w:pPr>
              <w:rPr>
                <w:rFonts w:ascii="Arial" w:hAnsi="Arial" w:cs="Arial"/>
                <w:sz w:val="16"/>
                <w:szCs w:val="16"/>
              </w:rPr>
            </w:pPr>
            <w:r>
              <w:rPr>
                <w:rFonts w:ascii="Arial" w:hAnsi="Arial" w:cs="Arial"/>
                <w:sz w:val="16"/>
                <w:szCs w:val="16"/>
              </w:rPr>
              <w:t> </w:t>
            </w:r>
          </w:p>
        </w:tc>
        <w:tc>
          <w:tcPr>
            <w:tcW w:w="1037" w:type="dxa"/>
            <w:tcBorders>
              <w:top w:val="nil"/>
              <w:left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On demand</w:t>
            </w:r>
          </w:p>
        </w:tc>
        <w:tc>
          <w:tcPr>
            <w:tcW w:w="1035" w:type="dxa"/>
            <w:tcBorders>
              <w:top w:val="nil"/>
              <w:left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Within one year</w:t>
            </w:r>
          </w:p>
        </w:tc>
        <w:tc>
          <w:tcPr>
            <w:tcW w:w="1035" w:type="dxa"/>
            <w:tcBorders>
              <w:top w:val="nil"/>
              <w:left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xml:space="preserve">Between one to </w:t>
            </w:r>
            <w:r>
              <w:rPr>
                <w:rFonts w:cs="Calibri"/>
                <w:b/>
                <w:bCs/>
                <w:szCs w:val="18"/>
              </w:rPr>
              <w:br/>
              <w:t>two years</w:t>
            </w:r>
          </w:p>
        </w:tc>
        <w:tc>
          <w:tcPr>
            <w:tcW w:w="1035" w:type="dxa"/>
            <w:tcBorders>
              <w:top w:val="nil"/>
              <w:left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xml:space="preserve">Between two to </w:t>
            </w:r>
            <w:r>
              <w:rPr>
                <w:rFonts w:cs="Calibri"/>
                <w:b/>
                <w:bCs/>
                <w:szCs w:val="18"/>
              </w:rPr>
              <w:br/>
              <w:t>five years</w:t>
            </w:r>
          </w:p>
        </w:tc>
        <w:tc>
          <w:tcPr>
            <w:tcW w:w="1035" w:type="dxa"/>
            <w:tcBorders>
              <w:top w:val="nil"/>
              <w:left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More than five years</w:t>
            </w:r>
          </w:p>
        </w:tc>
        <w:tc>
          <w:tcPr>
            <w:tcW w:w="1035" w:type="dxa"/>
            <w:tcBorders>
              <w:top w:val="nil"/>
              <w:left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Total</w:t>
            </w:r>
          </w:p>
        </w:tc>
      </w:tr>
      <w:tr w:rsidR="008835EB" w:rsidTr="007E3F2E">
        <w:trPr>
          <w:trHeight w:val="255"/>
        </w:trPr>
        <w:tc>
          <w:tcPr>
            <w:tcW w:w="2875"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7"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r>
      <w:tr w:rsidR="008835EB" w:rsidTr="007E3F2E">
        <w:trPr>
          <w:trHeight w:val="255"/>
        </w:trPr>
        <w:tc>
          <w:tcPr>
            <w:tcW w:w="2875"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Liabilities</w:t>
            </w:r>
          </w:p>
        </w:tc>
        <w:tc>
          <w:tcPr>
            <w:tcW w:w="1037"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r>
      <w:tr w:rsidR="008835EB" w:rsidTr="007E3F2E">
        <w:trPr>
          <w:trHeight w:val="255"/>
        </w:trPr>
        <w:tc>
          <w:tcPr>
            <w:tcW w:w="2875"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Trade creditors and accruals</w:t>
            </w:r>
          </w:p>
        </w:tc>
        <w:tc>
          <w:tcPr>
            <w:tcW w:w="1037"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60,980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60,980 </w:t>
            </w:r>
          </w:p>
        </w:tc>
      </w:tr>
      <w:tr w:rsidR="008835EB" w:rsidTr="007E3F2E">
        <w:trPr>
          <w:trHeight w:val="255"/>
        </w:trPr>
        <w:tc>
          <w:tcPr>
            <w:tcW w:w="2875"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Total</w:t>
            </w:r>
          </w:p>
        </w:tc>
        <w:tc>
          <w:tcPr>
            <w:tcW w:w="1037"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60,980</w:t>
            </w:r>
          </w:p>
        </w:tc>
      </w:tr>
      <w:tr w:rsidR="008835EB" w:rsidTr="007E3F2E">
        <w:trPr>
          <w:trHeight w:val="255"/>
        </w:trPr>
        <w:tc>
          <w:tcPr>
            <w:tcW w:w="287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37"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035"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9087" w:type="dxa"/>
            <w:gridSpan w:val="7"/>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Maturities for non-derivative financial liabilities 2015</w:t>
            </w:r>
          </w:p>
        </w:tc>
      </w:tr>
      <w:tr w:rsidR="008835EB" w:rsidTr="007E3F2E">
        <w:trPr>
          <w:trHeight w:val="540"/>
        </w:trPr>
        <w:tc>
          <w:tcPr>
            <w:tcW w:w="2875"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On</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 xml:space="preserve">Within one </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Between one to two</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Between two to five</w:t>
            </w:r>
          </w:p>
        </w:tc>
        <w:tc>
          <w:tcPr>
            <w:tcW w:w="1035" w:type="dxa"/>
            <w:tcBorders>
              <w:top w:val="nil"/>
              <w:left w:val="nil"/>
              <w:bottom w:val="nil"/>
              <w:right w:val="nil"/>
            </w:tcBorders>
            <w:shd w:val="clear" w:color="000000" w:fill="D9D9D9"/>
            <w:vAlign w:val="bottom"/>
            <w:hideMark/>
          </w:tcPr>
          <w:p w:rsidR="008835EB" w:rsidRDefault="008835EB" w:rsidP="007E3F2E">
            <w:pPr>
              <w:jc w:val="right"/>
              <w:rPr>
                <w:rFonts w:cs="Calibri"/>
                <w:szCs w:val="18"/>
              </w:rPr>
            </w:pPr>
            <w:r>
              <w:rPr>
                <w:rFonts w:cs="Calibri"/>
                <w:szCs w:val="18"/>
              </w:rPr>
              <w:t>More than</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2875"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demand</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year</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years</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years</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five years</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Total</w:t>
            </w:r>
          </w:p>
        </w:tc>
      </w:tr>
      <w:tr w:rsidR="008835EB" w:rsidTr="007E3F2E">
        <w:trPr>
          <w:trHeight w:val="255"/>
        </w:trPr>
        <w:tc>
          <w:tcPr>
            <w:tcW w:w="2875" w:type="dxa"/>
            <w:tcBorders>
              <w:top w:val="nil"/>
              <w:left w:val="nil"/>
              <w:bottom w:val="nil"/>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2875"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Liabilities</w:t>
            </w:r>
          </w:p>
        </w:tc>
        <w:tc>
          <w:tcPr>
            <w:tcW w:w="10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55"/>
        </w:trPr>
        <w:tc>
          <w:tcPr>
            <w:tcW w:w="2875" w:type="dxa"/>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At amortised cost:</w:t>
            </w:r>
          </w:p>
        </w:tc>
        <w:tc>
          <w:tcPr>
            <w:tcW w:w="1037"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55"/>
        </w:trPr>
        <w:tc>
          <w:tcPr>
            <w:tcW w:w="2875" w:type="dxa"/>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Trade creditors and accruals</w:t>
            </w:r>
          </w:p>
        </w:tc>
        <w:tc>
          <w:tcPr>
            <w:tcW w:w="1037"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99,476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35"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99,476 </w:t>
            </w:r>
          </w:p>
        </w:tc>
      </w:tr>
      <w:tr w:rsidR="008835EB" w:rsidTr="007E3F2E">
        <w:trPr>
          <w:trHeight w:val="270"/>
        </w:trPr>
        <w:tc>
          <w:tcPr>
            <w:tcW w:w="2875" w:type="dxa"/>
            <w:tcBorders>
              <w:top w:val="nil"/>
              <w:left w:val="nil"/>
              <w:bottom w:val="single" w:sz="8" w:space="0" w:color="D9D9D9"/>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w:t>
            </w:r>
          </w:p>
        </w:tc>
        <w:tc>
          <w:tcPr>
            <w:tcW w:w="1037"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99,476</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99,476</w:t>
            </w:r>
          </w:p>
        </w:tc>
      </w:tr>
      <w:tr w:rsidR="008835EB" w:rsidTr="007E3F2E">
        <w:trPr>
          <w:trHeight w:val="255"/>
        </w:trPr>
        <w:tc>
          <w:tcPr>
            <w:tcW w:w="9087" w:type="dxa"/>
            <w:gridSpan w:val="7"/>
            <w:tcBorders>
              <w:top w:val="nil"/>
              <w:left w:val="nil"/>
              <w:bottom w:val="single" w:sz="4" w:space="0" w:color="D9D9D9"/>
              <w:right w:val="nil"/>
            </w:tcBorders>
            <w:shd w:val="clear" w:color="000000" w:fill="D9D9D9"/>
            <w:vAlign w:val="bottom"/>
            <w:hideMark/>
          </w:tcPr>
          <w:p w:rsidR="008835EB" w:rsidRDefault="008835EB" w:rsidP="007E3F2E">
            <w:pPr>
              <w:rPr>
                <w:rFonts w:cs="Calibri"/>
                <w:szCs w:val="18"/>
              </w:rPr>
            </w:pPr>
            <w:r>
              <w:rPr>
                <w:rFonts w:cs="Calibri"/>
                <w:szCs w:val="18"/>
              </w:rPr>
              <w:t>The Department has no derivative financial liabilities in the current year and prior year.</w:t>
            </w:r>
          </w:p>
        </w:tc>
      </w:tr>
      <w:tr w:rsidR="008835EB" w:rsidTr="007E3F2E">
        <w:trPr>
          <w:trHeight w:val="255"/>
        </w:trPr>
        <w:tc>
          <w:tcPr>
            <w:tcW w:w="9087" w:type="dxa"/>
            <w:gridSpan w:val="7"/>
            <w:tcBorders>
              <w:top w:val="nil"/>
              <w:left w:val="nil"/>
              <w:bottom w:val="nil"/>
              <w:right w:val="nil"/>
            </w:tcBorders>
            <w:shd w:val="clear" w:color="000000" w:fill="D9D9D9"/>
            <w:noWrap/>
            <w:hideMark/>
          </w:tcPr>
          <w:p w:rsidR="008835EB" w:rsidRPr="007872C6" w:rsidRDefault="008835EB" w:rsidP="007E3F2E">
            <w:pPr>
              <w:pStyle w:val="NotesHeading-Level1"/>
              <w:spacing w:before="360"/>
            </w:pPr>
            <w:bookmarkStart w:id="487" w:name="RANGE!D7:J30"/>
            <w:bookmarkStart w:id="488" w:name="Note_AFKTABLE1" w:colFirst="0" w:colLast="0"/>
            <w:bookmarkEnd w:id="487"/>
            <w:r>
              <w:t xml:space="preserve">Note </w:t>
            </w:r>
            <w:proofErr w:type="spellStart"/>
            <w:r>
              <w:t>7.3F</w:t>
            </w:r>
            <w:proofErr w:type="spellEnd"/>
            <w:r>
              <w:t>: Market Risk</w:t>
            </w:r>
          </w:p>
        </w:tc>
      </w:tr>
      <w:bookmarkEnd w:id="488"/>
      <w:tr w:rsidR="008835EB" w:rsidTr="007E3F2E">
        <w:trPr>
          <w:trHeight w:val="480"/>
        </w:trPr>
        <w:tc>
          <w:tcPr>
            <w:tcW w:w="9087" w:type="dxa"/>
            <w:gridSpan w:val="7"/>
            <w:tcBorders>
              <w:top w:val="nil"/>
              <w:left w:val="nil"/>
              <w:bottom w:val="single" w:sz="4" w:space="0" w:color="D9D9D9"/>
              <w:right w:val="nil"/>
            </w:tcBorders>
            <w:shd w:val="clear" w:color="000000" w:fill="D9D9D9"/>
            <w:vAlign w:val="bottom"/>
            <w:hideMark/>
          </w:tcPr>
          <w:p w:rsidR="008835EB" w:rsidRDefault="008835EB" w:rsidP="007E3F2E">
            <w:pPr>
              <w:spacing w:before="120"/>
            </w:pPr>
            <w:r>
              <w:t xml:space="preserve">The Department held basic financial instruments that did not expose it to certain market risks including to ‘currency risk’ and ‘other price risks’.  </w:t>
            </w:r>
          </w:p>
        </w:tc>
      </w:tr>
    </w:tbl>
    <w:p w:rsidR="008835EB" w:rsidRDefault="008835EB" w:rsidP="008835EB">
      <w:bookmarkStart w:id="489" w:name="RANGE!D6:J27"/>
      <w:bookmarkEnd w:id="489"/>
    </w:p>
    <w:p w:rsidR="008835EB" w:rsidRDefault="008835EB" w:rsidP="008835EB">
      <w:pPr>
        <w:sectPr w:rsidR="008835EB" w:rsidSect="00F74C23">
          <w:pgSz w:w="11906" w:h="16838"/>
          <w:pgMar w:top="1134" w:right="1134" w:bottom="1134" w:left="1134" w:header="958" w:footer="737" w:gutter="0"/>
          <w:cols w:space="720"/>
          <w:docGrid w:linePitch="245"/>
        </w:sectPr>
      </w:pPr>
    </w:p>
    <w:p w:rsidR="008835EB" w:rsidRPr="007D5337" w:rsidRDefault="008835EB" w:rsidP="008835EB">
      <w:pPr>
        <w:pStyle w:val="SubHeading"/>
      </w:pPr>
      <w:bookmarkStart w:id="490" w:name="_Toc456689865"/>
      <w:r>
        <w:lastRenderedPageBreak/>
        <w:t>Fair Value Measurement</w:t>
      </w:r>
      <w:bookmarkEnd w:id="490"/>
    </w:p>
    <w:p w:rsidR="008835EB" w:rsidRDefault="008835EB" w:rsidP="008835EB">
      <w:pPr>
        <w:rPr>
          <w:rFonts w:cs="Calibri"/>
          <w:szCs w:val="18"/>
        </w:rPr>
      </w:pPr>
      <w:r w:rsidRPr="00D80CCA">
        <w:rPr>
          <w:rFonts w:cs="Calibri"/>
          <w:szCs w:val="18"/>
        </w:rPr>
        <w:t>The following table provide</w:t>
      </w:r>
      <w:r>
        <w:rPr>
          <w:rFonts w:cs="Calibri"/>
          <w:szCs w:val="18"/>
        </w:rPr>
        <w:t>s</w:t>
      </w:r>
      <w:r w:rsidRPr="00D80CCA">
        <w:rPr>
          <w:rFonts w:cs="Calibri"/>
          <w:szCs w:val="18"/>
        </w:rPr>
        <w:t xml:space="preserve"> an analysis of assets and liabilities that are measured at fair value.</w:t>
      </w:r>
      <w:r>
        <w:rPr>
          <w:rFonts w:cs="Calibri"/>
          <w:szCs w:val="18"/>
        </w:rPr>
        <w:t xml:space="preserve"> </w:t>
      </w:r>
      <w:r w:rsidRPr="00D80CCA">
        <w:rPr>
          <w:rFonts w:cs="Calibri"/>
          <w:szCs w:val="18"/>
        </w:rPr>
        <w:t>The different levels of the fair value hierarchy are defined below.</w:t>
      </w:r>
    </w:p>
    <w:p w:rsidR="008835EB" w:rsidRDefault="008835EB" w:rsidP="008835EB">
      <w:pPr>
        <w:rPr>
          <w:rFonts w:cs="Calibri"/>
          <w:szCs w:val="18"/>
        </w:rPr>
      </w:pPr>
      <w:r w:rsidRPr="001017FF">
        <w:rPr>
          <w:rFonts w:cs="Calibri"/>
          <w:szCs w:val="18"/>
        </w:rPr>
        <w:t>Level 1: Quoted prices (unadjusted) in active markets for identical assets or liabilities that the department can access at measurement date.</w:t>
      </w:r>
    </w:p>
    <w:p w:rsidR="008835EB" w:rsidRDefault="008835EB" w:rsidP="008835EB">
      <w:pPr>
        <w:rPr>
          <w:rFonts w:cs="Calibri"/>
          <w:szCs w:val="18"/>
        </w:rPr>
      </w:pPr>
      <w:r w:rsidRPr="001017FF">
        <w:rPr>
          <w:rFonts w:cs="Calibri"/>
          <w:szCs w:val="18"/>
        </w:rPr>
        <w:t>Level 2: Inputs other than quoted prices included within Level 1 that are observable for the asset or liability, either directly or indirectly.</w:t>
      </w:r>
    </w:p>
    <w:p w:rsidR="008835EB" w:rsidRDefault="008835EB" w:rsidP="008835EB">
      <w:pPr>
        <w:spacing w:after="120"/>
        <w:rPr>
          <w:rFonts w:cs="Calibri"/>
          <w:szCs w:val="18"/>
        </w:rPr>
      </w:pPr>
      <w:proofErr w:type="gramStart"/>
      <w:r w:rsidRPr="001017FF">
        <w:rPr>
          <w:rFonts w:cs="Calibri"/>
          <w:szCs w:val="18"/>
        </w:rPr>
        <w:t>Level 3: Unobservable inputs for the asset or liability.</w:t>
      </w:r>
      <w:proofErr w:type="gramEnd"/>
    </w:p>
    <w:tbl>
      <w:tblPr>
        <w:tblW w:w="13991" w:type="dxa"/>
        <w:tblInd w:w="80" w:type="dxa"/>
        <w:tblLayout w:type="fixed"/>
        <w:tblLook w:val="04A0" w:firstRow="1" w:lastRow="0" w:firstColumn="1" w:lastColumn="0" w:noHBand="0" w:noVBand="1"/>
      </w:tblPr>
      <w:tblGrid>
        <w:gridCol w:w="5557"/>
        <w:gridCol w:w="354"/>
        <w:gridCol w:w="921"/>
        <w:gridCol w:w="287"/>
        <w:gridCol w:w="989"/>
        <w:gridCol w:w="216"/>
        <w:gridCol w:w="1343"/>
        <w:gridCol w:w="1245"/>
        <w:gridCol w:w="3079"/>
      </w:tblGrid>
      <w:tr w:rsidR="008835EB" w:rsidTr="007E3F2E">
        <w:trPr>
          <w:trHeight w:val="240"/>
        </w:trPr>
        <w:tc>
          <w:tcPr>
            <w:tcW w:w="13991" w:type="dxa"/>
            <w:gridSpan w:val="9"/>
            <w:tcBorders>
              <w:top w:val="nil"/>
              <w:left w:val="nil"/>
              <w:bottom w:val="nil"/>
              <w:right w:val="nil"/>
            </w:tcBorders>
            <w:shd w:val="clear" w:color="FFFFFF" w:fill="FFFFFF"/>
            <w:noWrap/>
            <w:vAlign w:val="bottom"/>
            <w:hideMark/>
          </w:tcPr>
          <w:p w:rsidR="008835EB" w:rsidRDefault="008835EB" w:rsidP="007E3F2E">
            <w:pPr>
              <w:pStyle w:val="NotesHeading-Level1"/>
            </w:pPr>
            <w:bookmarkStart w:id="491" w:name="RANGE!D7:I7"/>
            <w:bookmarkStart w:id="492" w:name="Note_FIMTABLE1" w:colFirst="0" w:colLast="0"/>
            <w:r>
              <w:t xml:space="preserve">Note </w:t>
            </w:r>
            <w:proofErr w:type="spellStart"/>
            <w:r>
              <w:t>7.4A</w:t>
            </w:r>
            <w:proofErr w:type="spellEnd"/>
            <w:r>
              <w:t>: Fair Value Measurements</w:t>
            </w:r>
            <w:bookmarkEnd w:id="491"/>
          </w:p>
        </w:tc>
      </w:tr>
      <w:bookmarkEnd w:id="492"/>
      <w:tr w:rsidR="008835EB" w:rsidTr="007E3F2E">
        <w:trPr>
          <w:trHeight w:val="240"/>
        </w:trPr>
        <w:tc>
          <w:tcPr>
            <w:tcW w:w="5911" w:type="dxa"/>
            <w:gridSpan w:val="2"/>
            <w:tcBorders>
              <w:top w:val="nil"/>
              <w:left w:val="nil"/>
              <w:bottom w:val="nil"/>
              <w:right w:val="nil"/>
            </w:tcBorders>
            <w:shd w:val="clear" w:color="FFFFFF" w:fill="FFFFFF"/>
            <w:noWrap/>
            <w:vAlign w:val="bottom"/>
            <w:hideMark/>
          </w:tcPr>
          <w:p w:rsidR="008835EB" w:rsidRDefault="008835EB" w:rsidP="007E3F2E">
            <w:pPr>
              <w:rPr>
                <w:rFonts w:cs="Calibri"/>
                <w:b/>
                <w:bCs/>
                <w:szCs w:val="18"/>
              </w:rPr>
            </w:pPr>
            <w:r>
              <w:rPr>
                <w:rFonts w:cs="Calibri"/>
                <w:b/>
                <w:bCs/>
                <w:szCs w:val="18"/>
              </w:rPr>
              <w:t> </w:t>
            </w:r>
          </w:p>
        </w:tc>
        <w:tc>
          <w:tcPr>
            <w:tcW w:w="1208" w:type="dxa"/>
            <w:gridSpan w:val="2"/>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1205" w:type="dxa"/>
            <w:gridSpan w:val="2"/>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1343"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124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3079"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r>
      <w:tr w:rsidR="008835EB" w:rsidTr="007E3F2E">
        <w:trPr>
          <w:trHeight w:val="255"/>
        </w:trPr>
        <w:tc>
          <w:tcPr>
            <w:tcW w:w="9667" w:type="dxa"/>
            <w:gridSpan w:val="7"/>
            <w:tcBorders>
              <w:top w:val="single" w:sz="4" w:space="0" w:color="auto"/>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Fair value measurements at the end of the reporting period</w:t>
            </w:r>
          </w:p>
        </w:tc>
        <w:tc>
          <w:tcPr>
            <w:tcW w:w="4324" w:type="dxa"/>
            <w:gridSpan w:val="2"/>
            <w:tcBorders>
              <w:top w:val="single" w:sz="4" w:space="0" w:color="auto"/>
              <w:left w:val="nil"/>
              <w:bottom w:val="single" w:sz="4" w:space="0" w:color="auto"/>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For Levels 2 and 3 fair value measurements</w:t>
            </w:r>
          </w:p>
        </w:tc>
      </w:tr>
      <w:tr w:rsidR="008835EB" w:rsidTr="007E3F2E">
        <w:trPr>
          <w:trHeight w:val="255"/>
        </w:trPr>
        <w:tc>
          <w:tcPr>
            <w:tcW w:w="555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1275" w:type="dxa"/>
            <w:gridSpan w:val="2"/>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1276" w:type="dxa"/>
            <w:gridSpan w:val="2"/>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2015</w:t>
            </w:r>
          </w:p>
        </w:tc>
        <w:tc>
          <w:tcPr>
            <w:tcW w:w="1559" w:type="dxa"/>
            <w:gridSpan w:val="2"/>
            <w:vMerge w:val="restart"/>
            <w:tcBorders>
              <w:top w:val="nil"/>
              <w:left w:val="nil"/>
              <w:bottom w:val="single" w:sz="4" w:space="0" w:color="000000"/>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Category (Level 1, 2 or 3)</w:t>
            </w:r>
          </w:p>
        </w:tc>
        <w:tc>
          <w:tcPr>
            <w:tcW w:w="1245" w:type="dxa"/>
            <w:vMerge w:val="restart"/>
            <w:tcBorders>
              <w:top w:val="nil"/>
              <w:left w:val="nil"/>
              <w:bottom w:val="single" w:sz="4" w:space="0" w:color="000000"/>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 xml:space="preserve">Valuation Techniques </w:t>
            </w:r>
            <w:r>
              <w:rPr>
                <w:rFonts w:cs="Calibri"/>
                <w:b/>
                <w:bCs/>
                <w:szCs w:val="18"/>
                <w:vertAlign w:val="superscript"/>
              </w:rPr>
              <w:t>1</w:t>
            </w:r>
          </w:p>
        </w:tc>
        <w:tc>
          <w:tcPr>
            <w:tcW w:w="3079" w:type="dxa"/>
            <w:vMerge w:val="restart"/>
            <w:tcBorders>
              <w:top w:val="nil"/>
              <w:left w:val="nil"/>
              <w:bottom w:val="single" w:sz="4" w:space="0" w:color="000000"/>
              <w:right w:val="nil"/>
            </w:tcBorders>
            <w:shd w:val="clear" w:color="FFFFFF" w:fill="FFFFFF"/>
            <w:vAlign w:val="bottom"/>
            <w:hideMark/>
          </w:tcPr>
          <w:p w:rsidR="008835EB" w:rsidRDefault="008835EB" w:rsidP="007E3F2E">
            <w:pPr>
              <w:jc w:val="right"/>
              <w:rPr>
                <w:rFonts w:cs="Calibri"/>
                <w:b/>
                <w:bCs/>
                <w:szCs w:val="18"/>
              </w:rPr>
            </w:pPr>
            <w:r>
              <w:rPr>
                <w:rFonts w:cs="Calibri"/>
                <w:b/>
                <w:bCs/>
                <w:szCs w:val="18"/>
              </w:rPr>
              <w:t>Inputs Used</w:t>
            </w:r>
          </w:p>
        </w:tc>
      </w:tr>
      <w:tr w:rsidR="008835EB" w:rsidTr="007E3F2E">
        <w:trPr>
          <w:trHeight w:val="240"/>
        </w:trPr>
        <w:tc>
          <w:tcPr>
            <w:tcW w:w="5557" w:type="dxa"/>
            <w:tcBorders>
              <w:top w:val="nil"/>
              <w:left w:val="nil"/>
              <w:bottom w:val="single" w:sz="4" w:space="0" w:color="auto"/>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5"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1276"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1559" w:type="dxa"/>
            <w:gridSpan w:val="2"/>
            <w:vMerge/>
            <w:tcBorders>
              <w:top w:val="nil"/>
              <w:left w:val="nil"/>
              <w:bottom w:val="single" w:sz="4" w:space="0" w:color="000000"/>
              <w:right w:val="nil"/>
            </w:tcBorders>
            <w:vAlign w:val="center"/>
            <w:hideMark/>
          </w:tcPr>
          <w:p w:rsidR="008835EB" w:rsidRDefault="008835EB" w:rsidP="007E3F2E">
            <w:pPr>
              <w:rPr>
                <w:rFonts w:cs="Calibri"/>
                <w:b/>
                <w:bCs/>
                <w:szCs w:val="18"/>
              </w:rPr>
            </w:pPr>
          </w:p>
        </w:tc>
        <w:tc>
          <w:tcPr>
            <w:tcW w:w="1245" w:type="dxa"/>
            <w:vMerge/>
            <w:tcBorders>
              <w:top w:val="nil"/>
              <w:left w:val="nil"/>
              <w:bottom w:val="single" w:sz="4" w:space="0" w:color="000000"/>
              <w:right w:val="nil"/>
            </w:tcBorders>
            <w:vAlign w:val="center"/>
            <w:hideMark/>
          </w:tcPr>
          <w:p w:rsidR="008835EB" w:rsidRDefault="008835EB" w:rsidP="007E3F2E">
            <w:pPr>
              <w:rPr>
                <w:rFonts w:cs="Calibri"/>
                <w:b/>
                <w:bCs/>
                <w:szCs w:val="18"/>
              </w:rPr>
            </w:pPr>
          </w:p>
        </w:tc>
        <w:tc>
          <w:tcPr>
            <w:tcW w:w="3079" w:type="dxa"/>
            <w:vMerge/>
            <w:tcBorders>
              <w:top w:val="nil"/>
              <w:left w:val="nil"/>
              <w:bottom w:val="single" w:sz="4" w:space="0" w:color="000000"/>
              <w:right w:val="nil"/>
            </w:tcBorders>
            <w:vAlign w:val="center"/>
            <w:hideMark/>
          </w:tcPr>
          <w:p w:rsidR="008835EB" w:rsidRDefault="008835EB" w:rsidP="007E3F2E">
            <w:pPr>
              <w:rPr>
                <w:rFonts w:cs="Calibri"/>
                <w:b/>
                <w:bCs/>
                <w:szCs w:val="18"/>
              </w:rPr>
            </w:pPr>
          </w:p>
        </w:tc>
      </w:tr>
      <w:tr w:rsidR="008835EB" w:rsidTr="007E3F2E">
        <w:trPr>
          <w:trHeight w:val="240"/>
        </w:trPr>
        <w:tc>
          <w:tcPr>
            <w:tcW w:w="5557" w:type="dxa"/>
            <w:tcBorders>
              <w:top w:val="nil"/>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Non-financial assets</w:t>
            </w:r>
          </w:p>
        </w:tc>
        <w:tc>
          <w:tcPr>
            <w:tcW w:w="1275" w:type="dxa"/>
            <w:gridSpan w:val="2"/>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76" w:type="dxa"/>
            <w:gridSpan w:val="2"/>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559" w:type="dxa"/>
            <w:gridSpan w:val="2"/>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245"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3079"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r>
      <w:tr w:rsidR="008835EB" w:rsidTr="007E3F2E">
        <w:trPr>
          <w:trHeight w:val="1050"/>
        </w:trPr>
        <w:tc>
          <w:tcPr>
            <w:tcW w:w="5557" w:type="dxa"/>
            <w:vMerge w:val="restart"/>
            <w:tcBorders>
              <w:top w:val="single" w:sz="4" w:space="0" w:color="auto"/>
              <w:left w:val="nil"/>
              <w:bottom w:val="single" w:sz="4" w:space="0" w:color="000000"/>
              <w:right w:val="nil"/>
            </w:tcBorders>
            <w:shd w:val="clear" w:color="FFFFFF" w:fill="FFFFFF"/>
            <w:noWrap/>
            <w:hideMark/>
          </w:tcPr>
          <w:p w:rsidR="008835EB" w:rsidRDefault="008835EB" w:rsidP="007E3F2E">
            <w:pPr>
              <w:rPr>
                <w:rFonts w:cs="Calibri"/>
                <w:szCs w:val="18"/>
              </w:rPr>
            </w:pPr>
            <w:r>
              <w:rPr>
                <w:rFonts w:cs="Calibri"/>
                <w:szCs w:val="18"/>
              </w:rPr>
              <w:t>Leasehold Improvements</w:t>
            </w:r>
          </w:p>
        </w:tc>
        <w:tc>
          <w:tcPr>
            <w:tcW w:w="1275"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b/>
                <w:bCs/>
                <w:szCs w:val="18"/>
              </w:rPr>
            </w:pPr>
            <w:r>
              <w:rPr>
                <w:rFonts w:cs="Calibri"/>
                <w:b/>
                <w:bCs/>
                <w:szCs w:val="18"/>
              </w:rPr>
              <w:t xml:space="preserve">23,074 </w:t>
            </w:r>
          </w:p>
        </w:tc>
        <w:tc>
          <w:tcPr>
            <w:tcW w:w="1276"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szCs w:val="18"/>
              </w:rPr>
            </w:pPr>
            <w:r>
              <w:rPr>
                <w:rFonts w:cs="Calibri"/>
                <w:szCs w:val="18"/>
              </w:rPr>
              <w:t xml:space="preserve">18,928 </w:t>
            </w:r>
          </w:p>
        </w:tc>
        <w:tc>
          <w:tcPr>
            <w:tcW w:w="1559"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szCs w:val="18"/>
              </w:rPr>
            </w:pPr>
            <w:r>
              <w:rPr>
                <w:rFonts w:cs="Calibri"/>
                <w:szCs w:val="18"/>
              </w:rPr>
              <w:t xml:space="preserve">3 </w:t>
            </w:r>
          </w:p>
        </w:tc>
        <w:tc>
          <w:tcPr>
            <w:tcW w:w="1245" w:type="dxa"/>
            <w:tcBorders>
              <w:top w:val="single" w:sz="4" w:space="0" w:color="auto"/>
              <w:left w:val="nil"/>
              <w:bottom w:val="nil"/>
              <w:right w:val="nil"/>
            </w:tcBorders>
            <w:shd w:val="clear" w:color="FFFFFF" w:fill="FFFFFF"/>
            <w:hideMark/>
          </w:tcPr>
          <w:p w:rsidR="008835EB" w:rsidRDefault="008835EB" w:rsidP="007E3F2E">
            <w:pPr>
              <w:jc w:val="right"/>
              <w:rPr>
                <w:rFonts w:cs="Calibri"/>
                <w:szCs w:val="18"/>
              </w:rPr>
            </w:pPr>
            <w:r>
              <w:rPr>
                <w:rFonts w:cs="Calibri"/>
                <w:szCs w:val="18"/>
              </w:rPr>
              <w:t>Depreciated Replacement Cost</w:t>
            </w:r>
          </w:p>
        </w:tc>
        <w:tc>
          <w:tcPr>
            <w:tcW w:w="3079" w:type="dxa"/>
            <w:tcBorders>
              <w:top w:val="nil"/>
              <w:left w:val="nil"/>
              <w:right w:val="nil"/>
            </w:tcBorders>
            <w:shd w:val="clear" w:color="FFFFFF" w:fill="FFFFFF"/>
            <w:hideMark/>
          </w:tcPr>
          <w:p w:rsidR="008835EB" w:rsidRDefault="008835EB" w:rsidP="007E3F2E">
            <w:pPr>
              <w:rPr>
                <w:rFonts w:cs="Calibri"/>
                <w:szCs w:val="18"/>
              </w:rPr>
            </w:pPr>
            <w:r>
              <w:rPr>
                <w:rFonts w:cs="Calibri"/>
                <w:szCs w:val="18"/>
              </w:rPr>
              <w:t>The cost to acquire a substitute asset of comparable utility adjusted for depreciation and obsolescence. Depreciation based on lease term</w:t>
            </w:r>
          </w:p>
        </w:tc>
      </w:tr>
      <w:tr w:rsidR="008835EB" w:rsidTr="007E3F2E">
        <w:trPr>
          <w:trHeight w:val="998"/>
        </w:trPr>
        <w:tc>
          <w:tcPr>
            <w:tcW w:w="5557" w:type="dxa"/>
            <w:vMerge/>
            <w:tcBorders>
              <w:top w:val="single" w:sz="4" w:space="0" w:color="auto"/>
              <w:left w:val="nil"/>
              <w:bottom w:val="single" w:sz="4" w:space="0" w:color="000000"/>
              <w:right w:val="nil"/>
            </w:tcBorders>
            <w:vAlign w:val="center"/>
            <w:hideMark/>
          </w:tcPr>
          <w:p w:rsidR="008835EB" w:rsidRDefault="008835EB" w:rsidP="007E3F2E">
            <w:pPr>
              <w:rPr>
                <w:rFonts w:cs="Calibri"/>
                <w:szCs w:val="18"/>
              </w:rPr>
            </w:pPr>
          </w:p>
        </w:tc>
        <w:tc>
          <w:tcPr>
            <w:tcW w:w="1275" w:type="dxa"/>
            <w:gridSpan w:val="2"/>
            <w:tcBorders>
              <w:top w:val="single" w:sz="4" w:space="0" w:color="auto"/>
              <w:left w:val="nil"/>
              <w:bottom w:val="single" w:sz="4" w:space="0" w:color="auto"/>
              <w:right w:val="nil"/>
            </w:tcBorders>
            <w:shd w:val="clear" w:color="FFFFFF" w:fill="FFFFFF"/>
            <w:noWrap/>
            <w:hideMark/>
          </w:tcPr>
          <w:p w:rsidR="008835EB" w:rsidRDefault="008835EB" w:rsidP="007E3F2E">
            <w:pPr>
              <w:jc w:val="right"/>
              <w:rPr>
                <w:rFonts w:cs="Calibri"/>
                <w:b/>
                <w:bCs/>
                <w:szCs w:val="18"/>
              </w:rPr>
            </w:pPr>
            <w:r>
              <w:rPr>
                <w:rFonts w:cs="Calibri"/>
                <w:b/>
                <w:bCs/>
                <w:szCs w:val="18"/>
              </w:rPr>
              <w:t xml:space="preserve">191 </w:t>
            </w:r>
          </w:p>
        </w:tc>
        <w:tc>
          <w:tcPr>
            <w:tcW w:w="1276" w:type="dxa"/>
            <w:gridSpan w:val="2"/>
            <w:tcBorders>
              <w:top w:val="single" w:sz="4" w:space="0" w:color="auto"/>
              <w:left w:val="nil"/>
              <w:bottom w:val="single" w:sz="4" w:space="0" w:color="auto"/>
              <w:right w:val="nil"/>
            </w:tcBorders>
            <w:shd w:val="clear" w:color="FFFFFF" w:fill="FFFFFF"/>
            <w:noWrap/>
            <w:hideMark/>
          </w:tcPr>
          <w:p w:rsidR="008835EB" w:rsidRDefault="008835EB" w:rsidP="007E3F2E">
            <w:pPr>
              <w:jc w:val="right"/>
              <w:rPr>
                <w:rFonts w:cs="Calibri"/>
                <w:szCs w:val="18"/>
              </w:rPr>
            </w:pPr>
            <w:r>
              <w:rPr>
                <w:rFonts w:cs="Calibri"/>
                <w:szCs w:val="18"/>
              </w:rPr>
              <w:t xml:space="preserve">320 </w:t>
            </w:r>
          </w:p>
        </w:tc>
        <w:tc>
          <w:tcPr>
            <w:tcW w:w="1559" w:type="dxa"/>
            <w:gridSpan w:val="2"/>
            <w:tcBorders>
              <w:top w:val="single" w:sz="4" w:space="0" w:color="auto"/>
              <w:left w:val="nil"/>
              <w:bottom w:val="single" w:sz="4" w:space="0" w:color="auto"/>
              <w:right w:val="nil"/>
            </w:tcBorders>
            <w:shd w:val="clear" w:color="FFFFFF" w:fill="FFFFFF"/>
            <w:noWrap/>
            <w:hideMark/>
          </w:tcPr>
          <w:p w:rsidR="008835EB" w:rsidRDefault="008835EB" w:rsidP="007E3F2E">
            <w:pPr>
              <w:jc w:val="right"/>
              <w:rPr>
                <w:rFonts w:cs="Calibri"/>
                <w:szCs w:val="18"/>
              </w:rPr>
            </w:pPr>
            <w:r>
              <w:rPr>
                <w:rFonts w:cs="Calibri"/>
                <w:szCs w:val="18"/>
              </w:rPr>
              <w:t xml:space="preserve">3 </w:t>
            </w:r>
          </w:p>
        </w:tc>
        <w:tc>
          <w:tcPr>
            <w:tcW w:w="1245" w:type="dxa"/>
            <w:tcBorders>
              <w:top w:val="single" w:sz="4" w:space="0" w:color="auto"/>
              <w:left w:val="nil"/>
              <w:bottom w:val="single" w:sz="4" w:space="0" w:color="auto"/>
              <w:right w:val="nil"/>
            </w:tcBorders>
            <w:shd w:val="clear" w:color="FFFFFF" w:fill="FFFFFF"/>
            <w:hideMark/>
          </w:tcPr>
          <w:p w:rsidR="008835EB" w:rsidRDefault="008835EB" w:rsidP="007E3F2E">
            <w:pPr>
              <w:jc w:val="right"/>
              <w:rPr>
                <w:rFonts w:cs="Calibri"/>
                <w:szCs w:val="18"/>
              </w:rPr>
            </w:pPr>
            <w:r>
              <w:rPr>
                <w:rFonts w:cs="Calibri"/>
                <w:szCs w:val="18"/>
              </w:rPr>
              <w:t>Depreciated Replacement Cost</w:t>
            </w:r>
          </w:p>
        </w:tc>
        <w:tc>
          <w:tcPr>
            <w:tcW w:w="3079" w:type="dxa"/>
            <w:tcBorders>
              <w:top w:val="single" w:sz="4" w:space="0" w:color="auto"/>
              <w:left w:val="nil"/>
              <w:bottom w:val="single" w:sz="4" w:space="0" w:color="auto"/>
              <w:right w:val="nil"/>
            </w:tcBorders>
            <w:shd w:val="clear" w:color="FFFFFF" w:fill="FFFFFF"/>
            <w:hideMark/>
          </w:tcPr>
          <w:p w:rsidR="008835EB" w:rsidRDefault="008835EB" w:rsidP="007E3F2E">
            <w:pPr>
              <w:rPr>
                <w:rFonts w:cs="Calibri"/>
                <w:szCs w:val="18"/>
              </w:rPr>
            </w:pPr>
            <w:r>
              <w:rPr>
                <w:rFonts w:cs="Calibri"/>
                <w:szCs w:val="18"/>
              </w:rPr>
              <w:t xml:space="preserve">Current restoration costs (price per square metre of floor area) </w:t>
            </w:r>
            <w:r>
              <w:rPr>
                <w:rFonts w:cs="Calibri"/>
                <w:szCs w:val="18"/>
              </w:rPr>
              <w:br/>
              <w:t>BPI and Government Bond rates Depreciation based on lease term</w:t>
            </w:r>
          </w:p>
        </w:tc>
      </w:tr>
      <w:tr w:rsidR="008835EB" w:rsidTr="007E3F2E">
        <w:trPr>
          <w:trHeight w:val="720"/>
        </w:trPr>
        <w:tc>
          <w:tcPr>
            <w:tcW w:w="5557" w:type="dxa"/>
            <w:vMerge w:val="restart"/>
            <w:tcBorders>
              <w:top w:val="single" w:sz="4" w:space="0" w:color="auto"/>
              <w:left w:val="nil"/>
              <w:bottom w:val="nil"/>
              <w:right w:val="nil"/>
            </w:tcBorders>
            <w:shd w:val="clear" w:color="FFFFFF" w:fill="FFFFFF"/>
            <w:noWrap/>
            <w:hideMark/>
          </w:tcPr>
          <w:p w:rsidR="008835EB" w:rsidRDefault="008835EB" w:rsidP="007E3F2E">
            <w:pPr>
              <w:rPr>
                <w:rFonts w:cs="Calibri"/>
                <w:szCs w:val="18"/>
              </w:rPr>
            </w:pPr>
            <w:r>
              <w:rPr>
                <w:rFonts w:cs="Calibri"/>
                <w:szCs w:val="18"/>
              </w:rPr>
              <w:t>Infrastructure, plant and equipment</w:t>
            </w:r>
          </w:p>
        </w:tc>
        <w:tc>
          <w:tcPr>
            <w:tcW w:w="1275"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b/>
                <w:bCs/>
                <w:szCs w:val="18"/>
              </w:rPr>
            </w:pPr>
            <w:r>
              <w:rPr>
                <w:rFonts w:cs="Calibri"/>
                <w:b/>
                <w:bCs/>
                <w:szCs w:val="18"/>
              </w:rPr>
              <w:t xml:space="preserve">7,912 </w:t>
            </w:r>
          </w:p>
        </w:tc>
        <w:tc>
          <w:tcPr>
            <w:tcW w:w="1276"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szCs w:val="18"/>
              </w:rPr>
            </w:pPr>
            <w:r>
              <w:rPr>
                <w:rFonts w:cs="Calibri"/>
                <w:szCs w:val="18"/>
              </w:rPr>
              <w:t xml:space="preserve">4,684 </w:t>
            </w:r>
          </w:p>
        </w:tc>
        <w:tc>
          <w:tcPr>
            <w:tcW w:w="1559"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szCs w:val="18"/>
              </w:rPr>
            </w:pPr>
            <w:r>
              <w:rPr>
                <w:rFonts w:cs="Calibri"/>
                <w:szCs w:val="18"/>
              </w:rPr>
              <w:t xml:space="preserve">2 </w:t>
            </w:r>
          </w:p>
        </w:tc>
        <w:tc>
          <w:tcPr>
            <w:tcW w:w="1245" w:type="dxa"/>
            <w:tcBorders>
              <w:top w:val="single" w:sz="4" w:space="0" w:color="auto"/>
              <w:left w:val="nil"/>
              <w:bottom w:val="nil"/>
              <w:right w:val="nil"/>
            </w:tcBorders>
            <w:shd w:val="clear" w:color="FFFFFF" w:fill="FFFFFF"/>
            <w:hideMark/>
          </w:tcPr>
          <w:p w:rsidR="008835EB" w:rsidRDefault="008835EB" w:rsidP="007E3F2E">
            <w:pPr>
              <w:jc w:val="right"/>
              <w:rPr>
                <w:rFonts w:cs="Calibri"/>
                <w:szCs w:val="18"/>
              </w:rPr>
            </w:pPr>
            <w:r>
              <w:rPr>
                <w:rFonts w:cs="Calibri"/>
                <w:szCs w:val="18"/>
              </w:rPr>
              <w:t>Market Approach</w:t>
            </w:r>
          </w:p>
        </w:tc>
        <w:tc>
          <w:tcPr>
            <w:tcW w:w="3079" w:type="dxa"/>
            <w:tcBorders>
              <w:top w:val="single" w:sz="4" w:space="0" w:color="auto"/>
              <w:left w:val="nil"/>
              <w:bottom w:val="single" w:sz="4" w:space="0" w:color="auto"/>
              <w:right w:val="nil"/>
            </w:tcBorders>
            <w:shd w:val="clear" w:color="FFFFFF" w:fill="FFFFFF"/>
            <w:hideMark/>
          </w:tcPr>
          <w:p w:rsidR="008835EB" w:rsidRDefault="008835EB" w:rsidP="007E3F2E">
            <w:pPr>
              <w:rPr>
                <w:rFonts w:cs="Calibri"/>
                <w:szCs w:val="18"/>
              </w:rPr>
            </w:pPr>
            <w:r>
              <w:rPr>
                <w:rFonts w:cs="Calibri"/>
                <w:szCs w:val="18"/>
              </w:rPr>
              <w:t>Fair value estimated with reference to recent market transactions involving plant &amp; equipment</w:t>
            </w:r>
          </w:p>
        </w:tc>
      </w:tr>
      <w:tr w:rsidR="008835EB" w:rsidTr="007E3F2E">
        <w:trPr>
          <w:trHeight w:val="720"/>
        </w:trPr>
        <w:tc>
          <w:tcPr>
            <w:tcW w:w="5557" w:type="dxa"/>
            <w:vMerge/>
            <w:tcBorders>
              <w:top w:val="single" w:sz="4" w:space="0" w:color="auto"/>
              <w:left w:val="nil"/>
              <w:bottom w:val="nil"/>
              <w:right w:val="nil"/>
            </w:tcBorders>
            <w:vAlign w:val="center"/>
            <w:hideMark/>
          </w:tcPr>
          <w:p w:rsidR="008835EB" w:rsidRDefault="008835EB" w:rsidP="007E3F2E">
            <w:pPr>
              <w:rPr>
                <w:rFonts w:cs="Calibri"/>
                <w:szCs w:val="18"/>
              </w:rPr>
            </w:pPr>
          </w:p>
        </w:tc>
        <w:tc>
          <w:tcPr>
            <w:tcW w:w="1275"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b/>
                <w:bCs/>
                <w:szCs w:val="18"/>
              </w:rPr>
            </w:pPr>
            <w:r>
              <w:rPr>
                <w:rFonts w:cs="Calibri"/>
                <w:b/>
                <w:bCs/>
                <w:szCs w:val="18"/>
              </w:rPr>
              <w:t xml:space="preserve">736 </w:t>
            </w:r>
          </w:p>
        </w:tc>
        <w:tc>
          <w:tcPr>
            <w:tcW w:w="1276"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szCs w:val="18"/>
              </w:rPr>
            </w:pPr>
            <w:r>
              <w:rPr>
                <w:rFonts w:cs="Calibri"/>
                <w:szCs w:val="18"/>
              </w:rPr>
              <w:t xml:space="preserve"> -</w:t>
            </w:r>
          </w:p>
        </w:tc>
        <w:tc>
          <w:tcPr>
            <w:tcW w:w="1559" w:type="dxa"/>
            <w:gridSpan w:val="2"/>
            <w:tcBorders>
              <w:top w:val="single" w:sz="4" w:space="0" w:color="auto"/>
              <w:left w:val="nil"/>
              <w:bottom w:val="nil"/>
              <w:right w:val="nil"/>
            </w:tcBorders>
            <w:shd w:val="clear" w:color="FFFFFF" w:fill="FFFFFF"/>
            <w:noWrap/>
            <w:hideMark/>
          </w:tcPr>
          <w:p w:rsidR="008835EB" w:rsidRDefault="008835EB" w:rsidP="007E3F2E">
            <w:pPr>
              <w:jc w:val="right"/>
              <w:rPr>
                <w:rFonts w:cs="Calibri"/>
                <w:szCs w:val="18"/>
              </w:rPr>
            </w:pPr>
            <w:r>
              <w:rPr>
                <w:rFonts w:cs="Calibri"/>
                <w:szCs w:val="18"/>
              </w:rPr>
              <w:t xml:space="preserve">3 </w:t>
            </w:r>
          </w:p>
        </w:tc>
        <w:tc>
          <w:tcPr>
            <w:tcW w:w="1245" w:type="dxa"/>
            <w:tcBorders>
              <w:top w:val="single" w:sz="4" w:space="0" w:color="auto"/>
              <w:left w:val="nil"/>
              <w:bottom w:val="nil"/>
              <w:right w:val="nil"/>
            </w:tcBorders>
            <w:shd w:val="clear" w:color="FFFFFF" w:fill="FFFFFF"/>
            <w:hideMark/>
          </w:tcPr>
          <w:p w:rsidR="008835EB" w:rsidRDefault="008835EB" w:rsidP="007E3F2E">
            <w:pPr>
              <w:jc w:val="right"/>
              <w:rPr>
                <w:rFonts w:cs="Calibri"/>
                <w:szCs w:val="18"/>
              </w:rPr>
            </w:pPr>
            <w:r>
              <w:rPr>
                <w:rFonts w:cs="Calibri"/>
                <w:szCs w:val="18"/>
              </w:rPr>
              <w:t>Market Approach</w:t>
            </w:r>
          </w:p>
        </w:tc>
        <w:tc>
          <w:tcPr>
            <w:tcW w:w="3079" w:type="dxa"/>
            <w:tcBorders>
              <w:top w:val="nil"/>
              <w:left w:val="nil"/>
              <w:bottom w:val="single" w:sz="4" w:space="0" w:color="auto"/>
              <w:right w:val="nil"/>
            </w:tcBorders>
            <w:shd w:val="clear" w:color="FFFFFF" w:fill="FFFFFF"/>
            <w:hideMark/>
          </w:tcPr>
          <w:p w:rsidR="008835EB" w:rsidRDefault="008835EB" w:rsidP="007E3F2E">
            <w:pPr>
              <w:rPr>
                <w:rFonts w:cs="Calibri"/>
                <w:szCs w:val="18"/>
              </w:rPr>
            </w:pPr>
            <w:r>
              <w:rPr>
                <w:rFonts w:cs="Calibri"/>
                <w:szCs w:val="18"/>
              </w:rPr>
              <w:t>Fair value estimated with reference to recent market transactions involving plant &amp; equipment</w:t>
            </w:r>
          </w:p>
        </w:tc>
      </w:tr>
      <w:tr w:rsidR="008835EB" w:rsidTr="007E3F2E">
        <w:trPr>
          <w:trHeight w:val="1379"/>
        </w:trPr>
        <w:tc>
          <w:tcPr>
            <w:tcW w:w="5557" w:type="dxa"/>
            <w:vMerge/>
            <w:tcBorders>
              <w:top w:val="single" w:sz="4" w:space="0" w:color="auto"/>
              <w:left w:val="nil"/>
              <w:bottom w:val="nil"/>
              <w:right w:val="nil"/>
            </w:tcBorders>
            <w:vAlign w:val="center"/>
            <w:hideMark/>
          </w:tcPr>
          <w:p w:rsidR="008835EB" w:rsidRDefault="008835EB" w:rsidP="007E3F2E">
            <w:pPr>
              <w:rPr>
                <w:rFonts w:cs="Calibri"/>
                <w:szCs w:val="18"/>
              </w:rPr>
            </w:pPr>
          </w:p>
        </w:tc>
        <w:tc>
          <w:tcPr>
            <w:tcW w:w="1275" w:type="dxa"/>
            <w:gridSpan w:val="2"/>
            <w:tcBorders>
              <w:top w:val="single" w:sz="4" w:space="0" w:color="auto"/>
              <w:left w:val="nil"/>
              <w:bottom w:val="single" w:sz="4" w:space="0" w:color="000000"/>
              <w:right w:val="nil"/>
            </w:tcBorders>
            <w:shd w:val="clear" w:color="FFFFFF" w:fill="FFFFFF"/>
            <w:noWrap/>
            <w:hideMark/>
          </w:tcPr>
          <w:p w:rsidR="008835EB" w:rsidRDefault="008835EB" w:rsidP="007E3F2E">
            <w:pPr>
              <w:jc w:val="right"/>
              <w:rPr>
                <w:rFonts w:cs="Calibri"/>
                <w:b/>
                <w:bCs/>
                <w:szCs w:val="18"/>
              </w:rPr>
            </w:pPr>
            <w:r>
              <w:rPr>
                <w:rFonts w:cs="Calibri"/>
                <w:b/>
                <w:bCs/>
                <w:szCs w:val="18"/>
              </w:rPr>
              <w:t xml:space="preserve">5,066 </w:t>
            </w:r>
          </w:p>
        </w:tc>
        <w:tc>
          <w:tcPr>
            <w:tcW w:w="1276" w:type="dxa"/>
            <w:gridSpan w:val="2"/>
            <w:tcBorders>
              <w:top w:val="single" w:sz="4" w:space="0" w:color="auto"/>
              <w:left w:val="nil"/>
              <w:bottom w:val="single" w:sz="4" w:space="0" w:color="000000"/>
              <w:right w:val="nil"/>
            </w:tcBorders>
            <w:shd w:val="clear" w:color="FFFFFF" w:fill="FFFFFF"/>
            <w:noWrap/>
            <w:hideMark/>
          </w:tcPr>
          <w:p w:rsidR="008835EB" w:rsidRDefault="008835EB" w:rsidP="007E3F2E">
            <w:pPr>
              <w:jc w:val="right"/>
              <w:rPr>
                <w:rFonts w:cs="Calibri"/>
                <w:szCs w:val="18"/>
              </w:rPr>
            </w:pPr>
            <w:r>
              <w:rPr>
                <w:rFonts w:cs="Calibri"/>
                <w:szCs w:val="18"/>
              </w:rPr>
              <w:t xml:space="preserve">8,525 </w:t>
            </w:r>
          </w:p>
        </w:tc>
        <w:tc>
          <w:tcPr>
            <w:tcW w:w="1559" w:type="dxa"/>
            <w:gridSpan w:val="2"/>
            <w:tcBorders>
              <w:top w:val="single" w:sz="4" w:space="0" w:color="auto"/>
              <w:left w:val="nil"/>
              <w:bottom w:val="single" w:sz="4" w:space="0" w:color="000000"/>
              <w:right w:val="nil"/>
            </w:tcBorders>
            <w:shd w:val="clear" w:color="FFFFFF" w:fill="FFFFFF"/>
            <w:noWrap/>
            <w:hideMark/>
          </w:tcPr>
          <w:p w:rsidR="008835EB" w:rsidRDefault="008835EB" w:rsidP="007E3F2E">
            <w:pPr>
              <w:jc w:val="right"/>
              <w:rPr>
                <w:rFonts w:cs="Calibri"/>
                <w:szCs w:val="18"/>
              </w:rPr>
            </w:pPr>
            <w:r>
              <w:rPr>
                <w:rFonts w:cs="Calibri"/>
                <w:szCs w:val="18"/>
              </w:rPr>
              <w:t xml:space="preserve">3 </w:t>
            </w:r>
          </w:p>
        </w:tc>
        <w:tc>
          <w:tcPr>
            <w:tcW w:w="1245" w:type="dxa"/>
            <w:tcBorders>
              <w:top w:val="single" w:sz="4" w:space="0" w:color="auto"/>
              <w:left w:val="nil"/>
              <w:bottom w:val="single" w:sz="4" w:space="0" w:color="000000"/>
              <w:right w:val="nil"/>
            </w:tcBorders>
            <w:shd w:val="clear" w:color="FFFFFF" w:fill="FFFFFF"/>
            <w:hideMark/>
          </w:tcPr>
          <w:p w:rsidR="008835EB" w:rsidRDefault="008835EB" w:rsidP="007E3F2E">
            <w:pPr>
              <w:jc w:val="right"/>
              <w:rPr>
                <w:rFonts w:cs="Calibri"/>
                <w:szCs w:val="18"/>
              </w:rPr>
            </w:pPr>
            <w:r>
              <w:rPr>
                <w:rFonts w:cs="Calibri"/>
                <w:szCs w:val="18"/>
              </w:rPr>
              <w:t>Depreciated Replacement Cost</w:t>
            </w:r>
          </w:p>
        </w:tc>
        <w:tc>
          <w:tcPr>
            <w:tcW w:w="3079" w:type="dxa"/>
            <w:tcBorders>
              <w:top w:val="nil"/>
              <w:left w:val="nil"/>
              <w:right w:val="nil"/>
            </w:tcBorders>
            <w:shd w:val="clear" w:color="FFFFFF" w:fill="FFFFFF"/>
            <w:hideMark/>
          </w:tcPr>
          <w:p w:rsidR="008835EB" w:rsidRDefault="008835EB" w:rsidP="007E3F2E">
            <w:pPr>
              <w:rPr>
                <w:rFonts w:cs="Calibri"/>
                <w:szCs w:val="18"/>
              </w:rPr>
            </w:pPr>
            <w:r>
              <w:rPr>
                <w:rFonts w:cs="Calibri"/>
                <w:szCs w:val="18"/>
              </w:rPr>
              <w:t>Current prices for substitute assets. Physical depreciation and obsolescence was determined based on judgement regarding economic and external factors.</w:t>
            </w:r>
          </w:p>
        </w:tc>
      </w:tr>
      <w:tr w:rsidR="008835EB" w:rsidTr="007E3F2E">
        <w:trPr>
          <w:trHeight w:val="240"/>
        </w:trPr>
        <w:tc>
          <w:tcPr>
            <w:tcW w:w="555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non-financial assets</w:t>
            </w:r>
          </w:p>
        </w:tc>
        <w:tc>
          <w:tcPr>
            <w:tcW w:w="1275"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36,979</w:t>
            </w:r>
          </w:p>
        </w:tc>
        <w:tc>
          <w:tcPr>
            <w:tcW w:w="1276"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32,457</w:t>
            </w:r>
          </w:p>
        </w:tc>
        <w:tc>
          <w:tcPr>
            <w:tcW w:w="1559"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1245"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3079"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r>
      <w:tr w:rsidR="008835EB" w:rsidTr="007E3F2E">
        <w:trPr>
          <w:trHeight w:val="435"/>
        </w:trPr>
        <w:tc>
          <w:tcPr>
            <w:tcW w:w="5557" w:type="dxa"/>
            <w:tcBorders>
              <w:top w:val="nil"/>
              <w:left w:val="nil"/>
              <w:bottom w:val="nil"/>
              <w:right w:val="nil"/>
            </w:tcBorders>
            <w:shd w:val="clear" w:color="FFFFFF" w:fill="FFFFFF"/>
            <w:vAlign w:val="bottom"/>
            <w:hideMark/>
          </w:tcPr>
          <w:p w:rsidR="008835EB" w:rsidRDefault="008835EB" w:rsidP="007E3F2E">
            <w:pPr>
              <w:rPr>
                <w:rFonts w:cs="Calibri"/>
                <w:b/>
                <w:bCs/>
                <w:i/>
                <w:iCs/>
                <w:szCs w:val="18"/>
              </w:rPr>
            </w:pPr>
            <w:r>
              <w:rPr>
                <w:rFonts w:cs="Calibri"/>
                <w:b/>
                <w:bCs/>
                <w:i/>
                <w:iCs/>
                <w:szCs w:val="18"/>
              </w:rPr>
              <w:t>Total fair value measurements of assets in the Statement of Financial Position</w:t>
            </w:r>
          </w:p>
        </w:tc>
        <w:tc>
          <w:tcPr>
            <w:tcW w:w="1275"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36,979</w:t>
            </w:r>
          </w:p>
        </w:tc>
        <w:tc>
          <w:tcPr>
            <w:tcW w:w="1276"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32,457</w:t>
            </w:r>
          </w:p>
        </w:tc>
        <w:tc>
          <w:tcPr>
            <w:tcW w:w="1559" w:type="dxa"/>
            <w:gridSpan w:val="2"/>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1245"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c>
          <w:tcPr>
            <w:tcW w:w="3079"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w:t>
            </w:r>
          </w:p>
        </w:tc>
      </w:tr>
    </w:tbl>
    <w:p w:rsidR="008835EB" w:rsidRDefault="008835EB" w:rsidP="008835EB">
      <w:pPr>
        <w:spacing w:line="240" w:lineRule="auto"/>
        <w:rPr>
          <w:rFonts w:asciiTheme="minorHAnsi" w:hAnsiTheme="minorHAnsi" w:cstheme="minorHAnsi"/>
          <w:b/>
          <w:sz w:val="20"/>
        </w:rPr>
        <w:sectPr w:rsidR="008835EB" w:rsidSect="00F74C23">
          <w:pgSz w:w="16838" w:h="11906" w:orient="landscape"/>
          <w:pgMar w:top="1134" w:right="1134" w:bottom="1134" w:left="1134" w:header="958" w:footer="737" w:gutter="0"/>
          <w:cols w:space="720"/>
          <w:docGrid w:linePitch="245"/>
        </w:sectPr>
      </w:pPr>
      <w:bookmarkStart w:id="493" w:name="RANGE!D7:D22"/>
      <w:bookmarkStart w:id="494" w:name="RANGE!D7:I28"/>
      <w:bookmarkStart w:id="495" w:name="RANGE!D7:D30"/>
      <w:bookmarkStart w:id="496" w:name="RANGE!D7:I30"/>
      <w:bookmarkStart w:id="497" w:name="RANGE!D7:I55"/>
      <w:bookmarkStart w:id="498" w:name="RANGE!D7:I56"/>
      <w:bookmarkStart w:id="499" w:name="RANGE!D7:D57"/>
      <w:bookmarkStart w:id="500" w:name="RANGE!D7:I58"/>
      <w:bookmarkStart w:id="501" w:name="RANGE!D7:I59"/>
      <w:bookmarkStart w:id="502" w:name="RANGE!D7:D58"/>
      <w:bookmarkStart w:id="503" w:name="RANGE!D7:J59"/>
      <w:bookmarkStart w:id="504" w:name="RANGE!D7:D46"/>
      <w:bookmarkStart w:id="505" w:name="RANGE!D7:J48"/>
      <w:bookmarkStart w:id="506" w:name="RANGE!D7:D48"/>
      <w:bookmarkStart w:id="507" w:name="RANGE!D7:J50"/>
      <w:bookmarkStart w:id="508" w:name="RANGE!D7:D49"/>
      <w:bookmarkStart w:id="509" w:name="RANGE!D7:J51"/>
      <w:bookmarkStart w:id="510" w:name="RANGE!D7:D20"/>
      <w:bookmarkStart w:id="511" w:name="RANGE!D7:H20"/>
      <w:bookmarkStart w:id="512" w:name="RANGE!D7:I27"/>
      <w:bookmarkStart w:id="513" w:name="RANGE!D7:D24"/>
      <w:bookmarkStart w:id="514" w:name="RANGE!D7:I24"/>
      <w:bookmarkStart w:id="515" w:name="RANGE!D7:G28"/>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rsidR="008835EB" w:rsidRDefault="008835EB" w:rsidP="008835EB">
      <w:pPr>
        <w:spacing w:line="240" w:lineRule="auto"/>
        <w:rPr>
          <w:rFonts w:asciiTheme="minorHAnsi" w:hAnsiTheme="minorHAnsi" w:cstheme="minorHAnsi"/>
          <w:b/>
          <w:sz w:val="20"/>
        </w:rPr>
      </w:pPr>
    </w:p>
    <w:tbl>
      <w:tblPr>
        <w:tblW w:w="9087" w:type="dxa"/>
        <w:tblInd w:w="80" w:type="dxa"/>
        <w:tblLayout w:type="fixed"/>
        <w:tblLook w:val="04A0" w:firstRow="1" w:lastRow="0" w:firstColumn="1" w:lastColumn="0" w:noHBand="0" w:noVBand="1"/>
      </w:tblPr>
      <w:tblGrid>
        <w:gridCol w:w="6483"/>
        <w:gridCol w:w="1302"/>
        <w:gridCol w:w="1302"/>
      </w:tblGrid>
      <w:tr w:rsidR="008835EB" w:rsidTr="007E3F2E">
        <w:trPr>
          <w:trHeight w:val="255"/>
        </w:trPr>
        <w:tc>
          <w:tcPr>
            <w:tcW w:w="6406" w:type="dxa"/>
            <w:tcBorders>
              <w:top w:val="nil"/>
              <w:left w:val="nil"/>
              <w:bottom w:val="nil"/>
              <w:right w:val="nil"/>
            </w:tcBorders>
            <w:shd w:val="clear" w:color="auto" w:fill="auto"/>
            <w:hideMark/>
          </w:tcPr>
          <w:p w:rsidR="008835EB" w:rsidRDefault="008835EB" w:rsidP="007E3F2E">
            <w:pPr>
              <w:rPr>
                <w:rFonts w:cs="Calibri"/>
                <w:b/>
                <w:bCs/>
                <w:color w:val="000000"/>
                <w:szCs w:val="18"/>
              </w:rPr>
            </w:pPr>
            <w:bookmarkStart w:id="516" w:name="Note_FIMTABLE2" w:colFirst="0" w:colLast="0"/>
          </w:p>
        </w:tc>
        <w:tc>
          <w:tcPr>
            <w:tcW w:w="128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1287"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bookmarkEnd w:id="516"/>
      <w:tr w:rsidR="008835EB" w:rsidTr="007E3F2E">
        <w:trPr>
          <w:trHeight w:val="255"/>
        </w:trPr>
        <w:tc>
          <w:tcPr>
            <w:tcW w:w="6406" w:type="dxa"/>
            <w:tcBorders>
              <w:top w:val="nil"/>
              <w:left w:val="nil"/>
              <w:bottom w:val="nil"/>
              <w:right w:val="nil"/>
            </w:tcBorders>
            <w:shd w:val="clear" w:color="auto" w:fill="auto"/>
            <w:hideMark/>
          </w:tcPr>
          <w:p w:rsidR="008835EB" w:rsidRDefault="008835EB" w:rsidP="007E3F2E">
            <w:pPr>
              <w:rPr>
                <w:rFonts w:cs="Calibri"/>
                <w:b/>
                <w:bCs/>
                <w:color w:val="000000"/>
                <w:szCs w:val="18"/>
              </w:rPr>
            </w:pPr>
          </w:p>
        </w:tc>
        <w:tc>
          <w:tcPr>
            <w:tcW w:w="1287"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1287"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55"/>
        </w:trPr>
        <w:tc>
          <w:tcPr>
            <w:tcW w:w="6406" w:type="dxa"/>
            <w:tcBorders>
              <w:top w:val="nil"/>
              <w:left w:val="nil"/>
              <w:bottom w:val="nil"/>
              <w:right w:val="nil"/>
            </w:tcBorders>
            <w:shd w:val="clear" w:color="auto" w:fill="auto"/>
            <w:hideMark/>
          </w:tcPr>
          <w:p w:rsidR="008835EB" w:rsidRDefault="008835EB" w:rsidP="007E3F2E">
            <w:pPr>
              <w:rPr>
                <w:rFonts w:cs="Calibri"/>
                <w:b/>
                <w:bCs/>
                <w:color w:val="000000"/>
                <w:szCs w:val="18"/>
              </w:rPr>
            </w:pPr>
            <w:r>
              <w:rPr>
                <w:rFonts w:cs="Calibri"/>
                <w:b/>
                <w:bCs/>
                <w:color w:val="000000"/>
                <w:szCs w:val="18"/>
              </w:rPr>
              <w:t>Assets not measured at fair value in the statement of financial position</w:t>
            </w:r>
          </w:p>
        </w:tc>
        <w:tc>
          <w:tcPr>
            <w:tcW w:w="1287" w:type="dxa"/>
            <w:tcBorders>
              <w:top w:val="nil"/>
              <w:left w:val="nil"/>
              <w:bottom w:val="nil"/>
              <w:right w:val="nil"/>
            </w:tcBorders>
            <w:shd w:val="clear" w:color="auto" w:fill="auto"/>
            <w:noWrap/>
            <w:hideMark/>
          </w:tcPr>
          <w:p w:rsidR="008835EB" w:rsidRDefault="008835EB" w:rsidP="007E3F2E">
            <w:pPr>
              <w:jc w:val="right"/>
              <w:rPr>
                <w:rFonts w:cs="Calibri"/>
                <w:szCs w:val="18"/>
              </w:rPr>
            </w:pPr>
          </w:p>
        </w:tc>
        <w:tc>
          <w:tcPr>
            <w:tcW w:w="1287" w:type="dxa"/>
            <w:tcBorders>
              <w:top w:val="nil"/>
              <w:left w:val="nil"/>
              <w:bottom w:val="nil"/>
              <w:right w:val="nil"/>
            </w:tcBorders>
            <w:shd w:val="clear" w:color="FFFFFF" w:fill="FFFFFF"/>
            <w:noWrap/>
            <w:vAlign w:val="bottom"/>
            <w:hideMark/>
          </w:tcPr>
          <w:p w:rsidR="008835EB" w:rsidRDefault="008835EB" w:rsidP="007E3F2E">
            <w:pPr>
              <w:rPr>
                <w:rFonts w:cs="Calibri"/>
                <w:szCs w:val="18"/>
              </w:rPr>
            </w:pPr>
            <w:r>
              <w:rPr>
                <w:rFonts w:cs="Calibri"/>
                <w:szCs w:val="18"/>
              </w:rPr>
              <w:t> </w:t>
            </w:r>
          </w:p>
        </w:tc>
      </w:tr>
      <w:tr w:rsidR="008835EB" w:rsidTr="007E3F2E">
        <w:trPr>
          <w:trHeight w:val="255"/>
        </w:trPr>
        <w:tc>
          <w:tcPr>
            <w:tcW w:w="6406" w:type="dxa"/>
            <w:tcBorders>
              <w:top w:val="nil"/>
              <w:left w:val="nil"/>
              <w:bottom w:val="nil"/>
              <w:right w:val="nil"/>
            </w:tcBorders>
            <w:shd w:val="clear" w:color="FFFFFF" w:fill="FFFFFF"/>
            <w:hideMark/>
          </w:tcPr>
          <w:p w:rsidR="008835EB" w:rsidRDefault="008835EB" w:rsidP="007E3F2E">
            <w:pPr>
              <w:rPr>
                <w:rFonts w:cs="Calibri"/>
                <w:color w:val="000000"/>
                <w:szCs w:val="18"/>
              </w:rPr>
            </w:pPr>
            <w:r>
              <w:rPr>
                <w:rFonts w:cs="Calibri"/>
                <w:color w:val="000000"/>
                <w:szCs w:val="18"/>
              </w:rPr>
              <w:t>Leasehold Improvements—</w:t>
            </w:r>
            <w:proofErr w:type="spellStart"/>
            <w:r>
              <w:rPr>
                <w:rFonts w:cs="Calibri"/>
                <w:color w:val="000000"/>
                <w:szCs w:val="18"/>
              </w:rPr>
              <w:t>AUC</w:t>
            </w:r>
            <w:proofErr w:type="spellEnd"/>
          </w:p>
        </w:tc>
        <w:tc>
          <w:tcPr>
            <w:tcW w:w="1287" w:type="dxa"/>
            <w:tcBorders>
              <w:top w:val="nil"/>
              <w:left w:val="nil"/>
              <w:bottom w:val="nil"/>
              <w:right w:val="nil"/>
            </w:tcBorders>
            <w:shd w:val="clear" w:color="auto" w:fill="auto"/>
            <w:noWrap/>
            <w:hideMark/>
          </w:tcPr>
          <w:p w:rsidR="008835EB" w:rsidRDefault="008835EB" w:rsidP="007E3F2E">
            <w:pPr>
              <w:jc w:val="right"/>
              <w:rPr>
                <w:rFonts w:cs="Calibri"/>
                <w:szCs w:val="18"/>
              </w:rPr>
            </w:pPr>
            <w:r>
              <w:rPr>
                <w:rFonts w:cs="Calibri"/>
                <w:szCs w:val="18"/>
              </w:rPr>
              <w:t xml:space="preserve">8 </w:t>
            </w:r>
          </w:p>
        </w:tc>
        <w:tc>
          <w:tcPr>
            <w:tcW w:w="1287" w:type="dxa"/>
            <w:tcBorders>
              <w:top w:val="nil"/>
              <w:left w:val="nil"/>
              <w:bottom w:val="nil"/>
              <w:right w:val="nil"/>
            </w:tcBorders>
            <w:shd w:val="clear" w:color="auto" w:fill="auto"/>
            <w:noWrap/>
            <w:hideMark/>
          </w:tcPr>
          <w:p w:rsidR="008835EB" w:rsidRDefault="008835EB" w:rsidP="007E3F2E">
            <w:pPr>
              <w:jc w:val="right"/>
              <w:rPr>
                <w:rFonts w:cs="Calibri"/>
                <w:szCs w:val="18"/>
              </w:rPr>
            </w:pPr>
            <w:r>
              <w:rPr>
                <w:rFonts w:cs="Calibri"/>
                <w:szCs w:val="18"/>
              </w:rPr>
              <w:t xml:space="preserve">1,013 </w:t>
            </w:r>
          </w:p>
        </w:tc>
      </w:tr>
      <w:tr w:rsidR="008835EB" w:rsidTr="007E3F2E">
        <w:trPr>
          <w:trHeight w:val="255"/>
        </w:trPr>
        <w:tc>
          <w:tcPr>
            <w:tcW w:w="6406" w:type="dxa"/>
            <w:tcBorders>
              <w:top w:val="nil"/>
              <w:left w:val="nil"/>
              <w:bottom w:val="nil"/>
              <w:right w:val="nil"/>
            </w:tcBorders>
            <w:shd w:val="clear" w:color="FFFFFF" w:fill="FFFFFF"/>
            <w:hideMark/>
          </w:tcPr>
          <w:p w:rsidR="008835EB" w:rsidRDefault="008835EB" w:rsidP="007E3F2E">
            <w:pPr>
              <w:rPr>
                <w:rFonts w:cs="Calibri"/>
                <w:color w:val="000000"/>
                <w:szCs w:val="18"/>
              </w:rPr>
            </w:pPr>
            <w:r>
              <w:rPr>
                <w:rFonts w:cs="Calibri"/>
                <w:color w:val="000000"/>
                <w:szCs w:val="18"/>
              </w:rPr>
              <w:t>Infrastructure, Plant &amp; Equipment—</w:t>
            </w:r>
            <w:proofErr w:type="spellStart"/>
            <w:r>
              <w:rPr>
                <w:rFonts w:cs="Calibri"/>
                <w:color w:val="000000"/>
                <w:szCs w:val="18"/>
              </w:rPr>
              <w:t>AUC</w:t>
            </w:r>
            <w:proofErr w:type="spellEnd"/>
          </w:p>
        </w:tc>
        <w:tc>
          <w:tcPr>
            <w:tcW w:w="1287" w:type="dxa"/>
            <w:tcBorders>
              <w:top w:val="nil"/>
              <w:left w:val="nil"/>
              <w:bottom w:val="nil"/>
              <w:right w:val="nil"/>
            </w:tcBorders>
            <w:shd w:val="clear" w:color="auto" w:fill="auto"/>
            <w:noWrap/>
            <w:hideMark/>
          </w:tcPr>
          <w:p w:rsidR="008835EB" w:rsidRDefault="008835EB" w:rsidP="007E3F2E">
            <w:pPr>
              <w:jc w:val="right"/>
              <w:rPr>
                <w:rFonts w:cs="Calibri"/>
                <w:szCs w:val="18"/>
              </w:rPr>
            </w:pPr>
            <w:r>
              <w:rPr>
                <w:rFonts w:cs="Calibri"/>
                <w:szCs w:val="18"/>
              </w:rPr>
              <w:t xml:space="preserve"> -</w:t>
            </w:r>
          </w:p>
        </w:tc>
        <w:tc>
          <w:tcPr>
            <w:tcW w:w="1287" w:type="dxa"/>
            <w:tcBorders>
              <w:top w:val="nil"/>
              <w:left w:val="nil"/>
              <w:bottom w:val="nil"/>
              <w:right w:val="nil"/>
            </w:tcBorders>
            <w:shd w:val="clear" w:color="auto" w:fill="auto"/>
            <w:noWrap/>
            <w:hideMark/>
          </w:tcPr>
          <w:p w:rsidR="008835EB" w:rsidRDefault="008835EB" w:rsidP="007E3F2E">
            <w:pPr>
              <w:jc w:val="right"/>
              <w:rPr>
                <w:rFonts w:cs="Calibri"/>
                <w:szCs w:val="18"/>
              </w:rPr>
            </w:pPr>
            <w:r>
              <w:rPr>
                <w:rFonts w:cs="Calibri"/>
                <w:szCs w:val="18"/>
              </w:rPr>
              <w:t xml:space="preserve">32 </w:t>
            </w:r>
          </w:p>
        </w:tc>
      </w:tr>
      <w:tr w:rsidR="008835EB" w:rsidTr="007E3F2E">
        <w:trPr>
          <w:trHeight w:val="255"/>
        </w:trPr>
        <w:tc>
          <w:tcPr>
            <w:tcW w:w="6406" w:type="dxa"/>
            <w:tcBorders>
              <w:top w:val="nil"/>
              <w:left w:val="nil"/>
              <w:bottom w:val="nil"/>
              <w:right w:val="nil"/>
            </w:tcBorders>
            <w:shd w:val="clear" w:color="FFFFFF" w:fill="FFFFFF"/>
            <w:hideMark/>
          </w:tcPr>
          <w:p w:rsidR="008835EB" w:rsidRDefault="008835EB" w:rsidP="007E3F2E">
            <w:pPr>
              <w:rPr>
                <w:rFonts w:cs="Calibri"/>
                <w:b/>
                <w:bCs/>
                <w:color w:val="000000"/>
                <w:szCs w:val="18"/>
              </w:rPr>
            </w:pPr>
            <w:r>
              <w:rPr>
                <w:rFonts w:cs="Calibri"/>
                <w:b/>
                <w:bCs/>
                <w:color w:val="000000"/>
                <w:szCs w:val="18"/>
              </w:rPr>
              <w:t>Total assets not measured at fair value in the statement of financial position</w:t>
            </w:r>
          </w:p>
        </w:tc>
        <w:tc>
          <w:tcPr>
            <w:tcW w:w="1287" w:type="dxa"/>
            <w:tcBorders>
              <w:top w:val="single" w:sz="4" w:space="0" w:color="auto"/>
              <w:left w:val="nil"/>
              <w:bottom w:val="single" w:sz="4" w:space="0" w:color="auto"/>
              <w:right w:val="nil"/>
            </w:tcBorders>
            <w:shd w:val="clear" w:color="FFFFFF" w:fill="FFFFFF"/>
            <w:noWrap/>
            <w:hideMark/>
          </w:tcPr>
          <w:p w:rsidR="008835EB" w:rsidRDefault="008835EB" w:rsidP="007E3F2E">
            <w:pPr>
              <w:jc w:val="right"/>
              <w:rPr>
                <w:rFonts w:cs="Calibri"/>
                <w:b/>
                <w:bCs/>
                <w:szCs w:val="18"/>
              </w:rPr>
            </w:pPr>
            <w:r>
              <w:rPr>
                <w:rFonts w:cs="Calibri"/>
                <w:b/>
                <w:bCs/>
                <w:szCs w:val="18"/>
              </w:rPr>
              <w:t xml:space="preserve"> 8 </w:t>
            </w:r>
          </w:p>
        </w:tc>
        <w:tc>
          <w:tcPr>
            <w:tcW w:w="1287" w:type="dxa"/>
            <w:tcBorders>
              <w:top w:val="single" w:sz="4" w:space="0" w:color="auto"/>
              <w:left w:val="nil"/>
              <w:bottom w:val="single" w:sz="4" w:space="0" w:color="auto"/>
              <w:right w:val="nil"/>
            </w:tcBorders>
            <w:shd w:val="clear" w:color="auto" w:fill="auto"/>
            <w:noWrap/>
            <w:hideMark/>
          </w:tcPr>
          <w:p w:rsidR="008835EB" w:rsidRDefault="008835EB" w:rsidP="007E3F2E">
            <w:pPr>
              <w:jc w:val="right"/>
              <w:rPr>
                <w:rFonts w:cs="Calibri"/>
                <w:szCs w:val="18"/>
              </w:rPr>
            </w:pPr>
            <w:r>
              <w:rPr>
                <w:rFonts w:cs="Calibri"/>
                <w:szCs w:val="18"/>
              </w:rPr>
              <w:t xml:space="preserve">1,045 </w:t>
            </w:r>
          </w:p>
        </w:tc>
      </w:tr>
    </w:tbl>
    <w:p w:rsidR="008835EB" w:rsidRDefault="008835EB" w:rsidP="008835EB">
      <w:pPr>
        <w:spacing w:after="120" w:line="240" w:lineRule="auto"/>
        <w:rPr>
          <w:rFonts w:cs="Arial"/>
          <w:szCs w:val="18"/>
        </w:rPr>
      </w:pPr>
      <w:bookmarkStart w:id="517" w:name="RANGE!D27:F32"/>
      <w:bookmarkStart w:id="518" w:name="RANGE!D28:F33"/>
      <w:bookmarkEnd w:id="517"/>
      <w:bookmarkEnd w:id="518"/>
    </w:p>
    <w:p w:rsidR="008835EB" w:rsidRDefault="008835EB" w:rsidP="008835EB">
      <w:pPr>
        <w:pStyle w:val="PolicytextDept"/>
      </w:pPr>
      <w:r>
        <w:t>Accounting Policy</w:t>
      </w:r>
    </w:p>
    <w:p w:rsidR="008835EB" w:rsidRPr="00A4547F" w:rsidRDefault="008835EB" w:rsidP="008835EB">
      <w:pPr>
        <w:pStyle w:val="PolicytextDept"/>
        <w:rPr>
          <w:b/>
          <w:lang w:eastAsia="en-AU"/>
        </w:rPr>
      </w:pPr>
      <w:r w:rsidRPr="00A4547F">
        <w:rPr>
          <w:lang w:eastAsia="en-AU"/>
        </w:rPr>
        <w:t xml:space="preserve">Australian Valuation Solutions (AVS) provided a comprehensive valuation of all leasehold improvements </w:t>
      </w:r>
      <w:r>
        <w:rPr>
          <w:lang w:eastAsia="en-AU"/>
        </w:rPr>
        <w:t xml:space="preserve">and Infrastructure Plant and Equipment </w:t>
      </w:r>
      <w:r w:rsidRPr="00A4547F">
        <w:rPr>
          <w:lang w:eastAsia="en-AU"/>
        </w:rPr>
        <w:t>as at 30 June 2016</w:t>
      </w:r>
      <w:r>
        <w:rPr>
          <w:lang w:eastAsia="en-AU"/>
        </w:rPr>
        <w:t xml:space="preserve"> and has relied upon those outcomes to establish carrying amounts</w:t>
      </w:r>
      <w:r w:rsidRPr="00A4547F">
        <w:rPr>
          <w:lang w:eastAsia="en-AU"/>
        </w:rPr>
        <w:t>.</w:t>
      </w:r>
      <w:r>
        <w:rPr>
          <w:rStyle w:val="FootnoteReference"/>
          <w:lang w:eastAsia="en-AU"/>
        </w:rPr>
        <w:footnoteReference w:id="1"/>
      </w:r>
      <w:r>
        <w:rPr>
          <w:lang w:eastAsia="en-AU"/>
        </w:rPr>
        <w:t xml:space="preserve"> The D</w:t>
      </w:r>
      <w:r w:rsidRPr="00A4547F">
        <w:rPr>
          <w:lang w:eastAsia="en-AU"/>
        </w:rPr>
        <w:t>epartment has a policy of testing the currency of the valuation of various asset classes at least once every 12 months and to obtain a comprehensive valuation at</w:t>
      </w:r>
      <w:r>
        <w:rPr>
          <w:lang w:eastAsia="en-AU"/>
        </w:rPr>
        <w:t xml:space="preserve"> least once every three years. </w:t>
      </w:r>
      <w:r w:rsidRPr="00A4547F">
        <w:rPr>
          <w:lang w:eastAsia="en-AU"/>
        </w:rPr>
        <w:t>AVS pro</w:t>
      </w:r>
      <w:r>
        <w:rPr>
          <w:lang w:eastAsia="en-AU"/>
        </w:rPr>
        <w:t>vided written assurance to the D</w:t>
      </w:r>
      <w:r w:rsidRPr="00A4547F">
        <w:rPr>
          <w:lang w:eastAsia="en-AU"/>
        </w:rPr>
        <w:t xml:space="preserve">epartment that the models developed comply with </w:t>
      </w:r>
      <w:proofErr w:type="spellStart"/>
      <w:r w:rsidRPr="00A4547F">
        <w:rPr>
          <w:lang w:eastAsia="en-AU"/>
        </w:rPr>
        <w:t>AASB</w:t>
      </w:r>
      <w:proofErr w:type="spellEnd"/>
      <w:r w:rsidRPr="00A4547F">
        <w:rPr>
          <w:lang w:eastAsia="en-AU"/>
        </w:rPr>
        <w:t xml:space="preserve"> 13.</w:t>
      </w:r>
      <w:r>
        <w:rPr>
          <w:rStyle w:val="FootnoteReference"/>
          <w:lang w:eastAsia="en-AU"/>
        </w:rPr>
        <w:footnoteReference w:id="2"/>
      </w:r>
    </w:p>
    <w:p w:rsidR="008835EB" w:rsidRDefault="008835EB" w:rsidP="008835EB">
      <w:pPr>
        <w:pStyle w:val="PolicytextDept"/>
        <w:rPr>
          <w:lang w:eastAsia="en-AU"/>
        </w:rPr>
      </w:pPr>
      <w:r>
        <w:rPr>
          <w:lang w:eastAsia="en-AU"/>
        </w:rPr>
        <w:t>The methods utilised to determine and substantiate inputs are derived and evaluated as follows:</w:t>
      </w:r>
    </w:p>
    <w:p w:rsidR="008835EB" w:rsidRDefault="008835EB" w:rsidP="008835EB">
      <w:pPr>
        <w:pStyle w:val="PolicytextDept"/>
        <w:rPr>
          <w:lang w:eastAsia="en-AU"/>
        </w:rPr>
      </w:pPr>
      <w:r>
        <w:rPr>
          <w:lang w:eastAsia="en-AU"/>
        </w:rPr>
        <w:t>Replacement Cost—the amount a market participant would be prepared to pay to acquire or construct a substitute asset of comparable utility without adjustment. The Replacement cost has been determined by current market prices relevant to the location of the asset.</w:t>
      </w:r>
    </w:p>
    <w:p w:rsidR="008835EB" w:rsidRDefault="008835EB" w:rsidP="008835EB">
      <w:pPr>
        <w:pStyle w:val="PolicytextDept"/>
        <w:rPr>
          <w:lang w:eastAsia="en-AU"/>
        </w:rPr>
      </w:pPr>
      <w:r>
        <w:rPr>
          <w:lang w:eastAsia="en-AU"/>
        </w:rPr>
        <w:t xml:space="preserve">Physical Depreciation and Obsolescence—assets that do not transact with enough frequency or transparency to develop objective opinions of value from observable market evidence have been measured utilising the Depreciated Replacement Cost approach. Under the Depreciated Replacement Cost approach the estimated cost to replace the asset is calculated and then adjusted to take into account physical depreciation and obsolescence. </w:t>
      </w:r>
    </w:p>
    <w:p w:rsidR="008835EB" w:rsidRDefault="008835EB" w:rsidP="008835EB">
      <w:pPr>
        <w:pStyle w:val="PolicytextDept"/>
        <w:rPr>
          <w:lang w:eastAsia="en-AU"/>
        </w:rPr>
      </w:pPr>
      <w:r>
        <w:rPr>
          <w:lang w:eastAsia="en-AU"/>
        </w:rPr>
        <w:t>Physical depreciation and obsolescence has been determined based on professional judgement regarding physical, economic and external obsolescence factors relevant to the asset under consideration. For all leasehold improvement assets, the consumed economic benefit/asset obsolescence is determined based on the term of the associated lease.</w:t>
      </w:r>
    </w:p>
    <w:p w:rsidR="008835EB" w:rsidRDefault="008835EB" w:rsidP="008835EB">
      <w:pPr>
        <w:pStyle w:val="PolicytextDept"/>
        <w:rPr>
          <w:lang w:eastAsia="en-AU"/>
        </w:rPr>
      </w:pPr>
      <w:r>
        <w:rPr>
          <w:lang w:eastAsia="en-AU"/>
        </w:rPr>
        <w:t>Market Approach—this approach seeks to estimate the fair value of an asset with reference to recent market transactions involving identical or comparable assets. Professional judgement and available information generated by market transactions involving plant and equipment were used in determining fair value under this approach.</w:t>
      </w:r>
    </w:p>
    <w:p w:rsidR="008835EB" w:rsidRDefault="008835EB" w:rsidP="008835EB">
      <w:pPr>
        <w:pStyle w:val="PolicytextDept"/>
        <w:rPr>
          <w:lang w:eastAsia="en-AU"/>
        </w:rPr>
      </w:pPr>
      <w:r>
        <w:rPr>
          <w:lang w:eastAsia="en-AU"/>
        </w:rPr>
        <w:t>The D</w:t>
      </w:r>
      <w:r w:rsidRPr="00200687">
        <w:rPr>
          <w:lang w:eastAsia="en-AU"/>
        </w:rPr>
        <w:t xml:space="preserve">epartment </w:t>
      </w:r>
      <w:r>
        <w:rPr>
          <w:lang w:eastAsia="en-AU"/>
        </w:rPr>
        <w:t xml:space="preserve">recognises </w:t>
      </w:r>
      <w:r w:rsidRPr="00200687">
        <w:rPr>
          <w:lang w:eastAsia="en-AU"/>
        </w:rPr>
        <w:t>transfers between the levels of the fair value hierarchy to have occurred at the end of the reporting period.</w:t>
      </w:r>
      <w:r>
        <w:rPr>
          <w:rStyle w:val="FootnoteReference"/>
          <w:lang w:eastAsia="en-AU"/>
        </w:rPr>
        <w:footnoteReference w:id="3"/>
      </w:r>
    </w:p>
    <w:p w:rsidR="008835EB" w:rsidRPr="003A10DB" w:rsidRDefault="008835EB" w:rsidP="008835EB">
      <w:pPr>
        <w:pStyle w:val="PolicytextDept"/>
      </w:pPr>
      <w:r w:rsidRPr="003A10DB">
        <w:t>The carrying amount of assets and liabilities not measured at fair value, are considered to be a reasonable approximation of their fair value.</w:t>
      </w:r>
      <w:r w:rsidRPr="003A10DB">
        <w:rPr>
          <w:vertAlign w:val="superscript"/>
        </w:rPr>
        <w:footnoteReference w:id="4"/>
      </w:r>
    </w:p>
    <w:p w:rsidR="008835EB" w:rsidRDefault="008835EB" w:rsidP="008835EB">
      <w:bookmarkStart w:id="519" w:name="Note_FIPTABLE1" w:colFirst="0" w:colLast="0"/>
      <w:r>
        <w:br w:type="page"/>
      </w:r>
    </w:p>
    <w:tbl>
      <w:tblPr>
        <w:tblW w:w="9087" w:type="dxa"/>
        <w:tblInd w:w="80" w:type="dxa"/>
        <w:tblLayout w:type="fixed"/>
        <w:tblLook w:val="04A0" w:firstRow="1" w:lastRow="0" w:firstColumn="1" w:lastColumn="0" w:noHBand="0" w:noVBand="1"/>
      </w:tblPr>
      <w:tblGrid>
        <w:gridCol w:w="3313"/>
        <w:gridCol w:w="965"/>
        <w:gridCol w:w="1008"/>
        <w:gridCol w:w="1018"/>
        <w:gridCol w:w="994"/>
        <w:gridCol w:w="931"/>
        <w:gridCol w:w="858"/>
      </w:tblGrid>
      <w:tr w:rsidR="008835EB" w:rsidTr="007E3F2E">
        <w:trPr>
          <w:trHeight w:val="240"/>
        </w:trPr>
        <w:tc>
          <w:tcPr>
            <w:tcW w:w="9087" w:type="dxa"/>
            <w:gridSpan w:val="7"/>
            <w:tcBorders>
              <w:top w:val="nil"/>
              <w:left w:val="nil"/>
              <w:bottom w:val="nil"/>
              <w:right w:val="nil"/>
            </w:tcBorders>
            <w:shd w:val="clear" w:color="FFFFFF" w:fill="FFFFFF"/>
            <w:noWrap/>
            <w:vAlign w:val="bottom"/>
            <w:hideMark/>
          </w:tcPr>
          <w:p w:rsidR="008835EB" w:rsidRDefault="008835EB" w:rsidP="007E3F2E">
            <w:pPr>
              <w:pStyle w:val="NotesHeading-Level1"/>
            </w:pPr>
            <w:r>
              <w:lastRenderedPageBreak/>
              <w:t xml:space="preserve">Note </w:t>
            </w:r>
            <w:proofErr w:type="spellStart"/>
            <w:r>
              <w:t>7.4B</w:t>
            </w:r>
            <w:proofErr w:type="spellEnd"/>
            <w:r>
              <w:t>: Reconciliation for Recurring Level 3 Fair Value Measurements</w:t>
            </w:r>
          </w:p>
        </w:tc>
      </w:tr>
      <w:bookmarkEnd w:id="519"/>
      <w:tr w:rsidR="008835EB" w:rsidTr="007E3F2E">
        <w:trPr>
          <w:trHeight w:val="240"/>
        </w:trPr>
        <w:tc>
          <w:tcPr>
            <w:tcW w:w="331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965"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00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018"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994"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40"/>
        </w:trPr>
        <w:tc>
          <w:tcPr>
            <w:tcW w:w="9087" w:type="dxa"/>
            <w:gridSpan w:val="7"/>
            <w:tcBorders>
              <w:top w:val="nil"/>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Recurring Level 3 fair value measurements—reconciliation for assets</w:t>
            </w:r>
          </w:p>
        </w:tc>
      </w:tr>
      <w:tr w:rsidR="008835EB" w:rsidTr="007E3F2E">
        <w:trPr>
          <w:trHeight w:val="240"/>
        </w:trPr>
        <w:tc>
          <w:tcPr>
            <w:tcW w:w="331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5774" w:type="dxa"/>
            <w:gridSpan w:val="6"/>
            <w:tcBorders>
              <w:top w:val="single" w:sz="4" w:space="0" w:color="auto"/>
              <w:left w:val="nil"/>
              <w:bottom w:val="single" w:sz="4" w:space="0" w:color="auto"/>
              <w:right w:val="nil"/>
            </w:tcBorders>
            <w:shd w:val="clear" w:color="FFFFFF" w:fill="FFFFFF"/>
            <w:vAlign w:val="bottom"/>
            <w:hideMark/>
          </w:tcPr>
          <w:p w:rsidR="008835EB" w:rsidRDefault="008835EB" w:rsidP="007E3F2E">
            <w:pPr>
              <w:jc w:val="center"/>
              <w:rPr>
                <w:rFonts w:cs="Calibri"/>
                <w:b/>
                <w:bCs/>
                <w:szCs w:val="18"/>
              </w:rPr>
            </w:pPr>
            <w:r>
              <w:rPr>
                <w:rFonts w:cs="Calibri"/>
                <w:b/>
                <w:bCs/>
                <w:szCs w:val="18"/>
              </w:rPr>
              <w:t>Non-financial assets</w:t>
            </w:r>
          </w:p>
        </w:tc>
      </w:tr>
      <w:tr w:rsidR="008835EB" w:rsidTr="007E3F2E">
        <w:trPr>
          <w:trHeight w:val="643"/>
        </w:trPr>
        <w:tc>
          <w:tcPr>
            <w:tcW w:w="331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1973" w:type="dxa"/>
            <w:gridSpan w:val="2"/>
            <w:tcBorders>
              <w:top w:val="single" w:sz="4" w:space="0" w:color="auto"/>
              <w:left w:val="nil"/>
              <w:bottom w:val="nil"/>
              <w:right w:val="nil"/>
            </w:tcBorders>
            <w:shd w:val="clear" w:color="FFFFFF" w:fill="FFFFFF"/>
            <w:vAlign w:val="bottom"/>
            <w:hideMark/>
          </w:tcPr>
          <w:p w:rsidR="008835EB" w:rsidRDefault="008835EB" w:rsidP="007E3F2E">
            <w:pPr>
              <w:jc w:val="center"/>
              <w:rPr>
                <w:rFonts w:cs="Calibri"/>
                <w:b/>
                <w:bCs/>
                <w:szCs w:val="18"/>
              </w:rPr>
            </w:pPr>
            <w:r>
              <w:rPr>
                <w:rFonts w:cs="Calibri"/>
                <w:b/>
                <w:bCs/>
                <w:szCs w:val="18"/>
              </w:rPr>
              <w:t>Leasehold Improvements</w:t>
            </w:r>
          </w:p>
        </w:tc>
        <w:tc>
          <w:tcPr>
            <w:tcW w:w="2012" w:type="dxa"/>
            <w:gridSpan w:val="2"/>
            <w:tcBorders>
              <w:top w:val="single" w:sz="4" w:space="0" w:color="auto"/>
              <w:left w:val="nil"/>
              <w:bottom w:val="nil"/>
              <w:right w:val="nil"/>
            </w:tcBorders>
            <w:shd w:val="clear" w:color="FFFFFF" w:fill="FFFFFF"/>
            <w:vAlign w:val="bottom"/>
            <w:hideMark/>
          </w:tcPr>
          <w:p w:rsidR="008835EB" w:rsidRDefault="008835EB" w:rsidP="007E3F2E">
            <w:pPr>
              <w:jc w:val="center"/>
              <w:rPr>
                <w:rFonts w:cs="Calibri"/>
                <w:b/>
                <w:bCs/>
                <w:szCs w:val="18"/>
              </w:rPr>
            </w:pPr>
            <w:r>
              <w:rPr>
                <w:rFonts w:cs="Calibri"/>
                <w:b/>
                <w:bCs/>
                <w:szCs w:val="18"/>
              </w:rPr>
              <w:t>Infrastructure, plant and equipment</w:t>
            </w:r>
          </w:p>
        </w:tc>
        <w:tc>
          <w:tcPr>
            <w:tcW w:w="1789" w:type="dxa"/>
            <w:gridSpan w:val="2"/>
            <w:tcBorders>
              <w:top w:val="single" w:sz="4" w:space="0" w:color="auto"/>
              <w:left w:val="nil"/>
              <w:bottom w:val="nil"/>
              <w:right w:val="nil"/>
            </w:tcBorders>
            <w:shd w:val="clear" w:color="FFFFFF" w:fill="FFFFFF"/>
            <w:vAlign w:val="bottom"/>
            <w:hideMark/>
          </w:tcPr>
          <w:p w:rsidR="008835EB" w:rsidRDefault="008835EB" w:rsidP="007E3F2E">
            <w:pPr>
              <w:jc w:val="center"/>
              <w:rPr>
                <w:rFonts w:cs="Calibri"/>
                <w:b/>
                <w:bCs/>
                <w:szCs w:val="18"/>
              </w:rPr>
            </w:pPr>
            <w:r>
              <w:rPr>
                <w:rFonts w:cs="Calibri"/>
                <w:b/>
                <w:bCs/>
                <w:szCs w:val="18"/>
              </w:rPr>
              <w:t>Total</w:t>
            </w:r>
          </w:p>
        </w:tc>
      </w:tr>
      <w:tr w:rsidR="008835EB" w:rsidTr="007E3F2E">
        <w:trPr>
          <w:trHeight w:val="240"/>
        </w:trPr>
        <w:tc>
          <w:tcPr>
            <w:tcW w:w="331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2016</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40"/>
        </w:trPr>
        <w:tc>
          <w:tcPr>
            <w:tcW w:w="3313" w:type="dxa"/>
            <w:tcBorders>
              <w:top w:val="nil"/>
              <w:left w:val="nil"/>
              <w:bottom w:val="nil"/>
              <w:right w:val="nil"/>
            </w:tcBorders>
            <w:shd w:val="clear" w:color="FFFFFF" w:fill="FFFFFF"/>
            <w:noWrap/>
            <w:vAlign w:val="bottom"/>
            <w:hideMark/>
          </w:tcPr>
          <w:p w:rsidR="008835EB" w:rsidRDefault="008835EB" w:rsidP="007E3F2E">
            <w:pPr>
              <w:rPr>
                <w:rFonts w:ascii="Arial" w:hAnsi="Arial" w:cs="Arial"/>
                <w:szCs w:val="18"/>
              </w:rPr>
            </w:pPr>
            <w:r>
              <w:rPr>
                <w:rFonts w:ascii="Arial" w:hAnsi="Arial" w:cs="Arial"/>
                <w:szCs w:val="18"/>
              </w:rPr>
              <w:t> </w:t>
            </w:r>
          </w:p>
        </w:tc>
        <w:tc>
          <w:tcPr>
            <w:tcW w:w="965"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1008"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c>
          <w:tcPr>
            <w:tcW w:w="1018"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994"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c>
          <w:tcPr>
            <w:tcW w:w="931"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$'000</w:t>
            </w:r>
          </w:p>
        </w:tc>
        <w:tc>
          <w:tcPr>
            <w:tcW w:w="858"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40"/>
        </w:trPr>
        <w:tc>
          <w:tcPr>
            <w:tcW w:w="3313" w:type="dxa"/>
            <w:tcBorders>
              <w:top w:val="single" w:sz="4" w:space="0" w:color="auto"/>
              <w:left w:val="nil"/>
              <w:bottom w:val="nil"/>
              <w:right w:val="nil"/>
            </w:tcBorders>
            <w:shd w:val="clear" w:color="FFFFFF" w:fill="FFFFFF"/>
            <w:vAlign w:val="bottom"/>
            <w:hideMark/>
          </w:tcPr>
          <w:p w:rsidR="008835EB" w:rsidRDefault="008835EB" w:rsidP="007E3F2E">
            <w:pPr>
              <w:rPr>
                <w:rFonts w:cs="Calibri"/>
                <w:b/>
                <w:bCs/>
                <w:szCs w:val="18"/>
              </w:rPr>
            </w:pPr>
            <w:r>
              <w:rPr>
                <w:rFonts w:cs="Calibri"/>
                <w:b/>
                <w:bCs/>
                <w:szCs w:val="18"/>
              </w:rPr>
              <w:t>Opening balance</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19,248 </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20,608 </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8,525 </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8,568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27,773 </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29,176 </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 xml:space="preserve">Total losses recognised in net cost of </w:t>
            </w:r>
            <w:proofErr w:type="spellStart"/>
            <w:r>
              <w:rPr>
                <w:rFonts w:cs="Calibri"/>
                <w:szCs w:val="18"/>
              </w:rPr>
              <w:t>services</w:t>
            </w:r>
            <w:r>
              <w:rPr>
                <w:rFonts w:ascii="Arial" w:hAnsi="Arial" w:cs="Arial"/>
                <w:szCs w:val="18"/>
                <w:vertAlign w:val="superscript"/>
              </w:rPr>
              <w:t>1</w:t>
            </w:r>
            <w:proofErr w:type="spellEnd"/>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(2,845)</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(8,289)</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(1,444)</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(2,852)</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(4,289)</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(11,141)</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Total gains recognised in comprehensive income</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(2)</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(17)</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(19)</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Purchases</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666 </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6,522 </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252 </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2,806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918 </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9,328 </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Disposals</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(239)</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(325)</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(564)</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Reclassifications</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952 </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952 </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Revaluation increment against Statement of Equity</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6,435 </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725 </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7,160 </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Transfers into Level 3</w:t>
            </w:r>
            <w:r>
              <w:rPr>
                <w:rFonts w:cs="Calibri"/>
                <w:szCs w:val="18"/>
                <w:vertAlign w:val="superscript"/>
              </w:rPr>
              <w:t>2</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409 </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14 </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20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14 </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429 </w:t>
            </w:r>
          </w:p>
        </w:tc>
      </w:tr>
      <w:tr w:rsidR="008835EB" w:rsidTr="007E3F2E">
        <w:trPr>
          <w:trHeight w:val="240"/>
        </w:trPr>
        <w:tc>
          <w:tcPr>
            <w:tcW w:w="3313" w:type="dxa"/>
            <w:tcBorders>
              <w:top w:val="nil"/>
              <w:left w:val="nil"/>
              <w:bottom w:val="nil"/>
              <w:right w:val="nil"/>
            </w:tcBorders>
            <w:shd w:val="clear" w:color="FFFFFF" w:fill="FFFFFF"/>
            <w:vAlign w:val="bottom"/>
            <w:hideMark/>
          </w:tcPr>
          <w:p w:rsidR="008835EB" w:rsidRDefault="008835EB" w:rsidP="007E3F2E">
            <w:pPr>
              <w:rPr>
                <w:rFonts w:cs="Calibri"/>
                <w:szCs w:val="18"/>
              </w:rPr>
            </w:pPr>
            <w:r>
              <w:rPr>
                <w:rFonts w:cs="Calibri"/>
                <w:szCs w:val="18"/>
              </w:rPr>
              <w:t>Transfers out Level 3</w:t>
            </w:r>
            <w:r>
              <w:rPr>
                <w:rFonts w:ascii="Arial" w:hAnsi="Arial" w:cs="Arial"/>
                <w:szCs w:val="18"/>
                <w:vertAlign w:val="superscript"/>
              </w:rPr>
              <w:t>4</w:t>
            </w:r>
          </w:p>
        </w:tc>
        <w:tc>
          <w:tcPr>
            <w:tcW w:w="96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0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18"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(2,897)</w:t>
            </w:r>
          </w:p>
        </w:tc>
        <w:tc>
          <w:tcPr>
            <w:tcW w:w="994"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931"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(2,897)</w:t>
            </w:r>
          </w:p>
        </w:tc>
        <w:tc>
          <w:tcPr>
            <w:tcW w:w="858"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r>
      <w:tr w:rsidR="008835EB" w:rsidTr="007E3F2E">
        <w:trPr>
          <w:trHeight w:val="240"/>
        </w:trPr>
        <w:tc>
          <w:tcPr>
            <w:tcW w:w="3313" w:type="dxa"/>
            <w:tcBorders>
              <w:top w:val="single" w:sz="4" w:space="0" w:color="auto"/>
              <w:left w:val="nil"/>
              <w:bottom w:val="single" w:sz="4" w:space="0" w:color="auto"/>
              <w:right w:val="nil"/>
            </w:tcBorders>
            <w:shd w:val="clear" w:color="FFFFFF" w:fill="FFFFFF"/>
            <w:vAlign w:val="bottom"/>
            <w:hideMark/>
          </w:tcPr>
          <w:p w:rsidR="008835EB" w:rsidRDefault="008835EB" w:rsidP="007E3F2E">
            <w:pPr>
              <w:rPr>
                <w:rFonts w:cs="Calibri"/>
                <w:b/>
                <w:bCs/>
                <w:szCs w:val="18"/>
              </w:rPr>
            </w:pPr>
            <w:r>
              <w:rPr>
                <w:rFonts w:cs="Calibri"/>
                <w:b/>
                <w:bCs/>
                <w:szCs w:val="18"/>
              </w:rPr>
              <w:t>Closing balance</w:t>
            </w:r>
          </w:p>
        </w:tc>
        <w:tc>
          <w:tcPr>
            <w:tcW w:w="965"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23,265 </w:t>
            </w:r>
          </w:p>
        </w:tc>
        <w:tc>
          <w:tcPr>
            <w:tcW w:w="100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19,248 </w:t>
            </w:r>
          </w:p>
        </w:tc>
        <w:tc>
          <w:tcPr>
            <w:tcW w:w="101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5,802 </w:t>
            </w:r>
          </w:p>
        </w:tc>
        <w:tc>
          <w:tcPr>
            <w:tcW w:w="994"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8,525 </w:t>
            </w:r>
          </w:p>
        </w:tc>
        <w:tc>
          <w:tcPr>
            <w:tcW w:w="931"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29,067 </w:t>
            </w:r>
          </w:p>
        </w:tc>
        <w:tc>
          <w:tcPr>
            <w:tcW w:w="858" w:type="dxa"/>
            <w:tcBorders>
              <w:top w:val="single" w:sz="4" w:space="0" w:color="auto"/>
              <w:left w:val="nil"/>
              <w:bottom w:val="single" w:sz="4" w:space="0" w:color="auto"/>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27,773 </w:t>
            </w:r>
          </w:p>
        </w:tc>
      </w:tr>
    </w:tbl>
    <w:p w:rsidR="008835EB" w:rsidRDefault="008835EB" w:rsidP="008835EB">
      <w:pPr>
        <w:pStyle w:val="ReportText"/>
      </w:pPr>
      <w:bookmarkStart w:id="520" w:name="RANGE!D7:J28"/>
      <w:bookmarkStart w:id="521" w:name="RANGE!D7:D28"/>
      <w:bookmarkStart w:id="522" w:name="RANGE!D7:D38"/>
      <w:bookmarkStart w:id="523" w:name="RANGE!D7:I38"/>
      <w:bookmarkStart w:id="524" w:name="RANGE!D7:D34"/>
      <w:bookmarkStart w:id="525" w:name="RANGE!D7:I34"/>
      <w:bookmarkStart w:id="526" w:name="RANGE!D7:I29"/>
      <w:bookmarkEnd w:id="520"/>
      <w:bookmarkEnd w:id="521"/>
      <w:bookmarkEnd w:id="522"/>
      <w:bookmarkEnd w:id="523"/>
      <w:bookmarkEnd w:id="524"/>
      <w:bookmarkEnd w:id="525"/>
      <w:bookmarkEnd w:id="526"/>
      <w:r>
        <w:t>1. These losses are presented in the Statement of Comprehensive Income under ‘depreciation and amortisation’ and ‘write-down and Impairment of assets’.</w:t>
      </w:r>
    </w:p>
    <w:p w:rsidR="008835EB" w:rsidRDefault="008835EB" w:rsidP="008835EB">
      <w:pPr>
        <w:pStyle w:val="ReportText"/>
      </w:pPr>
      <w:r>
        <w:t>2. These gains are presented in the Statement of Comprehensive Income under Other Changes in Asset Revaluation Reserves.</w:t>
      </w:r>
    </w:p>
    <w:p w:rsidR="008835EB" w:rsidRDefault="008835EB" w:rsidP="008835EB">
      <w:pPr>
        <w:pStyle w:val="ReportText"/>
      </w:pPr>
      <w:r>
        <w:t xml:space="preserve">3. There have been asset transfers into level 3 during the year. This is due to an increase in the professional judgement required in using a market approach or a change in the valuation technique from a market approach to a depreciated replacement cost approach. </w:t>
      </w:r>
    </w:p>
    <w:p w:rsidR="008835EB" w:rsidRDefault="008835EB" w:rsidP="008835EB">
      <w:pPr>
        <w:pStyle w:val="ReportText"/>
      </w:pPr>
      <w:r>
        <w:t xml:space="preserve">4. There have been asset transfers out of level 3 during the year. This is due to a change in the valuation technique from a depreciated replacement cost approach to a market approach. </w:t>
      </w:r>
    </w:p>
    <w:p w:rsidR="008835EB" w:rsidRDefault="008835EB" w:rsidP="008835EB">
      <w:pPr>
        <w:spacing w:line="240" w:lineRule="auto"/>
        <w:rPr>
          <w:rFonts w:asciiTheme="minorHAnsi" w:hAnsiTheme="minorHAnsi" w:cs="Arial"/>
          <w:szCs w:val="18"/>
          <w:lang w:eastAsia="en-AU"/>
        </w:rPr>
      </w:pPr>
      <w:r>
        <w:br w:type="page"/>
      </w:r>
    </w:p>
    <w:p w:rsidR="008835EB" w:rsidRDefault="008835EB" w:rsidP="008835EB">
      <w:pPr>
        <w:pStyle w:val="SubHeading"/>
      </w:pPr>
      <w:bookmarkStart w:id="527" w:name="_Toc456689866"/>
      <w:r>
        <w:lastRenderedPageBreak/>
        <w:t>Administered - Fair Value Measurement</w:t>
      </w:r>
      <w:bookmarkEnd w:id="527"/>
    </w:p>
    <w:tbl>
      <w:tblPr>
        <w:tblW w:w="9087" w:type="dxa"/>
        <w:tblInd w:w="80" w:type="dxa"/>
        <w:tblLayout w:type="fixed"/>
        <w:tblLook w:val="04A0" w:firstRow="1" w:lastRow="0" w:firstColumn="1" w:lastColumn="0" w:noHBand="0" w:noVBand="1"/>
      </w:tblPr>
      <w:tblGrid>
        <w:gridCol w:w="3520"/>
        <w:gridCol w:w="16"/>
        <w:gridCol w:w="887"/>
        <w:gridCol w:w="492"/>
        <w:gridCol w:w="358"/>
        <w:gridCol w:w="960"/>
        <w:gridCol w:w="73"/>
        <w:gridCol w:w="970"/>
        <w:gridCol w:w="422"/>
        <w:gridCol w:w="327"/>
        <w:gridCol w:w="1062"/>
      </w:tblGrid>
      <w:tr w:rsidR="008835EB" w:rsidTr="007E3F2E">
        <w:trPr>
          <w:trHeight w:val="375"/>
        </w:trPr>
        <w:tc>
          <w:tcPr>
            <w:tcW w:w="9087" w:type="dxa"/>
            <w:gridSpan w:val="11"/>
            <w:tcBorders>
              <w:top w:val="single" w:sz="4" w:space="0" w:color="D9D9D9"/>
              <w:left w:val="nil"/>
              <w:right w:val="nil"/>
            </w:tcBorders>
            <w:shd w:val="clear" w:color="000000" w:fill="D9D9D9"/>
          </w:tcPr>
          <w:p w:rsidR="008835EB" w:rsidRPr="00446974" w:rsidRDefault="008835EB" w:rsidP="007E3F2E">
            <w:pPr>
              <w:spacing w:after="120"/>
            </w:pPr>
            <w:r w:rsidRPr="00446974">
              <w:t>The following tables provide an analysis of assets and liabilities that are measured at fair value.</w:t>
            </w:r>
          </w:p>
          <w:p w:rsidR="008835EB" w:rsidRDefault="008835EB" w:rsidP="007E3F2E">
            <w:pPr>
              <w:spacing w:after="120"/>
            </w:pPr>
            <w:r w:rsidRPr="00446974">
              <w:t>The different levels of the fair value hierarchy are defined below.</w:t>
            </w:r>
          </w:p>
        </w:tc>
      </w:tr>
      <w:tr w:rsidR="008835EB" w:rsidTr="007E3F2E">
        <w:trPr>
          <w:trHeight w:val="375"/>
        </w:trPr>
        <w:tc>
          <w:tcPr>
            <w:tcW w:w="9087" w:type="dxa"/>
            <w:gridSpan w:val="11"/>
            <w:tcBorders>
              <w:left w:val="nil"/>
              <w:bottom w:val="single" w:sz="4" w:space="0" w:color="auto"/>
              <w:right w:val="nil"/>
            </w:tcBorders>
            <w:shd w:val="clear" w:color="000000" w:fill="D9D9D9"/>
          </w:tcPr>
          <w:p w:rsidR="008835EB" w:rsidRDefault="008835EB" w:rsidP="007E3F2E">
            <w:pPr>
              <w:pStyle w:val="NotesHeading-Level1"/>
              <w:rPr>
                <w:rFonts w:cs="Calibri"/>
                <w:bCs/>
                <w:szCs w:val="18"/>
              </w:rPr>
            </w:pPr>
            <w:bookmarkStart w:id="528" w:name="RANGE!D7:J8"/>
            <w:r>
              <w:t xml:space="preserve">Note </w:t>
            </w:r>
            <w:proofErr w:type="spellStart"/>
            <w:r>
              <w:t>7.5A</w:t>
            </w:r>
            <w:proofErr w:type="spellEnd"/>
            <w:r>
              <w:t>: Fair Value Measurements</w:t>
            </w:r>
            <w:bookmarkEnd w:id="528"/>
          </w:p>
        </w:tc>
      </w:tr>
      <w:tr w:rsidR="008835EB" w:rsidTr="007E3F2E">
        <w:trPr>
          <w:trHeight w:val="795"/>
        </w:trPr>
        <w:tc>
          <w:tcPr>
            <w:tcW w:w="3536" w:type="dxa"/>
            <w:gridSpan w:val="2"/>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2697" w:type="dxa"/>
            <w:gridSpan w:val="4"/>
            <w:tcBorders>
              <w:top w:val="single" w:sz="4" w:space="0" w:color="auto"/>
              <w:left w:val="nil"/>
              <w:bottom w:val="single" w:sz="4" w:space="0" w:color="auto"/>
              <w:right w:val="single" w:sz="4" w:space="0" w:color="000000"/>
            </w:tcBorders>
            <w:shd w:val="clear" w:color="000000" w:fill="D9D9D9"/>
            <w:vAlign w:val="bottom"/>
            <w:hideMark/>
          </w:tcPr>
          <w:p w:rsidR="008835EB" w:rsidRDefault="008835EB" w:rsidP="007E3F2E">
            <w:pPr>
              <w:rPr>
                <w:rFonts w:cs="Calibri"/>
                <w:b/>
                <w:bCs/>
                <w:szCs w:val="18"/>
              </w:rPr>
            </w:pPr>
            <w:r>
              <w:rPr>
                <w:rFonts w:cs="Calibri"/>
                <w:b/>
                <w:bCs/>
                <w:szCs w:val="18"/>
              </w:rPr>
              <w:t>Fair value measurements at the end of the reporting period using</w:t>
            </w:r>
          </w:p>
        </w:tc>
        <w:tc>
          <w:tcPr>
            <w:tcW w:w="2854" w:type="dxa"/>
            <w:gridSpan w:val="5"/>
            <w:tcBorders>
              <w:top w:val="single" w:sz="4" w:space="0" w:color="auto"/>
              <w:left w:val="nil"/>
              <w:bottom w:val="single" w:sz="4" w:space="0" w:color="auto"/>
              <w:right w:val="nil"/>
            </w:tcBorders>
            <w:shd w:val="clear" w:color="000000" w:fill="D9D9D9"/>
            <w:hideMark/>
          </w:tcPr>
          <w:p w:rsidR="008835EB" w:rsidRDefault="008835EB" w:rsidP="007E3F2E">
            <w:pPr>
              <w:rPr>
                <w:rFonts w:cs="Calibri"/>
                <w:b/>
                <w:bCs/>
                <w:szCs w:val="18"/>
              </w:rPr>
            </w:pPr>
            <w:r>
              <w:rPr>
                <w:rFonts w:cs="Calibri"/>
                <w:b/>
                <w:bCs/>
                <w:szCs w:val="18"/>
              </w:rPr>
              <w:t>For Levels 2 and 3 fair value measurements</w:t>
            </w:r>
          </w:p>
        </w:tc>
      </w:tr>
      <w:tr w:rsidR="008835EB" w:rsidTr="007E3F2E">
        <w:trPr>
          <w:trHeight w:val="503"/>
        </w:trPr>
        <w:tc>
          <w:tcPr>
            <w:tcW w:w="3536" w:type="dxa"/>
            <w:gridSpan w:val="2"/>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887"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850" w:type="dxa"/>
            <w:gridSpan w:val="2"/>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2015</w:t>
            </w:r>
          </w:p>
        </w:tc>
        <w:tc>
          <w:tcPr>
            <w:tcW w:w="960" w:type="dxa"/>
            <w:vMerge w:val="restart"/>
            <w:tcBorders>
              <w:top w:val="nil"/>
              <w:left w:val="nil"/>
              <w:bottom w:val="single" w:sz="4" w:space="0" w:color="000000"/>
              <w:right w:val="single" w:sz="4" w:space="0" w:color="auto"/>
            </w:tcBorders>
            <w:shd w:val="clear" w:color="000000" w:fill="D9D9D9"/>
            <w:vAlign w:val="bottom"/>
            <w:hideMark/>
          </w:tcPr>
          <w:p w:rsidR="008835EB" w:rsidRDefault="008835EB" w:rsidP="007E3F2E">
            <w:pPr>
              <w:jc w:val="right"/>
              <w:rPr>
                <w:rFonts w:cs="Calibri"/>
                <w:b/>
                <w:bCs/>
                <w:szCs w:val="18"/>
              </w:rPr>
            </w:pPr>
            <w:r>
              <w:rPr>
                <w:rFonts w:cs="Calibri"/>
                <w:b/>
                <w:bCs/>
                <w:szCs w:val="18"/>
              </w:rPr>
              <w:t>Category Level 1, 2 or 3)</w:t>
            </w:r>
          </w:p>
        </w:tc>
        <w:tc>
          <w:tcPr>
            <w:tcW w:w="1043" w:type="dxa"/>
            <w:gridSpan w:val="2"/>
            <w:vMerge w:val="restart"/>
            <w:tcBorders>
              <w:top w:val="nil"/>
              <w:left w:val="single" w:sz="4" w:space="0" w:color="auto"/>
              <w:bottom w:val="single" w:sz="4" w:space="0" w:color="000000"/>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Valuation Techniques</w:t>
            </w:r>
          </w:p>
        </w:tc>
        <w:tc>
          <w:tcPr>
            <w:tcW w:w="749" w:type="dxa"/>
            <w:gridSpan w:val="2"/>
            <w:vMerge w:val="restart"/>
            <w:tcBorders>
              <w:top w:val="nil"/>
              <w:left w:val="nil"/>
              <w:bottom w:val="single" w:sz="4" w:space="0" w:color="000000"/>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Inputs used</w:t>
            </w:r>
          </w:p>
        </w:tc>
        <w:tc>
          <w:tcPr>
            <w:tcW w:w="1062" w:type="dxa"/>
            <w:vMerge w:val="restart"/>
            <w:tcBorders>
              <w:top w:val="nil"/>
              <w:left w:val="nil"/>
              <w:bottom w:val="single" w:sz="4" w:space="0" w:color="000000"/>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Weighted average</w:t>
            </w:r>
          </w:p>
        </w:tc>
      </w:tr>
      <w:tr w:rsidR="008835EB" w:rsidTr="007E3F2E">
        <w:trPr>
          <w:trHeight w:val="240"/>
        </w:trPr>
        <w:tc>
          <w:tcPr>
            <w:tcW w:w="3536" w:type="dxa"/>
            <w:gridSpan w:val="2"/>
            <w:tcBorders>
              <w:top w:val="nil"/>
              <w:left w:val="nil"/>
              <w:bottom w:val="single" w:sz="4" w:space="0" w:color="auto"/>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887" w:type="dxa"/>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850"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960" w:type="dxa"/>
            <w:vMerge/>
            <w:tcBorders>
              <w:top w:val="nil"/>
              <w:left w:val="nil"/>
              <w:bottom w:val="single" w:sz="4" w:space="0" w:color="000000"/>
              <w:right w:val="single" w:sz="4" w:space="0" w:color="auto"/>
            </w:tcBorders>
            <w:vAlign w:val="center"/>
            <w:hideMark/>
          </w:tcPr>
          <w:p w:rsidR="008835EB" w:rsidRDefault="008835EB" w:rsidP="007E3F2E">
            <w:pPr>
              <w:rPr>
                <w:rFonts w:cs="Calibri"/>
                <w:b/>
                <w:bCs/>
                <w:szCs w:val="18"/>
              </w:rPr>
            </w:pPr>
          </w:p>
        </w:tc>
        <w:tc>
          <w:tcPr>
            <w:tcW w:w="1043" w:type="dxa"/>
            <w:gridSpan w:val="2"/>
            <w:vMerge/>
            <w:tcBorders>
              <w:top w:val="nil"/>
              <w:left w:val="single" w:sz="4" w:space="0" w:color="auto"/>
              <w:bottom w:val="single" w:sz="4" w:space="0" w:color="000000"/>
              <w:right w:val="nil"/>
            </w:tcBorders>
            <w:vAlign w:val="center"/>
            <w:hideMark/>
          </w:tcPr>
          <w:p w:rsidR="008835EB" w:rsidRDefault="008835EB" w:rsidP="007E3F2E">
            <w:pPr>
              <w:rPr>
                <w:rFonts w:cs="Calibri"/>
                <w:b/>
                <w:bCs/>
                <w:szCs w:val="18"/>
              </w:rPr>
            </w:pPr>
          </w:p>
        </w:tc>
        <w:tc>
          <w:tcPr>
            <w:tcW w:w="749" w:type="dxa"/>
            <w:gridSpan w:val="2"/>
            <w:vMerge/>
            <w:tcBorders>
              <w:top w:val="nil"/>
              <w:left w:val="nil"/>
              <w:bottom w:val="single" w:sz="4" w:space="0" w:color="000000"/>
              <w:right w:val="nil"/>
            </w:tcBorders>
            <w:vAlign w:val="center"/>
            <w:hideMark/>
          </w:tcPr>
          <w:p w:rsidR="008835EB" w:rsidRDefault="008835EB" w:rsidP="007E3F2E">
            <w:pPr>
              <w:rPr>
                <w:rFonts w:cs="Calibri"/>
                <w:b/>
                <w:bCs/>
                <w:szCs w:val="18"/>
              </w:rPr>
            </w:pPr>
          </w:p>
        </w:tc>
        <w:tc>
          <w:tcPr>
            <w:tcW w:w="1062" w:type="dxa"/>
            <w:vMerge/>
            <w:tcBorders>
              <w:top w:val="nil"/>
              <w:left w:val="nil"/>
              <w:bottom w:val="single" w:sz="4" w:space="0" w:color="000000"/>
              <w:right w:val="nil"/>
            </w:tcBorders>
            <w:vAlign w:val="center"/>
            <w:hideMark/>
          </w:tcPr>
          <w:p w:rsidR="008835EB" w:rsidRDefault="008835EB" w:rsidP="007E3F2E">
            <w:pPr>
              <w:rPr>
                <w:rFonts w:cs="Calibri"/>
                <w:b/>
                <w:bCs/>
                <w:szCs w:val="18"/>
              </w:rPr>
            </w:pPr>
          </w:p>
        </w:tc>
      </w:tr>
      <w:tr w:rsidR="008835EB" w:rsidTr="007E3F2E">
        <w:trPr>
          <w:trHeight w:val="240"/>
        </w:trPr>
        <w:tc>
          <w:tcPr>
            <w:tcW w:w="3536" w:type="dxa"/>
            <w:gridSpan w:val="2"/>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Financial assets</w:t>
            </w:r>
          </w:p>
        </w:tc>
        <w:tc>
          <w:tcPr>
            <w:tcW w:w="887"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850" w:type="dxa"/>
            <w:gridSpan w:val="2"/>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960" w:type="dxa"/>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 </w:t>
            </w:r>
          </w:p>
        </w:tc>
        <w:tc>
          <w:tcPr>
            <w:tcW w:w="1043"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749" w:type="dxa"/>
            <w:gridSpan w:val="2"/>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c>
          <w:tcPr>
            <w:tcW w:w="1062" w:type="dxa"/>
            <w:tcBorders>
              <w:top w:val="nil"/>
              <w:left w:val="nil"/>
              <w:bottom w:val="single" w:sz="4" w:space="0" w:color="D9D9D9"/>
              <w:right w:val="nil"/>
            </w:tcBorders>
            <w:shd w:val="clear" w:color="000000" w:fill="D9D9D9"/>
            <w:noWrap/>
            <w:vAlign w:val="bottom"/>
            <w:hideMark/>
          </w:tcPr>
          <w:p w:rsidR="008835EB" w:rsidRDefault="008835EB" w:rsidP="007E3F2E">
            <w:pPr>
              <w:rPr>
                <w:rFonts w:cs="Calibri"/>
                <w:sz w:val="16"/>
                <w:szCs w:val="16"/>
              </w:rPr>
            </w:pPr>
            <w:r>
              <w:rPr>
                <w:rFonts w:cs="Calibri"/>
                <w:sz w:val="16"/>
                <w:szCs w:val="16"/>
              </w:rPr>
              <w:t> </w:t>
            </w:r>
          </w:p>
        </w:tc>
      </w:tr>
      <w:tr w:rsidR="008835EB" w:rsidTr="007E3F2E">
        <w:trPr>
          <w:trHeight w:val="698"/>
        </w:trPr>
        <w:tc>
          <w:tcPr>
            <w:tcW w:w="3536" w:type="dxa"/>
            <w:gridSpan w:val="2"/>
            <w:tcBorders>
              <w:top w:val="nil"/>
              <w:left w:val="nil"/>
              <w:bottom w:val="single" w:sz="4" w:space="0" w:color="D9D9D9"/>
              <w:right w:val="nil"/>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Administered investments</w:t>
            </w:r>
          </w:p>
        </w:tc>
        <w:tc>
          <w:tcPr>
            <w:tcW w:w="887"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240,897 </w:t>
            </w:r>
          </w:p>
        </w:tc>
        <w:tc>
          <w:tcPr>
            <w:tcW w:w="850"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224,658 </w:t>
            </w:r>
          </w:p>
        </w:tc>
        <w:tc>
          <w:tcPr>
            <w:tcW w:w="960" w:type="dxa"/>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 </w:t>
            </w:r>
          </w:p>
        </w:tc>
        <w:tc>
          <w:tcPr>
            <w:tcW w:w="1043"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Net assets of the entity</w:t>
            </w:r>
          </w:p>
        </w:tc>
        <w:tc>
          <w:tcPr>
            <w:tcW w:w="749" w:type="dxa"/>
            <w:gridSpan w:val="2"/>
            <w:tcBorders>
              <w:top w:val="nil"/>
              <w:left w:val="nil"/>
              <w:bottom w:val="nil"/>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Net Assets</w:t>
            </w:r>
          </w:p>
        </w:tc>
        <w:tc>
          <w:tcPr>
            <w:tcW w:w="1062" w:type="dxa"/>
            <w:tcBorders>
              <w:top w:val="nil"/>
              <w:left w:val="nil"/>
              <w:bottom w:val="single" w:sz="4" w:space="0" w:color="auto"/>
              <w:right w:val="nil"/>
            </w:tcBorders>
            <w:shd w:val="clear" w:color="000000" w:fill="A6A6A6"/>
            <w:vAlign w:val="bottom"/>
            <w:hideMark/>
          </w:tcPr>
          <w:p w:rsidR="008835EB" w:rsidRDefault="008835EB" w:rsidP="007E3F2E">
            <w:pPr>
              <w:rPr>
                <w:rFonts w:cs="Calibri"/>
                <w:szCs w:val="18"/>
              </w:rPr>
            </w:pPr>
            <w:r>
              <w:rPr>
                <w:rFonts w:cs="Calibri"/>
                <w:szCs w:val="18"/>
              </w:rPr>
              <w:t> </w:t>
            </w:r>
          </w:p>
        </w:tc>
      </w:tr>
      <w:tr w:rsidR="008835EB" w:rsidTr="007E3F2E">
        <w:trPr>
          <w:trHeight w:val="240"/>
        </w:trPr>
        <w:tc>
          <w:tcPr>
            <w:tcW w:w="3536" w:type="dxa"/>
            <w:gridSpan w:val="2"/>
            <w:tcBorders>
              <w:top w:val="nil"/>
              <w:left w:val="nil"/>
              <w:bottom w:val="single" w:sz="8" w:space="0" w:color="D9D9D9"/>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financial assets</w:t>
            </w:r>
          </w:p>
        </w:tc>
        <w:tc>
          <w:tcPr>
            <w:tcW w:w="887"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850"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c>
          <w:tcPr>
            <w:tcW w:w="960" w:type="dxa"/>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043"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749"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1062"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r>
      <w:tr w:rsidR="008835EB" w:rsidTr="007E3F2E">
        <w:trPr>
          <w:trHeight w:val="735"/>
        </w:trPr>
        <w:tc>
          <w:tcPr>
            <w:tcW w:w="3536" w:type="dxa"/>
            <w:gridSpan w:val="2"/>
            <w:tcBorders>
              <w:top w:val="nil"/>
              <w:left w:val="nil"/>
              <w:bottom w:val="single" w:sz="8" w:space="0" w:color="D9D9D9"/>
              <w:right w:val="nil"/>
            </w:tcBorders>
            <w:shd w:val="clear" w:color="000000" w:fill="D9D9D9"/>
            <w:vAlign w:val="bottom"/>
            <w:hideMark/>
          </w:tcPr>
          <w:p w:rsidR="008835EB" w:rsidRDefault="008835EB" w:rsidP="007E3F2E">
            <w:pPr>
              <w:rPr>
                <w:rFonts w:cs="Calibri"/>
                <w:b/>
                <w:bCs/>
                <w:i/>
                <w:iCs/>
                <w:szCs w:val="18"/>
              </w:rPr>
            </w:pPr>
            <w:r>
              <w:rPr>
                <w:rFonts w:cs="Calibri"/>
                <w:b/>
                <w:bCs/>
                <w:i/>
                <w:iCs/>
                <w:szCs w:val="18"/>
              </w:rPr>
              <w:t>Total fair value measurements of assets in the Administered Schedule of Assets and Liabilities</w:t>
            </w:r>
          </w:p>
        </w:tc>
        <w:tc>
          <w:tcPr>
            <w:tcW w:w="887"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850" w:type="dxa"/>
            <w:gridSpan w:val="2"/>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c>
          <w:tcPr>
            <w:tcW w:w="960"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043" w:type="dxa"/>
            <w:gridSpan w:val="2"/>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749" w:type="dxa"/>
            <w:gridSpan w:val="2"/>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c>
          <w:tcPr>
            <w:tcW w:w="1062" w:type="dxa"/>
            <w:tcBorders>
              <w:top w:val="nil"/>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w:t>
            </w:r>
          </w:p>
        </w:tc>
      </w:tr>
      <w:tr w:rsidR="008835EB" w:rsidTr="007E3F2E">
        <w:trPr>
          <w:trHeight w:val="2964"/>
        </w:trPr>
        <w:tc>
          <w:tcPr>
            <w:tcW w:w="9087" w:type="dxa"/>
            <w:gridSpan w:val="11"/>
            <w:tcBorders>
              <w:top w:val="nil"/>
              <w:left w:val="nil"/>
              <w:bottom w:val="nil"/>
              <w:right w:val="nil"/>
            </w:tcBorders>
            <w:shd w:val="clear" w:color="000000" w:fill="D9D9D9"/>
            <w:noWrap/>
            <w:vAlign w:val="bottom"/>
          </w:tcPr>
          <w:p w:rsidR="008835EB" w:rsidRDefault="008835EB" w:rsidP="007E3F2E">
            <w:pPr>
              <w:spacing w:before="120" w:after="120"/>
            </w:pPr>
            <w:bookmarkStart w:id="529" w:name="RANGE!D7:J16"/>
            <w:bookmarkStart w:id="530" w:name="RANGE!D7:D17"/>
            <w:bookmarkStart w:id="531" w:name="RANGE!D7:D16"/>
            <w:bookmarkStart w:id="532" w:name="RANGE!D7:J17"/>
            <w:bookmarkStart w:id="533" w:name="RANGE!D7:D23"/>
            <w:bookmarkStart w:id="534" w:name="RANGE!D7:H27"/>
            <w:bookmarkStart w:id="535" w:name="RANGE!D7:D26"/>
            <w:bookmarkEnd w:id="529"/>
            <w:bookmarkEnd w:id="530"/>
            <w:bookmarkEnd w:id="531"/>
            <w:bookmarkEnd w:id="532"/>
            <w:bookmarkEnd w:id="533"/>
            <w:bookmarkEnd w:id="534"/>
            <w:bookmarkEnd w:id="535"/>
            <w:r w:rsidRPr="00B71488">
              <w:t xml:space="preserve">There are a number of </w:t>
            </w:r>
            <w:r>
              <w:t>a</w:t>
            </w:r>
            <w:r w:rsidRPr="00B71488">
              <w:t xml:space="preserve">dministered assets and liabilities not measured at fair value in the </w:t>
            </w:r>
            <w:r>
              <w:t>Administered Schedule of Assets and Liabilities</w:t>
            </w:r>
            <w:r w:rsidRPr="00B71488">
              <w:t>. The carrying amounts of these assets and liabilities are considered to be a reasonable approximation of their fair value.</w:t>
            </w:r>
            <w:bookmarkStart w:id="536" w:name="RANGE!D7:I13"/>
            <w:bookmarkStart w:id="537" w:name="RANGE!D7:D13"/>
            <w:bookmarkStart w:id="538" w:name="RANGE!D7:H13"/>
            <w:bookmarkEnd w:id="536"/>
            <w:bookmarkEnd w:id="537"/>
            <w:bookmarkEnd w:id="538"/>
          </w:p>
          <w:p w:rsidR="008835EB" w:rsidRPr="00B71488" w:rsidRDefault="008835EB" w:rsidP="007E3F2E">
            <w:pPr>
              <w:spacing w:after="120"/>
              <w:rPr>
                <w:rFonts w:cs="Calibri"/>
                <w:szCs w:val="18"/>
              </w:rPr>
            </w:pPr>
            <w:r>
              <w:rPr>
                <w:rFonts w:cs="Calibri"/>
                <w:szCs w:val="18"/>
              </w:rPr>
              <w:t xml:space="preserve">The Department’s administered investments are classified as available-for-sale financial assets and are measured at their fair value as at 30 June </w:t>
            </w:r>
            <w:r w:rsidR="00FA455C">
              <w:rPr>
                <w:rFonts w:cs="Calibri"/>
                <w:szCs w:val="18"/>
              </w:rPr>
              <w:t>2016</w:t>
            </w:r>
            <w:r>
              <w:rPr>
                <w:rFonts w:cs="Calibri"/>
                <w:szCs w:val="18"/>
              </w:rPr>
              <w:t xml:space="preserve">. </w:t>
            </w:r>
            <w:r w:rsidRPr="00C87115">
              <w:rPr>
                <w:rFonts w:cs="Calibri"/>
                <w:szCs w:val="18"/>
              </w:rPr>
              <w:t xml:space="preserve">Fair value is assessed as the Australian Government's proportional interest in the net assets of the </w:t>
            </w:r>
            <w:r>
              <w:rPr>
                <w:rFonts w:cs="Calibri"/>
                <w:szCs w:val="18"/>
              </w:rPr>
              <w:t>entity</w:t>
            </w:r>
            <w:r w:rsidRPr="00C87115">
              <w:rPr>
                <w:rFonts w:cs="Calibri"/>
                <w:szCs w:val="18"/>
              </w:rPr>
              <w:t xml:space="preserve"> at balance date</w:t>
            </w:r>
            <w:r>
              <w:rPr>
                <w:rFonts w:cs="Calibri"/>
                <w:szCs w:val="18"/>
              </w:rPr>
              <w:t xml:space="preserve">. </w:t>
            </w:r>
            <w:r>
              <w:t xml:space="preserve">The methods and valuation techniques used for the purpose of measuring fair value of assets and liabilities </w:t>
            </w:r>
            <w:r>
              <w:rPr>
                <w:rFonts w:cs="Calibri"/>
                <w:szCs w:val="18"/>
              </w:rPr>
              <w:t xml:space="preserve">in </w:t>
            </w:r>
            <w:r w:rsidR="00FA455C">
              <w:rPr>
                <w:rFonts w:cs="Calibri"/>
                <w:szCs w:val="18"/>
              </w:rPr>
              <w:t>2016</w:t>
            </w:r>
            <w:r w:rsidRPr="00B71488">
              <w:rPr>
                <w:rFonts w:cs="Calibri"/>
                <w:szCs w:val="18"/>
              </w:rPr>
              <w:t xml:space="preserve"> are unchanged from</w:t>
            </w:r>
            <w:r>
              <w:rPr>
                <w:rFonts w:cs="Calibri"/>
                <w:szCs w:val="18"/>
              </w:rPr>
              <w:t xml:space="preserve"> the prior year.</w:t>
            </w:r>
          </w:p>
          <w:p w:rsidR="008835EB" w:rsidRPr="00D47E5B" w:rsidRDefault="008835EB" w:rsidP="007E3F2E">
            <w:pPr>
              <w:spacing w:after="120"/>
              <w:rPr>
                <w:rFonts w:cs="Calibri"/>
                <w:szCs w:val="18"/>
              </w:rPr>
            </w:pPr>
            <w:r w:rsidRPr="00B71488">
              <w:rPr>
                <w:rFonts w:cs="Calibri"/>
                <w:szCs w:val="18"/>
              </w:rPr>
              <w:t>Changing inputs to the level 3 hierarchy valuations to reasonably possible alternate assumptions would not significantly change amounts recognised in net cost of service or other comprehensive income.</w:t>
            </w:r>
          </w:p>
        </w:tc>
      </w:tr>
      <w:tr w:rsidR="008835EB" w:rsidTr="007E3F2E">
        <w:trPr>
          <w:trHeight w:val="419"/>
        </w:trPr>
        <w:tc>
          <w:tcPr>
            <w:tcW w:w="9087" w:type="dxa"/>
            <w:gridSpan w:val="11"/>
            <w:tcBorders>
              <w:top w:val="nil"/>
              <w:left w:val="nil"/>
              <w:bottom w:val="nil"/>
              <w:right w:val="nil"/>
            </w:tcBorders>
            <w:shd w:val="clear" w:color="000000" w:fill="D9D9D9"/>
            <w:noWrap/>
            <w:vAlign w:val="bottom"/>
            <w:hideMark/>
          </w:tcPr>
          <w:p w:rsidR="008835EB" w:rsidRDefault="008835EB" w:rsidP="007E3F2E">
            <w:pPr>
              <w:pStyle w:val="NotesHeading-Level1"/>
            </w:pPr>
            <w:bookmarkStart w:id="539" w:name="Note_AVDTABLE1" w:colFirst="0" w:colLast="0"/>
            <w:r>
              <w:t xml:space="preserve">Note </w:t>
            </w:r>
            <w:proofErr w:type="spellStart"/>
            <w:r>
              <w:t>7.5B</w:t>
            </w:r>
            <w:proofErr w:type="spellEnd"/>
            <w:r>
              <w:t>: Reconciliation For Recurring Level 3 Fair Value Measurements</w:t>
            </w:r>
          </w:p>
        </w:tc>
      </w:tr>
      <w:bookmarkEnd w:id="539"/>
      <w:tr w:rsidR="008835EB" w:rsidTr="007E3F2E">
        <w:trPr>
          <w:trHeight w:val="425"/>
        </w:trPr>
        <w:tc>
          <w:tcPr>
            <w:tcW w:w="9087" w:type="dxa"/>
            <w:gridSpan w:val="11"/>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There have been no transfers between levels during the period.</w:t>
            </w:r>
          </w:p>
        </w:tc>
      </w:tr>
      <w:tr w:rsidR="008835EB" w:rsidTr="007E3F2E">
        <w:trPr>
          <w:trHeight w:val="431"/>
        </w:trPr>
        <w:tc>
          <w:tcPr>
            <w:tcW w:w="9087" w:type="dxa"/>
            <w:gridSpan w:val="11"/>
            <w:tcBorders>
              <w:top w:val="nil"/>
              <w:left w:val="nil"/>
              <w:bottom w:val="single" w:sz="4" w:space="0" w:color="auto"/>
              <w:right w:val="nil"/>
            </w:tcBorders>
            <w:shd w:val="clear" w:color="000000" w:fill="D9D9D9"/>
            <w:vAlign w:val="bottom"/>
            <w:hideMark/>
          </w:tcPr>
          <w:p w:rsidR="008835EB" w:rsidRDefault="008835EB" w:rsidP="007E3F2E">
            <w:pPr>
              <w:rPr>
                <w:rFonts w:cs="Calibri"/>
                <w:b/>
                <w:bCs/>
                <w:szCs w:val="18"/>
              </w:rPr>
            </w:pPr>
            <w:r>
              <w:rPr>
                <w:rFonts w:cs="Calibri"/>
                <w:b/>
                <w:bCs/>
                <w:szCs w:val="18"/>
              </w:rPr>
              <w:t>Recurring Level 3 fair value measurements—reconciliation for assets</w:t>
            </w:r>
          </w:p>
        </w:tc>
      </w:tr>
      <w:tr w:rsidR="008835EB" w:rsidTr="007E3F2E">
        <w:trPr>
          <w:trHeight w:val="240"/>
        </w:trPr>
        <w:tc>
          <w:tcPr>
            <w:tcW w:w="3520"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5567" w:type="dxa"/>
            <w:gridSpan w:val="10"/>
            <w:tcBorders>
              <w:top w:val="single" w:sz="4" w:space="0" w:color="auto"/>
              <w:left w:val="nil"/>
              <w:bottom w:val="single" w:sz="4" w:space="0" w:color="auto"/>
              <w:right w:val="nil"/>
            </w:tcBorders>
            <w:shd w:val="clear" w:color="000000" w:fill="D9D9D9"/>
            <w:vAlign w:val="bottom"/>
            <w:hideMark/>
          </w:tcPr>
          <w:p w:rsidR="008835EB" w:rsidRDefault="008835EB" w:rsidP="007E3F2E">
            <w:pPr>
              <w:jc w:val="center"/>
              <w:rPr>
                <w:rFonts w:cs="Calibri"/>
                <w:b/>
                <w:bCs/>
                <w:szCs w:val="18"/>
              </w:rPr>
            </w:pPr>
            <w:r>
              <w:rPr>
                <w:rFonts w:cs="Calibri"/>
                <w:b/>
                <w:bCs/>
                <w:szCs w:val="18"/>
              </w:rPr>
              <w:t>Financial assets</w:t>
            </w:r>
          </w:p>
        </w:tc>
      </w:tr>
      <w:tr w:rsidR="008835EB" w:rsidTr="007E3F2E">
        <w:trPr>
          <w:trHeight w:val="255"/>
        </w:trPr>
        <w:tc>
          <w:tcPr>
            <w:tcW w:w="3520"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 </w:t>
            </w:r>
          </w:p>
        </w:tc>
        <w:tc>
          <w:tcPr>
            <w:tcW w:w="2786" w:type="dxa"/>
            <w:gridSpan w:val="6"/>
            <w:tcBorders>
              <w:top w:val="single" w:sz="4" w:space="0" w:color="auto"/>
              <w:left w:val="nil"/>
              <w:bottom w:val="nil"/>
              <w:right w:val="nil"/>
            </w:tcBorders>
            <w:shd w:val="clear" w:color="000000" w:fill="D9D9D9"/>
            <w:vAlign w:val="bottom"/>
            <w:hideMark/>
          </w:tcPr>
          <w:p w:rsidR="008835EB" w:rsidRDefault="008835EB" w:rsidP="007E3F2E">
            <w:pPr>
              <w:jc w:val="center"/>
              <w:rPr>
                <w:rFonts w:cs="Calibri"/>
                <w:b/>
                <w:bCs/>
                <w:szCs w:val="18"/>
              </w:rPr>
            </w:pPr>
            <w:r>
              <w:rPr>
                <w:rFonts w:cs="Calibri"/>
                <w:b/>
                <w:bCs/>
                <w:szCs w:val="18"/>
              </w:rPr>
              <w:t>Administered investments</w:t>
            </w:r>
          </w:p>
        </w:tc>
        <w:tc>
          <w:tcPr>
            <w:tcW w:w="2781" w:type="dxa"/>
            <w:gridSpan w:val="4"/>
            <w:tcBorders>
              <w:top w:val="single" w:sz="4" w:space="0" w:color="auto"/>
              <w:left w:val="nil"/>
              <w:bottom w:val="single" w:sz="4" w:space="0" w:color="D9D9D9"/>
              <w:right w:val="nil"/>
            </w:tcBorders>
            <w:shd w:val="clear" w:color="000000" w:fill="D9D9D9"/>
            <w:vAlign w:val="bottom"/>
            <w:hideMark/>
          </w:tcPr>
          <w:p w:rsidR="008835EB" w:rsidRDefault="008835EB" w:rsidP="007E3F2E">
            <w:pPr>
              <w:jc w:val="center"/>
              <w:rPr>
                <w:rFonts w:cs="Calibri"/>
                <w:b/>
                <w:bCs/>
                <w:szCs w:val="18"/>
              </w:rPr>
            </w:pPr>
            <w:r>
              <w:rPr>
                <w:rFonts w:cs="Calibri"/>
                <w:b/>
                <w:bCs/>
                <w:szCs w:val="18"/>
              </w:rPr>
              <w:t>Total</w:t>
            </w:r>
          </w:p>
        </w:tc>
      </w:tr>
      <w:tr w:rsidR="008835EB" w:rsidTr="007E3F2E">
        <w:trPr>
          <w:trHeight w:val="240"/>
        </w:trPr>
        <w:tc>
          <w:tcPr>
            <w:tcW w:w="3520"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395" w:type="dxa"/>
            <w:gridSpan w:val="3"/>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391" w:type="dxa"/>
            <w:gridSpan w:val="3"/>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szCs w:val="18"/>
              </w:rPr>
            </w:pPr>
            <w:r>
              <w:rPr>
                <w:rFonts w:cs="Calibri"/>
                <w:szCs w:val="18"/>
              </w:rPr>
              <w:t>2015</w:t>
            </w:r>
          </w:p>
        </w:tc>
        <w:tc>
          <w:tcPr>
            <w:tcW w:w="1392" w:type="dxa"/>
            <w:gridSpan w:val="2"/>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2016</w:t>
            </w:r>
          </w:p>
        </w:tc>
        <w:tc>
          <w:tcPr>
            <w:tcW w:w="1389" w:type="dxa"/>
            <w:gridSpan w:val="2"/>
            <w:tcBorders>
              <w:top w:val="nil"/>
              <w:left w:val="nil"/>
              <w:bottom w:val="single" w:sz="4" w:space="0" w:color="D9D9D9"/>
              <w:right w:val="nil"/>
            </w:tcBorders>
            <w:shd w:val="clear" w:color="000000" w:fill="D9D9D9"/>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40"/>
        </w:trPr>
        <w:tc>
          <w:tcPr>
            <w:tcW w:w="3520" w:type="dxa"/>
            <w:tcBorders>
              <w:top w:val="nil"/>
              <w:left w:val="nil"/>
              <w:bottom w:val="single" w:sz="4" w:space="0" w:color="auto"/>
              <w:right w:val="nil"/>
            </w:tcBorders>
            <w:shd w:val="clear" w:color="000000" w:fill="D9D9D9"/>
            <w:vAlign w:val="bottom"/>
            <w:hideMark/>
          </w:tcPr>
          <w:p w:rsidR="008835EB" w:rsidRDefault="008835EB" w:rsidP="007E3F2E">
            <w:pPr>
              <w:rPr>
                <w:rFonts w:cs="Calibri"/>
                <w:szCs w:val="18"/>
              </w:rPr>
            </w:pPr>
            <w:r>
              <w:rPr>
                <w:rFonts w:cs="Calibri"/>
                <w:szCs w:val="18"/>
              </w:rPr>
              <w:t> </w:t>
            </w:r>
          </w:p>
        </w:tc>
        <w:tc>
          <w:tcPr>
            <w:tcW w:w="1395" w:type="dxa"/>
            <w:gridSpan w:val="3"/>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391" w:type="dxa"/>
            <w:gridSpan w:val="3"/>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c>
          <w:tcPr>
            <w:tcW w:w="1392"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b/>
                <w:bCs/>
                <w:szCs w:val="18"/>
              </w:rPr>
            </w:pPr>
            <w:r>
              <w:rPr>
                <w:rFonts w:cs="Calibri"/>
                <w:b/>
                <w:bCs/>
                <w:szCs w:val="18"/>
              </w:rPr>
              <w:t>$'000</w:t>
            </w:r>
          </w:p>
        </w:tc>
        <w:tc>
          <w:tcPr>
            <w:tcW w:w="1389" w:type="dxa"/>
            <w:gridSpan w:val="2"/>
            <w:tcBorders>
              <w:top w:val="nil"/>
              <w:left w:val="nil"/>
              <w:bottom w:val="single" w:sz="4" w:space="0" w:color="auto"/>
              <w:right w:val="nil"/>
            </w:tcBorders>
            <w:shd w:val="clear" w:color="000000" w:fill="D9D9D9"/>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40"/>
        </w:trPr>
        <w:tc>
          <w:tcPr>
            <w:tcW w:w="3520"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Opening balance</w:t>
            </w:r>
          </w:p>
        </w:tc>
        <w:tc>
          <w:tcPr>
            <w:tcW w:w="1395"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224,658 </w:t>
            </w:r>
          </w:p>
        </w:tc>
        <w:tc>
          <w:tcPr>
            <w:tcW w:w="1391"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145,477 </w:t>
            </w:r>
          </w:p>
        </w:tc>
        <w:tc>
          <w:tcPr>
            <w:tcW w:w="1392"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224,658 </w:t>
            </w:r>
          </w:p>
        </w:tc>
        <w:tc>
          <w:tcPr>
            <w:tcW w:w="1389"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145,477 </w:t>
            </w:r>
          </w:p>
        </w:tc>
      </w:tr>
      <w:tr w:rsidR="008835EB" w:rsidTr="007E3F2E">
        <w:trPr>
          <w:trHeight w:val="240"/>
        </w:trPr>
        <w:tc>
          <w:tcPr>
            <w:tcW w:w="3520" w:type="dxa"/>
            <w:tcBorders>
              <w:top w:val="nil"/>
              <w:left w:val="nil"/>
              <w:bottom w:val="nil"/>
              <w:right w:val="nil"/>
            </w:tcBorders>
            <w:shd w:val="clear" w:color="000000" w:fill="D9D9D9"/>
            <w:vAlign w:val="bottom"/>
            <w:hideMark/>
          </w:tcPr>
          <w:p w:rsidR="008835EB" w:rsidRDefault="008835EB" w:rsidP="007E3F2E">
            <w:pPr>
              <w:rPr>
                <w:rFonts w:cs="Calibri"/>
                <w:b/>
                <w:bCs/>
                <w:szCs w:val="18"/>
              </w:rPr>
            </w:pPr>
            <w:r>
              <w:rPr>
                <w:rFonts w:cs="Calibri"/>
                <w:b/>
                <w:bCs/>
                <w:szCs w:val="18"/>
              </w:rPr>
              <w:t>Restructured amount</w:t>
            </w:r>
          </w:p>
        </w:tc>
        <w:tc>
          <w:tcPr>
            <w:tcW w:w="1395"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391"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c>
          <w:tcPr>
            <w:tcW w:w="1392"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w:t>
            </w:r>
          </w:p>
        </w:tc>
        <w:tc>
          <w:tcPr>
            <w:tcW w:w="1389"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w:t>
            </w:r>
          </w:p>
        </w:tc>
      </w:tr>
      <w:tr w:rsidR="008835EB" w:rsidTr="007E3F2E">
        <w:trPr>
          <w:trHeight w:val="240"/>
        </w:trPr>
        <w:tc>
          <w:tcPr>
            <w:tcW w:w="3520" w:type="dxa"/>
            <w:tcBorders>
              <w:top w:val="nil"/>
              <w:left w:val="nil"/>
              <w:bottom w:val="nil"/>
              <w:right w:val="nil"/>
            </w:tcBorders>
            <w:shd w:val="clear" w:color="000000" w:fill="D9D9D9"/>
            <w:vAlign w:val="bottom"/>
            <w:hideMark/>
          </w:tcPr>
          <w:p w:rsidR="008835EB" w:rsidRDefault="008835EB" w:rsidP="007E3F2E">
            <w:pPr>
              <w:rPr>
                <w:rFonts w:cs="Calibri"/>
                <w:szCs w:val="18"/>
              </w:rPr>
            </w:pPr>
            <w:r>
              <w:rPr>
                <w:rFonts w:cs="Calibri"/>
                <w:szCs w:val="18"/>
              </w:rPr>
              <w:t>Total gains recognised in administered equity</w:t>
            </w:r>
          </w:p>
        </w:tc>
        <w:tc>
          <w:tcPr>
            <w:tcW w:w="1395"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16,239 </w:t>
            </w:r>
          </w:p>
        </w:tc>
        <w:tc>
          <w:tcPr>
            <w:tcW w:w="1391" w:type="dxa"/>
            <w:gridSpan w:val="3"/>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79,181 </w:t>
            </w:r>
          </w:p>
        </w:tc>
        <w:tc>
          <w:tcPr>
            <w:tcW w:w="1392"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16,239 </w:t>
            </w:r>
          </w:p>
        </w:tc>
        <w:tc>
          <w:tcPr>
            <w:tcW w:w="1389" w:type="dxa"/>
            <w:gridSpan w:val="2"/>
            <w:tcBorders>
              <w:top w:val="nil"/>
              <w:left w:val="nil"/>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79,181 </w:t>
            </w:r>
          </w:p>
        </w:tc>
      </w:tr>
      <w:tr w:rsidR="008835EB" w:rsidTr="007E3F2E">
        <w:trPr>
          <w:trHeight w:val="240"/>
        </w:trPr>
        <w:tc>
          <w:tcPr>
            <w:tcW w:w="3520" w:type="dxa"/>
            <w:tcBorders>
              <w:top w:val="single" w:sz="4" w:space="0" w:color="auto"/>
              <w:left w:val="nil"/>
              <w:bottom w:val="single" w:sz="4" w:space="0" w:color="auto"/>
              <w:right w:val="nil"/>
            </w:tcBorders>
            <w:shd w:val="clear" w:color="000000" w:fill="D9D9D9"/>
            <w:vAlign w:val="bottom"/>
            <w:hideMark/>
          </w:tcPr>
          <w:p w:rsidR="008835EB" w:rsidRDefault="008835EB" w:rsidP="007E3F2E">
            <w:pPr>
              <w:rPr>
                <w:rFonts w:cs="Calibri"/>
                <w:b/>
                <w:bCs/>
                <w:szCs w:val="18"/>
              </w:rPr>
            </w:pPr>
            <w:r>
              <w:rPr>
                <w:rFonts w:cs="Calibri"/>
                <w:b/>
                <w:bCs/>
                <w:szCs w:val="18"/>
              </w:rPr>
              <w:t>Closing balance</w:t>
            </w:r>
          </w:p>
        </w:tc>
        <w:tc>
          <w:tcPr>
            <w:tcW w:w="1395" w:type="dxa"/>
            <w:gridSpan w:val="3"/>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1391" w:type="dxa"/>
            <w:gridSpan w:val="3"/>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c>
          <w:tcPr>
            <w:tcW w:w="1392"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240,897</w:t>
            </w:r>
          </w:p>
        </w:tc>
        <w:tc>
          <w:tcPr>
            <w:tcW w:w="1389" w:type="dxa"/>
            <w:gridSpan w:val="2"/>
            <w:tcBorders>
              <w:top w:val="single" w:sz="4" w:space="0" w:color="auto"/>
              <w:left w:val="nil"/>
              <w:bottom w:val="single" w:sz="4" w:space="0" w:color="auto"/>
              <w:right w:val="nil"/>
            </w:tcBorders>
            <w:shd w:val="clear" w:color="000000" w:fill="D9D9D9"/>
            <w:noWrap/>
            <w:vAlign w:val="bottom"/>
            <w:hideMark/>
          </w:tcPr>
          <w:p w:rsidR="008835EB" w:rsidRDefault="008835EB" w:rsidP="007E3F2E">
            <w:pPr>
              <w:jc w:val="right"/>
              <w:rPr>
                <w:rFonts w:cs="Calibri"/>
                <w:szCs w:val="18"/>
              </w:rPr>
            </w:pPr>
            <w:r>
              <w:rPr>
                <w:rFonts w:cs="Calibri"/>
                <w:szCs w:val="18"/>
              </w:rPr>
              <w:t>224,658</w:t>
            </w:r>
          </w:p>
        </w:tc>
      </w:tr>
    </w:tbl>
    <w:p w:rsidR="008835EB" w:rsidRDefault="008835EB" w:rsidP="008835EB">
      <w:pPr>
        <w:spacing w:line="240" w:lineRule="auto"/>
        <w:rPr>
          <w:rFonts w:asciiTheme="minorHAnsi" w:hAnsiTheme="minorHAnsi" w:cstheme="minorHAnsi"/>
          <w:b/>
          <w:sz w:val="20"/>
        </w:rPr>
        <w:sectPr w:rsidR="008835EB" w:rsidSect="00F74C23">
          <w:pgSz w:w="11906" w:h="16838"/>
          <w:pgMar w:top="1134" w:right="1134" w:bottom="1134" w:left="1134" w:header="958" w:footer="737" w:gutter="0"/>
          <w:cols w:space="720"/>
          <w:docGrid w:linePitch="245"/>
        </w:sectPr>
      </w:pPr>
      <w:bookmarkStart w:id="540" w:name="RANGE!D7:F26"/>
      <w:bookmarkStart w:id="541" w:name="RANGE!D7:H14"/>
      <w:bookmarkStart w:id="542" w:name="RANGE!D7:H15"/>
      <w:bookmarkStart w:id="543" w:name="RANGE!E7:H29"/>
      <w:bookmarkStart w:id="544" w:name="RANGE!E7:H36"/>
      <w:bookmarkStart w:id="545" w:name="RANGE!E7:H35"/>
      <w:bookmarkStart w:id="546" w:name="RANGE!E7:H34"/>
      <w:bookmarkStart w:id="547" w:name="RANGE!E7:H33"/>
      <w:bookmarkStart w:id="548" w:name="RANGE!E7:H32"/>
      <w:bookmarkStart w:id="549" w:name="RANGE!E6:H31"/>
      <w:bookmarkStart w:id="550" w:name="RANGE!E6:H36"/>
      <w:bookmarkStart w:id="551" w:name="RANGE!E6:H37"/>
      <w:bookmarkEnd w:id="540"/>
      <w:bookmarkEnd w:id="541"/>
      <w:bookmarkEnd w:id="542"/>
      <w:bookmarkEnd w:id="543"/>
      <w:bookmarkEnd w:id="544"/>
      <w:bookmarkEnd w:id="545"/>
      <w:bookmarkEnd w:id="546"/>
      <w:bookmarkEnd w:id="547"/>
      <w:bookmarkEnd w:id="548"/>
      <w:bookmarkEnd w:id="549"/>
      <w:bookmarkEnd w:id="550"/>
      <w:bookmarkEnd w:id="551"/>
      <w:r>
        <w:br w:type="page"/>
      </w:r>
    </w:p>
    <w:p w:rsidR="008835EB" w:rsidRDefault="008835EB" w:rsidP="008835EB">
      <w:pPr>
        <w:pStyle w:val="SectionHeading"/>
      </w:pPr>
      <w:bookmarkStart w:id="552" w:name="_Toc443469553"/>
      <w:bookmarkStart w:id="553" w:name="_Toc444065808"/>
      <w:bookmarkStart w:id="554" w:name="_Toc444077366"/>
      <w:bookmarkStart w:id="555" w:name="_Toc456689867"/>
      <w:r>
        <w:lastRenderedPageBreak/>
        <w:t>Other Information</w:t>
      </w:r>
      <w:bookmarkEnd w:id="552"/>
      <w:bookmarkEnd w:id="553"/>
      <w:bookmarkEnd w:id="554"/>
      <w:bookmarkEnd w:id="555"/>
    </w:p>
    <w:p w:rsidR="008835EB" w:rsidRDefault="008835EB" w:rsidP="008835EB">
      <w:pPr>
        <w:spacing w:after="120"/>
      </w:pPr>
      <w:r w:rsidRPr="00185212">
        <w:t xml:space="preserve">This section provides other disclosures relevant to the </w:t>
      </w:r>
      <w:r w:rsidR="00FA455C">
        <w:t>Department of Employment</w:t>
      </w:r>
      <w:r>
        <w:t xml:space="preserve"> </w:t>
      </w:r>
      <w:r w:rsidRPr="00185212">
        <w:t>financial information environment for the year.</w:t>
      </w:r>
    </w:p>
    <w:p w:rsidR="008835EB" w:rsidRPr="00EF7935" w:rsidRDefault="008835EB" w:rsidP="008835EB">
      <w:pPr>
        <w:pStyle w:val="SubHeading"/>
      </w:pPr>
      <w:bookmarkStart w:id="556" w:name="RANGE!D7:H100"/>
      <w:bookmarkStart w:id="557" w:name="RANGE!D7:J100"/>
      <w:bookmarkStart w:id="558" w:name="RANGE!D7:H95"/>
      <w:bookmarkStart w:id="559" w:name="RANGE!D7:H99"/>
      <w:bookmarkStart w:id="560" w:name="RANGE!D7:H50"/>
      <w:bookmarkStart w:id="561" w:name="RANGE!D7:H49"/>
      <w:bookmarkStart w:id="562" w:name="RANGE!D7:G54"/>
      <w:bookmarkStart w:id="563" w:name="RANGE!D7:G59"/>
      <w:bookmarkStart w:id="564" w:name="RANGE!D7:G39"/>
      <w:bookmarkStart w:id="565" w:name="RANGE!D7:K39"/>
      <w:bookmarkStart w:id="566" w:name="RANGE!D7:J25"/>
      <w:bookmarkStart w:id="567" w:name="RANGE!D6:K7"/>
      <w:bookmarkStart w:id="568" w:name="RANGE!D6:L7"/>
      <w:bookmarkStart w:id="569" w:name="RANGE!D7:G81"/>
      <w:bookmarkStart w:id="570" w:name="RANGE!D7:I82"/>
      <w:bookmarkStart w:id="571" w:name="RANGE!D7:I69"/>
      <w:bookmarkStart w:id="572" w:name="RANGE!D7:G82"/>
      <w:bookmarkStart w:id="573" w:name="RANGE!D7:G48"/>
      <w:bookmarkStart w:id="574" w:name="RANGE!D7:G42"/>
      <w:bookmarkStart w:id="575" w:name="RANGE!D7:G44"/>
      <w:bookmarkStart w:id="576" w:name="RANGE!D7:G30"/>
      <w:bookmarkStart w:id="577" w:name="RANGE!D7:G26"/>
      <w:bookmarkStart w:id="578" w:name="RANGE!D6:I41"/>
      <w:bookmarkStart w:id="579" w:name="RANGE!D7:J19"/>
      <w:bookmarkStart w:id="580" w:name="RANGE!D7:J22"/>
      <w:bookmarkStart w:id="581" w:name="RANGE!D7:J23"/>
      <w:bookmarkStart w:id="582" w:name="RANGE!D6:J22"/>
      <w:bookmarkStart w:id="583" w:name="RANGE!D6:J24"/>
      <w:bookmarkStart w:id="584" w:name="RANGE!D6:J18"/>
      <w:bookmarkStart w:id="585" w:name="RANGE!D6:J19"/>
      <w:bookmarkStart w:id="586" w:name="RANGE!D6:J20"/>
      <w:bookmarkStart w:id="587" w:name="RANGE!D19:J22"/>
      <w:bookmarkStart w:id="588" w:name="RANGE!D17:J20"/>
      <w:bookmarkStart w:id="589" w:name="RANGE!D17:J19"/>
      <w:bookmarkStart w:id="590" w:name="RANGE!D18:J20"/>
      <w:bookmarkStart w:id="591" w:name="RANGE!D36:J38"/>
      <w:bookmarkStart w:id="592" w:name="RANGE!D7:G29"/>
      <w:bookmarkStart w:id="593" w:name="_Toc456689868"/>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r w:rsidRPr="00EF7935">
        <w:t>Reporting of Outcomes</w:t>
      </w:r>
      <w:bookmarkEnd w:id="593"/>
    </w:p>
    <w:tbl>
      <w:tblPr>
        <w:tblW w:w="13991" w:type="dxa"/>
        <w:tblInd w:w="80" w:type="dxa"/>
        <w:tblLayout w:type="fixed"/>
        <w:tblLook w:val="04A0" w:firstRow="1" w:lastRow="0" w:firstColumn="1" w:lastColumn="0" w:noHBand="0" w:noVBand="1"/>
      </w:tblPr>
      <w:tblGrid>
        <w:gridCol w:w="3140"/>
        <w:gridCol w:w="1088"/>
        <w:gridCol w:w="1086"/>
        <w:gridCol w:w="1091"/>
        <w:gridCol w:w="1086"/>
        <w:gridCol w:w="1083"/>
        <w:gridCol w:w="1085"/>
        <w:gridCol w:w="1084"/>
        <w:gridCol w:w="1085"/>
        <w:gridCol w:w="1082"/>
        <w:gridCol w:w="1081"/>
      </w:tblGrid>
      <w:tr w:rsidR="008835EB" w:rsidTr="007E3F2E">
        <w:trPr>
          <w:trHeight w:val="387"/>
        </w:trPr>
        <w:tc>
          <w:tcPr>
            <w:tcW w:w="12910" w:type="dxa"/>
            <w:gridSpan w:val="10"/>
            <w:tcBorders>
              <w:top w:val="nil"/>
              <w:left w:val="nil"/>
              <w:bottom w:val="nil"/>
              <w:right w:val="nil"/>
            </w:tcBorders>
            <w:shd w:val="clear" w:color="FFFFFF" w:fill="FFFFFF"/>
            <w:noWrap/>
            <w:vAlign w:val="bottom"/>
            <w:hideMark/>
          </w:tcPr>
          <w:p w:rsidR="008835EB" w:rsidRDefault="008835EB" w:rsidP="007E3F2E">
            <w:pPr>
              <w:pStyle w:val="NotesHeading-Level1"/>
            </w:pPr>
            <w:bookmarkStart w:id="594" w:name="RANGE!D34:D94"/>
            <w:bookmarkStart w:id="595" w:name="Note_ROOTABLE2" w:colFirst="0" w:colLast="0"/>
            <w:r>
              <w:t xml:space="preserve">Note </w:t>
            </w:r>
            <w:proofErr w:type="spellStart"/>
            <w:r>
              <w:t>8.1A</w:t>
            </w:r>
            <w:proofErr w:type="spellEnd"/>
            <w:r>
              <w:t>: Major Classes of Departmental Expense, Income, Assets and Liabilities by Outcome</w:t>
            </w:r>
            <w:bookmarkEnd w:id="594"/>
          </w:p>
        </w:tc>
        <w:tc>
          <w:tcPr>
            <w:tcW w:w="1081" w:type="dxa"/>
            <w:tcBorders>
              <w:top w:val="nil"/>
              <w:left w:val="nil"/>
              <w:bottom w:val="nil"/>
              <w:right w:val="nil"/>
            </w:tcBorders>
            <w:shd w:val="clear" w:color="FFFFFF" w:fill="FFFFFF"/>
            <w:noWrap/>
            <w:vAlign w:val="bottom"/>
            <w:hideMark/>
          </w:tcPr>
          <w:p w:rsidR="008835EB" w:rsidRDefault="008835EB" w:rsidP="007E3F2E">
            <w:pPr>
              <w:pStyle w:val="NotesHeading-Level1"/>
            </w:pPr>
            <w:r>
              <w:t> </w:t>
            </w:r>
          </w:p>
        </w:tc>
      </w:tr>
      <w:bookmarkEnd w:id="595"/>
      <w:tr w:rsidR="008835EB" w:rsidTr="007E3F2E">
        <w:trPr>
          <w:trHeight w:val="529"/>
        </w:trPr>
        <w:tc>
          <w:tcPr>
            <w:tcW w:w="3140" w:type="dxa"/>
            <w:tcBorders>
              <w:top w:val="single" w:sz="4" w:space="0" w:color="auto"/>
              <w:left w:val="single" w:sz="4" w:space="0" w:color="auto"/>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2174"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Default="008835EB" w:rsidP="007E3F2E">
            <w:pPr>
              <w:jc w:val="center"/>
              <w:rPr>
                <w:rFonts w:cs="Calibri"/>
                <w:b/>
                <w:bCs/>
                <w:szCs w:val="18"/>
              </w:rPr>
            </w:pPr>
            <w:r>
              <w:rPr>
                <w:rFonts w:cs="Calibri"/>
                <w:b/>
                <w:bCs/>
                <w:szCs w:val="18"/>
              </w:rPr>
              <w:t>Outcome 1</w:t>
            </w:r>
          </w:p>
        </w:tc>
        <w:tc>
          <w:tcPr>
            <w:tcW w:w="2177"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Default="008835EB" w:rsidP="007E3F2E">
            <w:pPr>
              <w:jc w:val="center"/>
              <w:rPr>
                <w:rFonts w:cs="Calibri"/>
                <w:b/>
                <w:bCs/>
                <w:szCs w:val="18"/>
              </w:rPr>
            </w:pPr>
            <w:r>
              <w:rPr>
                <w:rFonts w:cs="Calibri"/>
                <w:b/>
                <w:bCs/>
                <w:szCs w:val="18"/>
              </w:rPr>
              <w:t>Outcome 2</w:t>
            </w:r>
          </w:p>
        </w:tc>
        <w:tc>
          <w:tcPr>
            <w:tcW w:w="2168"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Default="008835EB" w:rsidP="007E3F2E">
            <w:pPr>
              <w:jc w:val="center"/>
              <w:rPr>
                <w:rFonts w:cs="Calibri"/>
                <w:b/>
                <w:bCs/>
                <w:szCs w:val="18"/>
              </w:rPr>
            </w:pPr>
            <w:r>
              <w:rPr>
                <w:rFonts w:cs="Calibri"/>
                <w:b/>
                <w:bCs/>
                <w:szCs w:val="18"/>
              </w:rPr>
              <w:t>Payments to corporate Commonwealth entities*</w:t>
            </w:r>
          </w:p>
        </w:tc>
        <w:tc>
          <w:tcPr>
            <w:tcW w:w="2169"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Default="008835EB" w:rsidP="007E3F2E">
            <w:pPr>
              <w:jc w:val="center"/>
              <w:rPr>
                <w:rFonts w:cs="Calibri"/>
                <w:b/>
                <w:bCs/>
                <w:szCs w:val="18"/>
              </w:rPr>
            </w:pPr>
            <w:r>
              <w:rPr>
                <w:rFonts w:cs="Calibri"/>
                <w:b/>
                <w:bCs/>
                <w:szCs w:val="18"/>
              </w:rPr>
              <w:t>Not attributed</w:t>
            </w:r>
            <w:r>
              <w:rPr>
                <w:rFonts w:cs="Calibri"/>
                <w:b/>
                <w:bCs/>
                <w:szCs w:val="18"/>
                <w:vertAlign w:val="superscript"/>
              </w:rPr>
              <w:t>#</w:t>
            </w:r>
          </w:p>
        </w:tc>
        <w:tc>
          <w:tcPr>
            <w:tcW w:w="2163" w:type="dxa"/>
            <w:gridSpan w:val="2"/>
            <w:tcBorders>
              <w:top w:val="single" w:sz="4" w:space="0" w:color="auto"/>
              <w:left w:val="nil"/>
              <w:bottom w:val="single" w:sz="4" w:space="0" w:color="auto"/>
              <w:right w:val="single" w:sz="4" w:space="0" w:color="000000"/>
            </w:tcBorders>
            <w:shd w:val="clear" w:color="FFFFFF" w:fill="FFFFFF"/>
            <w:vAlign w:val="bottom"/>
            <w:hideMark/>
          </w:tcPr>
          <w:p w:rsidR="008835EB" w:rsidRDefault="008835EB" w:rsidP="007E3F2E">
            <w:pPr>
              <w:jc w:val="center"/>
              <w:rPr>
                <w:rFonts w:cs="Calibri"/>
                <w:b/>
                <w:bCs/>
                <w:szCs w:val="18"/>
              </w:rPr>
            </w:pPr>
            <w:r>
              <w:rPr>
                <w:rFonts w:cs="Calibri"/>
                <w:b/>
                <w:bCs/>
                <w:szCs w:val="18"/>
              </w:rPr>
              <w:t>Total</w:t>
            </w:r>
          </w:p>
        </w:tc>
      </w:tr>
      <w:tr w:rsidR="008835EB" w:rsidTr="007E3F2E">
        <w:trPr>
          <w:trHeight w:val="240"/>
        </w:trPr>
        <w:tc>
          <w:tcPr>
            <w:tcW w:w="3140" w:type="dxa"/>
            <w:tcBorders>
              <w:top w:val="nil"/>
              <w:left w:val="single" w:sz="4" w:space="0" w:color="auto"/>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8"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086"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2015</w:t>
            </w:r>
          </w:p>
        </w:tc>
        <w:tc>
          <w:tcPr>
            <w:tcW w:w="1091"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086"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2015</w:t>
            </w:r>
          </w:p>
        </w:tc>
        <w:tc>
          <w:tcPr>
            <w:tcW w:w="1083"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085"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2015</w:t>
            </w:r>
          </w:p>
        </w:tc>
        <w:tc>
          <w:tcPr>
            <w:tcW w:w="1084"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085"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2015</w:t>
            </w:r>
          </w:p>
        </w:tc>
        <w:tc>
          <w:tcPr>
            <w:tcW w:w="1082"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2016</w:t>
            </w:r>
          </w:p>
        </w:tc>
        <w:tc>
          <w:tcPr>
            <w:tcW w:w="1081" w:type="dxa"/>
            <w:tcBorders>
              <w:top w:val="nil"/>
              <w:left w:val="nil"/>
              <w:bottom w:val="nil"/>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2015</w:t>
            </w:r>
          </w:p>
        </w:tc>
      </w:tr>
      <w:tr w:rsidR="008835EB" w:rsidTr="007E3F2E">
        <w:trPr>
          <w:trHeight w:val="240"/>
        </w:trPr>
        <w:tc>
          <w:tcPr>
            <w:tcW w:w="3140" w:type="dxa"/>
            <w:tcBorders>
              <w:top w:val="nil"/>
              <w:left w:val="single" w:sz="4" w:space="0" w:color="auto"/>
              <w:bottom w:val="single" w:sz="4" w:space="0" w:color="auto"/>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8"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086"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091"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086"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083"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085"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084"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085"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$'000</w:t>
            </w:r>
          </w:p>
        </w:tc>
        <w:tc>
          <w:tcPr>
            <w:tcW w:w="1082"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b/>
                <w:bCs/>
                <w:szCs w:val="18"/>
              </w:rPr>
            </w:pPr>
            <w:r>
              <w:rPr>
                <w:rFonts w:cs="Calibri"/>
                <w:b/>
                <w:bCs/>
                <w:szCs w:val="18"/>
              </w:rPr>
              <w:t>$'000</w:t>
            </w:r>
          </w:p>
        </w:tc>
        <w:tc>
          <w:tcPr>
            <w:tcW w:w="1081" w:type="dxa"/>
            <w:tcBorders>
              <w:top w:val="nil"/>
              <w:left w:val="nil"/>
              <w:bottom w:val="single" w:sz="4" w:space="0" w:color="auto"/>
              <w:right w:val="single" w:sz="4" w:space="0" w:color="auto"/>
            </w:tcBorders>
            <w:shd w:val="clear" w:color="FFFFFF" w:fill="FFFFFF"/>
            <w:vAlign w:val="bottom"/>
            <w:hideMark/>
          </w:tcPr>
          <w:p w:rsidR="008835EB" w:rsidRDefault="008835EB" w:rsidP="007E3F2E">
            <w:pPr>
              <w:jc w:val="right"/>
              <w:rPr>
                <w:rFonts w:cs="Calibri"/>
                <w:szCs w:val="18"/>
              </w:rPr>
            </w:pPr>
            <w:r>
              <w:rPr>
                <w:rFonts w:cs="Calibri"/>
                <w:szCs w:val="18"/>
              </w:rPr>
              <w:t>$'000</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Expenses</w:t>
            </w:r>
          </w:p>
        </w:tc>
        <w:tc>
          <w:tcPr>
            <w:tcW w:w="1088"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6"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91"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6"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3"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5"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4"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5"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2"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1"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Employee benefits</w:t>
            </w:r>
          </w:p>
        </w:tc>
        <w:tc>
          <w:tcPr>
            <w:tcW w:w="1088"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158,140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147,912 </w:t>
            </w:r>
          </w:p>
        </w:tc>
        <w:tc>
          <w:tcPr>
            <w:tcW w:w="1091"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45,135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33,767 </w:t>
            </w:r>
          </w:p>
        </w:tc>
        <w:tc>
          <w:tcPr>
            <w:tcW w:w="1083"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203,275</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181,711</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Suppliers</w:t>
            </w:r>
          </w:p>
        </w:tc>
        <w:tc>
          <w:tcPr>
            <w:tcW w:w="1088"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79,233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81,407 </w:t>
            </w:r>
          </w:p>
        </w:tc>
        <w:tc>
          <w:tcPr>
            <w:tcW w:w="1091"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22,614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42,113 </w:t>
            </w:r>
          </w:p>
        </w:tc>
        <w:tc>
          <w:tcPr>
            <w:tcW w:w="1083"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101,847</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123,488</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Grants</w:t>
            </w:r>
          </w:p>
        </w:tc>
        <w:tc>
          <w:tcPr>
            <w:tcW w:w="1088"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90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589 </w:t>
            </w:r>
          </w:p>
        </w:tc>
        <w:tc>
          <w:tcPr>
            <w:tcW w:w="1091"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210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850 </w:t>
            </w:r>
          </w:p>
        </w:tc>
        <w:tc>
          <w:tcPr>
            <w:tcW w:w="1083"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300</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1,439</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Depreciation and amortisation</w:t>
            </w:r>
          </w:p>
        </w:tc>
        <w:tc>
          <w:tcPr>
            <w:tcW w:w="1088"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16,750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21,891 </w:t>
            </w:r>
          </w:p>
        </w:tc>
        <w:tc>
          <w:tcPr>
            <w:tcW w:w="1091"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5,111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5,984 </w:t>
            </w:r>
          </w:p>
        </w:tc>
        <w:tc>
          <w:tcPr>
            <w:tcW w:w="1083"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nil"/>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21,861</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27,875</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w:t>
            </w:r>
          </w:p>
        </w:tc>
        <w:tc>
          <w:tcPr>
            <w:tcW w:w="1088"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723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1,160 </w:t>
            </w:r>
          </w:p>
        </w:tc>
        <w:tc>
          <w:tcPr>
            <w:tcW w:w="1091"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206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386 </w:t>
            </w:r>
          </w:p>
        </w:tc>
        <w:tc>
          <w:tcPr>
            <w:tcW w:w="1083"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929</w:t>
            </w:r>
          </w:p>
        </w:tc>
        <w:tc>
          <w:tcPr>
            <w:tcW w:w="1081"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1,546</w:t>
            </w:r>
          </w:p>
        </w:tc>
      </w:tr>
      <w:tr w:rsidR="008835EB" w:rsidTr="007E3F2E">
        <w:trPr>
          <w:trHeight w:val="229"/>
        </w:trPr>
        <w:tc>
          <w:tcPr>
            <w:tcW w:w="31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Total expenses</w:t>
            </w:r>
          </w:p>
        </w:tc>
        <w:tc>
          <w:tcPr>
            <w:tcW w:w="1088"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254,936</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252,959</w:t>
            </w:r>
          </w:p>
        </w:tc>
        <w:tc>
          <w:tcPr>
            <w:tcW w:w="1091"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73,276</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83,100</w:t>
            </w:r>
          </w:p>
        </w:tc>
        <w:tc>
          <w:tcPr>
            <w:tcW w:w="1083"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084"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082"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328,212</w:t>
            </w:r>
          </w:p>
        </w:tc>
        <w:tc>
          <w:tcPr>
            <w:tcW w:w="1081"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336,059</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Income</w:t>
            </w:r>
          </w:p>
        </w:tc>
        <w:tc>
          <w:tcPr>
            <w:tcW w:w="1088" w:type="dxa"/>
            <w:tcBorders>
              <w:top w:val="nil"/>
              <w:left w:val="nil"/>
              <w:bottom w:val="nil"/>
              <w:right w:val="single" w:sz="4" w:space="0" w:color="auto"/>
            </w:tcBorders>
            <w:shd w:val="clear" w:color="FFFFFF" w:fill="FFFFFF"/>
            <w:noWrap/>
            <w:hideMark/>
          </w:tcPr>
          <w:p w:rsidR="008835EB" w:rsidRDefault="008835EB" w:rsidP="007E3F2E">
            <w:pPr>
              <w:rPr>
                <w:rFonts w:cs="Calibri"/>
                <w:szCs w:val="18"/>
              </w:rPr>
            </w:pPr>
            <w:r>
              <w:rPr>
                <w:rFonts w:cs="Calibri"/>
                <w:szCs w:val="18"/>
              </w:rPr>
              <w:t> </w:t>
            </w:r>
          </w:p>
        </w:tc>
        <w:tc>
          <w:tcPr>
            <w:tcW w:w="1086"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91" w:type="dxa"/>
            <w:tcBorders>
              <w:top w:val="nil"/>
              <w:left w:val="nil"/>
              <w:bottom w:val="nil"/>
              <w:right w:val="single" w:sz="4" w:space="0" w:color="auto"/>
            </w:tcBorders>
            <w:shd w:val="clear" w:color="FFFFFF" w:fill="FFFFFF"/>
            <w:noWrap/>
            <w:hideMark/>
          </w:tcPr>
          <w:p w:rsidR="008835EB" w:rsidRDefault="008835EB" w:rsidP="007E3F2E">
            <w:pPr>
              <w:rPr>
                <w:rFonts w:cs="Calibri"/>
                <w:szCs w:val="18"/>
              </w:rPr>
            </w:pPr>
            <w:r>
              <w:rPr>
                <w:rFonts w:cs="Calibri"/>
                <w:szCs w:val="18"/>
              </w:rPr>
              <w:t> </w:t>
            </w:r>
          </w:p>
        </w:tc>
        <w:tc>
          <w:tcPr>
            <w:tcW w:w="1086" w:type="dxa"/>
            <w:tcBorders>
              <w:top w:val="nil"/>
              <w:left w:val="nil"/>
              <w:bottom w:val="nil"/>
              <w:right w:val="single" w:sz="4" w:space="0" w:color="auto"/>
            </w:tcBorders>
            <w:shd w:val="clear" w:color="FFFFFF" w:fill="FFFFFF"/>
            <w:noWrap/>
            <w:hideMark/>
          </w:tcPr>
          <w:p w:rsidR="008835EB" w:rsidRDefault="008835EB" w:rsidP="007E3F2E">
            <w:pPr>
              <w:rPr>
                <w:rFonts w:cs="Calibri"/>
                <w:szCs w:val="18"/>
              </w:rPr>
            </w:pPr>
            <w:r>
              <w:rPr>
                <w:rFonts w:cs="Calibri"/>
                <w:szCs w:val="18"/>
              </w:rPr>
              <w:t> </w:t>
            </w:r>
          </w:p>
        </w:tc>
        <w:tc>
          <w:tcPr>
            <w:tcW w:w="1083" w:type="dxa"/>
            <w:tcBorders>
              <w:top w:val="nil"/>
              <w:left w:val="nil"/>
              <w:bottom w:val="nil"/>
              <w:right w:val="single" w:sz="4" w:space="0" w:color="auto"/>
            </w:tcBorders>
            <w:shd w:val="clear" w:color="FFFFFF" w:fill="FFFFFF"/>
            <w:noWrap/>
            <w:hideMark/>
          </w:tcPr>
          <w:p w:rsidR="008835EB" w:rsidRDefault="008835EB" w:rsidP="007E3F2E">
            <w:pPr>
              <w:rPr>
                <w:rFonts w:cs="Calibri"/>
                <w:szCs w:val="18"/>
              </w:rPr>
            </w:pPr>
            <w:r>
              <w:rPr>
                <w:rFonts w:cs="Calibri"/>
                <w:szCs w:val="18"/>
              </w:rPr>
              <w:t> </w:t>
            </w:r>
          </w:p>
        </w:tc>
        <w:tc>
          <w:tcPr>
            <w:tcW w:w="1085" w:type="dxa"/>
            <w:tcBorders>
              <w:top w:val="nil"/>
              <w:left w:val="nil"/>
              <w:bottom w:val="nil"/>
              <w:right w:val="single" w:sz="4" w:space="0" w:color="auto"/>
            </w:tcBorders>
            <w:shd w:val="clear" w:color="FFFFFF" w:fill="FFFFFF"/>
            <w:noWrap/>
            <w:hideMark/>
          </w:tcPr>
          <w:p w:rsidR="008835EB" w:rsidRDefault="008835EB" w:rsidP="007E3F2E">
            <w:pPr>
              <w:rPr>
                <w:rFonts w:cs="Calibri"/>
                <w:szCs w:val="18"/>
              </w:rPr>
            </w:pPr>
            <w:r>
              <w:rPr>
                <w:rFonts w:cs="Calibri"/>
                <w:szCs w:val="18"/>
              </w:rPr>
              <w:t> </w:t>
            </w:r>
          </w:p>
        </w:tc>
        <w:tc>
          <w:tcPr>
            <w:tcW w:w="1084" w:type="dxa"/>
            <w:tcBorders>
              <w:top w:val="nil"/>
              <w:left w:val="nil"/>
              <w:bottom w:val="nil"/>
              <w:right w:val="single" w:sz="4" w:space="0" w:color="auto"/>
            </w:tcBorders>
            <w:shd w:val="clear" w:color="FFFFFF" w:fill="FFFFFF"/>
            <w:noWrap/>
            <w:hideMark/>
          </w:tcPr>
          <w:p w:rsidR="008835EB" w:rsidRDefault="008835EB" w:rsidP="007E3F2E">
            <w:pPr>
              <w:rPr>
                <w:rFonts w:cs="Calibri"/>
                <w:szCs w:val="18"/>
              </w:rPr>
            </w:pPr>
            <w:r>
              <w:rPr>
                <w:rFonts w:cs="Calibri"/>
                <w:szCs w:val="18"/>
              </w:rPr>
              <w:t> </w:t>
            </w:r>
          </w:p>
        </w:tc>
        <w:tc>
          <w:tcPr>
            <w:tcW w:w="1085"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c>
          <w:tcPr>
            <w:tcW w:w="1082" w:type="dxa"/>
            <w:tcBorders>
              <w:top w:val="nil"/>
              <w:left w:val="nil"/>
              <w:bottom w:val="nil"/>
              <w:right w:val="single" w:sz="4" w:space="0" w:color="auto"/>
            </w:tcBorders>
            <w:shd w:val="clear" w:color="FFFFFF" w:fill="FFFFFF"/>
            <w:noWrap/>
            <w:hideMark/>
          </w:tcPr>
          <w:p w:rsidR="008835EB" w:rsidRDefault="008835EB" w:rsidP="007E3F2E">
            <w:pPr>
              <w:rPr>
                <w:rFonts w:cs="Calibri"/>
                <w:szCs w:val="18"/>
              </w:rPr>
            </w:pPr>
            <w:r>
              <w:rPr>
                <w:rFonts w:cs="Calibri"/>
                <w:szCs w:val="18"/>
              </w:rPr>
              <w:t> </w:t>
            </w:r>
          </w:p>
        </w:tc>
        <w:tc>
          <w:tcPr>
            <w:tcW w:w="1081" w:type="dxa"/>
            <w:tcBorders>
              <w:top w:val="nil"/>
              <w:left w:val="nil"/>
              <w:bottom w:val="nil"/>
              <w:right w:val="single" w:sz="4" w:space="0" w:color="auto"/>
            </w:tcBorders>
            <w:shd w:val="clear" w:color="FFFFFF" w:fill="FFFFFF"/>
            <w:noWrap/>
            <w:hideMark/>
          </w:tcPr>
          <w:p w:rsidR="008835EB" w:rsidRDefault="008835EB" w:rsidP="007E3F2E">
            <w:pPr>
              <w:rPr>
                <w:rFonts w:cs="Calibri"/>
                <w:sz w:val="16"/>
                <w:szCs w:val="16"/>
              </w:rPr>
            </w:pPr>
            <w:r>
              <w:rPr>
                <w:rFonts w:cs="Calibri"/>
                <w:sz w:val="16"/>
                <w:szCs w:val="16"/>
              </w:rPr>
              <w:t> </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vAlign w:val="bottom"/>
            <w:hideMark/>
          </w:tcPr>
          <w:p w:rsidR="008835EB" w:rsidRDefault="008835EB" w:rsidP="008835EB">
            <w:pPr>
              <w:ind w:firstLineChars="100" w:firstLine="180"/>
              <w:rPr>
                <w:rFonts w:cs="Calibri"/>
                <w:szCs w:val="18"/>
              </w:rPr>
            </w:pPr>
            <w:r>
              <w:rPr>
                <w:rFonts w:cs="Calibri"/>
                <w:szCs w:val="18"/>
              </w:rPr>
              <w:t>Sales of goods and rendering of services</w:t>
            </w:r>
          </w:p>
        </w:tc>
        <w:tc>
          <w:tcPr>
            <w:tcW w:w="1088"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19,012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22,582 </w:t>
            </w:r>
          </w:p>
        </w:tc>
        <w:tc>
          <w:tcPr>
            <w:tcW w:w="1091"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5,261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3,978 </w:t>
            </w:r>
          </w:p>
        </w:tc>
        <w:tc>
          <w:tcPr>
            <w:tcW w:w="1083"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24,273</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26,560</w:t>
            </w:r>
          </w:p>
        </w:tc>
      </w:tr>
      <w:tr w:rsidR="008835E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Default="008835EB" w:rsidP="008835EB">
            <w:pPr>
              <w:ind w:firstLineChars="100" w:firstLine="180"/>
              <w:rPr>
                <w:rFonts w:cs="Calibri"/>
                <w:szCs w:val="18"/>
              </w:rPr>
            </w:pPr>
            <w:r>
              <w:rPr>
                <w:rFonts w:cs="Calibri"/>
                <w:szCs w:val="18"/>
              </w:rPr>
              <w:t>Other</w:t>
            </w:r>
          </w:p>
        </w:tc>
        <w:tc>
          <w:tcPr>
            <w:tcW w:w="1088"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2,882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908 </w:t>
            </w:r>
          </w:p>
        </w:tc>
        <w:tc>
          <w:tcPr>
            <w:tcW w:w="1091"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870 </w:t>
            </w:r>
          </w:p>
        </w:tc>
        <w:tc>
          <w:tcPr>
            <w:tcW w:w="1086"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453 </w:t>
            </w:r>
          </w:p>
        </w:tc>
        <w:tc>
          <w:tcPr>
            <w:tcW w:w="1083"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nil"/>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nil"/>
              <w:bottom w:val="nil"/>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3,752</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1,361</w:t>
            </w:r>
          </w:p>
        </w:tc>
      </w:tr>
      <w:tr w:rsidR="008835EB" w:rsidTr="007E3F2E">
        <w:trPr>
          <w:trHeight w:val="229"/>
        </w:trPr>
        <w:tc>
          <w:tcPr>
            <w:tcW w:w="31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Total income</w:t>
            </w:r>
          </w:p>
        </w:tc>
        <w:tc>
          <w:tcPr>
            <w:tcW w:w="1088"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21,894</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23,490</w:t>
            </w:r>
          </w:p>
        </w:tc>
        <w:tc>
          <w:tcPr>
            <w:tcW w:w="1091"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6,131</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4,431</w:t>
            </w:r>
          </w:p>
        </w:tc>
        <w:tc>
          <w:tcPr>
            <w:tcW w:w="1083"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084"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082"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28,025</w:t>
            </w:r>
          </w:p>
        </w:tc>
        <w:tc>
          <w:tcPr>
            <w:tcW w:w="1081" w:type="dxa"/>
            <w:tcBorders>
              <w:top w:val="single" w:sz="4" w:space="0" w:color="auto"/>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27,921</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hideMark/>
          </w:tcPr>
          <w:p w:rsidR="008835EB" w:rsidRDefault="008835EB" w:rsidP="007E3F2E">
            <w:pPr>
              <w:rPr>
                <w:rFonts w:cs="Calibri"/>
                <w:b/>
                <w:bCs/>
                <w:szCs w:val="18"/>
              </w:rPr>
            </w:pPr>
            <w:r>
              <w:rPr>
                <w:rFonts w:cs="Calibri"/>
                <w:b/>
                <w:bCs/>
                <w:szCs w:val="18"/>
              </w:rPr>
              <w:t>Expenses</w:t>
            </w:r>
          </w:p>
        </w:tc>
        <w:tc>
          <w:tcPr>
            <w:tcW w:w="1088"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6"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91"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6"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3"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5"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5"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2"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c>
          <w:tcPr>
            <w:tcW w:w="1081" w:type="dxa"/>
            <w:tcBorders>
              <w:top w:val="nil"/>
              <w:left w:val="nil"/>
              <w:bottom w:val="nil"/>
              <w:right w:val="single" w:sz="4" w:space="0" w:color="auto"/>
            </w:tcBorders>
            <w:shd w:val="clear" w:color="000000" w:fill="D9D9D9"/>
            <w:noWrap/>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Suppliers</w:t>
            </w:r>
          </w:p>
        </w:tc>
        <w:tc>
          <w:tcPr>
            <w:tcW w:w="108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983,296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1,171,324 </w:t>
            </w:r>
          </w:p>
        </w:tc>
        <w:tc>
          <w:tcPr>
            <w:tcW w:w="1091"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20,925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16,544 </w:t>
            </w:r>
          </w:p>
        </w:tc>
        <w:tc>
          <w:tcPr>
            <w:tcW w:w="1083"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1,004,221</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1,187,868</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Subsidies</w:t>
            </w:r>
          </w:p>
        </w:tc>
        <w:tc>
          <w:tcPr>
            <w:tcW w:w="108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20,234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120,839 </w:t>
            </w:r>
          </w:p>
        </w:tc>
        <w:tc>
          <w:tcPr>
            <w:tcW w:w="1091"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144,931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160,506 </w:t>
            </w:r>
          </w:p>
        </w:tc>
        <w:tc>
          <w:tcPr>
            <w:tcW w:w="1083"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165,165</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281,345</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Personal benefits</w:t>
            </w:r>
          </w:p>
        </w:tc>
        <w:tc>
          <w:tcPr>
            <w:tcW w:w="108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56,183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72,530 </w:t>
            </w:r>
          </w:p>
        </w:tc>
        <w:tc>
          <w:tcPr>
            <w:tcW w:w="1091"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281,631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312,429 </w:t>
            </w:r>
          </w:p>
        </w:tc>
        <w:tc>
          <w:tcPr>
            <w:tcW w:w="1083"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337,814</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384,959</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Grants</w:t>
            </w:r>
          </w:p>
        </w:tc>
        <w:tc>
          <w:tcPr>
            <w:tcW w:w="108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8,929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2,411 </w:t>
            </w:r>
          </w:p>
        </w:tc>
        <w:tc>
          <w:tcPr>
            <w:tcW w:w="1091"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81,904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87,362 </w:t>
            </w:r>
          </w:p>
        </w:tc>
        <w:tc>
          <w:tcPr>
            <w:tcW w:w="1083"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90,833</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89,773</w:t>
            </w:r>
          </w:p>
        </w:tc>
      </w:tr>
      <w:tr w:rsidR="008835EB" w:rsidTr="007E3F2E">
        <w:trPr>
          <w:trHeight w:val="240"/>
        </w:trPr>
        <w:tc>
          <w:tcPr>
            <w:tcW w:w="3140" w:type="dxa"/>
            <w:tcBorders>
              <w:top w:val="nil"/>
              <w:left w:val="single" w:sz="4" w:space="0" w:color="auto"/>
              <w:bottom w:val="single" w:sz="4" w:space="0" w:color="auto"/>
              <w:right w:val="single" w:sz="4" w:space="0" w:color="auto"/>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Other</w:t>
            </w:r>
          </w:p>
        </w:tc>
        <w:tc>
          <w:tcPr>
            <w:tcW w:w="108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2,230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145 </w:t>
            </w:r>
          </w:p>
        </w:tc>
        <w:tc>
          <w:tcPr>
            <w:tcW w:w="1091"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63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10 </w:t>
            </w:r>
          </w:p>
        </w:tc>
        <w:tc>
          <w:tcPr>
            <w:tcW w:w="1083"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7,727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7,563 </w:t>
            </w:r>
          </w:p>
        </w:tc>
        <w:tc>
          <w:tcPr>
            <w:tcW w:w="1084"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10,020</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7,718</w:t>
            </w:r>
          </w:p>
        </w:tc>
      </w:tr>
      <w:tr w:rsidR="008835EB" w:rsidTr="007E3F2E">
        <w:trPr>
          <w:trHeight w:val="240"/>
        </w:trPr>
        <w:tc>
          <w:tcPr>
            <w:tcW w:w="3140" w:type="dxa"/>
            <w:tcBorders>
              <w:top w:val="nil"/>
              <w:left w:val="single" w:sz="4" w:space="0" w:color="auto"/>
              <w:bottom w:val="single" w:sz="4" w:space="0" w:color="auto"/>
              <w:right w:val="single" w:sz="4" w:space="0" w:color="auto"/>
            </w:tcBorders>
            <w:shd w:val="clear" w:color="000000" w:fill="D9D9D9"/>
            <w:hideMark/>
          </w:tcPr>
          <w:p w:rsidR="008835EB" w:rsidRDefault="008835EB" w:rsidP="007E3F2E">
            <w:pPr>
              <w:rPr>
                <w:rFonts w:cs="Calibri"/>
                <w:b/>
                <w:bCs/>
                <w:i/>
                <w:iCs/>
                <w:szCs w:val="18"/>
              </w:rPr>
            </w:pPr>
            <w:r>
              <w:rPr>
                <w:rFonts w:cs="Calibri"/>
                <w:b/>
                <w:bCs/>
                <w:i/>
                <w:iCs/>
                <w:szCs w:val="18"/>
              </w:rPr>
              <w:t>Total expenses</w:t>
            </w:r>
          </w:p>
        </w:tc>
        <w:tc>
          <w:tcPr>
            <w:tcW w:w="1088"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1,070,872</w:t>
            </w:r>
          </w:p>
        </w:tc>
        <w:tc>
          <w:tcPr>
            <w:tcW w:w="1086" w:type="dxa"/>
            <w:tcBorders>
              <w:top w:val="single" w:sz="4" w:space="0" w:color="auto"/>
              <w:left w:val="nil"/>
              <w:bottom w:val="single" w:sz="4" w:space="0" w:color="auto"/>
              <w:right w:val="nil"/>
            </w:tcBorders>
            <w:shd w:val="clear" w:color="000000" w:fill="D9D9D9"/>
            <w:noWrap/>
            <w:vAlign w:val="center"/>
            <w:hideMark/>
          </w:tcPr>
          <w:p w:rsidR="008835EB" w:rsidRDefault="008835EB" w:rsidP="007E3F2E">
            <w:pPr>
              <w:jc w:val="right"/>
              <w:rPr>
                <w:rFonts w:cs="Calibri"/>
                <w:szCs w:val="18"/>
              </w:rPr>
            </w:pPr>
            <w:r>
              <w:rPr>
                <w:rFonts w:cs="Calibri"/>
                <w:szCs w:val="18"/>
              </w:rPr>
              <w:t>1,367,249</w:t>
            </w:r>
          </w:p>
        </w:tc>
        <w:tc>
          <w:tcPr>
            <w:tcW w:w="109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529,454</w:t>
            </w:r>
          </w:p>
        </w:tc>
        <w:tc>
          <w:tcPr>
            <w:tcW w:w="1086"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576,851</w:t>
            </w:r>
          </w:p>
        </w:tc>
        <w:tc>
          <w:tcPr>
            <w:tcW w:w="1083"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7,727</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7,563</w:t>
            </w:r>
          </w:p>
        </w:tc>
        <w:tc>
          <w:tcPr>
            <w:tcW w:w="1084"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w:t>
            </w:r>
          </w:p>
        </w:tc>
        <w:tc>
          <w:tcPr>
            <w:tcW w:w="1082" w:type="dxa"/>
            <w:tcBorders>
              <w:top w:val="single" w:sz="4" w:space="0" w:color="auto"/>
              <w:left w:val="nil"/>
              <w:bottom w:val="single" w:sz="4" w:space="0" w:color="auto"/>
              <w:right w:val="nil"/>
            </w:tcBorders>
            <w:shd w:val="clear" w:color="000000" w:fill="D9D9D9"/>
            <w:noWrap/>
            <w:vAlign w:val="center"/>
            <w:hideMark/>
          </w:tcPr>
          <w:p w:rsidR="008835EB" w:rsidRDefault="008835EB" w:rsidP="007E3F2E">
            <w:pPr>
              <w:jc w:val="right"/>
              <w:rPr>
                <w:rFonts w:cs="Calibri"/>
                <w:b/>
                <w:bCs/>
                <w:szCs w:val="18"/>
              </w:rPr>
            </w:pPr>
            <w:r>
              <w:rPr>
                <w:rFonts w:cs="Calibri"/>
                <w:b/>
                <w:bCs/>
                <w:szCs w:val="18"/>
              </w:rPr>
              <w:t>1,608,053</w:t>
            </w:r>
          </w:p>
        </w:tc>
        <w:tc>
          <w:tcPr>
            <w:tcW w:w="108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1,951,663</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hideMark/>
          </w:tcPr>
          <w:p w:rsidR="008835EB" w:rsidRDefault="008835EB" w:rsidP="007E3F2E">
            <w:pPr>
              <w:rPr>
                <w:rFonts w:cs="Calibri"/>
                <w:b/>
                <w:bCs/>
                <w:szCs w:val="18"/>
              </w:rPr>
            </w:pPr>
            <w:r>
              <w:rPr>
                <w:rFonts w:cs="Calibri"/>
                <w:b/>
                <w:bCs/>
                <w:szCs w:val="18"/>
              </w:rPr>
              <w:t>Income</w:t>
            </w:r>
          </w:p>
        </w:tc>
        <w:tc>
          <w:tcPr>
            <w:tcW w:w="1088"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86"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91"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86"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83"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85"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84"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85"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c>
          <w:tcPr>
            <w:tcW w:w="1082"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b/>
                <w:bCs/>
                <w:sz w:val="16"/>
                <w:szCs w:val="16"/>
              </w:rPr>
            </w:pPr>
            <w:r>
              <w:rPr>
                <w:rFonts w:ascii="Arial" w:hAnsi="Arial" w:cs="Arial"/>
                <w:b/>
                <w:bCs/>
                <w:sz w:val="16"/>
                <w:szCs w:val="16"/>
              </w:rPr>
              <w:t> </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rPr>
                <w:rFonts w:ascii="Arial" w:hAnsi="Arial" w:cs="Arial"/>
                <w:sz w:val="16"/>
                <w:szCs w:val="16"/>
              </w:rPr>
            </w:pPr>
            <w:r>
              <w:rPr>
                <w:rFonts w:ascii="Arial" w:hAnsi="Arial" w:cs="Arial"/>
                <w:sz w:val="16"/>
                <w:szCs w:val="16"/>
              </w:rPr>
              <w:t> </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Taxation</w:t>
            </w:r>
          </w:p>
        </w:tc>
        <w:tc>
          <w:tcPr>
            <w:tcW w:w="108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91"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144,931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159,401 </w:t>
            </w:r>
          </w:p>
        </w:tc>
        <w:tc>
          <w:tcPr>
            <w:tcW w:w="1083"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144,931</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159,401</w:t>
            </w:r>
          </w:p>
        </w:tc>
      </w:tr>
      <w:tr w:rsidR="008835E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Default="008835EB" w:rsidP="008835EB">
            <w:pPr>
              <w:ind w:firstLineChars="100" w:firstLine="180"/>
              <w:rPr>
                <w:rFonts w:cs="Calibri"/>
                <w:szCs w:val="18"/>
              </w:rPr>
            </w:pPr>
            <w:r>
              <w:rPr>
                <w:rFonts w:cs="Calibri"/>
                <w:szCs w:val="18"/>
              </w:rPr>
              <w:t>Non-taxation revenue</w:t>
            </w:r>
          </w:p>
        </w:tc>
        <w:tc>
          <w:tcPr>
            <w:tcW w:w="1088" w:type="dxa"/>
            <w:tcBorders>
              <w:top w:val="nil"/>
              <w:left w:val="nil"/>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18,369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276 </w:t>
            </w:r>
          </w:p>
        </w:tc>
        <w:tc>
          <w:tcPr>
            <w:tcW w:w="1091"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77,426 </w:t>
            </w:r>
          </w:p>
        </w:tc>
        <w:tc>
          <w:tcPr>
            <w:tcW w:w="1086"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28,665 </w:t>
            </w:r>
          </w:p>
        </w:tc>
        <w:tc>
          <w:tcPr>
            <w:tcW w:w="1083"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b/>
                <w:bCs/>
                <w:szCs w:val="18"/>
              </w:rPr>
            </w:pPr>
            <w:r>
              <w:rPr>
                <w:rFonts w:cs="Calibri"/>
                <w:b/>
                <w:bCs/>
                <w:szCs w:val="18"/>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Default="008835EB" w:rsidP="007E3F2E">
            <w:pPr>
              <w:jc w:val="right"/>
              <w:rPr>
                <w:rFonts w:cs="Calibri"/>
                <w:szCs w:val="18"/>
              </w:rPr>
            </w:pPr>
            <w:r>
              <w:rPr>
                <w:rFonts w:cs="Calibri"/>
                <w:szCs w:val="18"/>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95,795</w:t>
            </w:r>
          </w:p>
        </w:tc>
        <w:tc>
          <w:tcPr>
            <w:tcW w:w="1081" w:type="dxa"/>
            <w:tcBorders>
              <w:top w:val="nil"/>
              <w:left w:val="nil"/>
              <w:bottom w:val="nil"/>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28,941</w:t>
            </w:r>
          </w:p>
        </w:tc>
      </w:tr>
      <w:tr w:rsidR="008835EB" w:rsidTr="007E3F2E">
        <w:trPr>
          <w:trHeight w:val="240"/>
        </w:trPr>
        <w:tc>
          <w:tcPr>
            <w:tcW w:w="3140" w:type="dxa"/>
            <w:tcBorders>
              <w:top w:val="single" w:sz="4" w:space="0" w:color="auto"/>
              <w:left w:val="single" w:sz="4" w:space="0" w:color="auto"/>
              <w:bottom w:val="single" w:sz="4" w:space="0" w:color="auto"/>
              <w:right w:val="single" w:sz="4" w:space="0" w:color="auto"/>
            </w:tcBorders>
            <w:shd w:val="clear" w:color="000000" w:fill="D9D9D9"/>
            <w:hideMark/>
          </w:tcPr>
          <w:p w:rsidR="008835EB" w:rsidRDefault="008835EB" w:rsidP="007E3F2E">
            <w:pPr>
              <w:rPr>
                <w:rFonts w:cs="Calibri"/>
                <w:b/>
                <w:bCs/>
                <w:i/>
                <w:iCs/>
                <w:szCs w:val="18"/>
              </w:rPr>
            </w:pPr>
            <w:r>
              <w:rPr>
                <w:rFonts w:cs="Calibri"/>
                <w:b/>
                <w:bCs/>
                <w:i/>
                <w:iCs/>
                <w:szCs w:val="18"/>
              </w:rPr>
              <w:t>Total income</w:t>
            </w:r>
          </w:p>
        </w:tc>
        <w:tc>
          <w:tcPr>
            <w:tcW w:w="1088"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18,369</w:t>
            </w:r>
          </w:p>
        </w:tc>
        <w:tc>
          <w:tcPr>
            <w:tcW w:w="1086" w:type="dxa"/>
            <w:tcBorders>
              <w:top w:val="single" w:sz="4" w:space="0" w:color="auto"/>
              <w:left w:val="nil"/>
              <w:bottom w:val="single" w:sz="4" w:space="0" w:color="auto"/>
              <w:right w:val="nil"/>
            </w:tcBorders>
            <w:shd w:val="clear" w:color="000000" w:fill="D9D9D9"/>
            <w:noWrap/>
            <w:vAlign w:val="center"/>
            <w:hideMark/>
          </w:tcPr>
          <w:p w:rsidR="008835EB" w:rsidRDefault="008835EB" w:rsidP="007E3F2E">
            <w:pPr>
              <w:jc w:val="right"/>
              <w:rPr>
                <w:rFonts w:cs="Calibri"/>
                <w:szCs w:val="18"/>
              </w:rPr>
            </w:pPr>
            <w:r>
              <w:rPr>
                <w:rFonts w:cs="Calibri"/>
                <w:szCs w:val="18"/>
              </w:rPr>
              <w:t>276</w:t>
            </w:r>
          </w:p>
        </w:tc>
        <w:tc>
          <w:tcPr>
            <w:tcW w:w="109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222,357</w:t>
            </w:r>
          </w:p>
        </w:tc>
        <w:tc>
          <w:tcPr>
            <w:tcW w:w="1086"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188,066</w:t>
            </w:r>
          </w:p>
        </w:tc>
        <w:tc>
          <w:tcPr>
            <w:tcW w:w="1083"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w:t>
            </w:r>
          </w:p>
        </w:tc>
        <w:tc>
          <w:tcPr>
            <w:tcW w:w="1084"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b/>
                <w:bCs/>
                <w:szCs w:val="18"/>
              </w:rPr>
            </w:pPr>
            <w:r>
              <w:rPr>
                <w:rFonts w:cs="Calibri"/>
                <w:b/>
                <w:bCs/>
                <w:szCs w:val="18"/>
              </w:rPr>
              <w:t>-</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w:t>
            </w:r>
          </w:p>
        </w:tc>
        <w:tc>
          <w:tcPr>
            <w:tcW w:w="1082" w:type="dxa"/>
            <w:tcBorders>
              <w:top w:val="single" w:sz="4" w:space="0" w:color="auto"/>
              <w:left w:val="nil"/>
              <w:bottom w:val="single" w:sz="4" w:space="0" w:color="auto"/>
              <w:right w:val="nil"/>
            </w:tcBorders>
            <w:shd w:val="clear" w:color="000000" w:fill="D9D9D9"/>
            <w:noWrap/>
            <w:vAlign w:val="center"/>
            <w:hideMark/>
          </w:tcPr>
          <w:p w:rsidR="008835EB" w:rsidRDefault="008835EB" w:rsidP="007E3F2E">
            <w:pPr>
              <w:jc w:val="right"/>
              <w:rPr>
                <w:rFonts w:cs="Calibri"/>
                <w:b/>
                <w:bCs/>
                <w:szCs w:val="18"/>
              </w:rPr>
            </w:pPr>
            <w:r>
              <w:rPr>
                <w:rFonts w:cs="Calibri"/>
                <w:b/>
                <w:bCs/>
                <w:szCs w:val="18"/>
              </w:rPr>
              <w:t>240,726</w:t>
            </w:r>
          </w:p>
        </w:tc>
        <w:tc>
          <w:tcPr>
            <w:tcW w:w="108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Default="008835EB" w:rsidP="007E3F2E">
            <w:pPr>
              <w:jc w:val="right"/>
              <w:rPr>
                <w:rFonts w:cs="Calibri"/>
                <w:szCs w:val="18"/>
              </w:rPr>
            </w:pPr>
            <w:r>
              <w:rPr>
                <w:rFonts w:cs="Calibri"/>
                <w:szCs w:val="18"/>
              </w:rPr>
              <w:t>188,342</w:t>
            </w:r>
          </w:p>
        </w:tc>
      </w:tr>
      <w:tr w:rsidR="008835EB" w:rsidTr="007E3F2E">
        <w:trPr>
          <w:trHeight w:val="255"/>
        </w:trPr>
        <w:tc>
          <w:tcPr>
            <w:tcW w:w="3140" w:type="dxa"/>
            <w:tcBorders>
              <w:top w:val="nil"/>
              <w:left w:val="single" w:sz="4" w:space="0" w:color="auto"/>
              <w:bottom w:val="single" w:sz="4" w:space="0" w:color="auto"/>
              <w:right w:val="single" w:sz="4" w:space="0" w:color="auto"/>
            </w:tcBorders>
            <w:shd w:val="clear" w:color="FFFFFF" w:fill="FFFFFF"/>
            <w:vAlign w:val="bottom"/>
            <w:hideMark/>
          </w:tcPr>
          <w:p w:rsidR="008835EB" w:rsidRDefault="008835EB" w:rsidP="007E3F2E">
            <w:pPr>
              <w:rPr>
                <w:rFonts w:cs="Calibri"/>
                <w:b/>
                <w:bCs/>
                <w:szCs w:val="18"/>
              </w:rPr>
            </w:pPr>
            <w:r>
              <w:rPr>
                <w:rFonts w:cs="Calibri"/>
                <w:b/>
                <w:bCs/>
                <w:szCs w:val="18"/>
              </w:rPr>
              <w:t>Net cost of outcome delivery</w:t>
            </w:r>
          </w:p>
        </w:tc>
        <w:tc>
          <w:tcPr>
            <w:tcW w:w="1088"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1,285,545</w:t>
            </w:r>
          </w:p>
        </w:tc>
        <w:tc>
          <w:tcPr>
            <w:tcW w:w="1086"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1,596,442</w:t>
            </w:r>
          </w:p>
        </w:tc>
        <w:tc>
          <w:tcPr>
            <w:tcW w:w="1091"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374,242</w:t>
            </w:r>
          </w:p>
        </w:tc>
        <w:tc>
          <w:tcPr>
            <w:tcW w:w="1086"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467,454</w:t>
            </w:r>
          </w:p>
        </w:tc>
        <w:tc>
          <w:tcPr>
            <w:tcW w:w="1083"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7,727</w:t>
            </w:r>
          </w:p>
        </w:tc>
        <w:tc>
          <w:tcPr>
            <w:tcW w:w="1085"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7,563</w:t>
            </w:r>
          </w:p>
        </w:tc>
        <w:tc>
          <w:tcPr>
            <w:tcW w:w="1084"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b/>
                <w:bCs/>
                <w:szCs w:val="18"/>
              </w:rPr>
            </w:pPr>
            <w:r>
              <w:rPr>
                <w:rFonts w:cs="Calibri"/>
                <w:b/>
                <w:bCs/>
                <w:szCs w:val="18"/>
              </w:rPr>
              <w:t>-</w:t>
            </w:r>
          </w:p>
        </w:tc>
        <w:tc>
          <w:tcPr>
            <w:tcW w:w="1085" w:type="dxa"/>
            <w:tcBorders>
              <w:top w:val="nil"/>
              <w:left w:val="nil"/>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w:t>
            </w:r>
          </w:p>
        </w:tc>
        <w:tc>
          <w:tcPr>
            <w:tcW w:w="1082" w:type="dxa"/>
            <w:tcBorders>
              <w:top w:val="nil"/>
              <w:left w:val="nil"/>
              <w:bottom w:val="single" w:sz="4" w:space="0" w:color="auto"/>
              <w:right w:val="nil"/>
            </w:tcBorders>
            <w:shd w:val="clear" w:color="FFFFFF" w:fill="FFFFFF"/>
            <w:noWrap/>
            <w:vAlign w:val="bottom"/>
            <w:hideMark/>
          </w:tcPr>
          <w:p w:rsidR="008835EB" w:rsidRDefault="008835EB" w:rsidP="007E3F2E">
            <w:pPr>
              <w:jc w:val="right"/>
              <w:rPr>
                <w:rFonts w:cs="Calibri"/>
                <w:b/>
                <w:bCs/>
                <w:szCs w:val="18"/>
              </w:rPr>
            </w:pPr>
            <w:r>
              <w:rPr>
                <w:rFonts w:cs="Calibri"/>
                <w:b/>
                <w:bCs/>
                <w:szCs w:val="18"/>
              </w:rPr>
              <w:t>1,667,514</w:t>
            </w:r>
          </w:p>
        </w:tc>
        <w:tc>
          <w:tcPr>
            <w:tcW w:w="1081" w:type="dxa"/>
            <w:tcBorders>
              <w:top w:val="nil"/>
              <w:left w:val="single" w:sz="4" w:space="0" w:color="auto"/>
              <w:bottom w:val="single" w:sz="4" w:space="0" w:color="auto"/>
              <w:right w:val="single" w:sz="4" w:space="0" w:color="auto"/>
            </w:tcBorders>
            <w:shd w:val="clear" w:color="FFFFFF" w:fill="FFFFFF"/>
            <w:noWrap/>
            <w:vAlign w:val="bottom"/>
            <w:hideMark/>
          </w:tcPr>
          <w:p w:rsidR="008835EB" w:rsidRDefault="008835EB" w:rsidP="007E3F2E">
            <w:pPr>
              <w:jc w:val="right"/>
              <w:rPr>
                <w:rFonts w:cs="Calibri"/>
                <w:szCs w:val="18"/>
              </w:rPr>
            </w:pPr>
            <w:r>
              <w:rPr>
                <w:rFonts w:cs="Calibri"/>
                <w:szCs w:val="18"/>
              </w:rPr>
              <w:t>2,071,459</w:t>
            </w:r>
          </w:p>
        </w:tc>
      </w:tr>
    </w:tbl>
    <w:p w:rsidR="008835EB" w:rsidRDefault="008835EB" w:rsidP="008835EB">
      <w:r>
        <w:br w:type="page"/>
      </w:r>
    </w:p>
    <w:tbl>
      <w:tblPr>
        <w:tblW w:w="13991" w:type="dxa"/>
        <w:tblInd w:w="80" w:type="dxa"/>
        <w:tblLayout w:type="fixed"/>
        <w:tblLook w:val="04A0" w:firstRow="1" w:lastRow="0" w:firstColumn="1" w:lastColumn="0" w:noHBand="0" w:noVBand="1"/>
      </w:tblPr>
      <w:tblGrid>
        <w:gridCol w:w="3140"/>
        <w:gridCol w:w="1088"/>
        <w:gridCol w:w="1086"/>
        <w:gridCol w:w="1091"/>
        <w:gridCol w:w="1086"/>
        <w:gridCol w:w="1083"/>
        <w:gridCol w:w="1085"/>
        <w:gridCol w:w="1084"/>
        <w:gridCol w:w="1085"/>
        <w:gridCol w:w="1082"/>
        <w:gridCol w:w="1081"/>
      </w:tblGrid>
      <w:tr w:rsidR="008835EB" w:rsidRPr="00D47E5B" w:rsidTr="007E3F2E">
        <w:trPr>
          <w:trHeight w:val="308"/>
        </w:trPr>
        <w:tc>
          <w:tcPr>
            <w:tcW w:w="3140" w:type="dxa"/>
            <w:tcBorders>
              <w:top w:val="single" w:sz="4" w:space="0" w:color="auto"/>
              <w:left w:val="single" w:sz="4" w:space="0" w:color="auto"/>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lastRenderedPageBreak/>
              <w:t> </w:t>
            </w:r>
          </w:p>
        </w:tc>
        <w:tc>
          <w:tcPr>
            <w:tcW w:w="2174"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center"/>
              <w:rPr>
                <w:rFonts w:cs="Calibri"/>
                <w:b/>
                <w:bCs/>
                <w:sz w:val="17"/>
                <w:szCs w:val="17"/>
              </w:rPr>
            </w:pPr>
            <w:r w:rsidRPr="00D47E5B">
              <w:rPr>
                <w:rFonts w:cs="Calibri"/>
                <w:b/>
                <w:bCs/>
                <w:sz w:val="17"/>
                <w:szCs w:val="17"/>
              </w:rPr>
              <w:t>Outcome 1</w:t>
            </w:r>
          </w:p>
        </w:tc>
        <w:tc>
          <w:tcPr>
            <w:tcW w:w="2177"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center"/>
              <w:rPr>
                <w:rFonts w:cs="Calibri"/>
                <w:b/>
                <w:bCs/>
                <w:sz w:val="17"/>
                <w:szCs w:val="17"/>
              </w:rPr>
            </w:pPr>
            <w:r w:rsidRPr="00D47E5B">
              <w:rPr>
                <w:rFonts w:cs="Calibri"/>
                <w:b/>
                <w:bCs/>
                <w:sz w:val="17"/>
                <w:szCs w:val="17"/>
              </w:rPr>
              <w:t>Outcome 2</w:t>
            </w:r>
          </w:p>
        </w:tc>
        <w:tc>
          <w:tcPr>
            <w:tcW w:w="2168"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center"/>
              <w:rPr>
                <w:rFonts w:cs="Calibri"/>
                <w:b/>
                <w:bCs/>
                <w:sz w:val="17"/>
                <w:szCs w:val="17"/>
              </w:rPr>
            </w:pPr>
            <w:r w:rsidRPr="00D47E5B">
              <w:rPr>
                <w:rFonts w:cs="Calibri"/>
                <w:b/>
                <w:bCs/>
                <w:sz w:val="17"/>
                <w:szCs w:val="17"/>
              </w:rPr>
              <w:t>Payments to corporate Commonwealth entities*</w:t>
            </w:r>
          </w:p>
        </w:tc>
        <w:tc>
          <w:tcPr>
            <w:tcW w:w="2169" w:type="dxa"/>
            <w:gridSpan w:val="2"/>
            <w:tcBorders>
              <w:top w:val="single" w:sz="4" w:space="0" w:color="auto"/>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center"/>
              <w:rPr>
                <w:rFonts w:cs="Calibri"/>
                <w:b/>
                <w:bCs/>
                <w:sz w:val="17"/>
                <w:szCs w:val="17"/>
              </w:rPr>
            </w:pPr>
            <w:r w:rsidRPr="00D47E5B">
              <w:rPr>
                <w:rFonts w:cs="Calibri"/>
                <w:b/>
                <w:bCs/>
                <w:sz w:val="17"/>
                <w:szCs w:val="17"/>
              </w:rPr>
              <w:t>Not attributed</w:t>
            </w:r>
            <w:r w:rsidRPr="00D47E5B">
              <w:rPr>
                <w:rFonts w:cs="Calibri"/>
                <w:b/>
                <w:bCs/>
                <w:sz w:val="17"/>
                <w:szCs w:val="17"/>
                <w:vertAlign w:val="superscript"/>
              </w:rPr>
              <w:t>#</w:t>
            </w:r>
          </w:p>
        </w:tc>
        <w:tc>
          <w:tcPr>
            <w:tcW w:w="2163" w:type="dxa"/>
            <w:gridSpan w:val="2"/>
            <w:tcBorders>
              <w:top w:val="single" w:sz="4" w:space="0" w:color="auto"/>
              <w:left w:val="nil"/>
              <w:bottom w:val="single" w:sz="4" w:space="0" w:color="auto"/>
              <w:right w:val="single" w:sz="4" w:space="0" w:color="000000"/>
            </w:tcBorders>
            <w:shd w:val="clear" w:color="FFFFFF" w:fill="FFFFFF"/>
            <w:vAlign w:val="bottom"/>
            <w:hideMark/>
          </w:tcPr>
          <w:p w:rsidR="008835EB" w:rsidRPr="00D47E5B" w:rsidRDefault="008835EB" w:rsidP="007E3F2E">
            <w:pPr>
              <w:spacing w:line="240" w:lineRule="atLeast"/>
              <w:jc w:val="center"/>
              <w:rPr>
                <w:rFonts w:cs="Calibri"/>
                <w:b/>
                <w:bCs/>
                <w:sz w:val="17"/>
                <w:szCs w:val="17"/>
              </w:rPr>
            </w:pPr>
            <w:r w:rsidRPr="00D47E5B">
              <w:rPr>
                <w:rFonts w:cs="Calibri"/>
                <w:b/>
                <w:bCs/>
                <w:sz w:val="17"/>
                <w:szCs w:val="17"/>
              </w:rPr>
              <w:t>Total</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8"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2016</w:t>
            </w:r>
          </w:p>
        </w:tc>
        <w:tc>
          <w:tcPr>
            <w:tcW w:w="1086"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2015</w:t>
            </w:r>
          </w:p>
        </w:tc>
        <w:tc>
          <w:tcPr>
            <w:tcW w:w="1091"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2016</w:t>
            </w:r>
          </w:p>
        </w:tc>
        <w:tc>
          <w:tcPr>
            <w:tcW w:w="1086"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2015</w:t>
            </w:r>
          </w:p>
        </w:tc>
        <w:tc>
          <w:tcPr>
            <w:tcW w:w="1083"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2016</w:t>
            </w:r>
          </w:p>
        </w:tc>
        <w:tc>
          <w:tcPr>
            <w:tcW w:w="1085"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2015</w:t>
            </w:r>
          </w:p>
        </w:tc>
        <w:tc>
          <w:tcPr>
            <w:tcW w:w="1084"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2016</w:t>
            </w:r>
          </w:p>
        </w:tc>
        <w:tc>
          <w:tcPr>
            <w:tcW w:w="1085"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2015</w:t>
            </w:r>
          </w:p>
        </w:tc>
        <w:tc>
          <w:tcPr>
            <w:tcW w:w="1082"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2016</w:t>
            </w:r>
          </w:p>
        </w:tc>
        <w:tc>
          <w:tcPr>
            <w:tcW w:w="1081" w:type="dxa"/>
            <w:tcBorders>
              <w:top w:val="nil"/>
              <w:left w:val="nil"/>
              <w:bottom w:val="nil"/>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2015</w:t>
            </w:r>
          </w:p>
        </w:tc>
      </w:tr>
      <w:tr w:rsidR="008835EB" w:rsidRPr="00D47E5B" w:rsidTr="007E3F2E">
        <w:trPr>
          <w:trHeight w:val="240"/>
        </w:trPr>
        <w:tc>
          <w:tcPr>
            <w:tcW w:w="3140" w:type="dxa"/>
            <w:tcBorders>
              <w:top w:val="nil"/>
              <w:left w:val="single" w:sz="4" w:space="0" w:color="auto"/>
              <w:bottom w:val="single" w:sz="4" w:space="0" w:color="auto"/>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8"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$'000</w:t>
            </w:r>
          </w:p>
        </w:tc>
        <w:tc>
          <w:tcPr>
            <w:tcW w:w="1086"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$'000</w:t>
            </w:r>
          </w:p>
        </w:tc>
        <w:tc>
          <w:tcPr>
            <w:tcW w:w="1091"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$'000</w:t>
            </w:r>
          </w:p>
        </w:tc>
        <w:tc>
          <w:tcPr>
            <w:tcW w:w="1086"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$'000</w:t>
            </w:r>
          </w:p>
        </w:tc>
        <w:tc>
          <w:tcPr>
            <w:tcW w:w="1083"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$'000</w:t>
            </w:r>
          </w:p>
        </w:tc>
        <w:tc>
          <w:tcPr>
            <w:tcW w:w="1085"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$'000</w:t>
            </w:r>
          </w:p>
        </w:tc>
        <w:tc>
          <w:tcPr>
            <w:tcW w:w="1084"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$'000</w:t>
            </w:r>
          </w:p>
        </w:tc>
        <w:tc>
          <w:tcPr>
            <w:tcW w:w="1085"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$'000</w:t>
            </w:r>
          </w:p>
        </w:tc>
        <w:tc>
          <w:tcPr>
            <w:tcW w:w="1082"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$'000</w:t>
            </w:r>
          </w:p>
        </w:tc>
        <w:tc>
          <w:tcPr>
            <w:tcW w:w="1081" w:type="dxa"/>
            <w:tcBorders>
              <w:top w:val="nil"/>
              <w:left w:val="nil"/>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$'000</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vAlign w:val="bottom"/>
            <w:hideMark/>
          </w:tcPr>
          <w:p w:rsidR="008835EB" w:rsidRPr="00D47E5B" w:rsidRDefault="008835EB" w:rsidP="007E3F2E">
            <w:pPr>
              <w:spacing w:line="240" w:lineRule="atLeast"/>
              <w:rPr>
                <w:rFonts w:cs="Calibri"/>
                <w:b/>
                <w:bCs/>
                <w:sz w:val="17"/>
                <w:szCs w:val="17"/>
              </w:rPr>
            </w:pPr>
            <w:r w:rsidRPr="00D47E5B">
              <w:rPr>
                <w:rFonts w:cs="Calibri"/>
                <w:b/>
                <w:bCs/>
                <w:sz w:val="17"/>
                <w:szCs w:val="17"/>
              </w:rPr>
              <w:t>Assets</w:t>
            </w:r>
          </w:p>
        </w:tc>
        <w:tc>
          <w:tcPr>
            <w:tcW w:w="1088"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91"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4"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2"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1"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Cash and cash equivalents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3,876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6,321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3,876</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6,321</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Trade and other receivables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10,665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5,206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3,066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1,718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113,140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109,207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126,871</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116,131</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Other financial assets</w:t>
            </w:r>
          </w:p>
        </w:tc>
        <w:tc>
          <w:tcPr>
            <w:tcW w:w="1088"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1,370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2,808 </w:t>
            </w:r>
          </w:p>
        </w:tc>
        <w:tc>
          <w:tcPr>
            <w:tcW w:w="1091"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394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1,286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1,764</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4,094</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Leaseholds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17,834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15,977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5,440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4,283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23,274</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20,260</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Infrastructure, plant and equipment</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10,342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9,928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3,372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3,311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13,714</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13,239</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Intangibles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75,158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55,897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13,353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9,864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88,511</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65,761</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Other non-financial assets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7,484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9,031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2,151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2,980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9,635</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12,011</w:t>
            </w:r>
          </w:p>
        </w:tc>
      </w:tr>
      <w:tr w:rsidR="008835EB" w:rsidRPr="00D47E5B" w:rsidTr="007E3F2E">
        <w:trPr>
          <w:trHeight w:val="229"/>
        </w:trPr>
        <w:tc>
          <w:tcPr>
            <w:tcW w:w="31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rPr>
                <w:rFonts w:cs="Calibri"/>
                <w:b/>
                <w:bCs/>
                <w:sz w:val="17"/>
                <w:szCs w:val="17"/>
              </w:rPr>
            </w:pPr>
            <w:r w:rsidRPr="00D47E5B">
              <w:rPr>
                <w:rFonts w:cs="Calibri"/>
                <w:b/>
                <w:bCs/>
                <w:sz w:val="17"/>
                <w:szCs w:val="17"/>
              </w:rPr>
              <w:t>Total assets</w:t>
            </w:r>
          </w:p>
        </w:tc>
        <w:tc>
          <w:tcPr>
            <w:tcW w:w="1088"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122,853</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98,847</w:t>
            </w:r>
          </w:p>
        </w:tc>
        <w:tc>
          <w:tcPr>
            <w:tcW w:w="1091"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27,776</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23,442</w:t>
            </w:r>
          </w:p>
        </w:tc>
        <w:tc>
          <w:tcPr>
            <w:tcW w:w="1083"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c>
          <w:tcPr>
            <w:tcW w:w="1084"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117,016</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115,528</w:t>
            </w:r>
          </w:p>
        </w:tc>
        <w:tc>
          <w:tcPr>
            <w:tcW w:w="1082"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267,645</w:t>
            </w:r>
          </w:p>
        </w:tc>
        <w:tc>
          <w:tcPr>
            <w:tcW w:w="1081"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237,817</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vAlign w:val="bottom"/>
            <w:hideMark/>
          </w:tcPr>
          <w:p w:rsidR="008835EB" w:rsidRPr="00D47E5B" w:rsidRDefault="008835EB" w:rsidP="007E3F2E">
            <w:pPr>
              <w:spacing w:line="240" w:lineRule="atLeast"/>
              <w:rPr>
                <w:rFonts w:cs="Calibri"/>
                <w:b/>
                <w:bCs/>
                <w:sz w:val="17"/>
                <w:szCs w:val="17"/>
              </w:rPr>
            </w:pPr>
            <w:r w:rsidRPr="00D47E5B">
              <w:rPr>
                <w:rFonts w:cs="Calibri"/>
                <w:b/>
                <w:bCs/>
                <w:sz w:val="17"/>
                <w:szCs w:val="17"/>
              </w:rPr>
              <w:t>Liabilities</w:t>
            </w:r>
          </w:p>
        </w:tc>
        <w:tc>
          <w:tcPr>
            <w:tcW w:w="1088"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91"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4"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2"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c>
          <w:tcPr>
            <w:tcW w:w="1081"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rPr>
                <w:rFonts w:cs="Calibri"/>
                <w:sz w:val="17"/>
                <w:szCs w:val="17"/>
              </w:rPr>
            </w:pPr>
            <w:r w:rsidRPr="00D47E5B">
              <w:rPr>
                <w:rFonts w:cs="Calibri"/>
                <w:sz w:val="17"/>
                <w:szCs w:val="17"/>
              </w:rPr>
              <w:t> </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Suppliers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13,700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13,130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4,1</w:t>
            </w:r>
            <w:r>
              <w:rPr>
                <w:rFonts w:cs="Calibri"/>
                <w:b/>
                <w:bCs/>
                <w:sz w:val="17"/>
                <w:szCs w:val="17"/>
              </w:rPr>
              <w:t>79</w:t>
            </w:r>
            <w:r w:rsidRPr="00D47E5B">
              <w:rPr>
                <w:rFonts w:cs="Calibri"/>
                <w:b/>
                <w:bCs/>
                <w:sz w:val="17"/>
                <w:szCs w:val="17"/>
              </w:rPr>
              <w:t xml:space="preserve">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3,590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17,8</w:t>
            </w:r>
            <w:r>
              <w:rPr>
                <w:rFonts w:cs="Calibri"/>
                <w:b/>
                <w:bCs/>
                <w:sz w:val="17"/>
                <w:szCs w:val="17"/>
              </w:rPr>
              <w:t>79</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16,720</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Other payables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25,254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27,436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7,705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7,500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32,959</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34,936</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Employee provisions</w:t>
            </w:r>
          </w:p>
        </w:tc>
        <w:tc>
          <w:tcPr>
            <w:tcW w:w="1088"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51,588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49,157 </w:t>
            </w:r>
          </w:p>
        </w:tc>
        <w:tc>
          <w:tcPr>
            <w:tcW w:w="1091"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Pr>
                <w:rFonts w:cs="Calibri"/>
                <w:b/>
                <w:bCs/>
                <w:sz w:val="17"/>
                <w:szCs w:val="17"/>
              </w:rPr>
              <w:t>15,741</w:t>
            </w:r>
            <w:r w:rsidRPr="00D47E5B">
              <w:rPr>
                <w:rFonts w:cs="Calibri"/>
                <w:b/>
                <w:bCs/>
                <w:sz w:val="17"/>
                <w:szCs w:val="17"/>
              </w:rPr>
              <w:t xml:space="preserve"> </w:t>
            </w:r>
          </w:p>
        </w:tc>
        <w:tc>
          <w:tcPr>
            <w:tcW w:w="1086"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13,439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Pr>
                <w:rFonts w:cs="Calibri"/>
                <w:b/>
                <w:bCs/>
                <w:sz w:val="17"/>
                <w:szCs w:val="17"/>
              </w:rPr>
              <w:t>67,329</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62,596</w:t>
            </w:r>
          </w:p>
        </w:tc>
      </w:tr>
      <w:tr w:rsidR="008835EB" w:rsidRPr="00D47E5B" w:rsidTr="007E3F2E">
        <w:trPr>
          <w:trHeight w:val="229"/>
        </w:trPr>
        <w:tc>
          <w:tcPr>
            <w:tcW w:w="3140"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Other provisions</w:t>
            </w:r>
          </w:p>
        </w:tc>
        <w:tc>
          <w:tcPr>
            <w:tcW w:w="1088"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1,837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4,919 </w:t>
            </w:r>
          </w:p>
        </w:tc>
        <w:tc>
          <w:tcPr>
            <w:tcW w:w="1091"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560 </w:t>
            </w:r>
          </w:p>
        </w:tc>
        <w:tc>
          <w:tcPr>
            <w:tcW w:w="1086"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1,345 </w:t>
            </w:r>
          </w:p>
        </w:tc>
        <w:tc>
          <w:tcPr>
            <w:tcW w:w="1083"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nil"/>
              <w:bottom w:val="nil"/>
              <w:right w:val="single" w:sz="4" w:space="0" w:color="auto"/>
            </w:tcBorders>
            <w:shd w:val="clear" w:color="FFFFFF" w:fill="FFFFFF"/>
            <w:noWrap/>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nil"/>
              <w:bottom w:val="nil"/>
              <w:right w:val="nil"/>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2,397</w:t>
            </w:r>
          </w:p>
        </w:tc>
        <w:tc>
          <w:tcPr>
            <w:tcW w:w="1081" w:type="dxa"/>
            <w:tcBorders>
              <w:top w:val="nil"/>
              <w:left w:val="single" w:sz="4" w:space="0" w:color="auto"/>
              <w:bottom w:val="nil"/>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6,264</w:t>
            </w:r>
          </w:p>
        </w:tc>
      </w:tr>
      <w:tr w:rsidR="008835EB" w:rsidRPr="00D47E5B" w:rsidTr="007E3F2E">
        <w:trPr>
          <w:trHeight w:val="229"/>
        </w:trPr>
        <w:tc>
          <w:tcPr>
            <w:tcW w:w="314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835EB" w:rsidRPr="00D47E5B" w:rsidRDefault="008835EB" w:rsidP="007E3F2E">
            <w:pPr>
              <w:spacing w:line="240" w:lineRule="atLeast"/>
              <w:rPr>
                <w:rFonts w:cs="Calibri"/>
                <w:b/>
                <w:bCs/>
                <w:sz w:val="17"/>
                <w:szCs w:val="17"/>
              </w:rPr>
            </w:pPr>
            <w:r w:rsidRPr="00D47E5B">
              <w:rPr>
                <w:rFonts w:cs="Calibri"/>
                <w:b/>
                <w:bCs/>
                <w:sz w:val="17"/>
                <w:szCs w:val="17"/>
              </w:rPr>
              <w:t>Total liabilities</w:t>
            </w:r>
          </w:p>
        </w:tc>
        <w:tc>
          <w:tcPr>
            <w:tcW w:w="1088"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92,379</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94,642</w:t>
            </w:r>
          </w:p>
        </w:tc>
        <w:tc>
          <w:tcPr>
            <w:tcW w:w="1091"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28,185</w:t>
            </w:r>
          </w:p>
        </w:tc>
        <w:tc>
          <w:tcPr>
            <w:tcW w:w="1086"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25,874</w:t>
            </w:r>
          </w:p>
        </w:tc>
        <w:tc>
          <w:tcPr>
            <w:tcW w:w="1083"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c>
          <w:tcPr>
            <w:tcW w:w="1084"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w:t>
            </w:r>
          </w:p>
        </w:tc>
        <w:tc>
          <w:tcPr>
            <w:tcW w:w="1085"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c>
          <w:tcPr>
            <w:tcW w:w="1082"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120,564</w:t>
            </w:r>
          </w:p>
        </w:tc>
        <w:tc>
          <w:tcPr>
            <w:tcW w:w="1081" w:type="dxa"/>
            <w:tcBorders>
              <w:top w:val="single" w:sz="4" w:space="0" w:color="auto"/>
              <w:left w:val="nil"/>
              <w:bottom w:val="single" w:sz="4" w:space="0" w:color="auto"/>
              <w:right w:val="single" w:sz="4" w:space="0" w:color="auto"/>
            </w:tcBorders>
            <w:shd w:val="clear" w:color="FFFFFF" w:fill="FFFFFF"/>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120,516</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hideMark/>
          </w:tcPr>
          <w:p w:rsidR="008835EB" w:rsidRPr="00D47E5B" w:rsidRDefault="008835EB" w:rsidP="007E3F2E">
            <w:pPr>
              <w:spacing w:line="240" w:lineRule="atLeast"/>
              <w:rPr>
                <w:rFonts w:cs="Calibri"/>
                <w:b/>
                <w:bCs/>
                <w:sz w:val="17"/>
                <w:szCs w:val="17"/>
              </w:rPr>
            </w:pPr>
            <w:r w:rsidRPr="00D47E5B">
              <w:rPr>
                <w:rFonts w:cs="Calibri"/>
                <w:b/>
                <w:bCs/>
                <w:sz w:val="17"/>
                <w:szCs w:val="17"/>
              </w:rPr>
              <w:t>Assets</w:t>
            </w:r>
          </w:p>
        </w:tc>
        <w:tc>
          <w:tcPr>
            <w:tcW w:w="1088"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6"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9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6"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3"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5"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4" w:type="dxa"/>
            <w:tcBorders>
              <w:top w:val="nil"/>
              <w:left w:val="nil"/>
              <w:bottom w:val="nil"/>
              <w:right w:val="single" w:sz="4" w:space="0" w:color="auto"/>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w:t>
            </w:r>
          </w:p>
        </w:tc>
        <w:tc>
          <w:tcPr>
            <w:tcW w:w="1085" w:type="dxa"/>
            <w:tcBorders>
              <w:top w:val="nil"/>
              <w:left w:val="nil"/>
              <w:bottom w:val="nil"/>
              <w:right w:val="single" w:sz="4" w:space="0" w:color="auto"/>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w:t>
            </w:r>
          </w:p>
        </w:tc>
        <w:tc>
          <w:tcPr>
            <w:tcW w:w="1082"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b/>
                <w:bCs/>
                <w:sz w:val="17"/>
                <w:szCs w:val="17"/>
              </w:rPr>
            </w:pPr>
            <w:r w:rsidRPr="00D47E5B">
              <w:rPr>
                <w:rFonts w:ascii="Arial" w:hAnsi="Arial" w:cs="Arial"/>
                <w:b/>
                <w:bCs/>
                <w:sz w:val="17"/>
                <w:szCs w:val="17"/>
              </w:rPr>
              <w:t> </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Cash and cash equivalents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4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86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18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4</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104</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Receivables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13,520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17,754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28,858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14,411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42,378</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32,165</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Investments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240,897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224,658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240,897</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224,658</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Other non-financial assets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34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5,321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4,980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5,321</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5,014</w:t>
            </w:r>
          </w:p>
        </w:tc>
      </w:tr>
      <w:tr w:rsidR="008835EB" w:rsidRPr="00D47E5B" w:rsidTr="007E3F2E">
        <w:trPr>
          <w:trHeight w:val="240"/>
        </w:trPr>
        <w:tc>
          <w:tcPr>
            <w:tcW w:w="3140" w:type="dxa"/>
            <w:tcBorders>
              <w:top w:val="single" w:sz="4" w:space="0" w:color="auto"/>
              <w:left w:val="single" w:sz="4" w:space="0" w:color="auto"/>
              <w:bottom w:val="single" w:sz="4" w:space="0" w:color="auto"/>
              <w:right w:val="single" w:sz="4" w:space="0" w:color="auto"/>
            </w:tcBorders>
            <w:shd w:val="clear" w:color="000000" w:fill="D9D9D9"/>
            <w:hideMark/>
          </w:tcPr>
          <w:p w:rsidR="008835EB" w:rsidRPr="00D47E5B" w:rsidRDefault="008835EB" w:rsidP="007E3F2E">
            <w:pPr>
              <w:spacing w:line="240" w:lineRule="atLeast"/>
              <w:rPr>
                <w:rFonts w:cs="Calibri"/>
                <w:b/>
                <w:bCs/>
                <w:i/>
                <w:iCs/>
                <w:sz w:val="17"/>
                <w:szCs w:val="17"/>
              </w:rPr>
            </w:pPr>
            <w:r w:rsidRPr="00D47E5B">
              <w:rPr>
                <w:rFonts w:cs="Calibri"/>
                <w:b/>
                <w:bCs/>
                <w:i/>
                <w:iCs/>
                <w:sz w:val="17"/>
                <w:szCs w:val="17"/>
              </w:rPr>
              <w:t>Total assets</w:t>
            </w:r>
          </w:p>
        </w:tc>
        <w:tc>
          <w:tcPr>
            <w:tcW w:w="1088"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13,524</w:t>
            </w:r>
          </w:p>
        </w:tc>
        <w:tc>
          <w:tcPr>
            <w:tcW w:w="1086" w:type="dxa"/>
            <w:tcBorders>
              <w:top w:val="single" w:sz="4" w:space="0" w:color="auto"/>
              <w:left w:val="nil"/>
              <w:bottom w:val="single" w:sz="4" w:space="0" w:color="auto"/>
              <w:right w:val="nil"/>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17,874</w:t>
            </w:r>
          </w:p>
        </w:tc>
        <w:tc>
          <w:tcPr>
            <w:tcW w:w="109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275,076</w:t>
            </w:r>
          </w:p>
        </w:tc>
        <w:tc>
          <w:tcPr>
            <w:tcW w:w="1086"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244,067</w:t>
            </w:r>
          </w:p>
        </w:tc>
        <w:tc>
          <w:tcPr>
            <w:tcW w:w="1083"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c>
          <w:tcPr>
            <w:tcW w:w="1084"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c>
          <w:tcPr>
            <w:tcW w:w="1082" w:type="dxa"/>
            <w:tcBorders>
              <w:top w:val="single" w:sz="4" w:space="0" w:color="auto"/>
              <w:left w:val="nil"/>
              <w:bottom w:val="single" w:sz="4" w:space="0" w:color="auto"/>
              <w:right w:val="nil"/>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288,600</w:t>
            </w:r>
          </w:p>
        </w:tc>
        <w:tc>
          <w:tcPr>
            <w:tcW w:w="108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261,941</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hideMark/>
          </w:tcPr>
          <w:p w:rsidR="008835EB" w:rsidRPr="00D47E5B" w:rsidRDefault="008835EB" w:rsidP="007E3F2E">
            <w:pPr>
              <w:spacing w:line="240" w:lineRule="atLeast"/>
              <w:rPr>
                <w:rFonts w:cs="Calibri"/>
                <w:b/>
                <w:bCs/>
                <w:sz w:val="17"/>
                <w:szCs w:val="17"/>
              </w:rPr>
            </w:pPr>
            <w:r w:rsidRPr="00D47E5B">
              <w:rPr>
                <w:rFonts w:cs="Calibri"/>
                <w:b/>
                <w:bCs/>
                <w:sz w:val="17"/>
                <w:szCs w:val="17"/>
              </w:rPr>
              <w:t>Liabilities</w:t>
            </w:r>
          </w:p>
        </w:tc>
        <w:tc>
          <w:tcPr>
            <w:tcW w:w="1088"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6"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9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6"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3"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5"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4"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5"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c>
          <w:tcPr>
            <w:tcW w:w="1082"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b/>
                <w:bCs/>
                <w:sz w:val="17"/>
                <w:szCs w:val="17"/>
              </w:rPr>
            </w:pPr>
            <w:r w:rsidRPr="00D47E5B">
              <w:rPr>
                <w:rFonts w:ascii="Arial" w:hAnsi="Arial" w:cs="Arial"/>
                <w:b/>
                <w:bCs/>
                <w:sz w:val="17"/>
                <w:szCs w:val="17"/>
              </w:rPr>
              <w:t> </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rPr>
                <w:rFonts w:ascii="Arial" w:hAnsi="Arial" w:cs="Arial"/>
                <w:sz w:val="17"/>
                <w:szCs w:val="17"/>
              </w:rPr>
            </w:pPr>
            <w:r w:rsidRPr="00D47E5B">
              <w:rPr>
                <w:rFonts w:ascii="Arial" w:hAnsi="Arial" w:cs="Arial"/>
                <w:sz w:val="17"/>
                <w:szCs w:val="17"/>
              </w:rPr>
              <w:t> </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Suppliers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59,837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126,153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1,143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Pr>
                <w:rFonts w:cs="Calibri"/>
                <w:sz w:val="17"/>
                <w:szCs w:val="17"/>
              </w:rPr>
              <w:t>647</w:t>
            </w:r>
            <w:r w:rsidRPr="00D47E5B">
              <w:rPr>
                <w:rFonts w:cs="Calibri"/>
                <w:sz w:val="17"/>
                <w:szCs w:val="17"/>
              </w:rPr>
              <w:t xml:space="preserve">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60,980</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Pr>
                <w:rFonts w:cs="Calibri"/>
                <w:sz w:val="17"/>
                <w:szCs w:val="17"/>
              </w:rPr>
              <w:t>99,476</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Subsidies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12,172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10,971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11,963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Pr>
                <w:rFonts w:cs="Calibri"/>
                <w:sz w:val="17"/>
                <w:szCs w:val="17"/>
              </w:rPr>
              <w:t>14,278</w:t>
            </w:r>
            <w:r w:rsidRPr="00D47E5B">
              <w:rPr>
                <w:rFonts w:cs="Calibri"/>
                <w:sz w:val="17"/>
                <w:szCs w:val="17"/>
              </w:rPr>
              <w:t xml:space="preserve">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24,135</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Pr>
                <w:rFonts w:cs="Calibri"/>
                <w:sz w:val="17"/>
                <w:szCs w:val="17"/>
              </w:rPr>
              <w:t>52,573</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Personal benefits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2,753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2,221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4,471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2,753</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6,692</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Grants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1,986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182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2,168</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r>
      <w:tr w:rsidR="008835EB" w:rsidRPr="00D47E5B" w:rsidTr="007E3F2E">
        <w:trPr>
          <w:trHeight w:val="240"/>
        </w:trPr>
        <w:tc>
          <w:tcPr>
            <w:tcW w:w="3140" w:type="dxa"/>
            <w:tcBorders>
              <w:top w:val="nil"/>
              <w:left w:val="single" w:sz="4" w:space="0" w:color="auto"/>
              <w:bottom w:val="nil"/>
              <w:right w:val="single" w:sz="4" w:space="0" w:color="auto"/>
            </w:tcBorders>
            <w:shd w:val="clear" w:color="000000" w:fill="D9D9D9"/>
            <w:noWrap/>
            <w:vAlign w:val="bottom"/>
            <w:hideMark/>
          </w:tcPr>
          <w:p w:rsidR="008835EB" w:rsidRPr="00D47E5B" w:rsidRDefault="008835EB" w:rsidP="007E3F2E">
            <w:pPr>
              <w:spacing w:line="240" w:lineRule="atLeast"/>
              <w:ind w:firstLineChars="100" w:firstLine="170"/>
              <w:rPr>
                <w:rFonts w:cs="Calibri"/>
                <w:sz w:val="17"/>
                <w:szCs w:val="17"/>
              </w:rPr>
            </w:pPr>
            <w:r w:rsidRPr="00D47E5B">
              <w:rPr>
                <w:rFonts w:cs="Calibri"/>
                <w:sz w:val="17"/>
                <w:szCs w:val="17"/>
              </w:rPr>
              <w:t>Other payables</w:t>
            </w:r>
          </w:p>
        </w:tc>
        <w:tc>
          <w:tcPr>
            <w:tcW w:w="1088" w:type="dxa"/>
            <w:tcBorders>
              <w:top w:val="nil"/>
              <w:left w:val="nil"/>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7,341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7,541 </w:t>
            </w:r>
          </w:p>
        </w:tc>
        <w:tc>
          <w:tcPr>
            <w:tcW w:w="1091"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2,802,948 </w:t>
            </w:r>
          </w:p>
        </w:tc>
        <w:tc>
          <w:tcPr>
            <w:tcW w:w="1086"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2,786,905 </w:t>
            </w:r>
          </w:p>
        </w:tc>
        <w:tc>
          <w:tcPr>
            <w:tcW w:w="1083"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4"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 xml:space="preserve"> -</w:t>
            </w:r>
          </w:p>
        </w:tc>
        <w:tc>
          <w:tcPr>
            <w:tcW w:w="1085" w:type="dxa"/>
            <w:tcBorders>
              <w:top w:val="nil"/>
              <w:left w:val="single" w:sz="4" w:space="0" w:color="auto"/>
              <w:bottom w:val="nil"/>
              <w:right w:val="nil"/>
            </w:tcBorders>
            <w:shd w:val="clear" w:color="000000" w:fill="D9D9D9"/>
            <w:noWrap/>
            <w:vAlign w:val="bottom"/>
            <w:hideMark/>
          </w:tcPr>
          <w:p w:rsidR="008835EB" w:rsidRPr="00D47E5B" w:rsidRDefault="008835EB" w:rsidP="007E3F2E">
            <w:pPr>
              <w:spacing w:line="240" w:lineRule="atLeast"/>
              <w:jc w:val="right"/>
              <w:rPr>
                <w:rFonts w:cs="Calibri"/>
                <w:sz w:val="17"/>
                <w:szCs w:val="17"/>
              </w:rPr>
            </w:pPr>
            <w:r w:rsidRPr="00D47E5B">
              <w:rPr>
                <w:rFonts w:cs="Calibri"/>
                <w:sz w:val="17"/>
                <w:szCs w:val="17"/>
              </w:rPr>
              <w:t xml:space="preserve"> -</w:t>
            </w:r>
          </w:p>
        </w:tc>
        <w:tc>
          <w:tcPr>
            <w:tcW w:w="1082" w:type="dxa"/>
            <w:tcBorders>
              <w:top w:val="nil"/>
              <w:left w:val="single" w:sz="4" w:space="0" w:color="auto"/>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2,810,289</w:t>
            </w:r>
          </w:p>
        </w:tc>
        <w:tc>
          <w:tcPr>
            <w:tcW w:w="1081" w:type="dxa"/>
            <w:tcBorders>
              <w:top w:val="nil"/>
              <w:left w:val="nil"/>
              <w:bottom w:val="nil"/>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2,794,446</w:t>
            </w:r>
          </w:p>
        </w:tc>
      </w:tr>
      <w:tr w:rsidR="008835EB" w:rsidRPr="00D47E5B" w:rsidTr="007E3F2E">
        <w:trPr>
          <w:trHeight w:val="240"/>
        </w:trPr>
        <w:tc>
          <w:tcPr>
            <w:tcW w:w="3140" w:type="dxa"/>
            <w:tcBorders>
              <w:top w:val="single" w:sz="4" w:space="0" w:color="auto"/>
              <w:left w:val="single" w:sz="4" w:space="0" w:color="auto"/>
              <w:bottom w:val="single" w:sz="4" w:space="0" w:color="auto"/>
              <w:right w:val="single" w:sz="4" w:space="0" w:color="auto"/>
            </w:tcBorders>
            <w:shd w:val="clear" w:color="000000" w:fill="D9D9D9"/>
            <w:hideMark/>
          </w:tcPr>
          <w:p w:rsidR="008835EB" w:rsidRPr="00D47E5B" w:rsidRDefault="008835EB" w:rsidP="007E3F2E">
            <w:pPr>
              <w:spacing w:line="240" w:lineRule="atLeast"/>
              <w:rPr>
                <w:rFonts w:cs="Calibri"/>
                <w:b/>
                <w:bCs/>
                <w:i/>
                <w:iCs/>
                <w:sz w:val="17"/>
                <w:szCs w:val="17"/>
              </w:rPr>
            </w:pPr>
            <w:r w:rsidRPr="00D47E5B">
              <w:rPr>
                <w:rFonts w:cs="Calibri"/>
                <w:b/>
                <w:bCs/>
                <w:i/>
                <w:iCs/>
                <w:sz w:val="17"/>
                <w:szCs w:val="17"/>
              </w:rPr>
              <w:t>Total liabilities</w:t>
            </w:r>
          </w:p>
        </w:tc>
        <w:tc>
          <w:tcPr>
            <w:tcW w:w="1088"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84,089</w:t>
            </w:r>
          </w:p>
        </w:tc>
        <w:tc>
          <w:tcPr>
            <w:tcW w:w="1086" w:type="dxa"/>
            <w:tcBorders>
              <w:top w:val="single" w:sz="4" w:space="0" w:color="auto"/>
              <w:left w:val="nil"/>
              <w:bottom w:val="single" w:sz="4" w:space="0" w:color="auto"/>
              <w:right w:val="nil"/>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146,886</w:t>
            </w:r>
          </w:p>
        </w:tc>
        <w:tc>
          <w:tcPr>
            <w:tcW w:w="109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2,816,236</w:t>
            </w:r>
          </w:p>
        </w:tc>
        <w:tc>
          <w:tcPr>
            <w:tcW w:w="1086"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2,806,301</w:t>
            </w:r>
          </w:p>
        </w:tc>
        <w:tc>
          <w:tcPr>
            <w:tcW w:w="1083"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c>
          <w:tcPr>
            <w:tcW w:w="1084"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w:t>
            </w:r>
          </w:p>
        </w:tc>
        <w:tc>
          <w:tcPr>
            <w:tcW w:w="1085" w:type="dxa"/>
            <w:tcBorders>
              <w:top w:val="single" w:sz="4" w:space="0" w:color="auto"/>
              <w:left w:val="nil"/>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w:t>
            </w:r>
          </w:p>
        </w:tc>
        <w:tc>
          <w:tcPr>
            <w:tcW w:w="1082" w:type="dxa"/>
            <w:tcBorders>
              <w:top w:val="single" w:sz="4" w:space="0" w:color="auto"/>
              <w:left w:val="nil"/>
              <w:bottom w:val="single" w:sz="4" w:space="0" w:color="auto"/>
              <w:right w:val="nil"/>
            </w:tcBorders>
            <w:shd w:val="clear" w:color="000000" w:fill="D9D9D9"/>
            <w:noWrap/>
            <w:vAlign w:val="center"/>
            <w:hideMark/>
          </w:tcPr>
          <w:p w:rsidR="008835EB" w:rsidRPr="00D47E5B" w:rsidRDefault="008835EB" w:rsidP="007E3F2E">
            <w:pPr>
              <w:spacing w:line="240" w:lineRule="atLeast"/>
              <w:jc w:val="right"/>
              <w:rPr>
                <w:rFonts w:cs="Calibri"/>
                <w:b/>
                <w:bCs/>
                <w:sz w:val="17"/>
                <w:szCs w:val="17"/>
              </w:rPr>
            </w:pPr>
            <w:r w:rsidRPr="00D47E5B">
              <w:rPr>
                <w:rFonts w:cs="Calibri"/>
                <w:b/>
                <w:bCs/>
                <w:sz w:val="17"/>
                <w:szCs w:val="17"/>
              </w:rPr>
              <w:t>2,900,325</w:t>
            </w:r>
          </w:p>
        </w:tc>
        <w:tc>
          <w:tcPr>
            <w:tcW w:w="108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835EB" w:rsidRPr="00D47E5B" w:rsidRDefault="008835EB" w:rsidP="007E3F2E">
            <w:pPr>
              <w:spacing w:line="240" w:lineRule="atLeast"/>
              <w:jc w:val="right"/>
              <w:rPr>
                <w:rFonts w:cs="Calibri"/>
                <w:sz w:val="17"/>
                <w:szCs w:val="17"/>
              </w:rPr>
            </w:pPr>
            <w:r w:rsidRPr="00D47E5B">
              <w:rPr>
                <w:rFonts w:cs="Calibri"/>
                <w:sz w:val="17"/>
                <w:szCs w:val="17"/>
              </w:rPr>
              <w:t>2,953,187</w:t>
            </w:r>
          </w:p>
        </w:tc>
      </w:tr>
    </w:tbl>
    <w:p w:rsidR="008835EB" w:rsidRPr="00D47E5B" w:rsidRDefault="008835EB" w:rsidP="008835EB">
      <w:pPr>
        <w:pStyle w:val="ReportText"/>
        <w:rPr>
          <w:sz w:val="17"/>
          <w:szCs w:val="17"/>
        </w:rPr>
      </w:pPr>
      <w:bookmarkStart w:id="596" w:name="RANGE!D34:N94"/>
      <w:bookmarkStart w:id="597" w:name="RANGE!D34:N91"/>
      <w:bookmarkStart w:id="598" w:name="RANGE!D34:O91"/>
      <w:bookmarkStart w:id="599" w:name="RANGE!D34:M64"/>
      <w:bookmarkStart w:id="600" w:name="RANGE!D34:N64"/>
      <w:bookmarkStart w:id="601" w:name="RANGE!D34:N66"/>
      <w:bookmarkStart w:id="602" w:name="RANGE!D34:N103"/>
      <w:bookmarkStart w:id="603" w:name="RANGE!D34:N102"/>
      <w:bookmarkStart w:id="604" w:name="RANGE!D34:N105"/>
      <w:bookmarkStart w:id="605" w:name="RANGE!D34:J105"/>
      <w:bookmarkStart w:id="606" w:name="RANGE!D34:L105"/>
      <w:bookmarkStart w:id="607" w:name="RANGE!D34:L101"/>
      <w:bookmarkStart w:id="608" w:name="RANGE!D34:L104"/>
      <w:bookmarkStart w:id="609" w:name="RANGE!D34:L103"/>
      <w:bookmarkStart w:id="610" w:name="RANGE!D34:L102"/>
      <w:bookmarkStart w:id="611" w:name="RANGE!D44:L76"/>
      <w:bookmarkStart w:id="612" w:name="RANGE!D33:L101"/>
      <w:bookmarkStart w:id="613" w:name="RANGE!D33:L102"/>
      <w:bookmarkStart w:id="614" w:name="RANGE!D33:L103"/>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rsidRPr="00D47E5B">
        <w:rPr>
          <w:sz w:val="17"/>
          <w:szCs w:val="17"/>
        </w:rPr>
        <w:t>* Payments to corporate Commonwealth entities are not related to outcomes. They are included here so the total agrees to the resourcing table. The Department has two outcomes and details of each outcome are provided in the Overview. The Department uses a cost allocation model to determine the attribution of its shared items.</w:t>
      </w:r>
      <w:bookmarkStart w:id="615" w:name="RANGE!D7:M29"/>
      <w:bookmarkStart w:id="616" w:name="RANGE!D7:N29"/>
      <w:bookmarkStart w:id="617" w:name="RANGE!D7:J29"/>
      <w:bookmarkStart w:id="618" w:name="RANGE!D7:L29"/>
      <w:bookmarkStart w:id="619" w:name="RANGE!D6:L39"/>
      <w:bookmarkStart w:id="620" w:name="RANGE!D6:L40"/>
      <w:bookmarkStart w:id="621" w:name="RANGE!D6:L41"/>
      <w:bookmarkStart w:id="622" w:name="RANGE!D6:L32"/>
      <w:bookmarkStart w:id="623" w:name="RANGE!D6:L33"/>
      <w:bookmarkStart w:id="624" w:name="RANGE!D22:L32"/>
      <w:bookmarkStart w:id="625" w:name="RANGE!D37:L62"/>
      <w:bookmarkEnd w:id="615"/>
      <w:bookmarkEnd w:id="616"/>
      <w:bookmarkEnd w:id="617"/>
      <w:bookmarkEnd w:id="618"/>
      <w:bookmarkEnd w:id="619"/>
      <w:bookmarkEnd w:id="620"/>
      <w:bookmarkEnd w:id="621"/>
      <w:bookmarkEnd w:id="622"/>
      <w:bookmarkEnd w:id="623"/>
      <w:bookmarkEnd w:id="624"/>
      <w:bookmarkEnd w:id="625"/>
      <w:r w:rsidRPr="00D47E5B">
        <w:rPr>
          <w:sz w:val="17"/>
          <w:szCs w:val="17"/>
        </w:rPr>
        <w:t xml:space="preserve"> Net costs shown include intra-government costs that are eliminated in calculating the actual Budget Outcome. Refer to Appendix 3 of this annual report for Agency resource statements and resources.  </w:t>
      </w:r>
    </w:p>
    <w:p w:rsidR="008835EB" w:rsidRPr="00D47E5B" w:rsidRDefault="008835EB" w:rsidP="008835EB">
      <w:pPr>
        <w:pStyle w:val="ReportText"/>
        <w:rPr>
          <w:sz w:val="17"/>
          <w:szCs w:val="17"/>
        </w:rPr>
      </w:pPr>
      <w:proofErr w:type="gramStart"/>
      <w:r w:rsidRPr="00D47E5B">
        <w:rPr>
          <w:sz w:val="17"/>
          <w:szCs w:val="17"/>
        </w:rPr>
        <w:t># Assets and liabilities that could not be reliably attributed to outcomes.</w:t>
      </w:r>
      <w:proofErr w:type="gramEnd"/>
    </w:p>
    <w:sectPr w:rsidR="008835EB" w:rsidRPr="00D47E5B" w:rsidSect="00D47E5B">
      <w:headerReference w:type="even" r:id="rId49"/>
      <w:headerReference w:type="first" r:id="rId50"/>
      <w:pgSz w:w="16838" w:h="11906" w:orient="landscape"/>
      <w:pgMar w:top="1134" w:right="1134" w:bottom="709" w:left="1134" w:header="958"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5EB" w:rsidRDefault="008835EB" w:rsidP="008835EB">
      <w:pPr>
        <w:spacing w:line="240" w:lineRule="auto"/>
      </w:pPr>
      <w:r>
        <w:separator/>
      </w:r>
    </w:p>
  </w:endnote>
  <w:endnote w:type="continuationSeparator" w:id="0">
    <w:p w:rsidR="008835EB" w:rsidRDefault="008835EB" w:rsidP="00883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Bold">
    <w:altName w:val="Times New Roman"/>
    <w:panose1 w:val="020B0704020202020204"/>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5C" w:rsidRDefault="00FA4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5C" w:rsidRDefault="00FA45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5C" w:rsidRDefault="00FA45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Default="008835EB">
    <w:pPr>
      <w:pStyle w:val="Footer"/>
      <w:jc w:val="right"/>
      <w:rPr>
        <w:rFonts w:asciiTheme="minorHAnsi" w:hAnsiTheme="minorHAnsi" w:cstheme="minorHAnsi"/>
      </w:rPr>
    </w:pPr>
  </w:p>
  <w:p w:rsidR="008835EB" w:rsidRDefault="008835EB">
    <w:pPr>
      <w:pStyle w:val="Footer"/>
      <w:rPr>
        <w:rFonts w:asciiTheme="minorHAnsi" w:hAnsiTheme="minorHAnsi" w:cstheme="minorHAnsi"/>
      </w:rPr>
    </w:pPr>
    <w:r>
      <w:rPr>
        <w:rFonts w:asciiTheme="minorHAnsi" w:hAnsiTheme="minorHAnsi" w:cstheme="minorHAnsi"/>
      </w:rPr>
      <w:t>The above statement should be read in conjunction with the accompanying notes.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Default="008835EB">
    <w:pPr>
      <w:pStyle w:val="Footer"/>
      <w:jc w:val="right"/>
      <w:rPr>
        <w:rFonts w:asciiTheme="minorHAnsi" w:hAnsiTheme="minorHAnsi" w:cstheme="minorHAnsi"/>
      </w:rPr>
    </w:pPr>
  </w:p>
  <w:p w:rsidR="008835EB" w:rsidRDefault="008835EB">
    <w:pPr>
      <w:pStyle w:val="Footer"/>
      <w:rPr>
        <w:rFonts w:asciiTheme="minorHAnsi" w:hAnsiTheme="minorHAnsi" w:cstheme="minorHAnsi"/>
      </w:rPr>
    </w:pPr>
    <w:r>
      <w:rPr>
        <w:rFonts w:asciiTheme="minorHAnsi" w:hAnsiTheme="minorHAnsi" w:cstheme="minorHAnsi"/>
      </w:rPr>
      <w:t>The above schedule should be read in conjunction with the accompanying notes.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Default="008835EB">
    <w:pPr>
      <w:pStyle w:val="Footer"/>
      <w:jc w:val="right"/>
      <w:rPr>
        <w:rFonts w:asciiTheme="minorHAnsi" w:hAnsiTheme="minorHAnsi" w:cstheme="minorHAnsi"/>
      </w:rPr>
    </w:pPr>
  </w:p>
  <w:p w:rsidR="008835EB" w:rsidRDefault="008835E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Default="00883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5EB" w:rsidRDefault="008835EB" w:rsidP="008835EB">
      <w:pPr>
        <w:spacing w:line="240" w:lineRule="auto"/>
      </w:pPr>
      <w:r>
        <w:separator/>
      </w:r>
    </w:p>
  </w:footnote>
  <w:footnote w:type="continuationSeparator" w:id="0">
    <w:p w:rsidR="008835EB" w:rsidRDefault="008835EB" w:rsidP="008835EB">
      <w:pPr>
        <w:spacing w:line="240" w:lineRule="auto"/>
      </w:pPr>
      <w:r>
        <w:continuationSeparator/>
      </w:r>
    </w:p>
  </w:footnote>
  <w:footnote w:id="1">
    <w:p w:rsidR="008835EB" w:rsidRPr="00461522" w:rsidRDefault="008835EB" w:rsidP="008835EB">
      <w:pPr>
        <w:pStyle w:val="FootnoteText"/>
        <w:rPr>
          <w:sz w:val="18"/>
          <w:szCs w:val="18"/>
        </w:rPr>
      </w:pPr>
      <w:r>
        <w:rPr>
          <w:rStyle w:val="FootnoteReference"/>
        </w:rPr>
        <w:footnoteRef/>
      </w:r>
      <w:r>
        <w:t xml:space="preserve"> </w:t>
      </w:r>
      <w:r w:rsidRPr="00461522">
        <w:rPr>
          <w:sz w:val="18"/>
          <w:szCs w:val="18"/>
        </w:rPr>
        <w:t>No non-financial assets were measured at fair value on a non-recurring basis at 30 June 2016 (</w:t>
      </w:r>
      <w:proofErr w:type="spellStart"/>
      <w:r w:rsidRPr="00461522">
        <w:rPr>
          <w:sz w:val="18"/>
          <w:szCs w:val="18"/>
        </w:rPr>
        <w:t>2015:Nil</w:t>
      </w:r>
      <w:proofErr w:type="spellEnd"/>
      <w:r w:rsidRPr="00461522">
        <w:rPr>
          <w:sz w:val="18"/>
          <w:szCs w:val="18"/>
        </w:rPr>
        <w:t>)</w:t>
      </w:r>
    </w:p>
  </w:footnote>
  <w:footnote w:id="2">
    <w:p w:rsidR="008835EB" w:rsidRPr="00461522" w:rsidRDefault="008835EB" w:rsidP="008835EB">
      <w:pPr>
        <w:pStyle w:val="FootnoteText"/>
        <w:rPr>
          <w:sz w:val="18"/>
          <w:szCs w:val="18"/>
        </w:rPr>
      </w:pPr>
      <w:r w:rsidRPr="00461522">
        <w:rPr>
          <w:rStyle w:val="FootnoteReference"/>
          <w:sz w:val="18"/>
          <w:szCs w:val="18"/>
        </w:rPr>
        <w:footnoteRef/>
      </w:r>
      <w:r w:rsidRPr="00461522">
        <w:rPr>
          <w:sz w:val="18"/>
          <w:szCs w:val="18"/>
        </w:rPr>
        <w:t xml:space="preserve"> The Department’s assets are held for operational purposes and not held for the purpose of deriving a profit. The current use of all non-financial assets is considered their highest and best use.</w:t>
      </w:r>
    </w:p>
  </w:footnote>
  <w:footnote w:id="3">
    <w:p w:rsidR="008835EB" w:rsidRPr="00461522" w:rsidRDefault="008835EB" w:rsidP="008835EB">
      <w:pPr>
        <w:pStyle w:val="FootnoteText"/>
        <w:rPr>
          <w:sz w:val="18"/>
          <w:szCs w:val="18"/>
        </w:rPr>
      </w:pPr>
      <w:r w:rsidRPr="00461522">
        <w:rPr>
          <w:rStyle w:val="FootnoteReference"/>
          <w:sz w:val="18"/>
          <w:szCs w:val="18"/>
        </w:rPr>
        <w:footnoteRef/>
      </w:r>
      <w:r w:rsidRPr="00461522">
        <w:rPr>
          <w:sz w:val="18"/>
          <w:szCs w:val="18"/>
        </w:rPr>
        <w:t xml:space="preserve"> There were no transfers between levels 1 and 2 for recurring fair value measurements during the year.</w:t>
      </w:r>
    </w:p>
  </w:footnote>
  <w:footnote w:id="4">
    <w:p w:rsidR="008835EB" w:rsidRPr="00461522" w:rsidRDefault="008835EB" w:rsidP="008835EB">
      <w:pPr>
        <w:pStyle w:val="FootnoteText"/>
        <w:rPr>
          <w:sz w:val="18"/>
          <w:szCs w:val="18"/>
        </w:rPr>
      </w:pPr>
      <w:r w:rsidRPr="00461522">
        <w:rPr>
          <w:rStyle w:val="FootnoteReference"/>
          <w:sz w:val="18"/>
          <w:szCs w:val="18"/>
        </w:rPr>
        <w:footnoteRef/>
      </w:r>
      <w:r w:rsidRPr="00461522">
        <w:rPr>
          <w:sz w:val="18"/>
          <w:szCs w:val="18"/>
        </w:rPr>
        <w:t xml:space="preserve"> The remaining assets and liabilities reported by the Department are not measured at fair value in the Statement of Financial Position.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5C" w:rsidRPr="00FA455C" w:rsidRDefault="00FA455C" w:rsidP="00FA455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5C" w:rsidRPr="00FA455C" w:rsidRDefault="00FA455C" w:rsidP="00FA455C">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073" w:rsidRPr="00FA455C" w:rsidRDefault="00F4745F" w:rsidP="00FA455C">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073" w:rsidRPr="00FA455C" w:rsidRDefault="00F4745F" w:rsidP="00FA45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EB" w:rsidRPr="00FA455C" w:rsidRDefault="008835EB" w:rsidP="00FA4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B84"/>
    <w:multiLevelType w:val="singleLevel"/>
    <w:tmpl w:val="AE3A64A8"/>
    <w:lvl w:ilvl="0">
      <w:start w:val="1"/>
      <w:numFmt w:val="bullet"/>
      <w:lvlText w:val=""/>
      <w:lvlJc w:val="left"/>
      <w:pPr>
        <w:tabs>
          <w:tab w:val="num" w:pos="340"/>
        </w:tabs>
        <w:ind w:left="340" w:hanging="340"/>
      </w:pPr>
      <w:rPr>
        <w:rFonts w:ascii="Symbol" w:hAnsi="Symbol" w:hint="default"/>
        <w:color w:val="auto"/>
        <w:sz w:val="22"/>
      </w:rPr>
    </w:lvl>
  </w:abstractNum>
  <w:abstractNum w:abstractNumId="1">
    <w:nsid w:val="01AF4F85"/>
    <w:multiLevelType w:val="multilevel"/>
    <w:tmpl w:val="4A2C09A0"/>
    <w:styleLink w:val="CurrentList2"/>
    <w:lvl w:ilvl="0">
      <w:start w:val="2"/>
      <w:numFmt w:val="decimal"/>
      <w:lvlText w:val="Note %1: "/>
      <w:lvlJc w:val="left"/>
      <w:pPr>
        <w:tabs>
          <w:tab w:val="num" w:pos="1352"/>
        </w:tabs>
        <w:ind w:left="1352" w:hanging="99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upperLetter"/>
      <w:lvlText w:val="Note %1%2: "/>
      <w:lvlJc w:val="left"/>
      <w:pPr>
        <w:tabs>
          <w:tab w:val="num" w:pos="1532"/>
        </w:tabs>
        <w:ind w:left="1532" w:hanging="992"/>
      </w:pPr>
      <w:rPr>
        <w:rFonts w:ascii="Times New Roman" w:hAnsi="Times New Roman" w:cs="Times New Roman" w:hint="default"/>
        <w:b/>
        <w:i w:val="0"/>
        <w:strike w:val="0"/>
        <w:dstrike w:val="0"/>
        <w:color w:val="auto"/>
        <w:sz w:val="20"/>
        <w:szCs w:val="20"/>
        <w:u w:val="none"/>
        <w:effect w:val="none"/>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033E009C"/>
    <w:multiLevelType w:val="hybridMultilevel"/>
    <w:tmpl w:val="D9F660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3B72C3A"/>
    <w:multiLevelType w:val="singleLevel"/>
    <w:tmpl w:val="BF5000B8"/>
    <w:lvl w:ilvl="0">
      <w:start w:val="1"/>
      <w:numFmt w:val="bullet"/>
      <w:lvlText w:val=""/>
      <w:lvlJc w:val="left"/>
      <w:pPr>
        <w:tabs>
          <w:tab w:val="num" w:pos="340"/>
        </w:tabs>
        <w:ind w:left="340" w:hanging="340"/>
      </w:pPr>
      <w:rPr>
        <w:rFonts w:ascii="Symbol" w:hAnsi="Symbol" w:hint="default"/>
        <w:color w:val="auto"/>
        <w:sz w:val="22"/>
      </w:rPr>
    </w:lvl>
  </w:abstractNum>
  <w:abstractNum w:abstractNumId="4">
    <w:nsid w:val="08E2080B"/>
    <w:multiLevelType w:val="hybridMultilevel"/>
    <w:tmpl w:val="F7B202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A5B741E"/>
    <w:multiLevelType w:val="hybridMultilevel"/>
    <w:tmpl w:val="EE1EA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B0E42AA"/>
    <w:multiLevelType w:val="hybridMultilevel"/>
    <w:tmpl w:val="84D438BC"/>
    <w:lvl w:ilvl="0" w:tplc="958A6A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CA559EC"/>
    <w:multiLevelType w:val="singleLevel"/>
    <w:tmpl w:val="9BC8F01C"/>
    <w:lvl w:ilvl="0">
      <w:start w:val="1"/>
      <w:numFmt w:val="bullet"/>
      <w:lvlText w:val=""/>
      <w:lvlJc w:val="left"/>
      <w:pPr>
        <w:tabs>
          <w:tab w:val="num" w:pos="340"/>
        </w:tabs>
        <w:ind w:left="340" w:hanging="340"/>
      </w:pPr>
      <w:rPr>
        <w:rFonts w:ascii="Symbol" w:hAnsi="Symbol" w:hint="default"/>
        <w:color w:val="auto"/>
        <w:sz w:val="22"/>
      </w:rPr>
    </w:lvl>
  </w:abstractNum>
  <w:abstractNum w:abstractNumId="8">
    <w:nsid w:val="0FC36CF2"/>
    <w:multiLevelType w:val="hybridMultilevel"/>
    <w:tmpl w:val="90664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71407EA"/>
    <w:multiLevelType w:val="singleLevel"/>
    <w:tmpl w:val="828CD28E"/>
    <w:lvl w:ilvl="0">
      <w:start w:val="1"/>
      <w:numFmt w:val="bullet"/>
      <w:lvlText w:val=""/>
      <w:lvlJc w:val="left"/>
      <w:pPr>
        <w:tabs>
          <w:tab w:val="num" w:pos="340"/>
        </w:tabs>
        <w:ind w:left="340" w:hanging="340"/>
      </w:pPr>
      <w:rPr>
        <w:rFonts w:ascii="Symbol" w:hAnsi="Symbol" w:hint="default"/>
        <w:color w:val="auto"/>
        <w:sz w:val="22"/>
      </w:rPr>
    </w:lvl>
  </w:abstractNum>
  <w:abstractNum w:abstractNumId="10">
    <w:nsid w:val="18120F6D"/>
    <w:multiLevelType w:val="hybridMultilevel"/>
    <w:tmpl w:val="F4AC1F96"/>
    <w:lvl w:ilvl="0" w:tplc="1C5C4B74">
      <w:start w:val="1"/>
      <w:numFmt w:val="bullet"/>
      <w:lvlText w:val="-"/>
      <w:lvlJc w:val="left"/>
      <w:pPr>
        <w:ind w:left="720" w:hanging="360"/>
      </w:pPr>
      <w:rPr>
        <w:rFonts w:ascii="Calibri" w:eastAsia="Times New Roman" w:hAnsi="Calibri" w:cs="Calibri" w:hint="default"/>
        <w:color w:val="D9D9D9" w:themeColor="background1" w:themeShade="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87617C0"/>
    <w:multiLevelType w:val="hybridMultilevel"/>
    <w:tmpl w:val="622800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CD95887"/>
    <w:multiLevelType w:val="multilevel"/>
    <w:tmpl w:val="4A2C09A0"/>
    <w:styleLink w:val="Style2"/>
    <w:lvl w:ilvl="0">
      <w:start w:val="1"/>
      <w:numFmt w:val="decimal"/>
      <w:lvlText w:val="Note %1: "/>
      <w:lvlJc w:val="left"/>
      <w:pPr>
        <w:tabs>
          <w:tab w:val="num" w:pos="992"/>
        </w:tabs>
        <w:ind w:left="992" w:hanging="99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upperLetter"/>
      <w:lvlText w:val="Note %1%2: "/>
      <w:lvlJc w:val="left"/>
      <w:pPr>
        <w:tabs>
          <w:tab w:val="num" w:pos="1532"/>
        </w:tabs>
        <w:ind w:left="1532" w:hanging="992"/>
      </w:pPr>
      <w:rPr>
        <w:rFonts w:ascii="Times New Roman" w:hAnsi="Times New Roman" w:cs="Times New Roman" w:hint="default"/>
        <w:b/>
        <w:i w:val="0"/>
        <w:strike w:val="0"/>
        <w:dstrike w:val="0"/>
        <w:color w:val="auto"/>
        <w:sz w:val="20"/>
        <w:szCs w:val="20"/>
        <w:u w:val="none"/>
        <w:effect w:val="none"/>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20E22A60"/>
    <w:multiLevelType w:val="hybridMultilevel"/>
    <w:tmpl w:val="8FA05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DF3D2A"/>
    <w:multiLevelType w:val="hybridMultilevel"/>
    <w:tmpl w:val="D9F660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ACF6FF9"/>
    <w:multiLevelType w:val="hybridMultilevel"/>
    <w:tmpl w:val="D9F660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9B44CB"/>
    <w:multiLevelType w:val="hybridMultilevel"/>
    <w:tmpl w:val="D9F660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D73CB6"/>
    <w:multiLevelType w:val="singleLevel"/>
    <w:tmpl w:val="F9E42C42"/>
    <w:lvl w:ilvl="0">
      <w:start w:val="1"/>
      <w:numFmt w:val="bullet"/>
      <w:lvlText w:val=""/>
      <w:lvlJc w:val="left"/>
      <w:pPr>
        <w:tabs>
          <w:tab w:val="num" w:pos="340"/>
        </w:tabs>
        <w:ind w:left="340" w:hanging="340"/>
      </w:pPr>
      <w:rPr>
        <w:rFonts w:ascii="Symbol" w:hAnsi="Symbol" w:hint="default"/>
        <w:color w:val="auto"/>
        <w:sz w:val="22"/>
      </w:rPr>
    </w:lvl>
  </w:abstractNum>
  <w:abstractNum w:abstractNumId="18">
    <w:nsid w:val="33D77141"/>
    <w:multiLevelType w:val="singleLevel"/>
    <w:tmpl w:val="7C80CE86"/>
    <w:lvl w:ilvl="0">
      <w:start w:val="1"/>
      <w:numFmt w:val="bullet"/>
      <w:lvlText w:val=""/>
      <w:lvlJc w:val="left"/>
      <w:pPr>
        <w:tabs>
          <w:tab w:val="num" w:pos="340"/>
        </w:tabs>
        <w:ind w:left="340" w:hanging="340"/>
      </w:pPr>
      <w:rPr>
        <w:rFonts w:ascii="Symbol" w:hAnsi="Symbol" w:hint="default"/>
        <w:color w:val="auto"/>
        <w:sz w:val="22"/>
      </w:rPr>
    </w:lvl>
  </w:abstractNum>
  <w:abstractNum w:abstractNumId="19">
    <w:nsid w:val="3F7D631F"/>
    <w:multiLevelType w:val="singleLevel"/>
    <w:tmpl w:val="B7C6D352"/>
    <w:lvl w:ilvl="0">
      <w:start w:val="1"/>
      <w:numFmt w:val="bullet"/>
      <w:lvlText w:val=""/>
      <w:lvlJc w:val="left"/>
      <w:pPr>
        <w:tabs>
          <w:tab w:val="num" w:pos="340"/>
        </w:tabs>
        <w:ind w:left="340" w:hanging="340"/>
      </w:pPr>
      <w:rPr>
        <w:rFonts w:ascii="Symbol" w:hAnsi="Symbol" w:hint="default"/>
        <w:color w:val="auto"/>
        <w:sz w:val="22"/>
      </w:rPr>
    </w:lvl>
  </w:abstractNum>
  <w:abstractNum w:abstractNumId="20">
    <w:nsid w:val="4AED3320"/>
    <w:multiLevelType w:val="hybridMultilevel"/>
    <w:tmpl w:val="EF647D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B0E1940"/>
    <w:multiLevelType w:val="hybridMultilevel"/>
    <w:tmpl w:val="9E406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3134884"/>
    <w:multiLevelType w:val="multilevel"/>
    <w:tmpl w:val="DDDCE604"/>
    <w:lvl w:ilvl="0">
      <w:start w:val="1"/>
      <w:numFmt w:val="decimal"/>
      <w:pStyle w:val="SectionHeading"/>
      <w:suff w:val="space"/>
      <w:lvlText w:val="%1."/>
      <w:lvlJc w:val="lef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SubHeading"/>
      <w:lvlText w:val="%1.%2."/>
      <w:lvlJc w:val="left"/>
      <w:pPr>
        <w:ind w:left="792" w:hanging="432"/>
      </w:pPr>
      <w:rPr>
        <w:rFonts w:ascii="Arial" w:hAnsi="Arial" w:cs="Arial"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5F6A5F"/>
    <w:multiLevelType w:val="multilevel"/>
    <w:tmpl w:val="4A2C09A0"/>
    <w:styleLink w:val="CurrentList1"/>
    <w:lvl w:ilvl="0">
      <w:start w:val="1"/>
      <w:numFmt w:val="decimal"/>
      <w:lvlText w:val="Note %1: "/>
      <w:lvlJc w:val="left"/>
      <w:pPr>
        <w:tabs>
          <w:tab w:val="num" w:pos="992"/>
        </w:tabs>
        <w:ind w:left="992" w:hanging="99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upperLetter"/>
      <w:lvlText w:val="Note %1%2: "/>
      <w:lvlJc w:val="left"/>
      <w:pPr>
        <w:tabs>
          <w:tab w:val="num" w:pos="1532"/>
        </w:tabs>
        <w:ind w:left="1532" w:hanging="992"/>
      </w:pPr>
      <w:rPr>
        <w:rFonts w:ascii="Times New Roman" w:hAnsi="Times New Roman" w:cs="Times New Roman" w:hint="default"/>
        <w:b/>
        <w:i w:val="0"/>
        <w:strike w:val="0"/>
        <w:dstrike w:val="0"/>
        <w:color w:val="auto"/>
        <w:sz w:val="20"/>
        <w:szCs w:val="20"/>
        <w:u w:val="none"/>
        <w:effect w:val="none"/>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5E6C25A9"/>
    <w:multiLevelType w:val="singleLevel"/>
    <w:tmpl w:val="2B7486A4"/>
    <w:lvl w:ilvl="0">
      <w:start w:val="1"/>
      <w:numFmt w:val="bullet"/>
      <w:lvlText w:val=""/>
      <w:lvlJc w:val="left"/>
      <w:pPr>
        <w:tabs>
          <w:tab w:val="num" w:pos="340"/>
        </w:tabs>
        <w:ind w:left="340" w:hanging="340"/>
      </w:pPr>
      <w:rPr>
        <w:rFonts w:ascii="Symbol" w:hAnsi="Symbol" w:hint="default"/>
        <w:color w:val="auto"/>
        <w:sz w:val="22"/>
      </w:rPr>
    </w:lvl>
  </w:abstractNum>
  <w:abstractNum w:abstractNumId="25">
    <w:nsid w:val="60142E24"/>
    <w:multiLevelType w:val="hybridMultilevel"/>
    <w:tmpl w:val="C516664E"/>
    <w:lvl w:ilvl="0" w:tplc="958A6A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0670E23"/>
    <w:multiLevelType w:val="singleLevel"/>
    <w:tmpl w:val="FC8C2572"/>
    <w:lvl w:ilvl="0">
      <w:start w:val="1"/>
      <w:numFmt w:val="bullet"/>
      <w:lvlText w:val=""/>
      <w:lvlJc w:val="left"/>
      <w:pPr>
        <w:tabs>
          <w:tab w:val="num" w:pos="360"/>
        </w:tabs>
        <w:ind w:left="357" w:hanging="357"/>
      </w:pPr>
      <w:rPr>
        <w:rFonts w:ascii="Symbol" w:hAnsi="Symbol" w:hint="default"/>
      </w:rPr>
    </w:lvl>
  </w:abstractNum>
  <w:abstractNum w:abstractNumId="27">
    <w:nsid w:val="619F60BE"/>
    <w:multiLevelType w:val="hybridMultilevel"/>
    <w:tmpl w:val="D9F660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2E11A3E"/>
    <w:multiLevelType w:val="hybridMultilevel"/>
    <w:tmpl w:val="EF647D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A38338E"/>
    <w:multiLevelType w:val="singleLevel"/>
    <w:tmpl w:val="2922866A"/>
    <w:lvl w:ilvl="0">
      <w:start w:val="1"/>
      <w:numFmt w:val="bullet"/>
      <w:pStyle w:val="NotesHeading-Level1GreyShade"/>
      <w:lvlText w:val=""/>
      <w:lvlJc w:val="left"/>
      <w:pPr>
        <w:tabs>
          <w:tab w:val="num" w:pos="360"/>
        </w:tabs>
        <w:ind w:left="360" w:hanging="360"/>
      </w:pPr>
      <w:rPr>
        <w:rFonts w:ascii="Symbol" w:hAnsi="Symbol" w:cs="Times New Roman" w:hint="default"/>
      </w:rPr>
    </w:lvl>
  </w:abstractNum>
  <w:abstractNum w:abstractNumId="30">
    <w:nsid w:val="72C71143"/>
    <w:multiLevelType w:val="hybridMultilevel"/>
    <w:tmpl w:val="D9F660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2E921FA"/>
    <w:multiLevelType w:val="multilevel"/>
    <w:tmpl w:val="FD30ADAE"/>
    <w:lvl w:ilvl="0">
      <w:start w:val="1"/>
      <w:numFmt w:val="decimal"/>
      <w:lvlText w:val="Note %1: "/>
      <w:lvlJc w:val="left"/>
      <w:pPr>
        <w:tabs>
          <w:tab w:val="num" w:pos="851"/>
        </w:tabs>
        <w:ind w:left="1134" w:hanging="1134"/>
      </w:pPr>
      <w:rPr>
        <w:rFonts w:asciiTheme="minorHAnsi" w:hAnsiTheme="minorHAnsi" w:cstheme="minorHAnsi" w:hint="default"/>
        <w:b/>
        <w:bCs w:val="0"/>
        <w:i w:val="0"/>
        <w:iCs w:val="0"/>
        <w:caps w:val="0"/>
        <w:smallCaps w:val="0"/>
        <w:strike w:val="0"/>
        <w:dstrike w:val="0"/>
        <w:noProof w:val="0"/>
        <w:vanish w:val="0"/>
        <w:webHidden w:val="0"/>
        <w:color w:val="auto"/>
        <w:spacing w:val="0"/>
        <w:kern w:val="0"/>
        <w:position w:val="0"/>
        <w:sz w:val="20"/>
        <w:szCs w:val="20"/>
        <w:u w:val="none"/>
        <w:effect w:val="none"/>
        <w:vertAlign w:val="baseline"/>
        <w:em w:val="none"/>
        <w:specVanish w:val="0"/>
      </w:rPr>
    </w:lvl>
    <w:lvl w:ilvl="1">
      <w:start w:val="1"/>
      <w:numFmt w:val="upperLetter"/>
      <w:lvlText w:val="Note %1%2: "/>
      <w:lvlJc w:val="left"/>
      <w:pPr>
        <w:tabs>
          <w:tab w:val="num" w:pos="851"/>
        </w:tabs>
        <w:ind w:left="1532" w:hanging="1532"/>
      </w:pPr>
      <w:rPr>
        <w:rFonts w:ascii="Times New Roman" w:hAnsi="Times New Roman" w:cs="Times New Roman" w:hint="default"/>
        <w:b/>
        <w:i w:val="0"/>
        <w:color w:val="auto"/>
        <w:sz w:val="20"/>
        <w:szCs w:val="20"/>
        <w:u w:val="single"/>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2">
    <w:nsid w:val="7C4B133B"/>
    <w:multiLevelType w:val="hybridMultilevel"/>
    <w:tmpl w:val="8F4A8EDC"/>
    <w:lvl w:ilvl="0" w:tplc="B2BEBDB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E9F6991"/>
    <w:multiLevelType w:val="singleLevel"/>
    <w:tmpl w:val="201AD1BE"/>
    <w:lvl w:ilvl="0">
      <w:start w:val="1"/>
      <w:numFmt w:val="bullet"/>
      <w:lvlText w:val=""/>
      <w:lvlJc w:val="left"/>
      <w:pPr>
        <w:tabs>
          <w:tab w:val="num" w:pos="340"/>
        </w:tabs>
        <w:ind w:left="340" w:hanging="340"/>
      </w:pPr>
      <w:rPr>
        <w:rFonts w:ascii="Symbol" w:hAnsi="Symbol" w:hint="default"/>
        <w:color w:val="auto"/>
        <w:sz w:val="22"/>
      </w:rPr>
    </w:lvl>
  </w:abstractNum>
  <w:num w:numId="1">
    <w:abstractNumId w:val="31"/>
  </w:num>
  <w:num w:numId="2">
    <w:abstractNumId w:val="29"/>
  </w:num>
  <w:num w:numId="3">
    <w:abstractNumId w:val="1"/>
  </w:num>
  <w:num w:numId="4">
    <w:abstractNumId w:val="12"/>
  </w:num>
  <w:num w:numId="5">
    <w:abstractNumId w:val="23"/>
  </w:num>
  <w:num w:numId="6">
    <w:abstractNumId w:val="3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7"/>
  </w:num>
  <w:num w:numId="9">
    <w:abstractNumId w:val="7"/>
  </w:num>
  <w:num w:numId="10">
    <w:abstractNumId w:val="10"/>
  </w:num>
  <w:num w:numId="11">
    <w:abstractNumId w:val="0"/>
  </w:num>
  <w:num w:numId="12">
    <w:abstractNumId w:val="9"/>
  </w:num>
  <w:num w:numId="13">
    <w:abstractNumId w:val="33"/>
  </w:num>
  <w:num w:numId="14">
    <w:abstractNumId w:val="19"/>
  </w:num>
  <w:num w:numId="15">
    <w:abstractNumId w:val="18"/>
  </w:num>
  <w:num w:numId="16">
    <w:abstractNumId w:val="6"/>
  </w:num>
  <w:num w:numId="17">
    <w:abstractNumId w:val="25"/>
  </w:num>
  <w:num w:numId="18">
    <w:abstractNumId w:val="24"/>
  </w:num>
  <w:num w:numId="19">
    <w:abstractNumId w:val="3"/>
  </w:num>
  <w:num w:numId="20">
    <w:abstractNumId w:val="16"/>
  </w:num>
  <w:num w:numId="21">
    <w:abstractNumId w:val="30"/>
  </w:num>
  <w:num w:numId="22">
    <w:abstractNumId w:val="27"/>
  </w:num>
  <w:num w:numId="23">
    <w:abstractNumId w:val="14"/>
  </w:num>
  <w:num w:numId="24">
    <w:abstractNumId w:val="28"/>
  </w:num>
  <w:num w:numId="25">
    <w:abstractNumId w:val="15"/>
  </w:num>
  <w:num w:numId="26">
    <w:abstractNumId w:val="2"/>
  </w:num>
  <w:num w:numId="27">
    <w:abstractNumId w:val="20"/>
  </w:num>
  <w:num w:numId="28">
    <w:abstractNumId w:val="5"/>
  </w:num>
  <w:num w:numId="29">
    <w:abstractNumId w:val="8"/>
  </w:num>
  <w:num w:numId="30">
    <w:abstractNumId w:val="13"/>
  </w:num>
  <w:num w:numId="31">
    <w:abstractNumId w:val="32"/>
  </w:num>
  <w:num w:numId="32">
    <w:abstractNumId w:val="11"/>
  </w:num>
  <w:num w:numId="33">
    <w:abstractNumId w:val="4"/>
  </w:num>
  <w:num w:numId="34">
    <w:abstractNumId w:val="2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EB"/>
    <w:rsid w:val="001D7A85"/>
    <w:rsid w:val="003A13F7"/>
    <w:rsid w:val="008835EB"/>
    <w:rsid w:val="00C30F1E"/>
    <w:rsid w:val="00F4745F"/>
    <w:rsid w:val="00FA45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macro"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5EB"/>
    <w:pPr>
      <w:spacing w:after="0" w:line="260" w:lineRule="atLeast"/>
    </w:pPr>
    <w:rPr>
      <w:rFonts w:ascii="Calibri" w:eastAsia="Times New Roman" w:hAnsi="Calibri" w:cs="Times New Roman"/>
      <w:sz w:val="18"/>
      <w:szCs w:val="20"/>
    </w:rPr>
  </w:style>
  <w:style w:type="paragraph" w:styleId="Heading1">
    <w:name w:val="heading 1"/>
    <w:aliases w:val="Heading 1 do not use,Section heading 1,Front Page Title,1.,Para 1,Para 11"/>
    <w:basedOn w:val="Normal"/>
    <w:next w:val="Normal"/>
    <w:link w:val="Heading1Char"/>
    <w:qFormat/>
    <w:rsid w:val="008835EB"/>
    <w:pPr>
      <w:keepNext/>
      <w:spacing w:before="240" w:after="60"/>
      <w:outlineLvl w:val="0"/>
    </w:pPr>
    <w:rPr>
      <w:rFonts w:ascii="Arial" w:eastAsiaTheme="minorEastAsia" w:hAnsi="Arial" w:cs="Arial"/>
      <w:kern w:val="32"/>
      <w:sz w:val="32"/>
      <w:szCs w:val="32"/>
    </w:rPr>
  </w:style>
  <w:style w:type="paragraph" w:styleId="Heading2">
    <w:name w:val="heading 2"/>
    <w:aliases w:val="Heading 2 do not use,Front Page List of Sections"/>
    <w:basedOn w:val="Normal"/>
    <w:next w:val="Normal"/>
    <w:link w:val="Heading2Char"/>
    <w:qFormat/>
    <w:rsid w:val="008835EB"/>
    <w:pPr>
      <w:keepNext/>
      <w:spacing w:before="240" w:after="60"/>
      <w:outlineLvl w:val="1"/>
    </w:pPr>
    <w:rPr>
      <w:rFonts w:ascii="Arial" w:eastAsiaTheme="minorEastAsia" w:hAnsi="Arial" w:cs="Arial"/>
      <w:i/>
      <w:iCs/>
      <w:sz w:val="28"/>
      <w:szCs w:val="28"/>
    </w:rPr>
  </w:style>
  <w:style w:type="paragraph" w:styleId="Heading3">
    <w:name w:val="heading 3"/>
    <w:aliases w:val="Heading 3 do not use"/>
    <w:basedOn w:val="Normal"/>
    <w:next w:val="Normal"/>
    <w:link w:val="Heading3Char"/>
    <w:qFormat/>
    <w:rsid w:val="008835EB"/>
    <w:pPr>
      <w:keepNext/>
      <w:spacing w:before="240" w:after="60"/>
      <w:outlineLvl w:val="2"/>
    </w:pPr>
    <w:rPr>
      <w:rFonts w:ascii="Arial" w:eastAsiaTheme="minorEastAsia" w:hAnsi="Arial" w:cs="Arial"/>
      <w:sz w:val="26"/>
      <w:szCs w:val="26"/>
    </w:rPr>
  </w:style>
  <w:style w:type="paragraph" w:styleId="Heading4">
    <w:name w:val="heading 4"/>
    <w:basedOn w:val="Normal"/>
    <w:link w:val="Heading4Char"/>
    <w:qFormat/>
    <w:rsid w:val="008835EB"/>
    <w:pPr>
      <w:spacing w:before="130" w:after="130"/>
      <w:outlineLvl w:val="3"/>
    </w:pPr>
    <w:rPr>
      <w:rFonts w:eastAsiaTheme="minorEastAsia"/>
    </w:rPr>
  </w:style>
  <w:style w:type="paragraph" w:styleId="Heading5">
    <w:name w:val="heading 5"/>
    <w:basedOn w:val="Normal"/>
    <w:next w:val="Normal"/>
    <w:link w:val="Heading5Char"/>
    <w:qFormat/>
    <w:rsid w:val="008835EB"/>
    <w:pPr>
      <w:outlineLvl w:val="4"/>
    </w:pPr>
    <w:rPr>
      <w:rFonts w:eastAsiaTheme="minorEastAsia"/>
    </w:rPr>
  </w:style>
  <w:style w:type="paragraph" w:styleId="Heading6">
    <w:name w:val="heading 6"/>
    <w:basedOn w:val="Normal"/>
    <w:next w:val="Normal"/>
    <w:link w:val="Heading6Char"/>
    <w:qFormat/>
    <w:rsid w:val="008835EB"/>
    <w:pPr>
      <w:outlineLvl w:val="5"/>
    </w:pPr>
    <w:rPr>
      <w:rFonts w:eastAsiaTheme="minorEastAsia"/>
    </w:rPr>
  </w:style>
  <w:style w:type="paragraph" w:styleId="Heading7">
    <w:name w:val="heading 7"/>
    <w:aliases w:val="Section Sub-Heading 4"/>
    <w:basedOn w:val="Normal"/>
    <w:next w:val="Normal"/>
    <w:link w:val="Heading7Char"/>
    <w:qFormat/>
    <w:rsid w:val="008835EB"/>
    <w:pPr>
      <w:outlineLvl w:val="6"/>
    </w:pPr>
  </w:style>
  <w:style w:type="paragraph" w:styleId="Heading8">
    <w:name w:val="heading 8"/>
    <w:basedOn w:val="Normal"/>
    <w:next w:val="Normal"/>
    <w:link w:val="Heading8Char"/>
    <w:qFormat/>
    <w:rsid w:val="008835EB"/>
    <w:pPr>
      <w:outlineLvl w:val="7"/>
    </w:pPr>
  </w:style>
  <w:style w:type="paragraph" w:styleId="Heading9">
    <w:name w:val="heading 9"/>
    <w:basedOn w:val="Normal"/>
    <w:next w:val="Normal"/>
    <w:link w:val="Heading9Char"/>
    <w:qFormat/>
    <w:rsid w:val="008835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o not use Char,Section heading 1 Char,Front Page Title Char,1. Char,Para 1 Char,Para 11 Char"/>
    <w:basedOn w:val="DefaultParagraphFont"/>
    <w:link w:val="Heading1"/>
    <w:rsid w:val="008835EB"/>
    <w:rPr>
      <w:rFonts w:ascii="Arial" w:eastAsiaTheme="minorEastAsia" w:hAnsi="Arial" w:cs="Arial"/>
      <w:kern w:val="32"/>
      <w:sz w:val="32"/>
      <w:szCs w:val="32"/>
    </w:rPr>
  </w:style>
  <w:style w:type="character" w:customStyle="1" w:styleId="Heading2Char">
    <w:name w:val="Heading 2 Char"/>
    <w:aliases w:val="Heading 2 do not use Char,Front Page List of Sections Char"/>
    <w:basedOn w:val="DefaultParagraphFont"/>
    <w:link w:val="Heading2"/>
    <w:rsid w:val="008835EB"/>
    <w:rPr>
      <w:rFonts w:ascii="Arial" w:eastAsiaTheme="minorEastAsia" w:hAnsi="Arial" w:cs="Arial"/>
      <w:i/>
      <w:iCs/>
      <w:sz w:val="28"/>
      <w:szCs w:val="28"/>
    </w:rPr>
  </w:style>
  <w:style w:type="character" w:customStyle="1" w:styleId="Heading3Char">
    <w:name w:val="Heading 3 Char"/>
    <w:aliases w:val="Heading 3 do not use Char"/>
    <w:basedOn w:val="DefaultParagraphFont"/>
    <w:link w:val="Heading3"/>
    <w:rsid w:val="008835EB"/>
    <w:rPr>
      <w:rFonts w:ascii="Arial" w:eastAsiaTheme="minorEastAsia" w:hAnsi="Arial" w:cs="Arial"/>
      <w:sz w:val="26"/>
      <w:szCs w:val="26"/>
    </w:rPr>
  </w:style>
  <w:style w:type="character" w:customStyle="1" w:styleId="Heading4Char">
    <w:name w:val="Heading 4 Char"/>
    <w:basedOn w:val="DefaultParagraphFont"/>
    <w:link w:val="Heading4"/>
    <w:rsid w:val="008835EB"/>
    <w:rPr>
      <w:rFonts w:ascii="Calibri" w:eastAsiaTheme="minorEastAsia" w:hAnsi="Calibri" w:cs="Times New Roman"/>
      <w:sz w:val="18"/>
      <w:szCs w:val="20"/>
    </w:rPr>
  </w:style>
  <w:style w:type="character" w:customStyle="1" w:styleId="Heading5Char">
    <w:name w:val="Heading 5 Char"/>
    <w:basedOn w:val="DefaultParagraphFont"/>
    <w:link w:val="Heading5"/>
    <w:rsid w:val="008835EB"/>
    <w:rPr>
      <w:rFonts w:ascii="Calibri" w:eastAsiaTheme="minorEastAsia" w:hAnsi="Calibri" w:cs="Times New Roman"/>
      <w:sz w:val="18"/>
      <w:szCs w:val="20"/>
    </w:rPr>
  </w:style>
  <w:style w:type="character" w:customStyle="1" w:styleId="Heading6Char">
    <w:name w:val="Heading 6 Char"/>
    <w:basedOn w:val="DefaultParagraphFont"/>
    <w:link w:val="Heading6"/>
    <w:rsid w:val="008835EB"/>
    <w:rPr>
      <w:rFonts w:ascii="Calibri" w:eastAsiaTheme="minorEastAsia" w:hAnsi="Calibri" w:cs="Times New Roman"/>
      <w:sz w:val="18"/>
      <w:szCs w:val="20"/>
    </w:rPr>
  </w:style>
  <w:style w:type="character" w:customStyle="1" w:styleId="Heading7Char">
    <w:name w:val="Heading 7 Char"/>
    <w:aliases w:val="Section Sub-Heading 4 Char"/>
    <w:basedOn w:val="DefaultParagraphFont"/>
    <w:link w:val="Heading7"/>
    <w:rsid w:val="008835EB"/>
    <w:rPr>
      <w:rFonts w:ascii="Calibri" w:eastAsia="Times New Roman" w:hAnsi="Calibri" w:cs="Times New Roman"/>
      <w:sz w:val="18"/>
      <w:szCs w:val="20"/>
    </w:rPr>
  </w:style>
  <w:style w:type="character" w:customStyle="1" w:styleId="Heading8Char">
    <w:name w:val="Heading 8 Char"/>
    <w:basedOn w:val="DefaultParagraphFont"/>
    <w:link w:val="Heading8"/>
    <w:rsid w:val="008835EB"/>
    <w:rPr>
      <w:rFonts w:ascii="Calibri" w:eastAsia="Times New Roman" w:hAnsi="Calibri" w:cs="Times New Roman"/>
      <w:sz w:val="18"/>
      <w:szCs w:val="20"/>
    </w:rPr>
  </w:style>
  <w:style w:type="character" w:customStyle="1" w:styleId="Heading9Char">
    <w:name w:val="Heading 9 Char"/>
    <w:basedOn w:val="DefaultParagraphFont"/>
    <w:link w:val="Heading9"/>
    <w:rsid w:val="008835EB"/>
    <w:rPr>
      <w:rFonts w:ascii="Calibri" w:eastAsia="Times New Roman" w:hAnsi="Calibri" w:cs="Times New Roman"/>
      <w:sz w:val="18"/>
      <w:szCs w:val="20"/>
    </w:rPr>
  </w:style>
  <w:style w:type="character" w:styleId="Hyperlink">
    <w:name w:val="Hyperlink"/>
    <w:basedOn w:val="DefaultParagraphFont"/>
    <w:uiPriority w:val="99"/>
    <w:rsid w:val="008835EB"/>
    <w:rPr>
      <w:color w:val="0000FF" w:themeColor="hyperlink"/>
      <w:u w:val="single"/>
    </w:rPr>
  </w:style>
  <w:style w:type="character" w:styleId="FollowedHyperlink">
    <w:name w:val="FollowedHyperlink"/>
    <w:basedOn w:val="DefaultParagraphFont"/>
    <w:uiPriority w:val="99"/>
    <w:rsid w:val="008835EB"/>
    <w:rPr>
      <w:color w:val="800080" w:themeColor="followedHyperlink"/>
      <w:u w:val="single"/>
    </w:rPr>
  </w:style>
  <w:style w:type="paragraph" w:styleId="TOC1">
    <w:name w:val="toc 1"/>
    <w:basedOn w:val="Normal"/>
    <w:next w:val="Normal"/>
    <w:autoRedefine/>
    <w:uiPriority w:val="39"/>
    <w:rsid w:val="008835EB"/>
    <w:pPr>
      <w:tabs>
        <w:tab w:val="left" w:pos="851"/>
        <w:tab w:val="right" w:leader="dot" w:pos="9628"/>
      </w:tabs>
      <w:spacing w:before="120" w:after="120"/>
    </w:pPr>
    <w:rPr>
      <w:rFonts w:asciiTheme="minorHAnsi" w:eastAsiaTheme="majorEastAsia" w:hAnsiTheme="minorHAnsi"/>
      <w:noProof/>
      <w:sz w:val="20"/>
    </w:rPr>
  </w:style>
  <w:style w:type="paragraph" w:styleId="TOC2">
    <w:name w:val="toc 2"/>
    <w:basedOn w:val="Normal"/>
    <w:next w:val="Normal"/>
    <w:autoRedefine/>
    <w:uiPriority w:val="39"/>
    <w:rsid w:val="008835EB"/>
    <w:pPr>
      <w:tabs>
        <w:tab w:val="left" w:pos="993"/>
        <w:tab w:val="right" w:leader="dot" w:pos="9639"/>
      </w:tabs>
      <w:spacing w:before="120"/>
      <w:ind w:left="220"/>
    </w:pPr>
    <w:rPr>
      <w:rFonts w:eastAsiaTheme="majorEastAsia"/>
      <w:iCs/>
      <w:noProof/>
      <w:sz w:val="20"/>
    </w:rPr>
  </w:style>
  <w:style w:type="paragraph" w:styleId="TOC3">
    <w:name w:val="toc 3"/>
    <w:basedOn w:val="Normal"/>
    <w:next w:val="Normal"/>
    <w:autoRedefine/>
    <w:uiPriority w:val="39"/>
    <w:rsid w:val="008835EB"/>
    <w:pPr>
      <w:ind w:left="440"/>
    </w:pPr>
    <w:rPr>
      <w:sz w:val="20"/>
    </w:rPr>
  </w:style>
  <w:style w:type="paragraph" w:styleId="TOC4">
    <w:name w:val="toc 4"/>
    <w:basedOn w:val="Normal"/>
    <w:next w:val="Normal"/>
    <w:autoRedefine/>
    <w:semiHidden/>
    <w:rsid w:val="008835EB"/>
    <w:pPr>
      <w:ind w:left="660"/>
    </w:pPr>
    <w:rPr>
      <w:sz w:val="20"/>
    </w:rPr>
  </w:style>
  <w:style w:type="paragraph" w:styleId="TOC5">
    <w:name w:val="toc 5"/>
    <w:basedOn w:val="Normal"/>
    <w:next w:val="Normal"/>
    <w:autoRedefine/>
    <w:semiHidden/>
    <w:rsid w:val="008835EB"/>
    <w:pPr>
      <w:ind w:left="880"/>
    </w:pPr>
    <w:rPr>
      <w:sz w:val="20"/>
    </w:rPr>
  </w:style>
  <w:style w:type="paragraph" w:styleId="TOC6">
    <w:name w:val="toc 6"/>
    <w:basedOn w:val="Normal"/>
    <w:next w:val="Normal"/>
    <w:autoRedefine/>
    <w:semiHidden/>
    <w:rsid w:val="008835EB"/>
    <w:pPr>
      <w:ind w:left="1100"/>
    </w:pPr>
    <w:rPr>
      <w:sz w:val="20"/>
    </w:rPr>
  </w:style>
  <w:style w:type="paragraph" w:styleId="TOC7">
    <w:name w:val="toc 7"/>
    <w:basedOn w:val="Normal"/>
    <w:next w:val="Normal"/>
    <w:autoRedefine/>
    <w:semiHidden/>
    <w:rsid w:val="008835EB"/>
    <w:pPr>
      <w:ind w:left="1320"/>
    </w:pPr>
    <w:rPr>
      <w:sz w:val="20"/>
    </w:rPr>
  </w:style>
  <w:style w:type="paragraph" w:styleId="TOC8">
    <w:name w:val="toc 8"/>
    <w:basedOn w:val="Normal"/>
    <w:next w:val="Normal"/>
    <w:autoRedefine/>
    <w:semiHidden/>
    <w:rsid w:val="008835EB"/>
    <w:pPr>
      <w:ind w:left="1540"/>
    </w:pPr>
    <w:rPr>
      <w:sz w:val="20"/>
    </w:rPr>
  </w:style>
  <w:style w:type="paragraph" w:styleId="TOC9">
    <w:name w:val="toc 9"/>
    <w:basedOn w:val="Normal"/>
    <w:next w:val="Normal"/>
    <w:autoRedefine/>
    <w:semiHidden/>
    <w:rsid w:val="008835EB"/>
    <w:pPr>
      <w:ind w:left="1760"/>
    </w:pPr>
    <w:rPr>
      <w:sz w:val="20"/>
    </w:rPr>
  </w:style>
  <w:style w:type="paragraph" w:styleId="FootnoteText">
    <w:name w:val="footnote text"/>
    <w:basedOn w:val="Normal"/>
    <w:link w:val="FootnoteTextChar"/>
    <w:semiHidden/>
    <w:rsid w:val="008835EB"/>
    <w:rPr>
      <w:sz w:val="20"/>
    </w:rPr>
  </w:style>
  <w:style w:type="character" w:customStyle="1" w:styleId="FootnoteTextChar">
    <w:name w:val="Footnote Text Char"/>
    <w:basedOn w:val="DefaultParagraphFont"/>
    <w:link w:val="FootnoteText"/>
    <w:semiHidden/>
    <w:rsid w:val="008835EB"/>
    <w:rPr>
      <w:rFonts w:ascii="Calibri" w:eastAsia="Times New Roman" w:hAnsi="Calibri" w:cs="Times New Roman"/>
      <w:sz w:val="20"/>
      <w:szCs w:val="20"/>
    </w:rPr>
  </w:style>
  <w:style w:type="paragraph" w:styleId="CommentText">
    <w:name w:val="annotation text"/>
    <w:basedOn w:val="Normal"/>
    <w:link w:val="CommentTextChar"/>
    <w:uiPriority w:val="99"/>
    <w:semiHidden/>
    <w:rsid w:val="008835EB"/>
    <w:rPr>
      <w:sz w:val="20"/>
    </w:rPr>
  </w:style>
  <w:style w:type="character" w:customStyle="1" w:styleId="CommentTextChar">
    <w:name w:val="Comment Text Char"/>
    <w:basedOn w:val="DefaultParagraphFont"/>
    <w:link w:val="CommentText"/>
    <w:uiPriority w:val="99"/>
    <w:semiHidden/>
    <w:rsid w:val="008835EB"/>
    <w:rPr>
      <w:rFonts w:ascii="Calibri" w:eastAsia="Times New Roman" w:hAnsi="Calibri" w:cs="Times New Roman"/>
      <w:sz w:val="20"/>
      <w:szCs w:val="20"/>
    </w:rPr>
  </w:style>
  <w:style w:type="paragraph" w:styleId="Header">
    <w:name w:val="header"/>
    <w:basedOn w:val="Normal"/>
    <w:link w:val="HeaderChar"/>
    <w:uiPriority w:val="99"/>
    <w:rsid w:val="008835EB"/>
    <w:pPr>
      <w:tabs>
        <w:tab w:val="center" w:pos="4513"/>
        <w:tab w:val="right" w:pos="9026"/>
      </w:tabs>
      <w:spacing w:line="240" w:lineRule="auto"/>
    </w:pPr>
  </w:style>
  <w:style w:type="character" w:customStyle="1" w:styleId="HeaderChar">
    <w:name w:val="Header Char"/>
    <w:basedOn w:val="DefaultParagraphFont"/>
    <w:link w:val="Header"/>
    <w:uiPriority w:val="99"/>
    <w:rsid w:val="008835EB"/>
    <w:rPr>
      <w:rFonts w:ascii="Calibri" w:eastAsia="Times New Roman" w:hAnsi="Calibri" w:cs="Times New Roman"/>
      <w:sz w:val="18"/>
      <w:szCs w:val="20"/>
    </w:rPr>
  </w:style>
  <w:style w:type="paragraph" w:styleId="Footer">
    <w:name w:val="footer"/>
    <w:basedOn w:val="Normal"/>
    <w:link w:val="FooterChar"/>
    <w:uiPriority w:val="99"/>
    <w:rsid w:val="008835EB"/>
    <w:pPr>
      <w:tabs>
        <w:tab w:val="center" w:pos="4513"/>
        <w:tab w:val="right" w:pos="9026"/>
      </w:tabs>
      <w:spacing w:line="240" w:lineRule="auto"/>
    </w:pPr>
  </w:style>
  <w:style w:type="character" w:customStyle="1" w:styleId="FooterChar">
    <w:name w:val="Footer Char"/>
    <w:basedOn w:val="DefaultParagraphFont"/>
    <w:link w:val="Footer"/>
    <w:uiPriority w:val="99"/>
    <w:rsid w:val="008835EB"/>
    <w:rPr>
      <w:rFonts w:ascii="Calibri" w:eastAsia="Times New Roman" w:hAnsi="Calibri" w:cs="Times New Roman"/>
      <w:sz w:val="18"/>
      <w:szCs w:val="20"/>
    </w:rPr>
  </w:style>
  <w:style w:type="paragraph" w:styleId="Caption">
    <w:name w:val="caption"/>
    <w:basedOn w:val="Normal"/>
    <w:next w:val="Normal"/>
    <w:qFormat/>
    <w:rsid w:val="008835EB"/>
    <w:pPr>
      <w:spacing w:after="200" w:line="240" w:lineRule="auto"/>
    </w:pPr>
    <w:rPr>
      <w:b/>
      <w:bCs/>
      <w:color w:val="4F81BD" w:themeColor="accent1"/>
      <w:szCs w:val="18"/>
    </w:rPr>
  </w:style>
  <w:style w:type="paragraph" w:styleId="TableofFigures">
    <w:name w:val="table of figures"/>
    <w:basedOn w:val="Normal"/>
    <w:next w:val="Normal"/>
    <w:semiHidden/>
    <w:rsid w:val="008835EB"/>
  </w:style>
  <w:style w:type="paragraph" w:styleId="MacroText">
    <w:name w:val="macro"/>
    <w:link w:val="MacroTextChar"/>
    <w:semiHidden/>
    <w:rsid w:val="008835E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18"/>
      <w:szCs w:val="20"/>
      <w:lang w:val="en-GB"/>
    </w:rPr>
  </w:style>
  <w:style w:type="character" w:customStyle="1" w:styleId="MacroTextChar">
    <w:name w:val="Macro Text Char"/>
    <w:basedOn w:val="DefaultParagraphFont"/>
    <w:link w:val="MacroText"/>
    <w:semiHidden/>
    <w:rsid w:val="008835EB"/>
    <w:rPr>
      <w:rFonts w:ascii="Courier New" w:eastAsia="Times New Roman" w:hAnsi="Courier New" w:cs="Courier New"/>
      <w:sz w:val="18"/>
      <w:szCs w:val="20"/>
      <w:lang w:val="en-GB"/>
    </w:rPr>
  </w:style>
  <w:style w:type="paragraph" w:styleId="Signature">
    <w:name w:val="Signature"/>
    <w:basedOn w:val="Normal"/>
    <w:link w:val="SignatureChar"/>
    <w:rsid w:val="008835EB"/>
    <w:pPr>
      <w:spacing w:line="240" w:lineRule="auto"/>
    </w:pPr>
  </w:style>
  <w:style w:type="character" w:customStyle="1" w:styleId="SignatureChar">
    <w:name w:val="Signature Char"/>
    <w:basedOn w:val="DefaultParagraphFont"/>
    <w:link w:val="Signature"/>
    <w:rsid w:val="008835EB"/>
    <w:rPr>
      <w:rFonts w:ascii="Calibri" w:eastAsia="Times New Roman" w:hAnsi="Calibri" w:cs="Times New Roman"/>
      <w:sz w:val="18"/>
      <w:szCs w:val="20"/>
    </w:rPr>
  </w:style>
  <w:style w:type="paragraph" w:styleId="DocumentMap">
    <w:name w:val="Document Map"/>
    <w:basedOn w:val="Normal"/>
    <w:link w:val="DocumentMapChar"/>
    <w:semiHidden/>
    <w:rsid w:val="008835EB"/>
    <w:pPr>
      <w:shd w:val="clear" w:color="auto" w:fill="000080"/>
      <w:spacing w:line="240" w:lineRule="auto"/>
    </w:pPr>
    <w:rPr>
      <w:rFonts w:ascii="Tahoma" w:hAnsi="Tahoma"/>
      <w:sz w:val="20"/>
      <w:lang w:eastAsia="en-AU"/>
    </w:rPr>
  </w:style>
  <w:style w:type="character" w:customStyle="1" w:styleId="DocumentMapChar">
    <w:name w:val="Document Map Char"/>
    <w:basedOn w:val="DefaultParagraphFont"/>
    <w:link w:val="DocumentMap"/>
    <w:semiHidden/>
    <w:rsid w:val="008835EB"/>
    <w:rPr>
      <w:rFonts w:ascii="Tahoma" w:eastAsia="Times New Roman" w:hAnsi="Tahoma" w:cs="Times New Roman"/>
      <w:sz w:val="20"/>
      <w:szCs w:val="20"/>
      <w:shd w:val="clear" w:color="auto" w:fill="000080"/>
      <w:lang w:eastAsia="en-AU"/>
    </w:rPr>
  </w:style>
  <w:style w:type="paragraph" w:styleId="CommentSubject">
    <w:name w:val="annotation subject"/>
    <w:basedOn w:val="CommentText"/>
    <w:next w:val="CommentText"/>
    <w:link w:val="CommentSubjectChar"/>
    <w:semiHidden/>
    <w:rsid w:val="008835EB"/>
    <w:rPr>
      <w:b/>
      <w:bCs/>
    </w:rPr>
  </w:style>
  <w:style w:type="character" w:customStyle="1" w:styleId="CommentSubjectChar">
    <w:name w:val="Comment Subject Char"/>
    <w:basedOn w:val="CommentTextChar"/>
    <w:link w:val="CommentSubject"/>
    <w:semiHidden/>
    <w:rsid w:val="008835EB"/>
    <w:rPr>
      <w:rFonts w:ascii="Calibri" w:eastAsia="Times New Roman" w:hAnsi="Calibri" w:cs="Times New Roman"/>
      <w:b/>
      <w:bCs/>
      <w:sz w:val="20"/>
      <w:szCs w:val="20"/>
    </w:rPr>
  </w:style>
  <w:style w:type="paragraph" w:styleId="BalloonText">
    <w:name w:val="Balloon Text"/>
    <w:basedOn w:val="Normal"/>
    <w:link w:val="BalloonTextChar"/>
    <w:semiHidden/>
    <w:rsid w:val="008835EB"/>
    <w:rPr>
      <w:rFonts w:ascii="Tahoma" w:hAnsi="Tahoma" w:cs="Tahoma"/>
      <w:sz w:val="16"/>
      <w:szCs w:val="16"/>
    </w:rPr>
  </w:style>
  <w:style w:type="character" w:customStyle="1" w:styleId="BalloonTextChar">
    <w:name w:val="Balloon Text Char"/>
    <w:basedOn w:val="DefaultParagraphFont"/>
    <w:link w:val="BalloonText"/>
    <w:semiHidden/>
    <w:rsid w:val="008835EB"/>
    <w:rPr>
      <w:rFonts w:ascii="Tahoma" w:eastAsia="Times New Roman" w:hAnsi="Tahoma" w:cs="Tahoma"/>
      <w:sz w:val="16"/>
      <w:szCs w:val="16"/>
    </w:rPr>
  </w:style>
  <w:style w:type="paragraph" w:styleId="Revision">
    <w:name w:val="Revision"/>
    <w:uiPriority w:val="99"/>
    <w:semiHidden/>
    <w:rsid w:val="008835EB"/>
    <w:pPr>
      <w:spacing w:after="0" w:line="240" w:lineRule="auto"/>
    </w:pPr>
    <w:rPr>
      <w:rFonts w:ascii="Calibri" w:eastAsia="Times New Roman" w:hAnsi="Calibri" w:cs="Times New Roman"/>
      <w:sz w:val="18"/>
      <w:szCs w:val="20"/>
    </w:rPr>
  </w:style>
  <w:style w:type="paragraph" w:styleId="ListParagraph">
    <w:name w:val="List Paragraph"/>
    <w:basedOn w:val="Normal"/>
    <w:uiPriority w:val="34"/>
    <w:qFormat/>
    <w:rsid w:val="008835EB"/>
    <w:pPr>
      <w:ind w:left="720"/>
      <w:contextualSpacing/>
    </w:pPr>
  </w:style>
  <w:style w:type="character" w:customStyle="1" w:styleId="StatementNameChar">
    <w:name w:val="Statement Name Char"/>
    <w:basedOn w:val="DefaultParagraphFont"/>
    <w:link w:val="StatementName"/>
    <w:locked/>
    <w:rsid w:val="008835EB"/>
    <w:rPr>
      <w:rFonts w:ascii="Arial" w:hAnsi="Arial" w:cs="Arial"/>
      <w:b/>
      <w:sz w:val="24"/>
      <w:szCs w:val="24"/>
    </w:rPr>
  </w:style>
  <w:style w:type="paragraph" w:customStyle="1" w:styleId="StatementName">
    <w:name w:val="Statement Name"/>
    <w:basedOn w:val="Normal"/>
    <w:next w:val="Normal"/>
    <w:link w:val="StatementNameChar"/>
    <w:autoRedefine/>
    <w:rsid w:val="008835EB"/>
    <w:pPr>
      <w:pBdr>
        <w:bottom w:val="single" w:sz="4" w:space="1" w:color="auto"/>
      </w:pBdr>
    </w:pPr>
    <w:rPr>
      <w:rFonts w:ascii="Arial" w:eastAsiaTheme="minorHAnsi" w:hAnsi="Arial" w:cs="Arial"/>
      <w:b/>
      <w:sz w:val="24"/>
      <w:szCs w:val="24"/>
    </w:rPr>
  </w:style>
  <w:style w:type="paragraph" w:customStyle="1" w:styleId="StatementDateHeader">
    <w:name w:val="Statement Date Header"/>
    <w:basedOn w:val="Normal"/>
    <w:next w:val="Normal"/>
    <w:rsid w:val="008835EB"/>
    <w:pPr>
      <w:pBdr>
        <w:bottom w:val="single" w:sz="4" w:space="1" w:color="auto"/>
      </w:pBdr>
    </w:pPr>
    <w:rPr>
      <w:rFonts w:ascii="Arial" w:hAnsi="Arial"/>
      <w:i/>
      <w:sz w:val="24"/>
    </w:rPr>
  </w:style>
  <w:style w:type="paragraph" w:customStyle="1" w:styleId="StatementTextLevel3">
    <w:name w:val="Statement Text Level 3"/>
    <w:basedOn w:val="Normal"/>
    <w:next w:val="Normal"/>
    <w:rsid w:val="008835EB"/>
    <w:rPr>
      <w:rFonts w:ascii="Arial" w:hAnsi="Arial"/>
    </w:rPr>
  </w:style>
  <w:style w:type="paragraph" w:customStyle="1" w:styleId="TableHeaderLevel1">
    <w:name w:val="Table Header Level 1"/>
    <w:basedOn w:val="Normal"/>
    <w:semiHidden/>
    <w:rsid w:val="008835EB"/>
    <w:pPr>
      <w:jc w:val="center"/>
    </w:pPr>
    <w:rPr>
      <w:rFonts w:ascii="Arial" w:hAnsi="Arial"/>
      <w:b/>
      <w:szCs w:val="18"/>
    </w:rPr>
  </w:style>
  <w:style w:type="paragraph" w:customStyle="1" w:styleId="StatementTextLevel1bItalic">
    <w:name w:val="Statement Text Level 1(b) + Italic"/>
    <w:basedOn w:val="Normal"/>
    <w:rsid w:val="008835EB"/>
    <w:rPr>
      <w:rFonts w:ascii="Arial" w:hAnsi="Arial"/>
      <w:b/>
      <w:bCs/>
      <w:i/>
      <w:iCs/>
      <w:szCs w:val="18"/>
    </w:rPr>
  </w:style>
  <w:style w:type="paragraph" w:customStyle="1" w:styleId="Graphic">
    <w:name w:val="Graphic"/>
    <w:basedOn w:val="Signature"/>
    <w:rsid w:val="008835EB"/>
    <w:pPr>
      <w:pBdr>
        <w:top w:val="single" w:sz="4" w:space="1" w:color="auto"/>
        <w:left w:val="single" w:sz="4" w:space="1" w:color="auto"/>
        <w:bottom w:val="single" w:sz="4" w:space="1" w:color="auto"/>
        <w:right w:val="single" w:sz="4" w:space="1" w:color="auto"/>
      </w:pBdr>
      <w:jc w:val="center"/>
    </w:pPr>
  </w:style>
  <w:style w:type="paragraph" w:customStyle="1" w:styleId="NotesTotal">
    <w:name w:val="Notes Total"/>
    <w:basedOn w:val="Normal"/>
    <w:autoRedefine/>
    <w:rsid w:val="008835EB"/>
    <w:pPr>
      <w:ind w:left="139" w:right="57"/>
    </w:pPr>
    <w:rPr>
      <w:b/>
      <w:iCs/>
      <w:sz w:val="20"/>
    </w:rPr>
  </w:style>
  <w:style w:type="paragraph" w:customStyle="1" w:styleId="TitlePage">
    <w:name w:val="Title Page"/>
    <w:basedOn w:val="Normal"/>
    <w:autoRedefine/>
    <w:rsid w:val="008835EB"/>
    <w:pPr>
      <w:spacing w:before="1200" w:after="1200"/>
      <w:ind w:left="57" w:right="57"/>
      <w:jc w:val="right"/>
    </w:pPr>
    <w:rPr>
      <w:b/>
      <w:bCs/>
      <w:sz w:val="48"/>
    </w:rPr>
  </w:style>
  <w:style w:type="paragraph" w:customStyle="1" w:styleId="zcontents">
    <w:name w:val="zcontents"/>
    <w:basedOn w:val="Normal"/>
    <w:semiHidden/>
    <w:rsid w:val="008835EB"/>
    <w:pPr>
      <w:spacing w:after="260" w:line="240" w:lineRule="auto"/>
    </w:pPr>
    <w:rPr>
      <w:b/>
      <w:sz w:val="32"/>
    </w:rPr>
  </w:style>
  <w:style w:type="paragraph" w:customStyle="1" w:styleId="Normal10pt">
    <w:name w:val="Normal + 10 pt"/>
    <w:aliases w:val="Line spacing:  single"/>
    <w:basedOn w:val="Normal"/>
    <w:rsid w:val="008835EB"/>
    <w:pPr>
      <w:spacing w:before="130" w:after="130"/>
    </w:pPr>
    <w:rPr>
      <w:b/>
      <w:sz w:val="20"/>
    </w:rPr>
  </w:style>
  <w:style w:type="paragraph" w:customStyle="1" w:styleId="Normal8pt">
    <w:name w:val="Normal + 8 pt"/>
    <w:basedOn w:val="Normal"/>
    <w:rsid w:val="008835EB"/>
    <w:pPr>
      <w:widowControl w:val="0"/>
      <w:autoSpaceDE w:val="0"/>
      <w:autoSpaceDN w:val="0"/>
      <w:spacing w:line="240" w:lineRule="auto"/>
    </w:pPr>
    <w:rPr>
      <w:bCs/>
      <w:iCs/>
      <w:spacing w:val="-6"/>
      <w:sz w:val="16"/>
      <w:szCs w:val="16"/>
      <w:lang w:val="en-US"/>
    </w:rPr>
  </w:style>
  <w:style w:type="paragraph" w:customStyle="1" w:styleId="NormalCalistoMT">
    <w:name w:val="Normal + Calisto MT"/>
    <w:aliases w:val="8 pt,Right"/>
    <w:basedOn w:val="Normal"/>
    <w:rsid w:val="008835EB"/>
    <w:pPr>
      <w:framePr w:hSpace="180" w:wrap="around" w:vAnchor="text" w:hAnchor="margin" w:y="1"/>
      <w:ind w:right="212"/>
      <w:jc w:val="right"/>
    </w:pPr>
    <w:rPr>
      <w:rFonts w:ascii="Calisto MT" w:hAnsi="Calisto MT"/>
      <w:sz w:val="16"/>
    </w:rPr>
  </w:style>
  <w:style w:type="character" w:customStyle="1" w:styleId="ReferenceTextChar">
    <w:name w:val="Reference Text Char"/>
    <w:basedOn w:val="DefaultParagraphFont"/>
    <w:link w:val="ReferenceText"/>
    <w:locked/>
    <w:rsid w:val="008835EB"/>
    <w:rPr>
      <w:rFonts w:cstheme="minorHAnsi"/>
      <w:sz w:val="18"/>
    </w:rPr>
  </w:style>
  <w:style w:type="paragraph" w:customStyle="1" w:styleId="ReferenceText">
    <w:name w:val="Reference Text"/>
    <w:basedOn w:val="Normal"/>
    <w:link w:val="ReferenceTextChar"/>
    <w:autoRedefine/>
    <w:qFormat/>
    <w:rsid w:val="008835EB"/>
    <w:pPr>
      <w:spacing w:before="120"/>
    </w:pPr>
    <w:rPr>
      <w:rFonts w:asciiTheme="minorHAnsi" w:eastAsiaTheme="minorHAnsi" w:hAnsiTheme="minorHAnsi" w:cstheme="minorHAnsi"/>
      <w:szCs w:val="22"/>
    </w:rPr>
  </w:style>
  <w:style w:type="character" w:customStyle="1" w:styleId="NotesHeading-Level1Char">
    <w:name w:val="Notes Heading - Level 1 Char"/>
    <w:basedOn w:val="DefaultParagraphFont"/>
    <w:link w:val="NotesHeading-Level1"/>
    <w:locked/>
    <w:rsid w:val="008835EB"/>
    <w:rPr>
      <w:b/>
      <w:u w:val="single"/>
    </w:rPr>
  </w:style>
  <w:style w:type="paragraph" w:customStyle="1" w:styleId="NotesHeading-Level1">
    <w:name w:val="Notes Heading - Level 1"/>
    <w:basedOn w:val="Normal"/>
    <w:link w:val="NotesHeading-Level1Char"/>
    <w:qFormat/>
    <w:rsid w:val="008835EB"/>
    <w:pPr>
      <w:ind w:right="607"/>
      <w:outlineLvl w:val="0"/>
    </w:pPr>
    <w:rPr>
      <w:rFonts w:asciiTheme="minorHAnsi" w:eastAsiaTheme="minorHAnsi" w:hAnsiTheme="minorHAnsi" w:cstheme="minorBidi"/>
      <w:b/>
      <w:sz w:val="22"/>
      <w:szCs w:val="22"/>
      <w:u w:val="single"/>
    </w:rPr>
  </w:style>
  <w:style w:type="paragraph" w:customStyle="1" w:styleId="NotesHeading-Level2">
    <w:name w:val="Notes Heading - Level 2"/>
    <w:basedOn w:val="NotesHeading-Level1"/>
    <w:rsid w:val="008835EB"/>
    <w:pPr>
      <w:framePr w:hSpace="180" w:wrap="around" w:vAnchor="text" w:hAnchor="margin" w:y="1"/>
      <w:numPr>
        <w:ilvl w:val="1"/>
      </w:numPr>
    </w:pPr>
    <w:rPr>
      <w:sz w:val="18"/>
    </w:rPr>
  </w:style>
  <w:style w:type="paragraph" w:customStyle="1" w:styleId="StatementHeading">
    <w:name w:val="Statement Heading"/>
    <w:basedOn w:val="Normal"/>
    <w:rsid w:val="008835EB"/>
    <w:rPr>
      <w:rFonts w:ascii="Arial" w:hAnsi="Arial"/>
      <w:b/>
      <w:sz w:val="24"/>
    </w:rPr>
  </w:style>
  <w:style w:type="paragraph" w:customStyle="1" w:styleId="GreyShadeTableBreak">
    <w:name w:val="Grey Shade Table Break"/>
    <w:basedOn w:val="Normal"/>
    <w:qFormat/>
    <w:rsid w:val="008835EB"/>
    <w:pPr>
      <w:shd w:val="clear" w:color="auto" w:fill="D9D9D9" w:themeFill="background1" w:themeFillShade="D9"/>
      <w:tabs>
        <w:tab w:val="left" w:pos="9214"/>
      </w:tabs>
      <w:ind w:right="607"/>
    </w:pPr>
  </w:style>
  <w:style w:type="paragraph" w:customStyle="1" w:styleId="GreyShadeTableBreaknon-Standard">
    <w:name w:val="Grey Shade Table Break non-Standard"/>
    <w:qFormat/>
    <w:rsid w:val="008835EB"/>
    <w:pPr>
      <w:shd w:val="clear" w:color="auto" w:fill="D9D9D9" w:themeFill="background1" w:themeFillShade="D9"/>
      <w:spacing w:after="0" w:line="240" w:lineRule="auto"/>
      <w:ind w:right="57"/>
    </w:pPr>
    <w:rPr>
      <w:rFonts w:eastAsia="Times New Roman" w:cs="Times New Roman"/>
      <w:sz w:val="20"/>
      <w:szCs w:val="20"/>
      <w:lang w:eastAsia="en-AU"/>
    </w:rPr>
  </w:style>
  <w:style w:type="paragraph" w:customStyle="1" w:styleId="ReferenceTextLetter">
    <w:name w:val="Reference Text Letter"/>
    <w:basedOn w:val="ReferenceText"/>
    <w:qFormat/>
    <w:rsid w:val="008835EB"/>
    <w:pPr>
      <w:spacing w:line="240" w:lineRule="auto"/>
      <w:ind w:left="567" w:right="567"/>
    </w:pPr>
    <w:rPr>
      <w:rFonts w:cs="Arial"/>
      <w:szCs w:val="18"/>
    </w:rPr>
  </w:style>
  <w:style w:type="paragraph" w:customStyle="1" w:styleId="NotesHeader">
    <w:name w:val="Notes Header"/>
    <w:basedOn w:val="Normal"/>
    <w:next w:val="Normal"/>
    <w:rsid w:val="008835EB"/>
    <w:pPr>
      <w:jc w:val="center"/>
    </w:pPr>
    <w:rPr>
      <w:rFonts w:ascii="Arial" w:hAnsi="Arial"/>
      <w:b/>
    </w:rPr>
  </w:style>
  <w:style w:type="paragraph" w:customStyle="1" w:styleId="NotesReferences">
    <w:name w:val="Notes References"/>
    <w:basedOn w:val="Normal"/>
    <w:next w:val="Normal"/>
    <w:rsid w:val="008835EB"/>
    <w:pPr>
      <w:jc w:val="center"/>
    </w:pPr>
    <w:rPr>
      <w:rFonts w:ascii="Arial" w:hAnsi="Arial"/>
    </w:rPr>
  </w:style>
  <w:style w:type="paragraph" w:customStyle="1" w:styleId="NotesData">
    <w:name w:val="Notes Data"/>
    <w:basedOn w:val="Normal"/>
    <w:rsid w:val="008835EB"/>
    <w:pPr>
      <w:framePr w:hSpace="180" w:wrap="around" w:vAnchor="text" w:hAnchor="margin" w:y="1"/>
      <w:jc w:val="center"/>
    </w:pPr>
    <w:rPr>
      <w:sz w:val="20"/>
    </w:rPr>
  </w:style>
  <w:style w:type="paragraph" w:customStyle="1" w:styleId="NotesTextLevel1">
    <w:name w:val="Notes Text Level 1"/>
    <w:basedOn w:val="Normal"/>
    <w:next w:val="Normal"/>
    <w:rsid w:val="008835EB"/>
    <w:rPr>
      <w:rFonts w:ascii="Arial" w:hAnsi="Arial"/>
      <w:b/>
      <w:i/>
      <w:u w:val="single"/>
    </w:rPr>
  </w:style>
  <w:style w:type="character" w:customStyle="1" w:styleId="NotesTextLevel3aboldItalicChar">
    <w:name w:val="Notes Text Level 3(a) bold + Italic Char"/>
    <w:basedOn w:val="DefaultParagraphFont"/>
    <w:link w:val="NotesTextLevel3aboldItalic"/>
    <w:locked/>
    <w:rsid w:val="008835EB"/>
    <w:rPr>
      <w:rFonts w:ascii="Arial" w:hAnsi="Arial" w:cs="Arial"/>
      <w:b/>
      <w:bCs/>
      <w:i/>
      <w:iCs/>
      <w:sz w:val="18"/>
    </w:rPr>
  </w:style>
  <w:style w:type="paragraph" w:customStyle="1" w:styleId="NotesTextLevel3aboldItalic">
    <w:name w:val="Notes Text Level 3(a) bold + Italic"/>
    <w:basedOn w:val="Normal"/>
    <w:link w:val="NotesTextLevel3aboldItalicChar"/>
    <w:rsid w:val="008835EB"/>
    <w:rPr>
      <w:rFonts w:ascii="Arial" w:eastAsiaTheme="minorHAnsi" w:hAnsi="Arial" w:cs="Arial"/>
      <w:b/>
      <w:bCs/>
      <w:i/>
      <w:iCs/>
      <w:szCs w:val="22"/>
    </w:rPr>
  </w:style>
  <w:style w:type="paragraph" w:customStyle="1" w:styleId="NotesHeading3">
    <w:name w:val="Notes Heading 3"/>
    <w:basedOn w:val="Normal"/>
    <w:autoRedefine/>
    <w:rsid w:val="008835EB"/>
    <w:pPr>
      <w:spacing w:before="80" w:after="40"/>
      <w:ind w:left="113" w:right="113"/>
    </w:pPr>
    <w:rPr>
      <w:u w:val="single"/>
      <w:lang w:val="en-US"/>
    </w:rPr>
  </w:style>
  <w:style w:type="paragraph" w:customStyle="1" w:styleId="NotesHeading3a">
    <w:name w:val="Notes Heading 3a"/>
    <w:basedOn w:val="Normal"/>
    <w:autoRedefine/>
    <w:rsid w:val="008835EB"/>
    <w:pPr>
      <w:tabs>
        <w:tab w:val="num" w:pos="473"/>
      </w:tabs>
      <w:spacing w:after="120"/>
      <w:ind w:left="113" w:right="113"/>
      <w:jc w:val="both"/>
    </w:pPr>
    <w:rPr>
      <w:u w:val="single"/>
      <w:lang w:val="en-US"/>
    </w:rPr>
  </w:style>
  <w:style w:type="paragraph" w:customStyle="1" w:styleId="Notessub-lineitem">
    <w:name w:val="Notes sub-line item"/>
    <w:basedOn w:val="Normal"/>
    <w:autoRedefine/>
    <w:rsid w:val="008835EB"/>
    <w:pPr>
      <w:framePr w:hSpace="180" w:wrap="around" w:vAnchor="page" w:hAnchor="margin" w:y="1985"/>
      <w:tabs>
        <w:tab w:val="left" w:pos="593"/>
        <w:tab w:val="left" w:pos="1443"/>
      </w:tabs>
      <w:ind w:left="567" w:right="113"/>
    </w:pPr>
    <w:rPr>
      <w:sz w:val="20"/>
    </w:rPr>
  </w:style>
  <w:style w:type="paragraph" w:customStyle="1" w:styleId="NotesLineItem">
    <w:name w:val="Notes Line Item"/>
    <w:basedOn w:val="Normal"/>
    <w:autoRedefine/>
    <w:rsid w:val="008835EB"/>
    <w:pPr>
      <w:ind w:left="34"/>
    </w:pPr>
    <w:rPr>
      <w:iCs/>
      <w:sz w:val="16"/>
      <w:szCs w:val="16"/>
      <w:lang w:eastAsia="en-AU"/>
    </w:rPr>
  </w:style>
  <w:style w:type="paragraph" w:customStyle="1" w:styleId="NoteText">
    <w:name w:val="Note Text"/>
    <w:basedOn w:val="Normal"/>
    <w:autoRedefine/>
    <w:rsid w:val="008835EB"/>
    <w:pPr>
      <w:tabs>
        <w:tab w:val="left" w:pos="284"/>
      </w:tabs>
      <w:spacing w:after="120"/>
      <w:ind w:left="567"/>
    </w:pPr>
    <w:rPr>
      <w:sz w:val="20"/>
    </w:rPr>
  </w:style>
  <w:style w:type="paragraph" w:customStyle="1" w:styleId="NotesHeading">
    <w:name w:val="'Notes' Heading"/>
    <w:basedOn w:val="Normal"/>
    <w:autoRedefine/>
    <w:rsid w:val="008835EB"/>
    <w:pPr>
      <w:ind w:left="57" w:right="57"/>
      <w:jc w:val="center"/>
    </w:pPr>
    <w:rPr>
      <w:b/>
      <w:sz w:val="20"/>
    </w:rPr>
  </w:style>
  <w:style w:type="paragraph" w:customStyle="1" w:styleId="NotesReference">
    <w:name w:val="'Notes' Reference"/>
    <w:basedOn w:val="Normal"/>
    <w:autoRedefine/>
    <w:rsid w:val="008835EB"/>
    <w:pPr>
      <w:ind w:left="57" w:right="57"/>
      <w:jc w:val="center"/>
    </w:pPr>
    <w:rPr>
      <w:sz w:val="20"/>
    </w:rPr>
  </w:style>
  <w:style w:type="paragraph" w:customStyle="1" w:styleId="NotesHeading4">
    <w:name w:val="Notes Heading 4"/>
    <w:basedOn w:val="NoteText"/>
    <w:autoRedefine/>
    <w:rsid w:val="008835EB"/>
    <w:pPr>
      <w:keepNext/>
      <w:spacing w:before="200" w:after="80"/>
      <w:ind w:right="57"/>
    </w:pPr>
  </w:style>
  <w:style w:type="paragraph" w:customStyle="1" w:styleId="NotesHeading3NumberingOff">
    <w:name w:val="Notes Heading 3 Numbering Off"/>
    <w:basedOn w:val="NotesHeading3"/>
    <w:autoRedefine/>
    <w:rsid w:val="008835EB"/>
    <w:pPr>
      <w:tabs>
        <w:tab w:val="left" w:pos="1132"/>
      </w:tabs>
    </w:pPr>
  </w:style>
  <w:style w:type="paragraph" w:customStyle="1" w:styleId="NotesHeadingPlain">
    <w:name w:val="'Notes' Heading Plain"/>
    <w:basedOn w:val="NotesHeading"/>
    <w:autoRedefine/>
    <w:rsid w:val="008835EB"/>
    <w:rPr>
      <w:b w:val="0"/>
    </w:rPr>
  </w:style>
  <w:style w:type="paragraph" w:customStyle="1" w:styleId="NotesHeading5">
    <w:name w:val="Notes Heading 5"/>
    <w:basedOn w:val="Normal"/>
    <w:autoRedefine/>
    <w:rsid w:val="008835EB"/>
    <w:pPr>
      <w:spacing w:before="120" w:after="40"/>
      <w:ind w:left="113" w:right="113"/>
      <w:jc w:val="both"/>
    </w:pPr>
    <w:rPr>
      <w:b/>
      <w:sz w:val="20"/>
    </w:rPr>
  </w:style>
  <w:style w:type="paragraph" w:customStyle="1" w:styleId="NoteTextBEFOREDotPoint">
    <w:name w:val="Note Text BEFORE Dot Point"/>
    <w:basedOn w:val="NoteText"/>
    <w:rsid w:val="008835EB"/>
    <w:pPr>
      <w:spacing w:after="0"/>
      <w:ind w:left="178" w:right="57"/>
    </w:pPr>
  </w:style>
  <w:style w:type="paragraph" w:customStyle="1" w:styleId="ItalicLineItem">
    <w:name w:val="Italic Line Item"/>
    <w:basedOn w:val="Normal"/>
    <w:rsid w:val="008835EB"/>
    <w:pPr>
      <w:tabs>
        <w:tab w:val="left" w:pos="566"/>
      </w:tabs>
      <w:ind w:left="284" w:right="113"/>
      <w:jc w:val="both"/>
    </w:pPr>
    <w:rPr>
      <w:i/>
      <w:sz w:val="20"/>
      <w:lang w:val="en-US"/>
    </w:rPr>
  </w:style>
  <w:style w:type="paragraph" w:customStyle="1" w:styleId="ItalicHeading">
    <w:name w:val="Italic Heading"/>
    <w:basedOn w:val="ItalicLineItem"/>
    <w:rsid w:val="008835EB"/>
    <w:pPr>
      <w:ind w:left="57" w:right="0"/>
    </w:pPr>
  </w:style>
  <w:style w:type="paragraph" w:customStyle="1" w:styleId="Notes">
    <w:name w:val="'Notes'"/>
    <w:basedOn w:val="Normal"/>
    <w:rsid w:val="008835EB"/>
    <w:pPr>
      <w:jc w:val="center"/>
    </w:pPr>
    <w:rPr>
      <w:b/>
    </w:rPr>
  </w:style>
  <w:style w:type="character" w:customStyle="1" w:styleId="LineitemsChar">
    <w:name w:val="Line items Char"/>
    <w:basedOn w:val="DefaultParagraphFont"/>
    <w:link w:val="Lineitems"/>
    <w:uiPriority w:val="99"/>
    <w:locked/>
    <w:rsid w:val="008835EB"/>
  </w:style>
  <w:style w:type="paragraph" w:customStyle="1" w:styleId="Lineitems">
    <w:name w:val="Line items"/>
    <w:basedOn w:val="Normal"/>
    <w:link w:val="LineitemsChar"/>
    <w:autoRedefine/>
    <w:uiPriority w:val="99"/>
    <w:rsid w:val="008835EB"/>
    <w:rPr>
      <w:rFonts w:asciiTheme="minorHAnsi" w:eastAsiaTheme="minorHAnsi" w:hAnsiTheme="minorHAnsi" w:cstheme="minorBidi"/>
      <w:sz w:val="22"/>
      <w:szCs w:val="22"/>
    </w:rPr>
  </w:style>
  <w:style w:type="paragraph" w:customStyle="1" w:styleId="Notestext">
    <w:name w:val="Notes text"/>
    <w:basedOn w:val="Notes"/>
    <w:rsid w:val="008835EB"/>
    <w:rPr>
      <w:b w:val="0"/>
    </w:rPr>
  </w:style>
  <w:style w:type="paragraph" w:customStyle="1" w:styleId="Lineitemtable">
    <w:name w:val="Line item table"/>
    <w:basedOn w:val="Lineitems"/>
    <w:rsid w:val="008835EB"/>
  </w:style>
  <w:style w:type="paragraph" w:customStyle="1" w:styleId="12line">
    <w:name w:val="1/2 line"/>
    <w:basedOn w:val="Normal"/>
    <w:rsid w:val="008835EB"/>
    <w:pPr>
      <w:spacing w:before="10" w:after="10" w:line="240" w:lineRule="auto"/>
    </w:pPr>
    <w:rPr>
      <w:sz w:val="20"/>
    </w:rPr>
  </w:style>
  <w:style w:type="paragraph" w:customStyle="1" w:styleId="lineitemitalic">
    <w:name w:val="line item italic"/>
    <w:basedOn w:val="Normal"/>
    <w:rsid w:val="008835EB"/>
    <w:rPr>
      <w:i/>
    </w:rPr>
  </w:style>
  <w:style w:type="paragraph" w:customStyle="1" w:styleId="lineitembold">
    <w:name w:val="line item bold"/>
    <w:basedOn w:val="Normal"/>
    <w:rsid w:val="008835EB"/>
    <w:rPr>
      <w:b/>
      <w:sz w:val="20"/>
    </w:rPr>
  </w:style>
  <w:style w:type="paragraph" w:customStyle="1" w:styleId="Notesheading0">
    <w:name w:val="Notes heading"/>
    <w:basedOn w:val="Normal"/>
    <w:rsid w:val="008835EB"/>
    <w:pPr>
      <w:spacing w:line="240" w:lineRule="auto"/>
    </w:pPr>
    <w:rPr>
      <w:rFonts w:ascii="Calisto MT" w:hAnsi="Calisto MT"/>
      <w:b/>
      <w:sz w:val="14"/>
      <w:lang w:eastAsia="en-AU"/>
    </w:rPr>
  </w:style>
  <w:style w:type="paragraph" w:customStyle="1" w:styleId="Notestothefinancialstatements">
    <w:name w:val="Notes to the financial statements"/>
    <w:aliases w:val="Heading"/>
    <w:basedOn w:val="Normal"/>
    <w:rsid w:val="008835EB"/>
    <w:pPr>
      <w:tabs>
        <w:tab w:val="left" w:pos="567"/>
        <w:tab w:val="left" w:pos="1134"/>
        <w:tab w:val="left" w:pos="1701"/>
      </w:tabs>
      <w:spacing w:before="60" w:after="60" w:line="240" w:lineRule="auto"/>
    </w:pPr>
    <w:rPr>
      <w:rFonts w:ascii="Tahoma" w:hAnsi="Tahoma"/>
      <w:b/>
      <w:color w:val="000000"/>
      <w:sz w:val="16"/>
      <w:lang w:eastAsia="en-AU"/>
    </w:rPr>
  </w:style>
  <w:style w:type="paragraph" w:customStyle="1" w:styleId="NotesBulletPoint">
    <w:name w:val="Notes Bullet Point"/>
    <w:basedOn w:val="Normal"/>
    <w:autoRedefine/>
    <w:rsid w:val="008835EB"/>
    <w:pPr>
      <w:tabs>
        <w:tab w:val="left" w:pos="413"/>
        <w:tab w:val="num" w:pos="927"/>
      </w:tabs>
      <w:snapToGrid w:val="0"/>
      <w:spacing w:line="240" w:lineRule="auto"/>
      <w:ind w:left="414" w:right="113" w:hanging="301"/>
      <w:jc w:val="both"/>
    </w:pPr>
    <w:rPr>
      <w:sz w:val="20"/>
      <w:lang w:val="en-US" w:eastAsia="en-AU"/>
    </w:rPr>
  </w:style>
  <w:style w:type="paragraph" w:customStyle="1" w:styleId="Headinga">
    <w:name w:val="Heading a"/>
    <w:basedOn w:val="Normal"/>
    <w:rsid w:val="008835EB"/>
    <w:pPr>
      <w:spacing w:line="240" w:lineRule="auto"/>
    </w:pPr>
    <w:rPr>
      <w:b/>
      <w:bCs/>
      <w:szCs w:val="18"/>
    </w:rPr>
  </w:style>
  <w:style w:type="character" w:customStyle="1" w:styleId="LineitemsTotalChar">
    <w:name w:val="Line items Total Char"/>
    <w:basedOn w:val="LineitemsChar"/>
    <w:link w:val="LineitemsTotal"/>
    <w:uiPriority w:val="99"/>
    <w:locked/>
    <w:rsid w:val="008835EB"/>
    <w:rPr>
      <w:b/>
      <w:i/>
    </w:rPr>
  </w:style>
  <w:style w:type="paragraph" w:customStyle="1" w:styleId="LineitemsTotal">
    <w:name w:val="Line items Total"/>
    <w:basedOn w:val="Lineitems"/>
    <w:link w:val="LineitemsTotalChar"/>
    <w:uiPriority w:val="99"/>
    <w:rsid w:val="008835EB"/>
    <w:pPr>
      <w:framePr w:hSpace="180" w:wrap="around" w:vAnchor="text" w:hAnchor="margin" w:y="1"/>
    </w:pPr>
    <w:rPr>
      <w:b/>
      <w:i/>
    </w:rPr>
  </w:style>
  <w:style w:type="paragraph" w:customStyle="1" w:styleId="SAPHeading-Level1">
    <w:name w:val="SAP Heading - Level 1"/>
    <w:basedOn w:val="NotesHeading-Level1"/>
    <w:rsid w:val="008835EB"/>
    <w:pPr>
      <w:tabs>
        <w:tab w:val="num" w:pos="851"/>
      </w:tabs>
      <w:ind w:left="851" w:hanging="851"/>
    </w:pPr>
    <w:rPr>
      <w:rFonts w:cstheme="minorHAnsi"/>
    </w:rPr>
  </w:style>
  <w:style w:type="paragraph" w:customStyle="1" w:styleId="SAPHeading-Level2">
    <w:name w:val="SAP Heading - Level 2"/>
    <w:basedOn w:val="SAPHeading-Level1"/>
    <w:rsid w:val="008835EB"/>
    <w:pPr>
      <w:spacing w:before="100" w:after="100" w:line="240" w:lineRule="auto"/>
      <w:outlineLvl w:val="9"/>
    </w:pPr>
  </w:style>
  <w:style w:type="paragraph" w:customStyle="1" w:styleId="SAPHeading-Level3">
    <w:name w:val="SAP Heading - Level 3"/>
    <w:basedOn w:val="SAPHeading-Level2"/>
    <w:rsid w:val="008835EB"/>
  </w:style>
  <w:style w:type="character" w:customStyle="1" w:styleId="NotesTextChar">
    <w:name w:val="Notes Text Char"/>
    <w:basedOn w:val="ReferenceTextChar"/>
    <w:link w:val="NotesText0"/>
    <w:uiPriority w:val="99"/>
    <w:locked/>
    <w:rsid w:val="008835EB"/>
    <w:rPr>
      <w:rFonts w:cs="Arial"/>
      <w:sz w:val="18"/>
      <w:szCs w:val="18"/>
    </w:rPr>
  </w:style>
  <w:style w:type="paragraph" w:customStyle="1" w:styleId="NotesText0">
    <w:name w:val="Notes Text"/>
    <w:basedOn w:val="ReferenceText"/>
    <w:link w:val="NotesTextChar"/>
    <w:uiPriority w:val="99"/>
    <w:rsid w:val="008835EB"/>
    <w:pPr>
      <w:spacing w:before="100" w:after="100" w:line="240" w:lineRule="auto"/>
    </w:pPr>
    <w:rPr>
      <w:rFonts w:cs="Arial"/>
      <w:szCs w:val="18"/>
    </w:rPr>
  </w:style>
  <w:style w:type="paragraph" w:customStyle="1" w:styleId="NotesTextHeading">
    <w:name w:val="Notes Text Heading"/>
    <w:basedOn w:val="NotesText0"/>
    <w:uiPriority w:val="99"/>
    <w:rsid w:val="008835EB"/>
    <w:rPr>
      <w:b/>
      <w:i/>
    </w:rPr>
  </w:style>
  <w:style w:type="paragraph" w:customStyle="1" w:styleId="NoteHeading-Level1">
    <w:name w:val="Note Heading - Level 1"/>
    <w:basedOn w:val="Normal"/>
    <w:rsid w:val="008835EB"/>
  </w:style>
  <w:style w:type="paragraph" w:customStyle="1" w:styleId="NoteHeading-Level2">
    <w:name w:val="Note Heading - Level 2"/>
    <w:basedOn w:val="Normal"/>
    <w:rsid w:val="008835EB"/>
  </w:style>
  <w:style w:type="paragraph" w:customStyle="1" w:styleId="Notesreferencetext">
    <w:name w:val="Notes reference text"/>
    <w:basedOn w:val="Normal"/>
    <w:next w:val="Normal"/>
    <w:rsid w:val="008835EB"/>
    <w:pPr>
      <w:jc w:val="center"/>
    </w:pPr>
  </w:style>
  <w:style w:type="character" w:customStyle="1" w:styleId="StyleReferenceTextItalicChar">
    <w:name w:val="Style Reference Text + Italic Char"/>
    <w:basedOn w:val="ReferenceTextChar"/>
    <w:link w:val="StyleReferenceTextItalic"/>
    <w:uiPriority w:val="99"/>
    <w:locked/>
    <w:rsid w:val="008835EB"/>
    <w:rPr>
      <w:rFonts w:ascii="Calibri" w:hAnsi="Calibri" w:cs="Arial"/>
      <w:i/>
      <w:iCs/>
      <w:sz w:val="18"/>
    </w:rPr>
  </w:style>
  <w:style w:type="paragraph" w:customStyle="1" w:styleId="StyleReferenceTextItalic">
    <w:name w:val="Style Reference Text + Italic"/>
    <w:basedOn w:val="ReferenceText"/>
    <w:link w:val="StyleReferenceTextItalicChar"/>
    <w:uiPriority w:val="99"/>
    <w:rsid w:val="008835EB"/>
    <w:pPr>
      <w:spacing w:line="240" w:lineRule="atLeast"/>
    </w:pPr>
    <w:rPr>
      <w:rFonts w:ascii="Calibri" w:hAnsi="Calibri" w:cs="Arial"/>
      <w:i/>
      <w:iCs/>
    </w:rPr>
  </w:style>
  <w:style w:type="character" w:customStyle="1" w:styleId="StyleNotesTextItalicChar">
    <w:name w:val="Style Notes Text + Italic Char"/>
    <w:basedOn w:val="NotesTextChar"/>
    <w:link w:val="StyleNotesTextItalic"/>
    <w:uiPriority w:val="99"/>
    <w:locked/>
    <w:rsid w:val="008835EB"/>
    <w:rPr>
      <w:rFonts w:cs="Arial"/>
      <w:i/>
      <w:iCs/>
      <w:sz w:val="18"/>
      <w:szCs w:val="18"/>
      <w:u w:val="single"/>
    </w:rPr>
  </w:style>
  <w:style w:type="paragraph" w:customStyle="1" w:styleId="StyleNotesTextItalic">
    <w:name w:val="Style Notes Text + Italic"/>
    <w:basedOn w:val="NotesText0"/>
    <w:link w:val="StyleNotesTextItalicChar"/>
    <w:uiPriority w:val="99"/>
    <w:rsid w:val="008835EB"/>
    <w:pPr>
      <w:ind w:right="-54"/>
    </w:pPr>
    <w:rPr>
      <w:i/>
      <w:iCs/>
      <w:u w:val="single"/>
    </w:rPr>
  </w:style>
  <w:style w:type="paragraph" w:customStyle="1" w:styleId="StyleNotesTextPatternClearGray-25">
    <w:name w:val="Style Notes Text + Pattern: Clear (Gray-25%)"/>
    <w:basedOn w:val="NotesText0"/>
    <w:autoRedefine/>
    <w:uiPriority w:val="99"/>
    <w:rsid w:val="008835EB"/>
    <w:pPr>
      <w:shd w:val="clear" w:color="auto" w:fill="CCCCCC"/>
      <w:ind w:right="-54"/>
    </w:pPr>
    <w:rPr>
      <w:rFonts w:ascii="Calibri" w:hAnsi="Calibri"/>
      <w:sz w:val="20"/>
      <w:szCs w:val="20"/>
    </w:rPr>
  </w:style>
  <w:style w:type="paragraph" w:customStyle="1" w:styleId="BulletKPMG">
    <w:name w:val="Bullet KPMG"/>
    <w:basedOn w:val="Normal"/>
    <w:uiPriority w:val="99"/>
    <w:rsid w:val="008835EB"/>
    <w:pPr>
      <w:tabs>
        <w:tab w:val="num" w:pos="473"/>
      </w:tabs>
      <w:spacing w:before="100" w:after="100" w:line="240" w:lineRule="auto"/>
      <w:ind w:left="357" w:hanging="357"/>
    </w:pPr>
    <w:rPr>
      <w:sz w:val="20"/>
      <w:lang w:val="en-US" w:eastAsia="en-AU"/>
    </w:rPr>
  </w:style>
  <w:style w:type="character" w:customStyle="1" w:styleId="StyleNotesTextBoldChar">
    <w:name w:val="Style Notes Text + Bold Char"/>
    <w:basedOn w:val="NotesTextChar"/>
    <w:link w:val="StyleNotesTextBold"/>
    <w:uiPriority w:val="99"/>
    <w:locked/>
    <w:rsid w:val="008835EB"/>
    <w:rPr>
      <w:rFonts w:ascii="Calibri" w:hAnsi="Calibri" w:cs="Arial"/>
      <w:bCs/>
      <w:sz w:val="18"/>
      <w:szCs w:val="18"/>
    </w:rPr>
  </w:style>
  <w:style w:type="paragraph" w:customStyle="1" w:styleId="StyleNotesTextBold">
    <w:name w:val="Style Notes Text + Bold"/>
    <w:basedOn w:val="NotesText0"/>
    <w:link w:val="StyleNotesTextBoldChar"/>
    <w:uiPriority w:val="99"/>
    <w:rsid w:val="008835EB"/>
    <w:pPr>
      <w:ind w:right="-54"/>
    </w:pPr>
    <w:rPr>
      <w:rFonts w:ascii="Calibri" w:hAnsi="Calibri"/>
      <w:bCs/>
    </w:rPr>
  </w:style>
  <w:style w:type="character" w:customStyle="1" w:styleId="StyleNotesTextBold1Char">
    <w:name w:val="Style Notes Text + Bold1 Char"/>
    <w:basedOn w:val="NotesTextChar"/>
    <w:link w:val="StyleNotesTextBold1"/>
    <w:uiPriority w:val="99"/>
    <w:locked/>
    <w:rsid w:val="008835EB"/>
    <w:rPr>
      <w:rFonts w:ascii="Calibri" w:hAnsi="Calibri" w:cs="Arial"/>
      <w:bCs/>
      <w:sz w:val="18"/>
      <w:szCs w:val="18"/>
    </w:rPr>
  </w:style>
  <w:style w:type="paragraph" w:customStyle="1" w:styleId="StyleNotesTextBold1">
    <w:name w:val="Style Notes Text + Bold1"/>
    <w:basedOn w:val="NotesText0"/>
    <w:link w:val="StyleNotesTextBold1Char"/>
    <w:uiPriority w:val="99"/>
    <w:rsid w:val="008835EB"/>
    <w:pPr>
      <w:ind w:right="-54"/>
    </w:pPr>
    <w:rPr>
      <w:rFonts w:ascii="Calibri" w:hAnsi="Calibri"/>
      <w:bCs/>
    </w:rPr>
  </w:style>
  <w:style w:type="character" w:customStyle="1" w:styleId="StatementTextLevel1bChar">
    <w:name w:val="Statement Text Level 1(b) Char"/>
    <w:basedOn w:val="DefaultParagraphFont"/>
    <w:link w:val="StatementTextLevel1b"/>
    <w:uiPriority w:val="99"/>
    <w:locked/>
    <w:rsid w:val="008835EB"/>
    <w:rPr>
      <w:rFonts w:ascii="Arial" w:hAnsi="Arial" w:cs="Arial"/>
      <w:b/>
      <w:sz w:val="18"/>
      <w:szCs w:val="18"/>
    </w:rPr>
  </w:style>
  <w:style w:type="paragraph" w:customStyle="1" w:styleId="StatementTextLevel1b">
    <w:name w:val="Statement Text Level 1(b)"/>
    <w:basedOn w:val="Normal"/>
    <w:link w:val="StatementTextLevel1bChar"/>
    <w:uiPriority w:val="99"/>
    <w:rsid w:val="008835EB"/>
    <w:rPr>
      <w:rFonts w:ascii="Arial" w:eastAsiaTheme="minorHAnsi" w:hAnsi="Arial" w:cs="Arial"/>
      <w:b/>
      <w:szCs w:val="18"/>
    </w:rPr>
  </w:style>
  <w:style w:type="paragraph" w:customStyle="1" w:styleId="PrimaryStatementsHeading">
    <w:name w:val="Primary Statements Heading"/>
    <w:basedOn w:val="Normal"/>
    <w:autoRedefine/>
    <w:uiPriority w:val="99"/>
    <w:rsid w:val="008835EB"/>
    <w:pPr>
      <w:spacing w:line="300" w:lineRule="exact"/>
    </w:pPr>
    <w:rPr>
      <w:b/>
      <w:sz w:val="24"/>
      <w:lang w:val="en-US"/>
    </w:rPr>
  </w:style>
  <w:style w:type="paragraph" w:customStyle="1" w:styleId="PeriodHeading">
    <w:name w:val="Period Heading"/>
    <w:basedOn w:val="PrimaryStatementsHeading"/>
    <w:uiPriority w:val="99"/>
    <w:rsid w:val="008835EB"/>
    <w:rPr>
      <w:i/>
      <w:sz w:val="22"/>
    </w:rPr>
  </w:style>
  <w:style w:type="paragraph" w:customStyle="1" w:styleId="CurrentYearDataTotalLevel1">
    <w:name w:val="Current Year Data Total Level 1"/>
    <w:basedOn w:val="Normal"/>
    <w:next w:val="Normal"/>
    <w:autoRedefine/>
    <w:uiPriority w:val="99"/>
    <w:rsid w:val="008835EB"/>
    <w:pPr>
      <w:pBdr>
        <w:top w:val="single" w:sz="4" w:space="1" w:color="auto"/>
        <w:bottom w:val="double" w:sz="6" w:space="1" w:color="auto"/>
      </w:pBdr>
      <w:jc w:val="right"/>
    </w:pPr>
    <w:rPr>
      <w:b/>
      <w:szCs w:val="16"/>
    </w:rPr>
  </w:style>
  <w:style w:type="character" w:customStyle="1" w:styleId="LineitemsHeadingChar">
    <w:name w:val="Line items Heading Char"/>
    <w:basedOn w:val="LineitemsChar"/>
    <w:link w:val="LineitemsHeading"/>
    <w:uiPriority w:val="99"/>
    <w:locked/>
    <w:rsid w:val="008835EB"/>
    <w:rPr>
      <w:rFonts w:ascii="Calibri" w:hAnsi="Calibri" w:cs="Calibri"/>
      <w:b/>
      <w:sz w:val="18"/>
    </w:rPr>
  </w:style>
  <w:style w:type="paragraph" w:customStyle="1" w:styleId="LineitemsHeading">
    <w:name w:val="Line items Heading"/>
    <w:basedOn w:val="Lineitems"/>
    <w:link w:val="LineitemsHeadingChar"/>
    <w:uiPriority w:val="99"/>
    <w:rsid w:val="008835EB"/>
    <w:pPr>
      <w:framePr w:hSpace="180" w:wrap="around" w:vAnchor="text" w:hAnchor="margin" w:y="1"/>
    </w:pPr>
    <w:rPr>
      <w:rFonts w:ascii="Calibri" w:hAnsi="Calibri" w:cs="Calibri"/>
      <w:b/>
      <w:sz w:val="18"/>
    </w:rPr>
  </w:style>
  <w:style w:type="paragraph" w:customStyle="1" w:styleId="PreviousYearDataTotalLevel3">
    <w:name w:val="Previous Year Data Total Level 3"/>
    <w:basedOn w:val="Normal"/>
    <w:autoRedefine/>
    <w:uiPriority w:val="99"/>
    <w:rsid w:val="008835EB"/>
    <w:pPr>
      <w:pBdr>
        <w:top w:val="single" w:sz="4" w:space="1" w:color="auto"/>
        <w:bottom w:val="double" w:sz="6" w:space="1" w:color="auto"/>
      </w:pBdr>
      <w:jc w:val="right"/>
    </w:pPr>
  </w:style>
  <w:style w:type="paragraph" w:customStyle="1" w:styleId="StyleNotesTextItalic1">
    <w:name w:val="Style Notes Text + Italic1"/>
    <w:basedOn w:val="NotesText0"/>
    <w:uiPriority w:val="99"/>
    <w:rsid w:val="008835EB"/>
    <w:pPr>
      <w:ind w:right="-54"/>
    </w:pPr>
    <w:rPr>
      <w:rFonts w:ascii="Calibri" w:hAnsi="Calibri" w:cs="Times New Roman"/>
      <w:i/>
      <w:iCs/>
      <w:sz w:val="20"/>
      <w:szCs w:val="20"/>
    </w:rPr>
  </w:style>
  <w:style w:type="paragraph" w:customStyle="1" w:styleId="StyleNotesTextPatternClearGray-20">
    <w:name w:val="Style Notes Text + Pattern: Clear (Gray-20%)"/>
    <w:basedOn w:val="NotesText0"/>
    <w:uiPriority w:val="99"/>
    <w:rsid w:val="008835EB"/>
    <w:pPr>
      <w:ind w:right="-54"/>
    </w:pPr>
    <w:rPr>
      <w:rFonts w:ascii="Calibri" w:hAnsi="Calibri" w:cs="Times New Roman"/>
      <w:sz w:val="20"/>
      <w:szCs w:val="20"/>
    </w:rPr>
  </w:style>
  <w:style w:type="character" w:customStyle="1" w:styleId="PreviousYearDataTotalLevel2Char">
    <w:name w:val="Previous Year Data Total Level 2 Char"/>
    <w:basedOn w:val="DefaultParagraphFont"/>
    <w:link w:val="PreviousYearDataTotalLevel2"/>
    <w:uiPriority w:val="99"/>
    <w:locked/>
    <w:rsid w:val="008835EB"/>
    <w:rPr>
      <w:rFonts w:ascii="Calibri" w:hAnsi="Calibri" w:cs="Calibri"/>
      <w:sz w:val="18"/>
    </w:rPr>
  </w:style>
  <w:style w:type="paragraph" w:customStyle="1" w:styleId="PreviousYearDataTotalLevel2">
    <w:name w:val="Previous Year Data Total Level 2"/>
    <w:basedOn w:val="Normal"/>
    <w:next w:val="Normal"/>
    <w:link w:val="PreviousYearDataTotalLevel2Char"/>
    <w:uiPriority w:val="99"/>
    <w:rsid w:val="008835EB"/>
    <w:pPr>
      <w:pBdr>
        <w:top w:val="single" w:sz="4" w:space="1" w:color="auto"/>
        <w:bottom w:val="single" w:sz="4" w:space="1" w:color="auto"/>
      </w:pBdr>
      <w:jc w:val="right"/>
    </w:pPr>
    <w:rPr>
      <w:rFonts w:eastAsiaTheme="minorHAnsi" w:cs="Calibri"/>
      <w:szCs w:val="22"/>
    </w:rPr>
  </w:style>
  <w:style w:type="character" w:customStyle="1" w:styleId="CurrentYearDataTotalLevel2Char">
    <w:name w:val="Current Year Data Total Level 2 Char"/>
    <w:basedOn w:val="DefaultParagraphFont"/>
    <w:link w:val="CurrentYearDataTotalLevel2"/>
    <w:uiPriority w:val="99"/>
    <w:locked/>
    <w:rsid w:val="008835EB"/>
    <w:rPr>
      <w:rFonts w:ascii="Calibri" w:hAnsi="Calibri" w:cs="Calibri"/>
      <w:b/>
      <w:sz w:val="18"/>
    </w:rPr>
  </w:style>
  <w:style w:type="paragraph" w:customStyle="1" w:styleId="CurrentYearDataTotalLevel2">
    <w:name w:val="Current Year Data Total Level 2"/>
    <w:basedOn w:val="Normal"/>
    <w:link w:val="CurrentYearDataTotalLevel2Char"/>
    <w:uiPriority w:val="99"/>
    <w:rsid w:val="008835EB"/>
    <w:pPr>
      <w:pBdr>
        <w:top w:val="single" w:sz="4" w:space="1" w:color="auto"/>
        <w:bottom w:val="single" w:sz="4" w:space="1" w:color="auto"/>
      </w:pBdr>
      <w:jc w:val="right"/>
    </w:pPr>
    <w:rPr>
      <w:rFonts w:eastAsiaTheme="minorHAnsi" w:cs="Calibri"/>
      <w:b/>
      <w:szCs w:val="22"/>
    </w:rPr>
  </w:style>
  <w:style w:type="paragraph" w:customStyle="1" w:styleId="DeptCurrentYearHeader">
    <w:name w:val="Dept Current Year Header"/>
    <w:basedOn w:val="Normal"/>
    <w:qFormat/>
    <w:rsid w:val="008835EB"/>
    <w:pPr>
      <w:spacing w:line="240" w:lineRule="auto"/>
      <w:jc w:val="right"/>
    </w:pPr>
    <w:rPr>
      <w:rFonts w:asciiTheme="minorHAnsi" w:hAnsiTheme="minorHAnsi" w:cstheme="minorHAnsi"/>
      <w:b/>
      <w:szCs w:val="18"/>
      <w:lang w:eastAsia="en-AU"/>
    </w:rPr>
  </w:style>
  <w:style w:type="paragraph" w:customStyle="1" w:styleId="DeptPreviousYearHeader">
    <w:name w:val="Dept Previous Year Header"/>
    <w:qFormat/>
    <w:rsid w:val="008835EB"/>
    <w:pPr>
      <w:spacing w:after="0" w:line="240" w:lineRule="auto"/>
      <w:jc w:val="right"/>
    </w:pPr>
    <w:rPr>
      <w:rFonts w:eastAsia="Times New Roman" w:cstheme="minorHAnsi"/>
      <w:sz w:val="18"/>
      <w:szCs w:val="18"/>
      <w:lang w:eastAsia="en-AU"/>
    </w:rPr>
  </w:style>
  <w:style w:type="paragraph" w:customStyle="1" w:styleId="DeptManualEntryCell">
    <w:name w:val="Dept Manual Entry Cell"/>
    <w:basedOn w:val="Normal"/>
    <w:qFormat/>
    <w:rsid w:val="008835EB"/>
    <w:pPr>
      <w:spacing w:line="240" w:lineRule="auto"/>
      <w:jc w:val="right"/>
    </w:pPr>
    <w:rPr>
      <w:rFonts w:asciiTheme="minorHAnsi" w:hAnsiTheme="minorHAnsi" w:cstheme="minorHAnsi"/>
      <w:b/>
      <w:szCs w:val="18"/>
      <w:lang w:eastAsia="en-AU"/>
    </w:rPr>
  </w:style>
  <w:style w:type="paragraph" w:customStyle="1" w:styleId="DeptManualEntryCellUnBold">
    <w:name w:val="Dept Manual Entry Cell UnBold"/>
    <w:basedOn w:val="DeptManualEntryCell"/>
    <w:qFormat/>
    <w:rsid w:val="008835EB"/>
    <w:rPr>
      <w:b w:val="0"/>
    </w:rPr>
  </w:style>
  <w:style w:type="paragraph" w:customStyle="1" w:styleId="DeptCurrentYearTotal">
    <w:name w:val="Dept Current Year Total"/>
    <w:qFormat/>
    <w:rsid w:val="008835EB"/>
    <w:pPr>
      <w:spacing w:after="0" w:line="240" w:lineRule="auto"/>
      <w:jc w:val="right"/>
    </w:pPr>
    <w:rPr>
      <w:rFonts w:eastAsia="Times New Roman" w:cstheme="minorHAnsi"/>
      <w:b/>
      <w:sz w:val="18"/>
      <w:szCs w:val="18"/>
      <w:lang w:eastAsia="en-AU"/>
    </w:rPr>
  </w:style>
  <w:style w:type="paragraph" w:customStyle="1" w:styleId="DeptPreviousYearTotal">
    <w:name w:val="Dept Previous Year Total"/>
    <w:qFormat/>
    <w:rsid w:val="008835EB"/>
    <w:pPr>
      <w:spacing w:after="0" w:line="240" w:lineRule="auto"/>
      <w:jc w:val="right"/>
    </w:pPr>
    <w:rPr>
      <w:rFonts w:eastAsia="Times New Roman" w:cstheme="minorHAnsi"/>
      <w:sz w:val="18"/>
      <w:szCs w:val="18"/>
      <w:lang w:eastAsia="en-AU"/>
    </w:rPr>
  </w:style>
  <w:style w:type="paragraph" w:customStyle="1" w:styleId="DeptRowText">
    <w:name w:val="Dept Row Text"/>
    <w:qFormat/>
    <w:rsid w:val="008835EB"/>
    <w:pPr>
      <w:spacing w:after="0" w:line="240" w:lineRule="auto"/>
    </w:pPr>
    <w:rPr>
      <w:rFonts w:eastAsia="Times New Roman" w:cstheme="minorHAnsi"/>
      <w:sz w:val="18"/>
      <w:szCs w:val="18"/>
      <w:lang w:eastAsia="en-AU"/>
    </w:rPr>
  </w:style>
  <w:style w:type="paragraph" w:customStyle="1" w:styleId="DeptRowTextTotal">
    <w:name w:val="Dept Row Text Total"/>
    <w:qFormat/>
    <w:rsid w:val="008835EB"/>
    <w:pPr>
      <w:spacing w:after="0" w:line="240" w:lineRule="auto"/>
    </w:pPr>
    <w:rPr>
      <w:rFonts w:eastAsia="Times New Roman" w:cstheme="minorHAnsi"/>
      <w:b/>
      <w:i/>
      <w:sz w:val="18"/>
      <w:szCs w:val="18"/>
    </w:rPr>
  </w:style>
  <w:style w:type="paragraph" w:customStyle="1" w:styleId="DeptBlankBlueShade">
    <w:name w:val="Dept Blank Blue Shade"/>
    <w:basedOn w:val="DeptRowTextTotal"/>
    <w:next w:val="12line"/>
    <w:qFormat/>
    <w:rsid w:val="008835EB"/>
  </w:style>
  <w:style w:type="paragraph" w:customStyle="1" w:styleId="DeptRowTextIndent">
    <w:name w:val="Dept Row Text Indent"/>
    <w:basedOn w:val="DeptRowText"/>
    <w:qFormat/>
    <w:rsid w:val="008835EB"/>
    <w:pPr>
      <w:ind w:left="204"/>
    </w:pPr>
  </w:style>
  <w:style w:type="paragraph" w:customStyle="1" w:styleId="AdminRowTextIndent">
    <w:name w:val="Admin Row Text Indent"/>
    <w:basedOn w:val="DeptRowTextIndent"/>
    <w:qFormat/>
    <w:rsid w:val="008835EB"/>
  </w:style>
  <w:style w:type="paragraph" w:customStyle="1" w:styleId="AdminRowTextIndentGrey">
    <w:name w:val="Admin Row Text Indent Grey"/>
    <w:basedOn w:val="AdminRowTextIndent"/>
    <w:qFormat/>
    <w:rsid w:val="008835EB"/>
  </w:style>
  <w:style w:type="paragraph" w:customStyle="1" w:styleId="AdminCurrentYearDataGrey">
    <w:name w:val="Admin Current Year Data Grey"/>
    <w:qFormat/>
    <w:rsid w:val="008835EB"/>
    <w:pPr>
      <w:spacing w:after="0" w:line="240" w:lineRule="auto"/>
      <w:jc w:val="right"/>
    </w:pPr>
    <w:rPr>
      <w:rFonts w:eastAsia="Times New Roman" w:cstheme="minorHAnsi"/>
      <w:b/>
      <w:sz w:val="18"/>
      <w:szCs w:val="18"/>
      <w:lang w:eastAsia="en-AU"/>
    </w:rPr>
  </w:style>
  <w:style w:type="paragraph" w:customStyle="1" w:styleId="AdminCurrentYearDataNormal">
    <w:name w:val="Admin Current Year Data Normal"/>
    <w:qFormat/>
    <w:rsid w:val="008835EB"/>
    <w:pPr>
      <w:spacing w:after="0" w:line="240" w:lineRule="auto"/>
      <w:jc w:val="right"/>
    </w:pPr>
    <w:rPr>
      <w:rFonts w:eastAsia="Times New Roman" w:cstheme="minorHAnsi"/>
      <w:b/>
      <w:sz w:val="18"/>
      <w:szCs w:val="18"/>
      <w:lang w:eastAsia="en-AU"/>
    </w:rPr>
  </w:style>
  <w:style w:type="paragraph" w:customStyle="1" w:styleId="AdminPreviousYearDataGrey">
    <w:name w:val="Admin Previous Year Data Grey"/>
    <w:qFormat/>
    <w:rsid w:val="008835EB"/>
    <w:pPr>
      <w:spacing w:after="0" w:line="240" w:lineRule="auto"/>
      <w:jc w:val="right"/>
    </w:pPr>
    <w:rPr>
      <w:rFonts w:eastAsia="Times New Roman" w:cstheme="minorHAnsi"/>
      <w:sz w:val="18"/>
      <w:szCs w:val="18"/>
      <w:lang w:eastAsia="en-AU"/>
    </w:rPr>
  </w:style>
  <w:style w:type="paragraph" w:customStyle="1" w:styleId="AdminPreviousYearDataNormal">
    <w:name w:val="Admin Previous Year Data Normal"/>
    <w:qFormat/>
    <w:rsid w:val="008835EB"/>
    <w:pPr>
      <w:spacing w:after="0" w:line="240" w:lineRule="auto"/>
      <w:jc w:val="right"/>
    </w:pPr>
    <w:rPr>
      <w:rFonts w:eastAsia="Times New Roman" w:cstheme="minorHAnsi"/>
      <w:sz w:val="18"/>
      <w:szCs w:val="18"/>
      <w:lang w:eastAsia="en-AU"/>
    </w:rPr>
  </w:style>
  <w:style w:type="paragraph" w:customStyle="1" w:styleId="AdminHeaderlineUnderlineGrey">
    <w:name w:val="Admin Headerline Underline Grey"/>
    <w:basedOn w:val="AdminPreviousYearDataNormal"/>
    <w:next w:val="12line"/>
    <w:qFormat/>
    <w:rsid w:val="008835EB"/>
  </w:style>
  <w:style w:type="paragraph" w:customStyle="1" w:styleId="AdminBlankGreyShade">
    <w:name w:val="Admin Blank Grey Shade"/>
    <w:next w:val="12line"/>
    <w:qFormat/>
    <w:rsid w:val="008835EB"/>
    <w:pPr>
      <w:spacing w:after="0" w:line="240" w:lineRule="auto"/>
    </w:pPr>
    <w:rPr>
      <w:rFonts w:eastAsia="Times New Roman" w:cstheme="minorHAnsi"/>
      <w:sz w:val="18"/>
      <w:szCs w:val="18"/>
      <w:lang w:eastAsia="en-AU"/>
    </w:rPr>
  </w:style>
  <w:style w:type="paragraph" w:customStyle="1" w:styleId="AdminRowTextGrey">
    <w:name w:val="Admin Row Text Grey"/>
    <w:qFormat/>
    <w:rsid w:val="008835EB"/>
    <w:pPr>
      <w:spacing w:after="0" w:line="240" w:lineRule="auto"/>
    </w:pPr>
    <w:rPr>
      <w:rFonts w:eastAsia="Times New Roman" w:cstheme="minorHAnsi"/>
      <w:sz w:val="18"/>
      <w:szCs w:val="18"/>
      <w:lang w:eastAsia="en-AU"/>
    </w:rPr>
  </w:style>
  <w:style w:type="paragraph" w:customStyle="1" w:styleId="AdminCurrentYearTotalGrey">
    <w:name w:val="Admin Current Year Total Grey"/>
    <w:qFormat/>
    <w:rsid w:val="008835EB"/>
    <w:pPr>
      <w:spacing w:after="0" w:line="240" w:lineRule="auto"/>
      <w:jc w:val="right"/>
    </w:pPr>
    <w:rPr>
      <w:rFonts w:eastAsia="Times New Roman" w:cstheme="minorHAnsi"/>
      <w:b/>
      <w:sz w:val="18"/>
      <w:szCs w:val="18"/>
      <w:lang w:eastAsia="en-AU"/>
    </w:rPr>
  </w:style>
  <w:style w:type="paragraph" w:customStyle="1" w:styleId="AdminPreviousYearTotalGrey">
    <w:name w:val="Admin Previous Year Total Grey"/>
    <w:qFormat/>
    <w:rsid w:val="008835EB"/>
    <w:pPr>
      <w:spacing w:after="0" w:line="240" w:lineRule="auto"/>
      <w:jc w:val="right"/>
    </w:pPr>
    <w:rPr>
      <w:rFonts w:eastAsia="Times New Roman" w:cstheme="minorHAnsi"/>
      <w:sz w:val="18"/>
      <w:szCs w:val="18"/>
      <w:lang w:eastAsia="en-AU"/>
    </w:rPr>
  </w:style>
  <w:style w:type="paragraph" w:customStyle="1" w:styleId="AdminManualEntryCell">
    <w:name w:val="Admin Manual Entry Cell"/>
    <w:qFormat/>
    <w:rsid w:val="008835EB"/>
    <w:pPr>
      <w:spacing w:after="0" w:line="240" w:lineRule="auto"/>
      <w:jc w:val="right"/>
    </w:pPr>
    <w:rPr>
      <w:rFonts w:eastAsia="Times New Roman" w:cstheme="minorHAnsi"/>
      <w:b/>
      <w:sz w:val="18"/>
      <w:szCs w:val="18"/>
      <w:lang w:eastAsia="en-AU"/>
    </w:rPr>
  </w:style>
  <w:style w:type="paragraph" w:customStyle="1" w:styleId="AdminManualEntryCellUnbold">
    <w:name w:val="Admin Manual Entry Cell Unbold"/>
    <w:qFormat/>
    <w:rsid w:val="008835EB"/>
    <w:pPr>
      <w:spacing w:after="0" w:line="240" w:lineRule="auto"/>
      <w:jc w:val="right"/>
    </w:pPr>
    <w:rPr>
      <w:rFonts w:eastAsia="Times New Roman" w:cstheme="minorHAnsi"/>
      <w:sz w:val="18"/>
      <w:szCs w:val="18"/>
      <w:lang w:eastAsia="en-AU"/>
    </w:rPr>
  </w:style>
  <w:style w:type="paragraph" w:customStyle="1" w:styleId="AdminRowTextHeaderBoldGrey">
    <w:name w:val="Admin Row Text Header Bold Grey"/>
    <w:qFormat/>
    <w:rsid w:val="008835EB"/>
    <w:pPr>
      <w:spacing w:after="0" w:line="240" w:lineRule="auto"/>
    </w:pPr>
    <w:rPr>
      <w:rFonts w:eastAsia="Times New Roman" w:cstheme="minorHAnsi"/>
      <w:b/>
      <w:sz w:val="18"/>
      <w:szCs w:val="18"/>
      <w:lang w:eastAsia="en-AU"/>
    </w:rPr>
  </w:style>
  <w:style w:type="paragraph" w:customStyle="1" w:styleId="DeptCurrentYearData">
    <w:name w:val="Dept Current Year Data"/>
    <w:qFormat/>
    <w:rsid w:val="008835EB"/>
    <w:pPr>
      <w:spacing w:after="0" w:line="240" w:lineRule="auto"/>
      <w:jc w:val="right"/>
    </w:pPr>
    <w:rPr>
      <w:rFonts w:eastAsia="Times New Roman" w:cstheme="minorHAnsi"/>
      <w:b/>
      <w:sz w:val="18"/>
      <w:szCs w:val="18"/>
      <w:lang w:eastAsia="en-AU"/>
    </w:rPr>
  </w:style>
  <w:style w:type="paragraph" w:customStyle="1" w:styleId="DeptPreviousYearData">
    <w:name w:val="Dept Previous Year Data"/>
    <w:qFormat/>
    <w:rsid w:val="008835EB"/>
    <w:pPr>
      <w:spacing w:after="0" w:line="240" w:lineRule="auto"/>
      <w:jc w:val="right"/>
    </w:pPr>
    <w:rPr>
      <w:rFonts w:eastAsia="Times New Roman" w:cstheme="minorHAnsi"/>
      <w:sz w:val="18"/>
      <w:szCs w:val="18"/>
      <w:lang w:eastAsia="en-AU"/>
    </w:rPr>
  </w:style>
  <w:style w:type="paragraph" w:customStyle="1" w:styleId="DeptNoteHeadingUnderlined">
    <w:name w:val="Dept Note Heading Underlined"/>
    <w:qFormat/>
    <w:rsid w:val="008835EB"/>
    <w:pPr>
      <w:spacing w:after="0" w:line="240" w:lineRule="auto"/>
    </w:pPr>
    <w:rPr>
      <w:rFonts w:eastAsia="Times New Roman" w:cstheme="minorHAnsi"/>
      <w:b/>
      <w:sz w:val="18"/>
      <w:szCs w:val="18"/>
      <w:u w:val="single"/>
      <w:lang w:eastAsia="en-AU"/>
    </w:rPr>
  </w:style>
  <w:style w:type="paragraph" w:customStyle="1" w:styleId="DeptCurrentYearSubTotal">
    <w:name w:val="Dept Current Year SubTotal"/>
    <w:qFormat/>
    <w:rsid w:val="008835EB"/>
    <w:pPr>
      <w:spacing w:after="0" w:line="240" w:lineRule="auto"/>
      <w:jc w:val="right"/>
    </w:pPr>
    <w:rPr>
      <w:rFonts w:eastAsia="Times New Roman" w:cstheme="minorHAnsi"/>
      <w:b/>
      <w:sz w:val="18"/>
      <w:szCs w:val="18"/>
      <w:lang w:eastAsia="en-AU"/>
    </w:rPr>
  </w:style>
  <w:style w:type="paragraph" w:customStyle="1" w:styleId="AdminCurrentYearSubTotal">
    <w:name w:val="Admin Current Year SubTotal"/>
    <w:qFormat/>
    <w:rsid w:val="008835EB"/>
    <w:pPr>
      <w:spacing w:after="0" w:line="240" w:lineRule="auto"/>
      <w:jc w:val="right"/>
    </w:pPr>
    <w:rPr>
      <w:rFonts w:eastAsia="Times New Roman" w:cstheme="minorHAnsi"/>
      <w:b/>
      <w:sz w:val="18"/>
      <w:szCs w:val="18"/>
      <w:lang w:eastAsia="en-AU"/>
    </w:rPr>
  </w:style>
  <w:style w:type="paragraph" w:customStyle="1" w:styleId="DeptNoteReference">
    <w:name w:val="Dept Note Reference"/>
    <w:basedOn w:val="AdminCurrentYearSubTotal"/>
    <w:qFormat/>
    <w:rsid w:val="008835EB"/>
    <w:pPr>
      <w:jc w:val="center"/>
    </w:pPr>
    <w:rPr>
      <w:b w:val="0"/>
    </w:rPr>
  </w:style>
  <w:style w:type="paragraph" w:customStyle="1" w:styleId="DeptRowTextDoubleIndent">
    <w:name w:val="Dept Row Text Double Indent"/>
    <w:basedOn w:val="DeptNoteReference"/>
    <w:qFormat/>
    <w:rsid w:val="008835EB"/>
    <w:pPr>
      <w:tabs>
        <w:tab w:val="left" w:pos="204"/>
      </w:tabs>
      <w:ind w:left="487"/>
      <w:jc w:val="left"/>
    </w:pPr>
  </w:style>
  <w:style w:type="paragraph" w:customStyle="1" w:styleId="AdminRowTextSubTotal">
    <w:name w:val="Admin Row Text SubTotal"/>
    <w:qFormat/>
    <w:rsid w:val="008835EB"/>
    <w:pPr>
      <w:spacing w:after="0" w:line="240" w:lineRule="auto"/>
    </w:pPr>
    <w:rPr>
      <w:rFonts w:eastAsia="Times New Roman" w:cstheme="minorHAnsi"/>
      <w:sz w:val="18"/>
      <w:szCs w:val="18"/>
      <w:lang w:eastAsia="en-AU"/>
    </w:rPr>
  </w:style>
  <w:style w:type="paragraph" w:customStyle="1" w:styleId="DeptRowTextHeader">
    <w:name w:val="Dept Row Text Header"/>
    <w:qFormat/>
    <w:rsid w:val="008835EB"/>
    <w:pPr>
      <w:spacing w:after="0" w:line="240" w:lineRule="auto"/>
    </w:pPr>
    <w:rPr>
      <w:rFonts w:eastAsia="Times New Roman" w:cstheme="minorHAnsi"/>
      <w:b/>
      <w:sz w:val="18"/>
      <w:szCs w:val="18"/>
      <w:lang w:eastAsia="en-AU"/>
    </w:rPr>
  </w:style>
  <w:style w:type="paragraph" w:customStyle="1" w:styleId="DeptPreviousYearSubTotal">
    <w:name w:val="Dept Previous Year SubTotal"/>
    <w:qFormat/>
    <w:rsid w:val="008835EB"/>
    <w:pPr>
      <w:spacing w:after="0" w:line="240" w:lineRule="auto"/>
      <w:jc w:val="right"/>
    </w:pPr>
    <w:rPr>
      <w:rFonts w:eastAsia="Times New Roman" w:cstheme="minorHAnsi"/>
      <w:sz w:val="18"/>
      <w:szCs w:val="18"/>
      <w:lang w:eastAsia="en-AU"/>
    </w:rPr>
  </w:style>
  <w:style w:type="paragraph" w:customStyle="1" w:styleId="AdminCurrentYearHeadersGrey">
    <w:name w:val="Admin Current Year Headers Grey"/>
    <w:qFormat/>
    <w:rsid w:val="008835EB"/>
    <w:pPr>
      <w:spacing w:after="0" w:line="240" w:lineRule="auto"/>
      <w:jc w:val="right"/>
    </w:pPr>
    <w:rPr>
      <w:rFonts w:eastAsia="Times New Roman" w:cstheme="minorHAnsi"/>
      <w:b/>
      <w:sz w:val="18"/>
      <w:szCs w:val="18"/>
      <w:lang w:eastAsia="en-AU"/>
    </w:rPr>
  </w:style>
  <w:style w:type="paragraph" w:customStyle="1" w:styleId="AdminPreviousYearHeadersGrey">
    <w:name w:val="Admin Previous Year Headers Grey"/>
    <w:basedOn w:val="AdminCurrentYearHeadersGrey"/>
    <w:qFormat/>
    <w:rsid w:val="008835EB"/>
  </w:style>
  <w:style w:type="paragraph" w:customStyle="1" w:styleId="AdminHeaderUnderlineGrey">
    <w:name w:val="Admin Header Underline Grey"/>
    <w:qFormat/>
    <w:rsid w:val="008835EB"/>
    <w:pPr>
      <w:spacing w:after="0" w:line="240" w:lineRule="auto"/>
    </w:pPr>
    <w:rPr>
      <w:rFonts w:eastAsia="Times New Roman" w:cstheme="minorHAnsi"/>
      <w:b/>
      <w:sz w:val="18"/>
      <w:szCs w:val="18"/>
      <w:u w:val="single"/>
      <w:lang w:eastAsia="en-AU"/>
    </w:rPr>
  </w:style>
  <w:style w:type="paragraph" w:customStyle="1" w:styleId="AdminPreviousYearHeaderGrey">
    <w:name w:val="Admin Previous Year Header Grey"/>
    <w:qFormat/>
    <w:rsid w:val="008835EB"/>
    <w:pPr>
      <w:spacing w:after="0" w:line="240" w:lineRule="auto"/>
      <w:jc w:val="right"/>
    </w:pPr>
    <w:rPr>
      <w:rFonts w:ascii="Calibri" w:eastAsia="Times New Roman" w:hAnsi="Calibri" w:cs="Calibri"/>
      <w:sz w:val="18"/>
      <w:szCs w:val="18"/>
    </w:rPr>
  </w:style>
  <w:style w:type="paragraph" w:customStyle="1" w:styleId="AdminRowTextNormal">
    <w:name w:val="Admin Row Text Normal"/>
    <w:qFormat/>
    <w:rsid w:val="008835EB"/>
    <w:pPr>
      <w:spacing w:after="0" w:line="240" w:lineRule="auto"/>
    </w:pPr>
    <w:rPr>
      <w:rFonts w:ascii="Calibri" w:eastAsia="Times New Roman" w:hAnsi="Calibri" w:cs="Calibri"/>
      <w:sz w:val="18"/>
      <w:szCs w:val="18"/>
    </w:rPr>
  </w:style>
  <w:style w:type="paragraph" w:customStyle="1" w:styleId="AdminRowTextTotal">
    <w:name w:val="Admin Row Text Total"/>
    <w:basedOn w:val="Normal"/>
    <w:qFormat/>
    <w:rsid w:val="008835EB"/>
    <w:rPr>
      <w:rFonts w:cs="Calibri"/>
      <w:b/>
      <w:bCs/>
      <w:i/>
      <w:iCs/>
      <w:szCs w:val="18"/>
    </w:rPr>
  </w:style>
  <w:style w:type="paragraph" w:customStyle="1" w:styleId="DeptRowTextSubTotal">
    <w:name w:val="Dept Row Text SubTotal"/>
    <w:basedOn w:val="Normal"/>
    <w:qFormat/>
    <w:rsid w:val="008835EB"/>
    <w:rPr>
      <w:rFonts w:cs="Calibri"/>
      <w:b/>
      <w:bCs/>
      <w:szCs w:val="18"/>
    </w:rPr>
  </w:style>
  <w:style w:type="paragraph" w:customStyle="1" w:styleId="DeptManualEntryBoldGreyShade">
    <w:name w:val="Dept Manual Entry Bold Grey Shade"/>
    <w:qFormat/>
    <w:rsid w:val="008835EB"/>
    <w:pPr>
      <w:spacing w:after="0" w:line="240" w:lineRule="auto"/>
      <w:jc w:val="right"/>
    </w:pPr>
    <w:rPr>
      <w:rFonts w:ascii="Calibri" w:eastAsia="Times New Roman" w:hAnsi="Calibri" w:cs="Calibri"/>
      <w:b/>
      <w:bCs/>
      <w:sz w:val="18"/>
      <w:szCs w:val="18"/>
    </w:rPr>
  </w:style>
  <w:style w:type="paragraph" w:customStyle="1" w:styleId="DeptManualEntryCellUnboldGreyShade">
    <w:name w:val="Dept Manual Entry Cell Unbold Grey Shade"/>
    <w:basedOn w:val="DeptManualEntryBoldGreyShade"/>
    <w:qFormat/>
    <w:rsid w:val="008835EB"/>
    <w:rPr>
      <w:b w:val="0"/>
    </w:rPr>
  </w:style>
  <w:style w:type="paragraph" w:customStyle="1" w:styleId="AdminHeaderCentered">
    <w:name w:val="Admin Header Centered"/>
    <w:basedOn w:val="AdminRowTextHeaderBoldGrey"/>
    <w:qFormat/>
    <w:rsid w:val="008835EB"/>
    <w:pPr>
      <w:jc w:val="center"/>
    </w:pPr>
  </w:style>
  <w:style w:type="paragraph" w:customStyle="1" w:styleId="AdminNoteReferenceGrey">
    <w:name w:val="Admin Note Reference Grey"/>
    <w:qFormat/>
    <w:rsid w:val="008835EB"/>
    <w:pPr>
      <w:spacing w:after="0" w:line="240" w:lineRule="auto"/>
      <w:jc w:val="center"/>
    </w:pPr>
    <w:rPr>
      <w:rFonts w:ascii="Calibri" w:eastAsia="Times New Roman" w:hAnsi="Calibri" w:cs="Calibri"/>
      <w:sz w:val="18"/>
      <w:szCs w:val="18"/>
    </w:rPr>
  </w:style>
  <w:style w:type="paragraph" w:customStyle="1" w:styleId="DeptHeaderCentered">
    <w:name w:val="Dept Header Centered"/>
    <w:qFormat/>
    <w:rsid w:val="008835EB"/>
    <w:pPr>
      <w:spacing w:after="0" w:line="240" w:lineRule="auto"/>
      <w:jc w:val="center"/>
    </w:pPr>
    <w:rPr>
      <w:rFonts w:eastAsia="Times New Roman" w:cstheme="minorHAnsi"/>
      <w:b/>
      <w:sz w:val="18"/>
      <w:szCs w:val="18"/>
      <w:lang w:eastAsia="en-AU"/>
    </w:rPr>
  </w:style>
  <w:style w:type="paragraph" w:customStyle="1" w:styleId="NotesHeading-Level1GreyShade">
    <w:name w:val="Notes Heading - Level 1 Grey Shade"/>
    <w:basedOn w:val="NotesHeading-Level1"/>
    <w:qFormat/>
    <w:rsid w:val="008835EB"/>
    <w:pPr>
      <w:numPr>
        <w:numId w:val="2"/>
      </w:numPr>
      <w:shd w:val="clear" w:color="auto" w:fill="D9D9D9" w:themeFill="background1" w:themeFillShade="D9"/>
    </w:pPr>
    <w:rPr>
      <w:rFonts w:cstheme="minorHAnsi"/>
    </w:rPr>
  </w:style>
  <w:style w:type="paragraph" w:customStyle="1" w:styleId="UnderlineItalics">
    <w:name w:val="Underline Italics"/>
    <w:basedOn w:val="Normal"/>
    <w:qFormat/>
    <w:rsid w:val="008835EB"/>
    <w:rPr>
      <w:i/>
      <w:u w:val="single"/>
    </w:rPr>
  </w:style>
  <w:style w:type="paragraph" w:customStyle="1" w:styleId="Default">
    <w:name w:val="Default"/>
    <w:rsid w:val="008835EB"/>
    <w:pPr>
      <w:autoSpaceDE w:val="0"/>
      <w:autoSpaceDN w:val="0"/>
      <w:adjustRightInd w:val="0"/>
      <w:spacing w:after="0" w:line="240" w:lineRule="auto"/>
    </w:pPr>
    <w:rPr>
      <w:rFonts w:ascii="Arial" w:eastAsia="Times New Roman" w:hAnsi="Arial" w:cs="Arial"/>
      <w:color w:val="000000"/>
      <w:sz w:val="24"/>
      <w:szCs w:val="24"/>
      <w:lang w:eastAsia="en-AU"/>
    </w:rPr>
  </w:style>
  <w:style w:type="character" w:styleId="FootnoteReference">
    <w:name w:val="footnote reference"/>
    <w:basedOn w:val="DefaultParagraphFont"/>
    <w:uiPriority w:val="99"/>
    <w:semiHidden/>
    <w:rsid w:val="008835EB"/>
    <w:rPr>
      <w:vertAlign w:val="superscript"/>
    </w:rPr>
  </w:style>
  <w:style w:type="character" w:styleId="CommentReference">
    <w:name w:val="annotation reference"/>
    <w:basedOn w:val="DefaultParagraphFont"/>
    <w:uiPriority w:val="99"/>
    <w:semiHidden/>
    <w:rsid w:val="008835EB"/>
    <w:rPr>
      <w:sz w:val="16"/>
      <w:szCs w:val="16"/>
    </w:rPr>
  </w:style>
  <w:style w:type="character" w:styleId="PageNumber">
    <w:name w:val="page number"/>
    <w:basedOn w:val="DefaultParagraphFont"/>
    <w:uiPriority w:val="99"/>
    <w:rsid w:val="008835EB"/>
    <w:rPr>
      <w:rFonts w:ascii="Times New Roman" w:hAnsi="Times New Roman" w:cs="Times New Roman" w:hint="default"/>
      <w:sz w:val="22"/>
    </w:rPr>
  </w:style>
  <w:style w:type="character" w:customStyle="1" w:styleId="A18">
    <w:name w:val="A18"/>
    <w:uiPriority w:val="99"/>
    <w:rsid w:val="008835EB"/>
    <w:rPr>
      <w:i/>
      <w:iCs/>
      <w:color w:val="000000"/>
      <w:sz w:val="14"/>
      <w:szCs w:val="14"/>
      <w:u w:val="single"/>
    </w:rPr>
  </w:style>
  <w:style w:type="table" w:styleId="TableGrid">
    <w:name w:val="Table Grid"/>
    <w:basedOn w:val="TableNormal"/>
    <w:uiPriority w:val="59"/>
    <w:rsid w:val="008835EB"/>
    <w:pPr>
      <w:spacing w:after="0" w:line="260" w:lineRule="atLeast"/>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8835E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inuedNotesHeading-Level1">
    <w:name w:val="Continued Notes Heading - Level 1"/>
    <w:basedOn w:val="NotesHeading-Level1"/>
    <w:qFormat/>
    <w:rsid w:val="008835EB"/>
    <w:pPr>
      <w:spacing w:line="240" w:lineRule="auto"/>
      <w:outlineLvl w:val="9"/>
    </w:pPr>
  </w:style>
  <w:style w:type="numbering" w:customStyle="1" w:styleId="CurrentList2">
    <w:name w:val="Current List2"/>
    <w:rsid w:val="008835EB"/>
    <w:pPr>
      <w:numPr>
        <w:numId w:val="3"/>
      </w:numPr>
    </w:pPr>
  </w:style>
  <w:style w:type="numbering" w:customStyle="1" w:styleId="Style2">
    <w:name w:val="Style2"/>
    <w:rsid w:val="008835EB"/>
    <w:pPr>
      <w:numPr>
        <w:numId w:val="4"/>
      </w:numPr>
    </w:pPr>
  </w:style>
  <w:style w:type="numbering" w:customStyle="1" w:styleId="CurrentList1">
    <w:name w:val="Current List1"/>
    <w:rsid w:val="008835EB"/>
    <w:pPr>
      <w:numPr>
        <w:numId w:val="5"/>
      </w:numPr>
    </w:pPr>
  </w:style>
  <w:style w:type="character" w:styleId="Emphasis">
    <w:name w:val="Emphasis"/>
    <w:basedOn w:val="DefaultParagraphFont"/>
    <w:uiPriority w:val="20"/>
    <w:qFormat/>
    <w:rsid w:val="008835EB"/>
    <w:rPr>
      <w:i/>
      <w:iCs/>
    </w:rPr>
  </w:style>
  <w:style w:type="paragraph" w:customStyle="1" w:styleId="SectionHeading">
    <w:name w:val="Section Heading"/>
    <w:basedOn w:val="Normal"/>
    <w:link w:val="SectionHeadingChar"/>
    <w:qFormat/>
    <w:rsid w:val="008835EB"/>
    <w:pPr>
      <w:numPr>
        <w:numId w:val="7"/>
      </w:numPr>
      <w:shd w:val="clear" w:color="00CC99" w:fill="00746B"/>
      <w:ind w:left="0" w:right="607" w:firstLine="0"/>
      <w:outlineLvl w:val="0"/>
    </w:pPr>
    <w:rPr>
      <w:rFonts w:ascii="Arial Bold" w:hAnsi="Arial Bold"/>
      <w:b/>
      <w:color w:val="FFFFFF" w:themeColor="background1"/>
      <w:sz w:val="24"/>
    </w:rPr>
  </w:style>
  <w:style w:type="character" w:customStyle="1" w:styleId="SectionHeadingChar">
    <w:name w:val="Section Heading Char"/>
    <w:basedOn w:val="DefaultParagraphFont"/>
    <w:link w:val="SectionHeading"/>
    <w:rsid w:val="008835EB"/>
    <w:rPr>
      <w:rFonts w:ascii="Arial Bold" w:eastAsia="Times New Roman" w:hAnsi="Arial Bold" w:cs="Times New Roman"/>
      <w:b/>
      <w:color w:val="FFFFFF" w:themeColor="background1"/>
      <w:sz w:val="24"/>
      <w:szCs w:val="20"/>
      <w:shd w:val="clear" w:color="00CC99" w:fill="00746B"/>
    </w:rPr>
  </w:style>
  <w:style w:type="paragraph" w:customStyle="1" w:styleId="SubHeading">
    <w:name w:val="Sub Heading"/>
    <w:basedOn w:val="SectionHeading"/>
    <w:link w:val="SubHeadingChar"/>
    <w:qFormat/>
    <w:rsid w:val="008835EB"/>
    <w:pPr>
      <w:numPr>
        <w:ilvl w:val="1"/>
      </w:numPr>
      <w:shd w:val="clear" w:color="auto" w:fill="000000" w:themeFill="text1"/>
      <w:ind w:left="425" w:hanging="425"/>
      <w:outlineLvl w:val="1"/>
    </w:pPr>
    <w:rPr>
      <w:rFonts w:ascii="Arial" w:hAnsi="Arial" w:cs="Arial"/>
      <w:sz w:val="20"/>
    </w:rPr>
  </w:style>
  <w:style w:type="character" w:customStyle="1" w:styleId="SubHeadingChar">
    <w:name w:val="Sub Heading Char"/>
    <w:basedOn w:val="DefaultParagraphFont"/>
    <w:link w:val="SubHeading"/>
    <w:rsid w:val="008835EB"/>
    <w:rPr>
      <w:rFonts w:ascii="Arial" w:eastAsia="Times New Roman" w:hAnsi="Arial" w:cs="Arial"/>
      <w:b/>
      <w:color w:val="FFFFFF" w:themeColor="background1"/>
      <w:sz w:val="20"/>
      <w:szCs w:val="20"/>
      <w:shd w:val="clear" w:color="auto" w:fill="000000" w:themeFill="text1"/>
    </w:rPr>
  </w:style>
  <w:style w:type="paragraph" w:customStyle="1" w:styleId="SectionHeadingDescription">
    <w:name w:val="Section Heading Description"/>
    <w:basedOn w:val="SectionHeading"/>
    <w:next w:val="SubHeading"/>
    <w:qFormat/>
    <w:rsid w:val="008835EB"/>
    <w:pPr>
      <w:numPr>
        <w:numId w:val="0"/>
      </w:numPr>
      <w:outlineLvl w:val="9"/>
    </w:pPr>
    <w:rPr>
      <w:rFonts w:ascii="Arial" w:hAnsi="Arial"/>
      <w:b w:val="0"/>
      <w:sz w:val="18"/>
      <w:szCs w:val="18"/>
    </w:rPr>
  </w:style>
  <w:style w:type="paragraph" w:customStyle="1" w:styleId="PolicytextDept">
    <w:name w:val="Policy text Dept"/>
    <w:basedOn w:val="Normal"/>
    <w:link w:val="PolicytextDeptChar"/>
    <w:qFormat/>
    <w:rsid w:val="008835EB"/>
    <w:pPr>
      <w:pBdr>
        <w:top w:val="single" w:sz="4" w:space="1" w:color="00746B"/>
        <w:left w:val="single" w:sz="4" w:space="0" w:color="00746B"/>
        <w:bottom w:val="single" w:sz="4" w:space="1" w:color="00746B"/>
        <w:right w:val="single" w:sz="4" w:space="0" w:color="00746B"/>
      </w:pBdr>
      <w:spacing w:after="120" w:line="120" w:lineRule="atLeast"/>
      <w:ind w:right="607"/>
    </w:pPr>
    <w:rPr>
      <w:rFonts w:asciiTheme="minorHAnsi" w:hAnsiTheme="minorHAnsi" w:cstheme="minorHAnsi"/>
      <w:bCs/>
      <w:szCs w:val="18"/>
    </w:rPr>
  </w:style>
  <w:style w:type="character" w:customStyle="1" w:styleId="PolicytextDeptChar">
    <w:name w:val="Policy text Dept Char"/>
    <w:basedOn w:val="DefaultParagraphFont"/>
    <w:link w:val="PolicytextDept"/>
    <w:rsid w:val="008835EB"/>
    <w:rPr>
      <w:rFonts w:eastAsia="Times New Roman" w:cstheme="minorHAnsi"/>
      <w:bCs/>
      <w:sz w:val="18"/>
      <w:szCs w:val="18"/>
    </w:rPr>
  </w:style>
  <w:style w:type="paragraph" w:customStyle="1" w:styleId="PolicyheadingDept">
    <w:name w:val="Policy heading Dept"/>
    <w:basedOn w:val="PolicytextDept"/>
    <w:qFormat/>
    <w:rsid w:val="008835EB"/>
    <w:rPr>
      <w:b/>
    </w:rPr>
  </w:style>
  <w:style w:type="paragraph" w:customStyle="1" w:styleId="Policytextunderline">
    <w:name w:val="Policy text + underline"/>
    <w:basedOn w:val="PolicytextDept"/>
    <w:link w:val="PolicytextunderlineChar"/>
    <w:qFormat/>
    <w:rsid w:val="008835EB"/>
    <w:rPr>
      <w:i/>
      <w:u w:val="single"/>
    </w:rPr>
  </w:style>
  <w:style w:type="paragraph" w:customStyle="1" w:styleId="PolicyTextAdmin">
    <w:name w:val="Policy Text Admin"/>
    <w:basedOn w:val="Normal"/>
    <w:link w:val="PolicyTextAdminChar"/>
    <w:qFormat/>
    <w:rsid w:val="008835EB"/>
    <w:pPr>
      <w:pBdr>
        <w:top w:val="single" w:sz="4" w:space="1" w:color="00746B"/>
        <w:left w:val="single" w:sz="4" w:space="0" w:color="00746B"/>
        <w:bottom w:val="single" w:sz="4" w:space="2" w:color="00746B"/>
        <w:right w:val="single" w:sz="4" w:space="0" w:color="00746B"/>
      </w:pBdr>
      <w:shd w:val="clear" w:color="auto" w:fill="E5F4F3"/>
      <w:spacing w:after="120" w:line="120" w:lineRule="atLeast"/>
      <w:ind w:right="607"/>
    </w:pPr>
    <w:rPr>
      <w:rFonts w:asciiTheme="minorHAnsi" w:hAnsiTheme="minorHAnsi" w:cs="Helvetica"/>
      <w:szCs w:val="18"/>
    </w:rPr>
  </w:style>
  <w:style w:type="character" w:customStyle="1" w:styleId="PolicytextunderlineChar">
    <w:name w:val="Policy text + underline Char"/>
    <w:basedOn w:val="PolicytextDeptChar"/>
    <w:link w:val="Policytextunderline"/>
    <w:rsid w:val="008835EB"/>
    <w:rPr>
      <w:rFonts w:eastAsia="Times New Roman" w:cstheme="minorHAnsi"/>
      <w:bCs/>
      <w:i/>
      <w:sz w:val="18"/>
      <w:szCs w:val="18"/>
      <w:u w:val="single"/>
    </w:rPr>
  </w:style>
  <w:style w:type="character" w:customStyle="1" w:styleId="PolicyTextAdminChar">
    <w:name w:val="Policy Text Admin Char"/>
    <w:basedOn w:val="DefaultParagraphFont"/>
    <w:link w:val="PolicyTextAdmin"/>
    <w:rsid w:val="008835EB"/>
    <w:rPr>
      <w:rFonts w:eastAsia="Times New Roman" w:cs="Helvetica"/>
      <w:sz w:val="18"/>
      <w:szCs w:val="18"/>
      <w:shd w:val="clear" w:color="auto" w:fill="E5F4F3"/>
    </w:rPr>
  </w:style>
  <w:style w:type="paragraph" w:customStyle="1" w:styleId="PolicyheadingAdmin">
    <w:name w:val="Policy heading Admin"/>
    <w:basedOn w:val="PolicyTextAdmin"/>
    <w:link w:val="PolicyheadingAdminChar"/>
    <w:rsid w:val="008835EB"/>
    <w:rPr>
      <w:rFonts w:cs="Times New Roman"/>
      <w:b/>
      <w:bCs/>
      <w:szCs w:val="20"/>
    </w:rPr>
  </w:style>
  <w:style w:type="paragraph" w:customStyle="1" w:styleId="Policytextadminunderline">
    <w:name w:val="Policy text admin + underline"/>
    <w:basedOn w:val="PolicyheadingAdmin"/>
    <w:link w:val="PolicytextadminunderlineChar"/>
    <w:qFormat/>
    <w:rsid w:val="008835EB"/>
    <w:rPr>
      <w:b w:val="0"/>
      <w:i/>
      <w:u w:val="single"/>
    </w:rPr>
  </w:style>
  <w:style w:type="paragraph" w:customStyle="1" w:styleId="Policytextadminbold">
    <w:name w:val="Policy text admin + bold"/>
    <w:basedOn w:val="PolicyheadingAdmin"/>
    <w:link w:val="PolicytextadminboldChar"/>
    <w:qFormat/>
    <w:rsid w:val="008835EB"/>
  </w:style>
  <w:style w:type="character" w:customStyle="1" w:styleId="PolicyheadingAdminChar">
    <w:name w:val="Policy heading Admin Char"/>
    <w:basedOn w:val="PolicyTextAdminChar"/>
    <w:link w:val="PolicyheadingAdmin"/>
    <w:rsid w:val="008835EB"/>
    <w:rPr>
      <w:rFonts w:eastAsia="Times New Roman" w:cs="Times New Roman"/>
      <w:b/>
      <w:bCs/>
      <w:sz w:val="18"/>
      <w:szCs w:val="20"/>
      <w:shd w:val="clear" w:color="auto" w:fill="E5F4F3"/>
    </w:rPr>
  </w:style>
  <w:style w:type="character" w:customStyle="1" w:styleId="PolicytextadminunderlineChar">
    <w:name w:val="Policy text admin + underline Char"/>
    <w:basedOn w:val="PolicyheadingAdminChar"/>
    <w:link w:val="Policytextadminunderline"/>
    <w:rsid w:val="008835EB"/>
    <w:rPr>
      <w:rFonts w:eastAsia="Times New Roman" w:cs="Times New Roman"/>
      <w:b w:val="0"/>
      <w:bCs/>
      <w:i/>
      <w:sz w:val="18"/>
      <w:szCs w:val="20"/>
      <w:u w:val="single"/>
      <w:shd w:val="clear" w:color="auto" w:fill="E5F4F3"/>
    </w:rPr>
  </w:style>
  <w:style w:type="character" w:customStyle="1" w:styleId="PolicytextadminboldChar">
    <w:name w:val="Policy text admin + bold Char"/>
    <w:basedOn w:val="PolicyheadingAdminChar"/>
    <w:link w:val="Policytextadminbold"/>
    <w:rsid w:val="008835EB"/>
    <w:rPr>
      <w:rFonts w:eastAsia="Times New Roman" w:cs="Times New Roman"/>
      <w:b/>
      <w:bCs/>
      <w:sz w:val="18"/>
      <w:szCs w:val="20"/>
      <w:shd w:val="clear" w:color="auto" w:fill="E5F4F3"/>
    </w:rPr>
  </w:style>
  <w:style w:type="paragraph" w:customStyle="1" w:styleId="ReportText">
    <w:name w:val="Report Text"/>
    <w:basedOn w:val="NotesText0"/>
    <w:link w:val="ReportTextChar"/>
    <w:qFormat/>
    <w:rsid w:val="008835EB"/>
    <w:pPr>
      <w:ind w:right="566"/>
    </w:pPr>
  </w:style>
  <w:style w:type="character" w:customStyle="1" w:styleId="ReportTextChar">
    <w:name w:val="Report Text Char"/>
    <w:basedOn w:val="NotesTextChar"/>
    <w:link w:val="ReportText"/>
    <w:rsid w:val="008835EB"/>
    <w:rPr>
      <w:rFonts w:cs="Arial"/>
      <w:sz w:val="18"/>
      <w:szCs w:val="18"/>
    </w:rPr>
  </w:style>
  <w:style w:type="paragraph" w:styleId="NormalWeb">
    <w:name w:val="Normal (Web)"/>
    <w:basedOn w:val="Normal"/>
    <w:uiPriority w:val="99"/>
    <w:semiHidden/>
    <w:unhideWhenUsed/>
    <w:rsid w:val="008835E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Finnotesheading1">
    <w:name w:val="Fin notes heading 1"/>
    <w:basedOn w:val="Normal"/>
    <w:qFormat/>
    <w:rsid w:val="008835EB"/>
    <w:pPr>
      <w:spacing w:before="120" w:after="120"/>
    </w:pPr>
    <w:rPr>
      <w:rFonts w:asciiTheme="minorHAnsi" w:hAnsiTheme="minorHAnsi" w:cs="Arial"/>
      <w:b/>
      <w:bCs/>
      <w:color w:val="00746B"/>
      <w:sz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macro"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5EB"/>
    <w:pPr>
      <w:spacing w:after="0" w:line="260" w:lineRule="atLeast"/>
    </w:pPr>
    <w:rPr>
      <w:rFonts w:ascii="Calibri" w:eastAsia="Times New Roman" w:hAnsi="Calibri" w:cs="Times New Roman"/>
      <w:sz w:val="18"/>
      <w:szCs w:val="20"/>
    </w:rPr>
  </w:style>
  <w:style w:type="paragraph" w:styleId="Heading1">
    <w:name w:val="heading 1"/>
    <w:aliases w:val="Heading 1 do not use,Section heading 1,Front Page Title,1.,Para 1,Para 11"/>
    <w:basedOn w:val="Normal"/>
    <w:next w:val="Normal"/>
    <w:link w:val="Heading1Char"/>
    <w:qFormat/>
    <w:rsid w:val="008835EB"/>
    <w:pPr>
      <w:keepNext/>
      <w:spacing w:before="240" w:after="60"/>
      <w:outlineLvl w:val="0"/>
    </w:pPr>
    <w:rPr>
      <w:rFonts w:ascii="Arial" w:eastAsiaTheme="minorEastAsia" w:hAnsi="Arial" w:cs="Arial"/>
      <w:kern w:val="32"/>
      <w:sz w:val="32"/>
      <w:szCs w:val="32"/>
    </w:rPr>
  </w:style>
  <w:style w:type="paragraph" w:styleId="Heading2">
    <w:name w:val="heading 2"/>
    <w:aliases w:val="Heading 2 do not use,Front Page List of Sections"/>
    <w:basedOn w:val="Normal"/>
    <w:next w:val="Normal"/>
    <w:link w:val="Heading2Char"/>
    <w:qFormat/>
    <w:rsid w:val="008835EB"/>
    <w:pPr>
      <w:keepNext/>
      <w:spacing w:before="240" w:after="60"/>
      <w:outlineLvl w:val="1"/>
    </w:pPr>
    <w:rPr>
      <w:rFonts w:ascii="Arial" w:eastAsiaTheme="minorEastAsia" w:hAnsi="Arial" w:cs="Arial"/>
      <w:i/>
      <w:iCs/>
      <w:sz w:val="28"/>
      <w:szCs w:val="28"/>
    </w:rPr>
  </w:style>
  <w:style w:type="paragraph" w:styleId="Heading3">
    <w:name w:val="heading 3"/>
    <w:aliases w:val="Heading 3 do not use"/>
    <w:basedOn w:val="Normal"/>
    <w:next w:val="Normal"/>
    <w:link w:val="Heading3Char"/>
    <w:qFormat/>
    <w:rsid w:val="008835EB"/>
    <w:pPr>
      <w:keepNext/>
      <w:spacing w:before="240" w:after="60"/>
      <w:outlineLvl w:val="2"/>
    </w:pPr>
    <w:rPr>
      <w:rFonts w:ascii="Arial" w:eastAsiaTheme="minorEastAsia" w:hAnsi="Arial" w:cs="Arial"/>
      <w:sz w:val="26"/>
      <w:szCs w:val="26"/>
    </w:rPr>
  </w:style>
  <w:style w:type="paragraph" w:styleId="Heading4">
    <w:name w:val="heading 4"/>
    <w:basedOn w:val="Normal"/>
    <w:link w:val="Heading4Char"/>
    <w:qFormat/>
    <w:rsid w:val="008835EB"/>
    <w:pPr>
      <w:spacing w:before="130" w:after="130"/>
      <w:outlineLvl w:val="3"/>
    </w:pPr>
    <w:rPr>
      <w:rFonts w:eastAsiaTheme="minorEastAsia"/>
    </w:rPr>
  </w:style>
  <w:style w:type="paragraph" w:styleId="Heading5">
    <w:name w:val="heading 5"/>
    <w:basedOn w:val="Normal"/>
    <w:next w:val="Normal"/>
    <w:link w:val="Heading5Char"/>
    <w:qFormat/>
    <w:rsid w:val="008835EB"/>
    <w:pPr>
      <w:outlineLvl w:val="4"/>
    </w:pPr>
    <w:rPr>
      <w:rFonts w:eastAsiaTheme="minorEastAsia"/>
    </w:rPr>
  </w:style>
  <w:style w:type="paragraph" w:styleId="Heading6">
    <w:name w:val="heading 6"/>
    <w:basedOn w:val="Normal"/>
    <w:next w:val="Normal"/>
    <w:link w:val="Heading6Char"/>
    <w:qFormat/>
    <w:rsid w:val="008835EB"/>
    <w:pPr>
      <w:outlineLvl w:val="5"/>
    </w:pPr>
    <w:rPr>
      <w:rFonts w:eastAsiaTheme="minorEastAsia"/>
    </w:rPr>
  </w:style>
  <w:style w:type="paragraph" w:styleId="Heading7">
    <w:name w:val="heading 7"/>
    <w:aliases w:val="Section Sub-Heading 4"/>
    <w:basedOn w:val="Normal"/>
    <w:next w:val="Normal"/>
    <w:link w:val="Heading7Char"/>
    <w:qFormat/>
    <w:rsid w:val="008835EB"/>
    <w:pPr>
      <w:outlineLvl w:val="6"/>
    </w:pPr>
  </w:style>
  <w:style w:type="paragraph" w:styleId="Heading8">
    <w:name w:val="heading 8"/>
    <w:basedOn w:val="Normal"/>
    <w:next w:val="Normal"/>
    <w:link w:val="Heading8Char"/>
    <w:qFormat/>
    <w:rsid w:val="008835EB"/>
    <w:pPr>
      <w:outlineLvl w:val="7"/>
    </w:pPr>
  </w:style>
  <w:style w:type="paragraph" w:styleId="Heading9">
    <w:name w:val="heading 9"/>
    <w:basedOn w:val="Normal"/>
    <w:next w:val="Normal"/>
    <w:link w:val="Heading9Char"/>
    <w:qFormat/>
    <w:rsid w:val="008835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o not use Char,Section heading 1 Char,Front Page Title Char,1. Char,Para 1 Char,Para 11 Char"/>
    <w:basedOn w:val="DefaultParagraphFont"/>
    <w:link w:val="Heading1"/>
    <w:rsid w:val="008835EB"/>
    <w:rPr>
      <w:rFonts w:ascii="Arial" w:eastAsiaTheme="minorEastAsia" w:hAnsi="Arial" w:cs="Arial"/>
      <w:kern w:val="32"/>
      <w:sz w:val="32"/>
      <w:szCs w:val="32"/>
    </w:rPr>
  </w:style>
  <w:style w:type="character" w:customStyle="1" w:styleId="Heading2Char">
    <w:name w:val="Heading 2 Char"/>
    <w:aliases w:val="Heading 2 do not use Char,Front Page List of Sections Char"/>
    <w:basedOn w:val="DefaultParagraphFont"/>
    <w:link w:val="Heading2"/>
    <w:rsid w:val="008835EB"/>
    <w:rPr>
      <w:rFonts w:ascii="Arial" w:eastAsiaTheme="minorEastAsia" w:hAnsi="Arial" w:cs="Arial"/>
      <w:i/>
      <w:iCs/>
      <w:sz w:val="28"/>
      <w:szCs w:val="28"/>
    </w:rPr>
  </w:style>
  <w:style w:type="character" w:customStyle="1" w:styleId="Heading3Char">
    <w:name w:val="Heading 3 Char"/>
    <w:aliases w:val="Heading 3 do not use Char"/>
    <w:basedOn w:val="DefaultParagraphFont"/>
    <w:link w:val="Heading3"/>
    <w:rsid w:val="008835EB"/>
    <w:rPr>
      <w:rFonts w:ascii="Arial" w:eastAsiaTheme="minorEastAsia" w:hAnsi="Arial" w:cs="Arial"/>
      <w:sz w:val="26"/>
      <w:szCs w:val="26"/>
    </w:rPr>
  </w:style>
  <w:style w:type="character" w:customStyle="1" w:styleId="Heading4Char">
    <w:name w:val="Heading 4 Char"/>
    <w:basedOn w:val="DefaultParagraphFont"/>
    <w:link w:val="Heading4"/>
    <w:rsid w:val="008835EB"/>
    <w:rPr>
      <w:rFonts w:ascii="Calibri" w:eastAsiaTheme="minorEastAsia" w:hAnsi="Calibri" w:cs="Times New Roman"/>
      <w:sz w:val="18"/>
      <w:szCs w:val="20"/>
    </w:rPr>
  </w:style>
  <w:style w:type="character" w:customStyle="1" w:styleId="Heading5Char">
    <w:name w:val="Heading 5 Char"/>
    <w:basedOn w:val="DefaultParagraphFont"/>
    <w:link w:val="Heading5"/>
    <w:rsid w:val="008835EB"/>
    <w:rPr>
      <w:rFonts w:ascii="Calibri" w:eastAsiaTheme="minorEastAsia" w:hAnsi="Calibri" w:cs="Times New Roman"/>
      <w:sz w:val="18"/>
      <w:szCs w:val="20"/>
    </w:rPr>
  </w:style>
  <w:style w:type="character" w:customStyle="1" w:styleId="Heading6Char">
    <w:name w:val="Heading 6 Char"/>
    <w:basedOn w:val="DefaultParagraphFont"/>
    <w:link w:val="Heading6"/>
    <w:rsid w:val="008835EB"/>
    <w:rPr>
      <w:rFonts w:ascii="Calibri" w:eastAsiaTheme="minorEastAsia" w:hAnsi="Calibri" w:cs="Times New Roman"/>
      <w:sz w:val="18"/>
      <w:szCs w:val="20"/>
    </w:rPr>
  </w:style>
  <w:style w:type="character" w:customStyle="1" w:styleId="Heading7Char">
    <w:name w:val="Heading 7 Char"/>
    <w:aliases w:val="Section Sub-Heading 4 Char"/>
    <w:basedOn w:val="DefaultParagraphFont"/>
    <w:link w:val="Heading7"/>
    <w:rsid w:val="008835EB"/>
    <w:rPr>
      <w:rFonts w:ascii="Calibri" w:eastAsia="Times New Roman" w:hAnsi="Calibri" w:cs="Times New Roman"/>
      <w:sz w:val="18"/>
      <w:szCs w:val="20"/>
    </w:rPr>
  </w:style>
  <w:style w:type="character" w:customStyle="1" w:styleId="Heading8Char">
    <w:name w:val="Heading 8 Char"/>
    <w:basedOn w:val="DefaultParagraphFont"/>
    <w:link w:val="Heading8"/>
    <w:rsid w:val="008835EB"/>
    <w:rPr>
      <w:rFonts w:ascii="Calibri" w:eastAsia="Times New Roman" w:hAnsi="Calibri" w:cs="Times New Roman"/>
      <w:sz w:val="18"/>
      <w:szCs w:val="20"/>
    </w:rPr>
  </w:style>
  <w:style w:type="character" w:customStyle="1" w:styleId="Heading9Char">
    <w:name w:val="Heading 9 Char"/>
    <w:basedOn w:val="DefaultParagraphFont"/>
    <w:link w:val="Heading9"/>
    <w:rsid w:val="008835EB"/>
    <w:rPr>
      <w:rFonts w:ascii="Calibri" w:eastAsia="Times New Roman" w:hAnsi="Calibri" w:cs="Times New Roman"/>
      <w:sz w:val="18"/>
      <w:szCs w:val="20"/>
    </w:rPr>
  </w:style>
  <w:style w:type="character" w:styleId="Hyperlink">
    <w:name w:val="Hyperlink"/>
    <w:basedOn w:val="DefaultParagraphFont"/>
    <w:uiPriority w:val="99"/>
    <w:rsid w:val="008835EB"/>
    <w:rPr>
      <w:color w:val="0000FF" w:themeColor="hyperlink"/>
      <w:u w:val="single"/>
    </w:rPr>
  </w:style>
  <w:style w:type="character" w:styleId="FollowedHyperlink">
    <w:name w:val="FollowedHyperlink"/>
    <w:basedOn w:val="DefaultParagraphFont"/>
    <w:uiPriority w:val="99"/>
    <w:rsid w:val="008835EB"/>
    <w:rPr>
      <w:color w:val="800080" w:themeColor="followedHyperlink"/>
      <w:u w:val="single"/>
    </w:rPr>
  </w:style>
  <w:style w:type="paragraph" w:styleId="TOC1">
    <w:name w:val="toc 1"/>
    <w:basedOn w:val="Normal"/>
    <w:next w:val="Normal"/>
    <w:autoRedefine/>
    <w:uiPriority w:val="39"/>
    <w:rsid w:val="008835EB"/>
    <w:pPr>
      <w:tabs>
        <w:tab w:val="left" w:pos="851"/>
        <w:tab w:val="right" w:leader="dot" w:pos="9628"/>
      </w:tabs>
      <w:spacing w:before="120" w:after="120"/>
    </w:pPr>
    <w:rPr>
      <w:rFonts w:asciiTheme="minorHAnsi" w:eastAsiaTheme="majorEastAsia" w:hAnsiTheme="minorHAnsi"/>
      <w:noProof/>
      <w:sz w:val="20"/>
    </w:rPr>
  </w:style>
  <w:style w:type="paragraph" w:styleId="TOC2">
    <w:name w:val="toc 2"/>
    <w:basedOn w:val="Normal"/>
    <w:next w:val="Normal"/>
    <w:autoRedefine/>
    <w:uiPriority w:val="39"/>
    <w:rsid w:val="008835EB"/>
    <w:pPr>
      <w:tabs>
        <w:tab w:val="left" w:pos="993"/>
        <w:tab w:val="right" w:leader="dot" w:pos="9639"/>
      </w:tabs>
      <w:spacing w:before="120"/>
      <w:ind w:left="220"/>
    </w:pPr>
    <w:rPr>
      <w:rFonts w:eastAsiaTheme="majorEastAsia"/>
      <w:iCs/>
      <w:noProof/>
      <w:sz w:val="20"/>
    </w:rPr>
  </w:style>
  <w:style w:type="paragraph" w:styleId="TOC3">
    <w:name w:val="toc 3"/>
    <w:basedOn w:val="Normal"/>
    <w:next w:val="Normal"/>
    <w:autoRedefine/>
    <w:uiPriority w:val="39"/>
    <w:rsid w:val="008835EB"/>
    <w:pPr>
      <w:ind w:left="440"/>
    </w:pPr>
    <w:rPr>
      <w:sz w:val="20"/>
    </w:rPr>
  </w:style>
  <w:style w:type="paragraph" w:styleId="TOC4">
    <w:name w:val="toc 4"/>
    <w:basedOn w:val="Normal"/>
    <w:next w:val="Normal"/>
    <w:autoRedefine/>
    <w:semiHidden/>
    <w:rsid w:val="008835EB"/>
    <w:pPr>
      <w:ind w:left="660"/>
    </w:pPr>
    <w:rPr>
      <w:sz w:val="20"/>
    </w:rPr>
  </w:style>
  <w:style w:type="paragraph" w:styleId="TOC5">
    <w:name w:val="toc 5"/>
    <w:basedOn w:val="Normal"/>
    <w:next w:val="Normal"/>
    <w:autoRedefine/>
    <w:semiHidden/>
    <w:rsid w:val="008835EB"/>
    <w:pPr>
      <w:ind w:left="880"/>
    </w:pPr>
    <w:rPr>
      <w:sz w:val="20"/>
    </w:rPr>
  </w:style>
  <w:style w:type="paragraph" w:styleId="TOC6">
    <w:name w:val="toc 6"/>
    <w:basedOn w:val="Normal"/>
    <w:next w:val="Normal"/>
    <w:autoRedefine/>
    <w:semiHidden/>
    <w:rsid w:val="008835EB"/>
    <w:pPr>
      <w:ind w:left="1100"/>
    </w:pPr>
    <w:rPr>
      <w:sz w:val="20"/>
    </w:rPr>
  </w:style>
  <w:style w:type="paragraph" w:styleId="TOC7">
    <w:name w:val="toc 7"/>
    <w:basedOn w:val="Normal"/>
    <w:next w:val="Normal"/>
    <w:autoRedefine/>
    <w:semiHidden/>
    <w:rsid w:val="008835EB"/>
    <w:pPr>
      <w:ind w:left="1320"/>
    </w:pPr>
    <w:rPr>
      <w:sz w:val="20"/>
    </w:rPr>
  </w:style>
  <w:style w:type="paragraph" w:styleId="TOC8">
    <w:name w:val="toc 8"/>
    <w:basedOn w:val="Normal"/>
    <w:next w:val="Normal"/>
    <w:autoRedefine/>
    <w:semiHidden/>
    <w:rsid w:val="008835EB"/>
    <w:pPr>
      <w:ind w:left="1540"/>
    </w:pPr>
    <w:rPr>
      <w:sz w:val="20"/>
    </w:rPr>
  </w:style>
  <w:style w:type="paragraph" w:styleId="TOC9">
    <w:name w:val="toc 9"/>
    <w:basedOn w:val="Normal"/>
    <w:next w:val="Normal"/>
    <w:autoRedefine/>
    <w:semiHidden/>
    <w:rsid w:val="008835EB"/>
    <w:pPr>
      <w:ind w:left="1760"/>
    </w:pPr>
    <w:rPr>
      <w:sz w:val="20"/>
    </w:rPr>
  </w:style>
  <w:style w:type="paragraph" w:styleId="FootnoteText">
    <w:name w:val="footnote text"/>
    <w:basedOn w:val="Normal"/>
    <w:link w:val="FootnoteTextChar"/>
    <w:semiHidden/>
    <w:rsid w:val="008835EB"/>
    <w:rPr>
      <w:sz w:val="20"/>
    </w:rPr>
  </w:style>
  <w:style w:type="character" w:customStyle="1" w:styleId="FootnoteTextChar">
    <w:name w:val="Footnote Text Char"/>
    <w:basedOn w:val="DefaultParagraphFont"/>
    <w:link w:val="FootnoteText"/>
    <w:semiHidden/>
    <w:rsid w:val="008835EB"/>
    <w:rPr>
      <w:rFonts w:ascii="Calibri" w:eastAsia="Times New Roman" w:hAnsi="Calibri" w:cs="Times New Roman"/>
      <w:sz w:val="20"/>
      <w:szCs w:val="20"/>
    </w:rPr>
  </w:style>
  <w:style w:type="paragraph" w:styleId="CommentText">
    <w:name w:val="annotation text"/>
    <w:basedOn w:val="Normal"/>
    <w:link w:val="CommentTextChar"/>
    <w:uiPriority w:val="99"/>
    <w:semiHidden/>
    <w:rsid w:val="008835EB"/>
    <w:rPr>
      <w:sz w:val="20"/>
    </w:rPr>
  </w:style>
  <w:style w:type="character" w:customStyle="1" w:styleId="CommentTextChar">
    <w:name w:val="Comment Text Char"/>
    <w:basedOn w:val="DefaultParagraphFont"/>
    <w:link w:val="CommentText"/>
    <w:uiPriority w:val="99"/>
    <w:semiHidden/>
    <w:rsid w:val="008835EB"/>
    <w:rPr>
      <w:rFonts w:ascii="Calibri" w:eastAsia="Times New Roman" w:hAnsi="Calibri" w:cs="Times New Roman"/>
      <w:sz w:val="20"/>
      <w:szCs w:val="20"/>
    </w:rPr>
  </w:style>
  <w:style w:type="paragraph" w:styleId="Header">
    <w:name w:val="header"/>
    <w:basedOn w:val="Normal"/>
    <w:link w:val="HeaderChar"/>
    <w:uiPriority w:val="99"/>
    <w:rsid w:val="008835EB"/>
    <w:pPr>
      <w:tabs>
        <w:tab w:val="center" w:pos="4513"/>
        <w:tab w:val="right" w:pos="9026"/>
      </w:tabs>
      <w:spacing w:line="240" w:lineRule="auto"/>
    </w:pPr>
  </w:style>
  <w:style w:type="character" w:customStyle="1" w:styleId="HeaderChar">
    <w:name w:val="Header Char"/>
    <w:basedOn w:val="DefaultParagraphFont"/>
    <w:link w:val="Header"/>
    <w:uiPriority w:val="99"/>
    <w:rsid w:val="008835EB"/>
    <w:rPr>
      <w:rFonts w:ascii="Calibri" w:eastAsia="Times New Roman" w:hAnsi="Calibri" w:cs="Times New Roman"/>
      <w:sz w:val="18"/>
      <w:szCs w:val="20"/>
    </w:rPr>
  </w:style>
  <w:style w:type="paragraph" w:styleId="Footer">
    <w:name w:val="footer"/>
    <w:basedOn w:val="Normal"/>
    <w:link w:val="FooterChar"/>
    <w:uiPriority w:val="99"/>
    <w:rsid w:val="008835EB"/>
    <w:pPr>
      <w:tabs>
        <w:tab w:val="center" w:pos="4513"/>
        <w:tab w:val="right" w:pos="9026"/>
      </w:tabs>
      <w:spacing w:line="240" w:lineRule="auto"/>
    </w:pPr>
  </w:style>
  <w:style w:type="character" w:customStyle="1" w:styleId="FooterChar">
    <w:name w:val="Footer Char"/>
    <w:basedOn w:val="DefaultParagraphFont"/>
    <w:link w:val="Footer"/>
    <w:uiPriority w:val="99"/>
    <w:rsid w:val="008835EB"/>
    <w:rPr>
      <w:rFonts w:ascii="Calibri" w:eastAsia="Times New Roman" w:hAnsi="Calibri" w:cs="Times New Roman"/>
      <w:sz w:val="18"/>
      <w:szCs w:val="20"/>
    </w:rPr>
  </w:style>
  <w:style w:type="paragraph" w:styleId="Caption">
    <w:name w:val="caption"/>
    <w:basedOn w:val="Normal"/>
    <w:next w:val="Normal"/>
    <w:qFormat/>
    <w:rsid w:val="008835EB"/>
    <w:pPr>
      <w:spacing w:after="200" w:line="240" w:lineRule="auto"/>
    </w:pPr>
    <w:rPr>
      <w:b/>
      <w:bCs/>
      <w:color w:val="4F81BD" w:themeColor="accent1"/>
      <w:szCs w:val="18"/>
    </w:rPr>
  </w:style>
  <w:style w:type="paragraph" w:styleId="TableofFigures">
    <w:name w:val="table of figures"/>
    <w:basedOn w:val="Normal"/>
    <w:next w:val="Normal"/>
    <w:semiHidden/>
    <w:rsid w:val="008835EB"/>
  </w:style>
  <w:style w:type="paragraph" w:styleId="MacroText">
    <w:name w:val="macro"/>
    <w:link w:val="MacroTextChar"/>
    <w:semiHidden/>
    <w:rsid w:val="008835E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18"/>
      <w:szCs w:val="20"/>
      <w:lang w:val="en-GB"/>
    </w:rPr>
  </w:style>
  <w:style w:type="character" w:customStyle="1" w:styleId="MacroTextChar">
    <w:name w:val="Macro Text Char"/>
    <w:basedOn w:val="DefaultParagraphFont"/>
    <w:link w:val="MacroText"/>
    <w:semiHidden/>
    <w:rsid w:val="008835EB"/>
    <w:rPr>
      <w:rFonts w:ascii="Courier New" w:eastAsia="Times New Roman" w:hAnsi="Courier New" w:cs="Courier New"/>
      <w:sz w:val="18"/>
      <w:szCs w:val="20"/>
      <w:lang w:val="en-GB"/>
    </w:rPr>
  </w:style>
  <w:style w:type="paragraph" w:styleId="Signature">
    <w:name w:val="Signature"/>
    <w:basedOn w:val="Normal"/>
    <w:link w:val="SignatureChar"/>
    <w:rsid w:val="008835EB"/>
    <w:pPr>
      <w:spacing w:line="240" w:lineRule="auto"/>
    </w:pPr>
  </w:style>
  <w:style w:type="character" w:customStyle="1" w:styleId="SignatureChar">
    <w:name w:val="Signature Char"/>
    <w:basedOn w:val="DefaultParagraphFont"/>
    <w:link w:val="Signature"/>
    <w:rsid w:val="008835EB"/>
    <w:rPr>
      <w:rFonts w:ascii="Calibri" w:eastAsia="Times New Roman" w:hAnsi="Calibri" w:cs="Times New Roman"/>
      <w:sz w:val="18"/>
      <w:szCs w:val="20"/>
    </w:rPr>
  </w:style>
  <w:style w:type="paragraph" w:styleId="DocumentMap">
    <w:name w:val="Document Map"/>
    <w:basedOn w:val="Normal"/>
    <w:link w:val="DocumentMapChar"/>
    <w:semiHidden/>
    <w:rsid w:val="008835EB"/>
    <w:pPr>
      <w:shd w:val="clear" w:color="auto" w:fill="000080"/>
      <w:spacing w:line="240" w:lineRule="auto"/>
    </w:pPr>
    <w:rPr>
      <w:rFonts w:ascii="Tahoma" w:hAnsi="Tahoma"/>
      <w:sz w:val="20"/>
      <w:lang w:eastAsia="en-AU"/>
    </w:rPr>
  </w:style>
  <w:style w:type="character" w:customStyle="1" w:styleId="DocumentMapChar">
    <w:name w:val="Document Map Char"/>
    <w:basedOn w:val="DefaultParagraphFont"/>
    <w:link w:val="DocumentMap"/>
    <w:semiHidden/>
    <w:rsid w:val="008835EB"/>
    <w:rPr>
      <w:rFonts w:ascii="Tahoma" w:eastAsia="Times New Roman" w:hAnsi="Tahoma" w:cs="Times New Roman"/>
      <w:sz w:val="20"/>
      <w:szCs w:val="20"/>
      <w:shd w:val="clear" w:color="auto" w:fill="000080"/>
      <w:lang w:eastAsia="en-AU"/>
    </w:rPr>
  </w:style>
  <w:style w:type="paragraph" w:styleId="CommentSubject">
    <w:name w:val="annotation subject"/>
    <w:basedOn w:val="CommentText"/>
    <w:next w:val="CommentText"/>
    <w:link w:val="CommentSubjectChar"/>
    <w:semiHidden/>
    <w:rsid w:val="008835EB"/>
    <w:rPr>
      <w:b/>
      <w:bCs/>
    </w:rPr>
  </w:style>
  <w:style w:type="character" w:customStyle="1" w:styleId="CommentSubjectChar">
    <w:name w:val="Comment Subject Char"/>
    <w:basedOn w:val="CommentTextChar"/>
    <w:link w:val="CommentSubject"/>
    <w:semiHidden/>
    <w:rsid w:val="008835EB"/>
    <w:rPr>
      <w:rFonts w:ascii="Calibri" w:eastAsia="Times New Roman" w:hAnsi="Calibri" w:cs="Times New Roman"/>
      <w:b/>
      <w:bCs/>
      <w:sz w:val="20"/>
      <w:szCs w:val="20"/>
    </w:rPr>
  </w:style>
  <w:style w:type="paragraph" w:styleId="BalloonText">
    <w:name w:val="Balloon Text"/>
    <w:basedOn w:val="Normal"/>
    <w:link w:val="BalloonTextChar"/>
    <w:semiHidden/>
    <w:rsid w:val="008835EB"/>
    <w:rPr>
      <w:rFonts w:ascii="Tahoma" w:hAnsi="Tahoma" w:cs="Tahoma"/>
      <w:sz w:val="16"/>
      <w:szCs w:val="16"/>
    </w:rPr>
  </w:style>
  <w:style w:type="character" w:customStyle="1" w:styleId="BalloonTextChar">
    <w:name w:val="Balloon Text Char"/>
    <w:basedOn w:val="DefaultParagraphFont"/>
    <w:link w:val="BalloonText"/>
    <w:semiHidden/>
    <w:rsid w:val="008835EB"/>
    <w:rPr>
      <w:rFonts w:ascii="Tahoma" w:eastAsia="Times New Roman" w:hAnsi="Tahoma" w:cs="Tahoma"/>
      <w:sz w:val="16"/>
      <w:szCs w:val="16"/>
    </w:rPr>
  </w:style>
  <w:style w:type="paragraph" w:styleId="Revision">
    <w:name w:val="Revision"/>
    <w:uiPriority w:val="99"/>
    <w:semiHidden/>
    <w:rsid w:val="008835EB"/>
    <w:pPr>
      <w:spacing w:after="0" w:line="240" w:lineRule="auto"/>
    </w:pPr>
    <w:rPr>
      <w:rFonts w:ascii="Calibri" w:eastAsia="Times New Roman" w:hAnsi="Calibri" w:cs="Times New Roman"/>
      <w:sz w:val="18"/>
      <w:szCs w:val="20"/>
    </w:rPr>
  </w:style>
  <w:style w:type="paragraph" w:styleId="ListParagraph">
    <w:name w:val="List Paragraph"/>
    <w:basedOn w:val="Normal"/>
    <w:uiPriority w:val="34"/>
    <w:qFormat/>
    <w:rsid w:val="008835EB"/>
    <w:pPr>
      <w:ind w:left="720"/>
      <w:contextualSpacing/>
    </w:pPr>
  </w:style>
  <w:style w:type="character" w:customStyle="1" w:styleId="StatementNameChar">
    <w:name w:val="Statement Name Char"/>
    <w:basedOn w:val="DefaultParagraphFont"/>
    <w:link w:val="StatementName"/>
    <w:locked/>
    <w:rsid w:val="008835EB"/>
    <w:rPr>
      <w:rFonts w:ascii="Arial" w:hAnsi="Arial" w:cs="Arial"/>
      <w:b/>
      <w:sz w:val="24"/>
      <w:szCs w:val="24"/>
    </w:rPr>
  </w:style>
  <w:style w:type="paragraph" w:customStyle="1" w:styleId="StatementName">
    <w:name w:val="Statement Name"/>
    <w:basedOn w:val="Normal"/>
    <w:next w:val="Normal"/>
    <w:link w:val="StatementNameChar"/>
    <w:autoRedefine/>
    <w:rsid w:val="008835EB"/>
    <w:pPr>
      <w:pBdr>
        <w:bottom w:val="single" w:sz="4" w:space="1" w:color="auto"/>
      </w:pBdr>
    </w:pPr>
    <w:rPr>
      <w:rFonts w:ascii="Arial" w:eastAsiaTheme="minorHAnsi" w:hAnsi="Arial" w:cs="Arial"/>
      <w:b/>
      <w:sz w:val="24"/>
      <w:szCs w:val="24"/>
    </w:rPr>
  </w:style>
  <w:style w:type="paragraph" w:customStyle="1" w:styleId="StatementDateHeader">
    <w:name w:val="Statement Date Header"/>
    <w:basedOn w:val="Normal"/>
    <w:next w:val="Normal"/>
    <w:rsid w:val="008835EB"/>
    <w:pPr>
      <w:pBdr>
        <w:bottom w:val="single" w:sz="4" w:space="1" w:color="auto"/>
      </w:pBdr>
    </w:pPr>
    <w:rPr>
      <w:rFonts w:ascii="Arial" w:hAnsi="Arial"/>
      <w:i/>
      <w:sz w:val="24"/>
    </w:rPr>
  </w:style>
  <w:style w:type="paragraph" w:customStyle="1" w:styleId="StatementTextLevel3">
    <w:name w:val="Statement Text Level 3"/>
    <w:basedOn w:val="Normal"/>
    <w:next w:val="Normal"/>
    <w:rsid w:val="008835EB"/>
    <w:rPr>
      <w:rFonts w:ascii="Arial" w:hAnsi="Arial"/>
    </w:rPr>
  </w:style>
  <w:style w:type="paragraph" w:customStyle="1" w:styleId="TableHeaderLevel1">
    <w:name w:val="Table Header Level 1"/>
    <w:basedOn w:val="Normal"/>
    <w:semiHidden/>
    <w:rsid w:val="008835EB"/>
    <w:pPr>
      <w:jc w:val="center"/>
    </w:pPr>
    <w:rPr>
      <w:rFonts w:ascii="Arial" w:hAnsi="Arial"/>
      <w:b/>
      <w:szCs w:val="18"/>
    </w:rPr>
  </w:style>
  <w:style w:type="paragraph" w:customStyle="1" w:styleId="StatementTextLevel1bItalic">
    <w:name w:val="Statement Text Level 1(b) + Italic"/>
    <w:basedOn w:val="Normal"/>
    <w:rsid w:val="008835EB"/>
    <w:rPr>
      <w:rFonts w:ascii="Arial" w:hAnsi="Arial"/>
      <w:b/>
      <w:bCs/>
      <w:i/>
      <w:iCs/>
      <w:szCs w:val="18"/>
    </w:rPr>
  </w:style>
  <w:style w:type="paragraph" w:customStyle="1" w:styleId="Graphic">
    <w:name w:val="Graphic"/>
    <w:basedOn w:val="Signature"/>
    <w:rsid w:val="008835EB"/>
    <w:pPr>
      <w:pBdr>
        <w:top w:val="single" w:sz="4" w:space="1" w:color="auto"/>
        <w:left w:val="single" w:sz="4" w:space="1" w:color="auto"/>
        <w:bottom w:val="single" w:sz="4" w:space="1" w:color="auto"/>
        <w:right w:val="single" w:sz="4" w:space="1" w:color="auto"/>
      </w:pBdr>
      <w:jc w:val="center"/>
    </w:pPr>
  </w:style>
  <w:style w:type="paragraph" w:customStyle="1" w:styleId="NotesTotal">
    <w:name w:val="Notes Total"/>
    <w:basedOn w:val="Normal"/>
    <w:autoRedefine/>
    <w:rsid w:val="008835EB"/>
    <w:pPr>
      <w:ind w:left="139" w:right="57"/>
    </w:pPr>
    <w:rPr>
      <w:b/>
      <w:iCs/>
      <w:sz w:val="20"/>
    </w:rPr>
  </w:style>
  <w:style w:type="paragraph" w:customStyle="1" w:styleId="TitlePage">
    <w:name w:val="Title Page"/>
    <w:basedOn w:val="Normal"/>
    <w:autoRedefine/>
    <w:rsid w:val="008835EB"/>
    <w:pPr>
      <w:spacing w:before="1200" w:after="1200"/>
      <w:ind w:left="57" w:right="57"/>
      <w:jc w:val="right"/>
    </w:pPr>
    <w:rPr>
      <w:b/>
      <w:bCs/>
      <w:sz w:val="48"/>
    </w:rPr>
  </w:style>
  <w:style w:type="paragraph" w:customStyle="1" w:styleId="zcontents">
    <w:name w:val="zcontents"/>
    <w:basedOn w:val="Normal"/>
    <w:semiHidden/>
    <w:rsid w:val="008835EB"/>
    <w:pPr>
      <w:spacing w:after="260" w:line="240" w:lineRule="auto"/>
    </w:pPr>
    <w:rPr>
      <w:b/>
      <w:sz w:val="32"/>
    </w:rPr>
  </w:style>
  <w:style w:type="paragraph" w:customStyle="1" w:styleId="Normal10pt">
    <w:name w:val="Normal + 10 pt"/>
    <w:aliases w:val="Line spacing:  single"/>
    <w:basedOn w:val="Normal"/>
    <w:rsid w:val="008835EB"/>
    <w:pPr>
      <w:spacing w:before="130" w:after="130"/>
    </w:pPr>
    <w:rPr>
      <w:b/>
      <w:sz w:val="20"/>
    </w:rPr>
  </w:style>
  <w:style w:type="paragraph" w:customStyle="1" w:styleId="Normal8pt">
    <w:name w:val="Normal + 8 pt"/>
    <w:basedOn w:val="Normal"/>
    <w:rsid w:val="008835EB"/>
    <w:pPr>
      <w:widowControl w:val="0"/>
      <w:autoSpaceDE w:val="0"/>
      <w:autoSpaceDN w:val="0"/>
      <w:spacing w:line="240" w:lineRule="auto"/>
    </w:pPr>
    <w:rPr>
      <w:bCs/>
      <w:iCs/>
      <w:spacing w:val="-6"/>
      <w:sz w:val="16"/>
      <w:szCs w:val="16"/>
      <w:lang w:val="en-US"/>
    </w:rPr>
  </w:style>
  <w:style w:type="paragraph" w:customStyle="1" w:styleId="NormalCalistoMT">
    <w:name w:val="Normal + Calisto MT"/>
    <w:aliases w:val="8 pt,Right"/>
    <w:basedOn w:val="Normal"/>
    <w:rsid w:val="008835EB"/>
    <w:pPr>
      <w:framePr w:hSpace="180" w:wrap="around" w:vAnchor="text" w:hAnchor="margin" w:y="1"/>
      <w:ind w:right="212"/>
      <w:jc w:val="right"/>
    </w:pPr>
    <w:rPr>
      <w:rFonts w:ascii="Calisto MT" w:hAnsi="Calisto MT"/>
      <w:sz w:val="16"/>
    </w:rPr>
  </w:style>
  <w:style w:type="character" w:customStyle="1" w:styleId="ReferenceTextChar">
    <w:name w:val="Reference Text Char"/>
    <w:basedOn w:val="DefaultParagraphFont"/>
    <w:link w:val="ReferenceText"/>
    <w:locked/>
    <w:rsid w:val="008835EB"/>
    <w:rPr>
      <w:rFonts w:cstheme="minorHAnsi"/>
      <w:sz w:val="18"/>
    </w:rPr>
  </w:style>
  <w:style w:type="paragraph" w:customStyle="1" w:styleId="ReferenceText">
    <w:name w:val="Reference Text"/>
    <w:basedOn w:val="Normal"/>
    <w:link w:val="ReferenceTextChar"/>
    <w:autoRedefine/>
    <w:qFormat/>
    <w:rsid w:val="008835EB"/>
    <w:pPr>
      <w:spacing w:before="120"/>
    </w:pPr>
    <w:rPr>
      <w:rFonts w:asciiTheme="minorHAnsi" w:eastAsiaTheme="minorHAnsi" w:hAnsiTheme="minorHAnsi" w:cstheme="minorHAnsi"/>
      <w:szCs w:val="22"/>
    </w:rPr>
  </w:style>
  <w:style w:type="character" w:customStyle="1" w:styleId="NotesHeading-Level1Char">
    <w:name w:val="Notes Heading - Level 1 Char"/>
    <w:basedOn w:val="DefaultParagraphFont"/>
    <w:link w:val="NotesHeading-Level1"/>
    <w:locked/>
    <w:rsid w:val="008835EB"/>
    <w:rPr>
      <w:b/>
      <w:u w:val="single"/>
    </w:rPr>
  </w:style>
  <w:style w:type="paragraph" w:customStyle="1" w:styleId="NotesHeading-Level1">
    <w:name w:val="Notes Heading - Level 1"/>
    <w:basedOn w:val="Normal"/>
    <w:link w:val="NotesHeading-Level1Char"/>
    <w:qFormat/>
    <w:rsid w:val="008835EB"/>
    <w:pPr>
      <w:ind w:right="607"/>
      <w:outlineLvl w:val="0"/>
    </w:pPr>
    <w:rPr>
      <w:rFonts w:asciiTheme="minorHAnsi" w:eastAsiaTheme="minorHAnsi" w:hAnsiTheme="minorHAnsi" w:cstheme="minorBidi"/>
      <w:b/>
      <w:sz w:val="22"/>
      <w:szCs w:val="22"/>
      <w:u w:val="single"/>
    </w:rPr>
  </w:style>
  <w:style w:type="paragraph" w:customStyle="1" w:styleId="NotesHeading-Level2">
    <w:name w:val="Notes Heading - Level 2"/>
    <w:basedOn w:val="NotesHeading-Level1"/>
    <w:rsid w:val="008835EB"/>
    <w:pPr>
      <w:framePr w:hSpace="180" w:wrap="around" w:vAnchor="text" w:hAnchor="margin" w:y="1"/>
      <w:numPr>
        <w:ilvl w:val="1"/>
      </w:numPr>
    </w:pPr>
    <w:rPr>
      <w:sz w:val="18"/>
    </w:rPr>
  </w:style>
  <w:style w:type="paragraph" w:customStyle="1" w:styleId="StatementHeading">
    <w:name w:val="Statement Heading"/>
    <w:basedOn w:val="Normal"/>
    <w:rsid w:val="008835EB"/>
    <w:rPr>
      <w:rFonts w:ascii="Arial" w:hAnsi="Arial"/>
      <w:b/>
      <w:sz w:val="24"/>
    </w:rPr>
  </w:style>
  <w:style w:type="paragraph" w:customStyle="1" w:styleId="GreyShadeTableBreak">
    <w:name w:val="Grey Shade Table Break"/>
    <w:basedOn w:val="Normal"/>
    <w:qFormat/>
    <w:rsid w:val="008835EB"/>
    <w:pPr>
      <w:shd w:val="clear" w:color="auto" w:fill="D9D9D9" w:themeFill="background1" w:themeFillShade="D9"/>
      <w:tabs>
        <w:tab w:val="left" w:pos="9214"/>
      </w:tabs>
      <w:ind w:right="607"/>
    </w:pPr>
  </w:style>
  <w:style w:type="paragraph" w:customStyle="1" w:styleId="GreyShadeTableBreaknon-Standard">
    <w:name w:val="Grey Shade Table Break non-Standard"/>
    <w:qFormat/>
    <w:rsid w:val="008835EB"/>
    <w:pPr>
      <w:shd w:val="clear" w:color="auto" w:fill="D9D9D9" w:themeFill="background1" w:themeFillShade="D9"/>
      <w:spacing w:after="0" w:line="240" w:lineRule="auto"/>
      <w:ind w:right="57"/>
    </w:pPr>
    <w:rPr>
      <w:rFonts w:eastAsia="Times New Roman" w:cs="Times New Roman"/>
      <w:sz w:val="20"/>
      <w:szCs w:val="20"/>
      <w:lang w:eastAsia="en-AU"/>
    </w:rPr>
  </w:style>
  <w:style w:type="paragraph" w:customStyle="1" w:styleId="ReferenceTextLetter">
    <w:name w:val="Reference Text Letter"/>
    <w:basedOn w:val="ReferenceText"/>
    <w:qFormat/>
    <w:rsid w:val="008835EB"/>
    <w:pPr>
      <w:spacing w:line="240" w:lineRule="auto"/>
      <w:ind w:left="567" w:right="567"/>
    </w:pPr>
    <w:rPr>
      <w:rFonts w:cs="Arial"/>
      <w:szCs w:val="18"/>
    </w:rPr>
  </w:style>
  <w:style w:type="paragraph" w:customStyle="1" w:styleId="NotesHeader">
    <w:name w:val="Notes Header"/>
    <w:basedOn w:val="Normal"/>
    <w:next w:val="Normal"/>
    <w:rsid w:val="008835EB"/>
    <w:pPr>
      <w:jc w:val="center"/>
    </w:pPr>
    <w:rPr>
      <w:rFonts w:ascii="Arial" w:hAnsi="Arial"/>
      <w:b/>
    </w:rPr>
  </w:style>
  <w:style w:type="paragraph" w:customStyle="1" w:styleId="NotesReferences">
    <w:name w:val="Notes References"/>
    <w:basedOn w:val="Normal"/>
    <w:next w:val="Normal"/>
    <w:rsid w:val="008835EB"/>
    <w:pPr>
      <w:jc w:val="center"/>
    </w:pPr>
    <w:rPr>
      <w:rFonts w:ascii="Arial" w:hAnsi="Arial"/>
    </w:rPr>
  </w:style>
  <w:style w:type="paragraph" w:customStyle="1" w:styleId="NotesData">
    <w:name w:val="Notes Data"/>
    <w:basedOn w:val="Normal"/>
    <w:rsid w:val="008835EB"/>
    <w:pPr>
      <w:framePr w:hSpace="180" w:wrap="around" w:vAnchor="text" w:hAnchor="margin" w:y="1"/>
      <w:jc w:val="center"/>
    </w:pPr>
    <w:rPr>
      <w:sz w:val="20"/>
    </w:rPr>
  </w:style>
  <w:style w:type="paragraph" w:customStyle="1" w:styleId="NotesTextLevel1">
    <w:name w:val="Notes Text Level 1"/>
    <w:basedOn w:val="Normal"/>
    <w:next w:val="Normal"/>
    <w:rsid w:val="008835EB"/>
    <w:rPr>
      <w:rFonts w:ascii="Arial" w:hAnsi="Arial"/>
      <w:b/>
      <w:i/>
      <w:u w:val="single"/>
    </w:rPr>
  </w:style>
  <w:style w:type="character" w:customStyle="1" w:styleId="NotesTextLevel3aboldItalicChar">
    <w:name w:val="Notes Text Level 3(a) bold + Italic Char"/>
    <w:basedOn w:val="DefaultParagraphFont"/>
    <w:link w:val="NotesTextLevel3aboldItalic"/>
    <w:locked/>
    <w:rsid w:val="008835EB"/>
    <w:rPr>
      <w:rFonts w:ascii="Arial" w:hAnsi="Arial" w:cs="Arial"/>
      <w:b/>
      <w:bCs/>
      <w:i/>
      <w:iCs/>
      <w:sz w:val="18"/>
    </w:rPr>
  </w:style>
  <w:style w:type="paragraph" w:customStyle="1" w:styleId="NotesTextLevel3aboldItalic">
    <w:name w:val="Notes Text Level 3(a) bold + Italic"/>
    <w:basedOn w:val="Normal"/>
    <w:link w:val="NotesTextLevel3aboldItalicChar"/>
    <w:rsid w:val="008835EB"/>
    <w:rPr>
      <w:rFonts w:ascii="Arial" w:eastAsiaTheme="minorHAnsi" w:hAnsi="Arial" w:cs="Arial"/>
      <w:b/>
      <w:bCs/>
      <w:i/>
      <w:iCs/>
      <w:szCs w:val="22"/>
    </w:rPr>
  </w:style>
  <w:style w:type="paragraph" w:customStyle="1" w:styleId="NotesHeading3">
    <w:name w:val="Notes Heading 3"/>
    <w:basedOn w:val="Normal"/>
    <w:autoRedefine/>
    <w:rsid w:val="008835EB"/>
    <w:pPr>
      <w:spacing w:before="80" w:after="40"/>
      <w:ind w:left="113" w:right="113"/>
    </w:pPr>
    <w:rPr>
      <w:u w:val="single"/>
      <w:lang w:val="en-US"/>
    </w:rPr>
  </w:style>
  <w:style w:type="paragraph" w:customStyle="1" w:styleId="NotesHeading3a">
    <w:name w:val="Notes Heading 3a"/>
    <w:basedOn w:val="Normal"/>
    <w:autoRedefine/>
    <w:rsid w:val="008835EB"/>
    <w:pPr>
      <w:tabs>
        <w:tab w:val="num" w:pos="473"/>
      </w:tabs>
      <w:spacing w:after="120"/>
      <w:ind w:left="113" w:right="113"/>
      <w:jc w:val="both"/>
    </w:pPr>
    <w:rPr>
      <w:u w:val="single"/>
      <w:lang w:val="en-US"/>
    </w:rPr>
  </w:style>
  <w:style w:type="paragraph" w:customStyle="1" w:styleId="Notessub-lineitem">
    <w:name w:val="Notes sub-line item"/>
    <w:basedOn w:val="Normal"/>
    <w:autoRedefine/>
    <w:rsid w:val="008835EB"/>
    <w:pPr>
      <w:framePr w:hSpace="180" w:wrap="around" w:vAnchor="page" w:hAnchor="margin" w:y="1985"/>
      <w:tabs>
        <w:tab w:val="left" w:pos="593"/>
        <w:tab w:val="left" w:pos="1443"/>
      </w:tabs>
      <w:ind w:left="567" w:right="113"/>
    </w:pPr>
    <w:rPr>
      <w:sz w:val="20"/>
    </w:rPr>
  </w:style>
  <w:style w:type="paragraph" w:customStyle="1" w:styleId="NotesLineItem">
    <w:name w:val="Notes Line Item"/>
    <w:basedOn w:val="Normal"/>
    <w:autoRedefine/>
    <w:rsid w:val="008835EB"/>
    <w:pPr>
      <w:ind w:left="34"/>
    </w:pPr>
    <w:rPr>
      <w:iCs/>
      <w:sz w:val="16"/>
      <w:szCs w:val="16"/>
      <w:lang w:eastAsia="en-AU"/>
    </w:rPr>
  </w:style>
  <w:style w:type="paragraph" w:customStyle="1" w:styleId="NoteText">
    <w:name w:val="Note Text"/>
    <w:basedOn w:val="Normal"/>
    <w:autoRedefine/>
    <w:rsid w:val="008835EB"/>
    <w:pPr>
      <w:tabs>
        <w:tab w:val="left" w:pos="284"/>
      </w:tabs>
      <w:spacing w:after="120"/>
      <w:ind w:left="567"/>
    </w:pPr>
    <w:rPr>
      <w:sz w:val="20"/>
    </w:rPr>
  </w:style>
  <w:style w:type="paragraph" w:customStyle="1" w:styleId="NotesHeading">
    <w:name w:val="'Notes' Heading"/>
    <w:basedOn w:val="Normal"/>
    <w:autoRedefine/>
    <w:rsid w:val="008835EB"/>
    <w:pPr>
      <w:ind w:left="57" w:right="57"/>
      <w:jc w:val="center"/>
    </w:pPr>
    <w:rPr>
      <w:b/>
      <w:sz w:val="20"/>
    </w:rPr>
  </w:style>
  <w:style w:type="paragraph" w:customStyle="1" w:styleId="NotesReference">
    <w:name w:val="'Notes' Reference"/>
    <w:basedOn w:val="Normal"/>
    <w:autoRedefine/>
    <w:rsid w:val="008835EB"/>
    <w:pPr>
      <w:ind w:left="57" w:right="57"/>
      <w:jc w:val="center"/>
    </w:pPr>
    <w:rPr>
      <w:sz w:val="20"/>
    </w:rPr>
  </w:style>
  <w:style w:type="paragraph" w:customStyle="1" w:styleId="NotesHeading4">
    <w:name w:val="Notes Heading 4"/>
    <w:basedOn w:val="NoteText"/>
    <w:autoRedefine/>
    <w:rsid w:val="008835EB"/>
    <w:pPr>
      <w:keepNext/>
      <w:spacing w:before="200" w:after="80"/>
      <w:ind w:right="57"/>
    </w:pPr>
  </w:style>
  <w:style w:type="paragraph" w:customStyle="1" w:styleId="NotesHeading3NumberingOff">
    <w:name w:val="Notes Heading 3 Numbering Off"/>
    <w:basedOn w:val="NotesHeading3"/>
    <w:autoRedefine/>
    <w:rsid w:val="008835EB"/>
    <w:pPr>
      <w:tabs>
        <w:tab w:val="left" w:pos="1132"/>
      </w:tabs>
    </w:pPr>
  </w:style>
  <w:style w:type="paragraph" w:customStyle="1" w:styleId="NotesHeadingPlain">
    <w:name w:val="'Notes' Heading Plain"/>
    <w:basedOn w:val="NotesHeading"/>
    <w:autoRedefine/>
    <w:rsid w:val="008835EB"/>
    <w:rPr>
      <w:b w:val="0"/>
    </w:rPr>
  </w:style>
  <w:style w:type="paragraph" w:customStyle="1" w:styleId="NotesHeading5">
    <w:name w:val="Notes Heading 5"/>
    <w:basedOn w:val="Normal"/>
    <w:autoRedefine/>
    <w:rsid w:val="008835EB"/>
    <w:pPr>
      <w:spacing w:before="120" w:after="40"/>
      <w:ind w:left="113" w:right="113"/>
      <w:jc w:val="both"/>
    </w:pPr>
    <w:rPr>
      <w:b/>
      <w:sz w:val="20"/>
    </w:rPr>
  </w:style>
  <w:style w:type="paragraph" w:customStyle="1" w:styleId="NoteTextBEFOREDotPoint">
    <w:name w:val="Note Text BEFORE Dot Point"/>
    <w:basedOn w:val="NoteText"/>
    <w:rsid w:val="008835EB"/>
    <w:pPr>
      <w:spacing w:after="0"/>
      <w:ind w:left="178" w:right="57"/>
    </w:pPr>
  </w:style>
  <w:style w:type="paragraph" w:customStyle="1" w:styleId="ItalicLineItem">
    <w:name w:val="Italic Line Item"/>
    <w:basedOn w:val="Normal"/>
    <w:rsid w:val="008835EB"/>
    <w:pPr>
      <w:tabs>
        <w:tab w:val="left" w:pos="566"/>
      </w:tabs>
      <w:ind w:left="284" w:right="113"/>
      <w:jc w:val="both"/>
    </w:pPr>
    <w:rPr>
      <w:i/>
      <w:sz w:val="20"/>
      <w:lang w:val="en-US"/>
    </w:rPr>
  </w:style>
  <w:style w:type="paragraph" w:customStyle="1" w:styleId="ItalicHeading">
    <w:name w:val="Italic Heading"/>
    <w:basedOn w:val="ItalicLineItem"/>
    <w:rsid w:val="008835EB"/>
    <w:pPr>
      <w:ind w:left="57" w:right="0"/>
    </w:pPr>
  </w:style>
  <w:style w:type="paragraph" w:customStyle="1" w:styleId="Notes">
    <w:name w:val="'Notes'"/>
    <w:basedOn w:val="Normal"/>
    <w:rsid w:val="008835EB"/>
    <w:pPr>
      <w:jc w:val="center"/>
    </w:pPr>
    <w:rPr>
      <w:b/>
    </w:rPr>
  </w:style>
  <w:style w:type="character" w:customStyle="1" w:styleId="LineitemsChar">
    <w:name w:val="Line items Char"/>
    <w:basedOn w:val="DefaultParagraphFont"/>
    <w:link w:val="Lineitems"/>
    <w:uiPriority w:val="99"/>
    <w:locked/>
    <w:rsid w:val="008835EB"/>
  </w:style>
  <w:style w:type="paragraph" w:customStyle="1" w:styleId="Lineitems">
    <w:name w:val="Line items"/>
    <w:basedOn w:val="Normal"/>
    <w:link w:val="LineitemsChar"/>
    <w:autoRedefine/>
    <w:uiPriority w:val="99"/>
    <w:rsid w:val="008835EB"/>
    <w:rPr>
      <w:rFonts w:asciiTheme="minorHAnsi" w:eastAsiaTheme="minorHAnsi" w:hAnsiTheme="minorHAnsi" w:cstheme="minorBidi"/>
      <w:sz w:val="22"/>
      <w:szCs w:val="22"/>
    </w:rPr>
  </w:style>
  <w:style w:type="paragraph" w:customStyle="1" w:styleId="Notestext">
    <w:name w:val="Notes text"/>
    <w:basedOn w:val="Notes"/>
    <w:rsid w:val="008835EB"/>
    <w:rPr>
      <w:b w:val="0"/>
    </w:rPr>
  </w:style>
  <w:style w:type="paragraph" w:customStyle="1" w:styleId="Lineitemtable">
    <w:name w:val="Line item table"/>
    <w:basedOn w:val="Lineitems"/>
    <w:rsid w:val="008835EB"/>
  </w:style>
  <w:style w:type="paragraph" w:customStyle="1" w:styleId="12line">
    <w:name w:val="1/2 line"/>
    <w:basedOn w:val="Normal"/>
    <w:rsid w:val="008835EB"/>
    <w:pPr>
      <w:spacing w:before="10" w:after="10" w:line="240" w:lineRule="auto"/>
    </w:pPr>
    <w:rPr>
      <w:sz w:val="20"/>
    </w:rPr>
  </w:style>
  <w:style w:type="paragraph" w:customStyle="1" w:styleId="lineitemitalic">
    <w:name w:val="line item italic"/>
    <w:basedOn w:val="Normal"/>
    <w:rsid w:val="008835EB"/>
    <w:rPr>
      <w:i/>
    </w:rPr>
  </w:style>
  <w:style w:type="paragraph" w:customStyle="1" w:styleId="lineitembold">
    <w:name w:val="line item bold"/>
    <w:basedOn w:val="Normal"/>
    <w:rsid w:val="008835EB"/>
    <w:rPr>
      <w:b/>
      <w:sz w:val="20"/>
    </w:rPr>
  </w:style>
  <w:style w:type="paragraph" w:customStyle="1" w:styleId="Notesheading0">
    <w:name w:val="Notes heading"/>
    <w:basedOn w:val="Normal"/>
    <w:rsid w:val="008835EB"/>
    <w:pPr>
      <w:spacing w:line="240" w:lineRule="auto"/>
    </w:pPr>
    <w:rPr>
      <w:rFonts w:ascii="Calisto MT" w:hAnsi="Calisto MT"/>
      <w:b/>
      <w:sz w:val="14"/>
      <w:lang w:eastAsia="en-AU"/>
    </w:rPr>
  </w:style>
  <w:style w:type="paragraph" w:customStyle="1" w:styleId="Notestothefinancialstatements">
    <w:name w:val="Notes to the financial statements"/>
    <w:aliases w:val="Heading"/>
    <w:basedOn w:val="Normal"/>
    <w:rsid w:val="008835EB"/>
    <w:pPr>
      <w:tabs>
        <w:tab w:val="left" w:pos="567"/>
        <w:tab w:val="left" w:pos="1134"/>
        <w:tab w:val="left" w:pos="1701"/>
      </w:tabs>
      <w:spacing w:before="60" w:after="60" w:line="240" w:lineRule="auto"/>
    </w:pPr>
    <w:rPr>
      <w:rFonts w:ascii="Tahoma" w:hAnsi="Tahoma"/>
      <w:b/>
      <w:color w:val="000000"/>
      <w:sz w:val="16"/>
      <w:lang w:eastAsia="en-AU"/>
    </w:rPr>
  </w:style>
  <w:style w:type="paragraph" w:customStyle="1" w:styleId="NotesBulletPoint">
    <w:name w:val="Notes Bullet Point"/>
    <w:basedOn w:val="Normal"/>
    <w:autoRedefine/>
    <w:rsid w:val="008835EB"/>
    <w:pPr>
      <w:tabs>
        <w:tab w:val="left" w:pos="413"/>
        <w:tab w:val="num" w:pos="927"/>
      </w:tabs>
      <w:snapToGrid w:val="0"/>
      <w:spacing w:line="240" w:lineRule="auto"/>
      <w:ind w:left="414" w:right="113" w:hanging="301"/>
      <w:jc w:val="both"/>
    </w:pPr>
    <w:rPr>
      <w:sz w:val="20"/>
      <w:lang w:val="en-US" w:eastAsia="en-AU"/>
    </w:rPr>
  </w:style>
  <w:style w:type="paragraph" w:customStyle="1" w:styleId="Headinga">
    <w:name w:val="Heading a"/>
    <w:basedOn w:val="Normal"/>
    <w:rsid w:val="008835EB"/>
    <w:pPr>
      <w:spacing w:line="240" w:lineRule="auto"/>
    </w:pPr>
    <w:rPr>
      <w:b/>
      <w:bCs/>
      <w:szCs w:val="18"/>
    </w:rPr>
  </w:style>
  <w:style w:type="character" w:customStyle="1" w:styleId="LineitemsTotalChar">
    <w:name w:val="Line items Total Char"/>
    <w:basedOn w:val="LineitemsChar"/>
    <w:link w:val="LineitemsTotal"/>
    <w:uiPriority w:val="99"/>
    <w:locked/>
    <w:rsid w:val="008835EB"/>
    <w:rPr>
      <w:b/>
      <w:i/>
    </w:rPr>
  </w:style>
  <w:style w:type="paragraph" w:customStyle="1" w:styleId="LineitemsTotal">
    <w:name w:val="Line items Total"/>
    <w:basedOn w:val="Lineitems"/>
    <w:link w:val="LineitemsTotalChar"/>
    <w:uiPriority w:val="99"/>
    <w:rsid w:val="008835EB"/>
    <w:pPr>
      <w:framePr w:hSpace="180" w:wrap="around" w:vAnchor="text" w:hAnchor="margin" w:y="1"/>
    </w:pPr>
    <w:rPr>
      <w:b/>
      <w:i/>
    </w:rPr>
  </w:style>
  <w:style w:type="paragraph" w:customStyle="1" w:styleId="SAPHeading-Level1">
    <w:name w:val="SAP Heading - Level 1"/>
    <w:basedOn w:val="NotesHeading-Level1"/>
    <w:rsid w:val="008835EB"/>
    <w:pPr>
      <w:tabs>
        <w:tab w:val="num" w:pos="851"/>
      </w:tabs>
      <w:ind w:left="851" w:hanging="851"/>
    </w:pPr>
    <w:rPr>
      <w:rFonts w:cstheme="minorHAnsi"/>
    </w:rPr>
  </w:style>
  <w:style w:type="paragraph" w:customStyle="1" w:styleId="SAPHeading-Level2">
    <w:name w:val="SAP Heading - Level 2"/>
    <w:basedOn w:val="SAPHeading-Level1"/>
    <w:rsid w:val="008835EB"/>
    <w:pPr>
      <w:spacing w:before="100" w:after="100" w:line="240" w:lineRule="auto"/>
      <w:outlineLvl w:val="9"/>
    </w:pPr>
  </w:style>
  <w:style w:type="paragraph" w:customStyle="1" w:styleId="SAPHeading-Level3">
    <w:name w:val="SAP Heading - Level 3"/>
    <w:basedOn w:val="SAPHeading-Level2"/>
    <w:rsid w:val="008835EB"/>
  </w:style>
  <w:style w:type="character" w:customStyle="1" w:styleId="NotesTextChar">
    <w:name w:val="Notes Text Char"/>
    <w:basedOn w:val="ReferenceTextChar"/>
    <w:link w:val="NotesText0"/>
    <w:uiPriority w:val="99"/>
    <w:locked/>
    <w:rsid w:val="008835EB"/>
    <w:rPr>
      <w:rFonts w:cs="Arial"/>
      <w:sz w:val="18"/>
      <w:szCs w:val="18"/>
    </w:rPr>
  </w:style>
  <w:style w:type="paragraph" w:customStyle="1" w:styleId="NotesText0">
    <w:name w:val="Notes Text"/>
    <w:basedOn w:val="ReferenceText"/>
    <w:link w:val="NotesTextChar"/>
    <w:uiPriority w:val="99"/>
    <w:rsid w:val="008835EB"/>
    <w:pPr>
      <w:spacing w:before="100" w:after="100" w:line="240" w:lineRule="auto"/>
    </w:pPr>
    <w:rPr>
      <w:rFonts w:cs="Arial"/>
      <w:szCs w:val="18"/>
    </w:rPr>
  </w:style>
  <w:style w:type="paragraph" w:customStyle="1" w:styleId="NotesTextHeading">
    <w:name w:val="Notes Text Heading"/>
    <w:basedOn w:val="NotesText0"/>
    <w:uiPriority w:val="99"/>
    <w:rsid w:val="008835EB"/>
    <w:rPr>
      <w:b/>
      <w:i/>
    </w:rPr>
  </w:style>
  <w:style w:type="paragraph" w:customStyle="1" w:styleId="NoteHeading-Level1">
    <w:name w:val="Note Heading - Level 1"/>
    <w:basedOn w:val="Normal"/>
    <w:rsid w:val="008835EB"/>
  </w:style>
  <w:style w:type="paragraph" w:customStyle="1" w:styleId="NoteHeading-Level2">
    <w:name w:val="Note Heading - Level 2"/>
    <w:basedOn w:val="Normal"/>
    <w:rsid w:val="008835EB"/>
  </w:style>
  <w:style w:type="paragraph" w:customStyle="1" w:styleId="Notesreferencetext">
    <w:name w:val="Notes reference text"/>
    <w:basedOn w:val="Normal"/>
    <w:next w:val="Normal"/>
    <w:rsid w:val="008835EB"/>
    <w:pPr>
      <w:jc w:val="center"/>
    </w:pPr>
  </w:style>
  <w:style w:type="character" w:customStyle="1" w:styleId="StyleReferenceTextItalicChar">
    <w:name w:val="Style Reference Text + Italic Char"/>
    <w:basedOn w:val="ReferenceTextChar"/>
    <w:link w:val="StyleReferenceTextItalic"/>
    <w:uiPriority w:val="99"/>
    <w:locked/>
    <w:rsid w:val="008835EB"/>
    <w:rPr>
      <w:rFonts w:ascii="Calibri" w:hAnsi="Calibri" w:cs="Arial"/>
      <w:i/>
      <w:iCs/>
      <w:sz w:val="18"/>
    </w:rPr>
  </w:style>
  <w:style w:type="paragraph" w:customStyle="1" w:styleId="StyleReferenceTextItalic">
    <w:name w:val="Style Reference Text + Italic"/>
    <w:basedOn w:val="ReferenceText"/>
    <w:link w:val="StyleReferenceTextItalicChar"/>
    <w:uiPriority w:val="99"/>
    <w:rsid w:val="008835EB"/>
    <w:pPr>
      <w:spacing w:line="240" w:lineRule="atLeast"/>
    </w:pPr>
    <w:rPr>
      <w:rFonts w:ascii="Calibri" w:hAnsi="Calibri" w:cs="Arial"/>
      <w:i/>
      <w:iCs/>
    </w:rPr>
  </w:style>
  <w:style w:type="character" w:customStyle="1" w:styleId="StyleNotesTextItalicChar">
    <w:name w:val="Style Notes Text + Italic Char"/>
    <w:basedOn w:val="NotesTextChar"/>
    <w:link w:val="StyleNotesTextItalic"/>
    <w:uiPriority w:val="99"/>
    <w:locked/>
    <w:rsid w:val="008835EB"/>
    <w:rPr>
      <w:rFonts w:cs="Arial"/>
      <w:i/>
      <w:iCs/>
      <w:sz w:val="18"/>
      <w:szCs w:val="18"/>
      <w:u w:val="single"/>
    </w:rPr>
  </w:style>
  <w:style w:type="paragraph" w:customStyle="1" w:styleId="StyleNotesTextItalic">
    <w:name w:val="Style Notes Text + Italic"/>
    <w:basedOn w:val="NotesText0"/>
    <w:link w:val="StyleNotesTextItalicChar"/>
    <w:uiPriority w:val="99"/>
    <w:rsid w:val="008835EB"/>
    <w:pPr>
      <w:ind w:right="-54"/>
    </w:pPr>
    <w:rPr>
      <w:i/>
      <w:iCs/>
      <w:u w:val="single"/>
    </w:rPr>
  </w:style>
  <w:style w:type="paragraph" w:customStyle="1" w:styleId="StyleNotesTextPatternClearGray-25">
    <w:name w:val="Style Notes Text + Pattern: Clear (Gray-25%)"/>
    <w:basedOn w:val="NotesText0"/>
    <w:autoRedefine/>
    <w:uiPriority w:val="99"/>
    <w:rsid w:val="008835EB"/>
    <w:pPr>
      <w:shd w:val="clear" w:color="auto" w:fill="CCCCCC"/>
      <w:ind w:right="-54"/>
    </w:pPr>
    <w:rPr>
      <w:rFonts w:ascii="Calibri" w:hAnsi="Calibri"/>
      <w:sz w:val="20"/>
      <w:szCs w:val="20"/>
    </w:rPr>
  </w:style>
  <w:style w:type="paragraph" w:customStyle="1" w:styleId="BulletKPMG">
    <w:name w:val="Bullet KPMG"/>
    <w:basedOn w:val="Normal"/>
    <w:uiPriority w:val="99"/>
    <w:rsid w:val="008835EB"/>
    <w:pPr>
      <w:tabs>
        <w:tab w:val="num" w:pos="473"/>
      </w:tabs>
      <w:spacing w:before="100" w:after="100" w:line="240" w:lineRule="auto"/>
      <w:ind w:left="357" w:hanging="357"/>
    </w:pPr>
    <w:rPr>
      <w:sz w:val="20"/>
      <w:lang w:val="en-US" w:eastAsia="en-AU"/>
    </w:rPr>
  </w:style>
  <w:style w:type="character" w:customStyle="1" w:styleId="StyleNotesTextBoldChar">
    <w:name w:val="Style Notes Text + Bold Char"/>
    <w:basedOn w:val="NotesTextChar"/>
    <w:link w:val="StyleNotesTextBold"/>
    <w:uiPriority w:val="99"/>
    <w:locked/>
    <w:rsid w:val="008835EB"/>
    <w:rPr>
      <w:rFonts w:ascii="Calibri" w:hAnsi="Calibri" w:cs="Arial"/>
      <w:bCs/>
      <w:sz w:val="18"/>
      <w:szCs w:val="18"/>
    </w:rPr>
  </w:style>
  <w:style w:type="paragraph" w:customStyle="1" w:styleId="StyleNotesTextBold">
    <w:name w:val="Style Notes Text + Bold"/>
    <w:basedOn w:val="NotesText0"/>
    <w:link w:val="StyleNotesTextBoldChar"/>
    <w:uiPriority w:val="99"/>
    <w:rsid w:val="008835EB"/>
    <w:pPr>
      <w:ind w:right="-54"/>
    </w:pPr>
    <w:rPr>
      <w:rFonts w:ascii="Calibri" w:hAnsi="Calibri"/>
      <w:bCs/>
    </w:rPr>
  </w:style>
  <w:style w:type="character" w:customStyle="1" w:styleId="StyleNotesTextBold1Char">
    <w:name w:val="Style Notes Text + Bold1 Char"/>
    <w:basedOn w:val="NotesTextChar"/>
    <w:link w:val="StyleNotesTextBold1"/>
    <w:uiPriority w:val="99"/>
    <w:locked/>
    <w:rsid w:val="008835EB"/>
    <w:rPr>
      <w:rFonts w:ascii="Calibri" w:hAnsi="Calibri" w:cs="Arial"/>
      <w:bCs/>
      <w:sz w:val="18"/>
      <w:szCs w:val="18"/>
    </w:rPr>
  </w:style>
  <w:style w:type="paragraph" w:customStyle="1" w:styleId="StyleNotesTextBold1">
    <w:name w:val="Style Notes Text + Bold1"/>
    <w:basedOn w:val="NotesText0"/>
    <w:link w:val="StyleNotesTextBold1Char"/>
    <w:uiPriority w:val="99"/>
    <w:rsid w:val="008835EB"/>
    <w:pPr>
      <w:ind w:right="-54"/>
    </w:pPr>
    <w:rPr>
      <w:rFonts w:ascii="Calibri" w:hAnsi="Calibri"/>
      <w:bCs/>
    </w:rPr>
  </w:style>
  <w:style w:type="character" w:customStyle="1" w:styleId="StatementTextLevel1bChar">
    <w:name w:val="Statement Text Level 1(b) Char"/>
    <w:basedOn w:val="DefaultParagraphFont"/>
    <w:link w:val="StatementTextLevel1b"/>
    <w:uiPriority w:val="99"/>
    <w:locked/>
    <w:rsid w:val="008835EB"/>
    <w:rPr>
      <w:rFonts w:ascii="Arial" w:hAnsi="Arial" w:cs="Arial"/>
      <w:b/>
      <w:sz w:val="18"/>
      <w:szCs w:val="18"/>
    </w:rPr>
  </w:style>
  <w:style w:type="paragraph" w:customStyle="1" w:styleId="StatementTextLevel1b">
    <w:name w:val="Statement Text Level 1(b)"/>
    <w:basedOn w:val="Normal"/>
    <w:link w:val="StatementTextLevel1bChar"/>
    <w:uiPriority w:val="99"/>
    <w:rsid w:val="008835EB"/>
    <w:rPr>
      <w:rFonts w:ascii="Arial" w:eastAsiaTheme="minorHAnsi" w:hAnsi="Arial" w:cs="Arial"/>
      <w:b/>
      <w:szCs w:val="18"/>
    </w:rPr>
  </w:style>
  <w:style w:type="paragraph" w:customStyle="1" w:styleId="PrimaryStatementsHeading">
    <w:name w:val="Primary Statements Heading"/>
    <w:basedOn w:val="Normal"/>
    <w:autoRedefine/>
    <w:uiPriority w:val="99"/>
    <w:rsid w:val="008835EB"/>
    <w:pPr>
      <w:spacing w:line="300" w:lineRule="exact"/>
    </w:pPr>
    <w:rPr>
      <w:b/>
      <w:sz w:val="24"/>
      <w:lang w:val="en-US"/>
    </w:rPr>
  </w:style>
  <w:style w:type="paragraph" w:customStyle="1" w:styleId="PeriodHeading">
    <w:name w:val="Period Heading"/>
    <w:basedOn w:val="PrimaryStatementsHeading"/>
    <w:uiPriority w:val="99"/>
    <w:rsid w:val="008835EB"/>
    <w:rPr>
      <w:i/>
      <w:sz w:val="22"/>
    </w:rPr>
  </w:style>
  <w:style w:type="paragraph" w:customStyle="1" w:styleId="CurrentYearDataTotalLevel1">
    <w:name w:val="Current Year Data Total Level 1"/>
    <w:basedOn w:val="Normal"/>
    <w:next w:val="Normal"/>
    <w:autoRedefine/>
    <w:uiPriority w:val="99"/>
    <w:rsid w:val="008835EB"/>
    <w:pPr>
      <w:pBdr>
        <w:top w:val="single" w:sz="4" w:space="1" w:color="auto"/>
        <w:bottom w:val="double" w:sz="6" w:space="1" w:color="auto"/>
      </w:pBdr>
      <w:jc w:val="right"/>
    </w:pPr>
    <w:rPr>
      <w:b/>
      <w:szCs w:val="16"/>
    </w:rPr>
  </w:style>
  <w:style w:type="character" w:customStyle="1" w:styleId="LineitemsHeadingChar">
    <w:name w:val="Line items Heading Char"/>
    <w:basedOn w:val="LineitemsChar"/>
    <w:link w:val="LineitemsHeading"/>
    <w:uiPriority w:val="99"/>
    <w:locked/>
    <w:rsid w:val="008835EB"/>
    <w:rPr>
      <w:rFonts w:ascii="Calibri" w:hAnsi="Calibri" w:cs="Calibri"/>
      <w:b/>
      <w:sz w:val="18"/>
    </w:rPr>
  </w:style>
  <w:style w:type="paragraph" w:customStyle="1" w:styleId="LineitemsHeading">
    <w:name w:val="Line items Heading"/>
    <w:basedOn w:val="Lineitems"/>
    <w:link w:val="LineitemsHeadingChar"/>
    <w:uiPriority w:val="99"/>
    <w:rsid w:val="008835EB"/>
    <w:pPr>
      <w:framePr w:hSpace="180" w:wrap="around" w:vAnchor="text" w:hAnchor="margin" w:y="1"/>
    </w:pPr>
    <w:rPr>
      <w:rFonts w:ascii="Calibri" w:hAnsi="Calibri" w:cs="Calibri"/>
      <w:b/>
      <w:sz w:val="18"/>
    </w:rPr>
  </w:style>
  <w:style w:type="paragraph" w:customStyle="1" w:styleId="PreviousYearDataTotalLevel3">
    <w:name w:val="Previous Year Data Total Level 3"/>
    <w:basedOn w:val="Normal"/>
    <w:autoRedefine/>
    <w:uiPriority w:val="99"/>
    <w:rsid w:val="008835EB"/>
    <w:pPr>
      <w:pBdr>
        <w:top w:val="single" w:sz="4" w:space="1" w:color="auto"/>
        <w:bottom w:val="double" w:sz="6" w:space="1" w:color="auto"/>
      </w:pBdr>
      <w:jc w:val="right"/>
    </w:pPr>
  </w:style>
  <w:style w:type="paragraph" w:customStyle="1" w:styleId="StyleNotesTextItalic1">
    <w:name w:val="Style Notes Text + Italic1"/>
    <w:basedOn w:val="NotesText0"/>
    <w:uiPriority w:val="99"/>
    <w:rsid w:val="008835EB"/>
    <w:pPr>
      <w:ind w:right="-54"/>
    </w:pPr>
    <w:rPr>
      <w:rFonts w:ascii="Calibri" w:hAnsi="Calibri" w:cs="Times New Roman"/>
      <w:i/>
      <w:iCs/>
      <w:sz w:val="20"/>
      <w:szCs w:val="20"/>
    </w:rPr>
  </w:style>
  <w:style w:type="paragraph" w:customStyle="1" w:styleId="StyleNotesTextPatternClearGray-20">
    <w:name w:val="Style Notes Text + Pattern: Clear (Gray-20%)"/>
    <w:basedOn w:val="NotesText0"/>
    <w:uiPriority w:val="99"/>
    <w:rsid w:val="008835EB"/>
    <w:pPr>
      <w:ind w:right="-54"/>
    </w:pPr>
    <w:rPr>
      <w:rFonts w:ascii="Calibri" w:hAnsi="Calibri" w:cs="Times New Roman"/>
      <w:sz w:val="20"/>
      <w:szCs w:val="20"/>
    </w:rPr>
  </w:style>
  <w:style w:type="character" w:customStyle="1" w:styleId="PreviousYearDataTotalLevel2Char">
    <w:name w:val="Previous Year Data Total Level 2 Char"/>
    <w:basedOn w:val="DefaultParagraphFont"/>
    <w:link w:val="PreviousYearDataTotalLevel2"/>
    <w:uiPriority w:val="99"/>
    <w:locked/>
    <w:rsid w:val="008835EB"/>
    <w:rPr>
      <w:rFonts w:ascii="Calibri" w:hAnsi="Calibri" w:cs="Calibri"/>
      <w:sz w:val="18"/>
    </w:rPr>
  </w:style>
  <w:style w:type="paragraph" w:customStyle="1" w:styleId="PreviousYearDataTotalLevel2">
    <w:name w:val="Previous Year Data Total Level 2"/>
    <w:basedOn w:val="Normal"/>
    <w:next w:val="Normal"/>
    <w:link w:val="PreviousYearDataTotalLevel2Char"/>
    <w:uiPriority w:val="99"/>
    <w:rsid w:val="008835EB"/>
    <w:pPr>
      <w:pBdr>
        <w:top w:val="single" w:sz="4" w:space="1" w:color="auto"/>
        <w:bottom w:val="single" w:sz="4" w:space="1" w:color="auto"/>
      </w:pBdr>
      <w:jc w:val="right"/>
    </w:pPr>
    <w:rPr>
      <w:rFonts w:eastAsiaTheme="minorHAnsi" w:cs="Calibri"/>
      <w:szCs w:val="22"/>
    </w:rPr>
  </w:style>
  <w:style w:type="character" w:customStyle="1" w:styleId="CurrentYearDataTotalLevel2Char">
    <w:name w:val="Current Year Data Total Level 2 Char"/>
    <w:basedOn w:val="DefaultParagraphFont"/>
    <w:link w:val="CurrentYearDataTotalLevel2"/>
    <w:uiPriority w:val="99"/>
    <w:locked/>
    <w:rsid w:val="008835EB"/>
    <w:rPr>
      <w:rFonts w:ascii="Calibri" w:hAnsi="Calibri" w:cs="Calibri"/>
      <w:b/>
      <w:sz w:val="18"/>
    </w:rPr>
  </w:style>
  <w:style w:type="paragraph" w:customStyle="1" w:styleId="CurrentYearDataTotalLevel2">
    <w:name w:val="Current Year Data Total Level 2"/>
    <w:basedOn w:val="Normal"/>
    <w:link w:val="CurrentYearDataTotalLevel2Char"/>
    <w:uiPriority w:val="99"/>
    <w:rsid w:val="008835EB"/>
    <w:pPr>
      <w:pBdr>
        <w:top w:val="single" w:sz="4" w:space="1" w:color="auto"/>
        <w:bottom w:val="single" w:sz="4" w:space="1" w:color="auto"/>
      </w:pBdr>
      <w:jc w:val="right"/>
    </w:pPr>
    <w:rPr>
      <w:rFonts w:eastAsiaTheme="minorHAnsi" w:cs="Calibri"/>
      <w:b/>
      <w:szCs w:val="22"/>
    </w:rPr>
  </w:style>
  <w:style w:type="paragraph" w:customStyle="1" w:styleId="DeptCurrentYearHeader">
    <w:name w:val="Dept Current Year Header"/>
    <w:basedOn w:val="Normal"/>
    <w:qFormat/>
    <w:rsid w:val="008835EB"/>
    <w:pPr>
      <w:spacing w:line="240" w:lineRule="auto"/>
      <w:jc w:val="right"/>
    </w:pPr>
    <w:rPr>
      <w:rFonts w:asciiTheme="minorHAnsi" w:hAnsiTheme="minorHAnsi" w:cstheme="minorHAnsi"/>
      <w:b/>
      <w:szCs w:val="18"/>
      <w:lang w:eastAsia="en-AU"/>
    </w:rPr>
  </w:style>
  <w:style w:type="paragraph" w:customStyle="1" w:styleId="DeptPreviousYearHeader">
    <w:name w:val="Dept Previous Year Header"/>
    <w:qFormat/>
    <w:rsid w:val="008835EB"/>
    <w:pPr>
      <w:spacing w:after="0" w:line="240" w:lineRule="auto"/>
      <w:jc w:val="right"/>
    </w:pPr>
    <w:rPr>
      <w:rFonts w:eastAsia="Times New Roman" w:cstheme="minorHAnsi"/>
      <w:sz w:val="18"/>
      <w:szCs w:val="18"/>
      <w:lang w:eastAsia="en-AU"/>
    </w:rPr>
  </w:style>
  <w:style w:type="paragraph" w:customStyle="1" w:styleId="DeptManualEntryCell">
    <w:name w:val="Dept Manual Entry Cell"/>
    <w:basedOn w:val="Normal"/>
    <w:qFormat/>
    <w:rsid w:val="008835EB"/>
    <w:pPr>
      <w:spacing w:line="240" w:lineRule="auto"/>
      <w:jc w:val="right"/>
    </w:pPr>
    <w:rPr>
      <w:rFonts w:asciiTheme="minorHAnsi" w:hAnsiTheme="minorHAnsi" w:cstheme="minorHAnsi"/>
      <w:b/>
      <w:szCs w:val="18"/>
      <w:lang w:eastAsia="en-AU"/>
    </w:rPr>
  </w:style>
  <w:style w:type="paragraph" w:customStyle="1" w:styleId="DeptManualEntryCellUnBold">
    <w:name w:val="Dept Manual Entry Cell UnBold"/>
    <w:basedOn w:val="DeptManualEntryCell"/>
    <w:qFormat/>
    <w:rsid w:val="008835EB"/>
    <w:rPr>
      <w:b w:val="0"/>
    </w:rPr>
  </w:style>
  <w:style w:type="paragraph" w:customStyle="1" w:styleId="DeptCurrentYearTotal">
    <w:name w:val="Dept Current Year Total"/>
    <w:qFormat/>
    <w:rsid w:val="008835EB"/>
    <w:pPr>
      <w:spacing w:after="0" w:line="240" w:lineRule="auto"/>
      <w:jc w:val="right"/>
    </w:pPr>
    <w:rPr>
      <w:rFonts w:eastAsia="Times New Roman" w:cstheme="minorHAnsi"/>
      <w:b/>
      <w:sz w:val="18"/>
      <w:szCs w:val="18"/>
      <w:lang w:eastAsia="en-AU"/>
    </w:rPr>
  </w:style>
  <w:style w:type="paragraph" w:customStyle="1" w:styleId="DeptPreviousYearTotal">
    <w:name w:val="Dept Previous Year Total"/>
    <w:qFormat/>
    <w:rsid w:val="008835EB"/>
    <w:pPr>
      <w:spacing w:after="0" w:line="240" w:lineRule="auto"/>
      <w:jc w:val="right"/>
    </w:pPr>
    <w:rPr>
      <w:rFonts w:eastAsia="Times New Roman" w:cstheme="minorHAnsi"/>
      <w:sz w:val="18"/>
      <w:szCs w:val="18"/>
      <w:lang w:eastAsia="en-AU"/>
    </w:rPr>
  </w:style>
  <w:style w:type="paragraph" w:customStyle="1" w:styleId="DeptRowText">
    <w:name w:val="Dept Row Text"/>
    <w:qFormat/>
    <w:rsid w:val="008835EB"/>
    <w:pPr>
      <w:spacing w:after="0" w:line="240" w:lineRule="auto"/>
    </w:pPr>
    <w:rPr>
      <w:rFonts w:eastAsia="Times New Roman" w:cstheme="minorHAnsi"/>
      <w:sz w:val="18"/>
      <w:szCs w:val="18"/>
      <w:lang w:eastAsia="en-AU"/>
    </w:rPr>
  </w:style>
  <w:style w:type="paragraph" w:customStyle="1" w:styleId="DeptRowTextTotal">
    <w:name w:val="Dept Row Text Total"/>
    <w:qFormat/>
    <w:rsid w:val="008835EB"/>
    <w:pPr>
      <w:spacing w:after="0" w:line="240" w:lineRule="auto"/>
    </w:pPr>
    <w:rPr>
      <w:rFonts w:eastAsia="Times New Roman" w:cstheme="minorHAnsi"/>
      <w:b/>
      <w:i/>
      <w:sz w:val="18"/>
      <w:szCs w:val="18"/>
    </w:rPr>
  </w:style>
  <w:style w:type="paragraph" w:customStyle="1" w:styleId="DeptBlankBlueShade">
    <w:name w:val="Dept Blank Blue Shade"/>
    <w:basedOn w:val="DeptRowTextTotal"/>
    <w:next w:val="12line"/>
    <w:qFormat/>
    <w:rsid w:val="008835EB"/>
  </w:style>
  <w:style w:type="paragraph" w:customStyle="1" w:styleId="DeptRowTextIndent">
    <w:name w:val="Dept Row Text Indent"/>
    <w:basedOn w:val="DeptRowText"/>
    <w:qFormat/>
    <w:rsid w:val="008835EB"/>
    <w:pPr>
      <w:ind w:left="204"/>
    </w:pPr>
  </w:style>
  <w:style w:type="paragraph" w:customStyle="1" w:styleId="AdminRowTextIndent">
    <w:name w:val="Admin Row Text Indent"/>
    <w:basedOn w:val="DeptRowTextIndent"/>
    <w:qFormat/>
    <w:rsid w:val="008835EB"/>
  </w:style>
  <w:style w:type="paragraph" w:customStyle="1" w:styleId="AdminRowTextIndentGrey">
    <w:name w:val="Admin Row Text Indent Grey"/>
    <w:basedOn w:val="AdminRowTextIndent"/>
    <w:qFormat/>
    <w:rsid w:val="008835EB"/>
  </w:style>
  <w:style w:type="paragraph" w:customStyle="1" w:styleId="AdminCurrentYearDataGrey">
    <w:name w:val="Admin Current Year Data Grey"/>
    <w:qFormat/>
    <w:rsid w:val="008835EB"/>
    <w:pPr>
      <w:spacing w:after="0" w:line="240" w:lineRule="auto"/>
      <w:jc w:val="right"/>
    </w:pPr>
    <w:rPr>
      <w:rFonts w:eastAsia="Times New Roman" w:cstheme="minorHAnsi"/>
      <w:b/>
      <w:sz w:val="18"/>
      <w:szCs w:val="18"/>
      <w:lang w:eastAsia="en-AU"/>
    </w:rPr>
  </w:style>
  <w:style w:type="paragraph" w:customStyle="1" w:styleId="AdminCurrentYearDataNormal">
    <w:name w:val="Admin Current Year Data Normal"/>
    <w:qFormat/>
    <w:rsid w:val="008835EB"/>
    <w:pPr>
      <w:spacing w:after="0" w:line="240" w:lineRule="auto"/>
      <w:jc w:val="right"/>
    </w:pPr>
    <w:rPr>
      <w:rFonts w:eastAsia="Times New Roman" w:cstheme="minorHAnsi"/>
      <w:b/>
      <w:sz w:val="18"/>
      <w:szCs w:val="18"/>
      <w:lang w:eastAsia="en-AU"/>
    </w:rPr>
  </w:style>
  <w:style w:type="paragraph" w:customStyle="1" w:styleId="AdminPreviousYearDataGrey">
    <w:name w:val="Admin Previous Year Data Grey"/>
    <w:qFormat/>
    <w:rsid w:val="008835EB"/>
    <w:pPr>
      <w:spacing w:after="0" w:line="240" w:lineRule="auto"/>
      <w:jc w:val="right"/>
    </w:pPr>
    <w:rPr>
      <w:rFonts w:eastAsia="Times New Roman" w:cstheme="minorHAnsi"/>
      <w:sz w:val="18"/>
      <w:szCs w:val="18"/>
      <w:lang w:eastAsia="en-AU"/>
    </w:rPr>
  </w:style>
  <w:style w:type="paragraph" w:customStyle="1" w:styleId="AdminPreviousYearDataNormal">
    <w:name w:val="Admin Previous Year Data Normal"/>
    <w:qFormat/>
    <w:rsid w:val="008835EB"/>
    <w:pPr>
      <w:spacing w:after="0" w:line="240" w:lineRule="auto"/>
      <w:jc w:val="right"/>
    </w:pPr>
    <w:rPr>
      <w:rFonts w:eastAsia="Times New Roman" w:cstheme="minorHAnsi"/>
      <w:sz w:val="18"/>
      <w:szCs w:val="18"/>
      <w:lang w:eastAsia="en-AU"/>
    </w:rPr>
  </w:style>
  <w:style w:type="paragraph" w:customStyle="1" w:styleId="AdminHeaderlineUnderlineGrey">
    <w:name w:val="Admin Headerline Underline Grey"/>
    <w:basedOn w:val="AdminPreviousYearDataNormal"/>
    <w:next w:val="12line"/>
    <w:qFormat/>
    <w:rsid w:val="008835EB"/>
  </w:style>
  <w:style w:type="paragraph" w:customStyle="1" w:styleId="AdminBlankGreyShade">
    <w:name w:val="Admin Blank Grey Shade"/>
    <w:next w:val="12line"/>
    <w:qFormat/>
    <w:rsid w:val="008835EB"/>
    <w:pPr>
      <w:spacing w:after="0" w:line="240" w:lineRule="auto"/>
    </w:pPr>
    <w:rPr>
      <w:rFonts w:eastAsia="Times New Roman" w:cstheme="minorHAnsi"/>
      <w:sz w:val="18"/>
      <w:szCs w:val="18"/>
      <w:lang w:eastAsia="en-AU"/>
    </w:rPr>
  </w:style>
  <w:style w:type="paragraph" w:customStyle="1" w:styleId="AdminRowTextGrey">
    <w:name w:val="Admin Row Text Grey"/>
    <w:qFormat/>
    <w:rsid w:val="008835EB"/>
    <w:pPr>
      <w:spacing w:after="0" w:line="240" w:lineRule="auto"/>
    </w:pPr>
    <w:rPr>
      <w:rFonts w:eastAsia="Times New Roman" w:cstheme="minorHAnsi"/>
      <w:sz w:val="18"/>
      <w:szCs w:val="18"/>
      <w:lang w:eastAsia="en-AU"/>
    </w:rPr>
  </w:style>
  <w:style w:type="paragraph" w:customStyle="1" w:styleId="AdminCurrentYearTotalGrey">
    <w:name w:val="Admin Current Year Total Grey"/>
    <w:qFormat/>
    <w:rsid w:val="008835EB"/>
    <w:pPr>
      <w:spacing w:after="0" w:line="240" w:lineRule="auto"/>
      <w:jc w:val="right"/>
    </w:pPr>
    <w:rPr>
      <w:rFonts w:eastAsia="Times New Roman" w:cstheme="minorHAnsi"/>
      <w:b/>
      <w:sz w:val="18"/>
      <w:szCs w:val="18"/>
      <w:lang w:eastAsia="en-AU"/>
    </w:rPr>
  </w:style>
  <w:style w:type="paragraph" w:customStyle="1" w:styleId="AdminPreviousYearTotalGrey">
    <w:name w:val="Admin Previous Year Total Grey"/>
    <w:qFormat/>
    <w:rsid w:val="008835EB"/>
    <w:pPr>
      <w:spacing w:after="0" w:line="240" w:lineRule="auto"/>
      <w:jc w:val="right"/>
    </w:pPr>
    <w:rPr>
      <w:rFonts w:eastAsia="Times New Roman" w:cstheme="minorHAnsi"/>
      <w:sz w:val="18"/>
      <w:szCs w:val="18"/>
      <w:lang w:eastAsia="en-AU"/>
    </w:rPr>
  </w:style>
  <w:style w:type="paragraph" w:customStyle="1" w:styleId="AdminManualEntryCell">
    <w:name w:val="Admin Manual Entry Cell"/>
    <w:qFormat/>
    <w:rsid w:val="008835EB"/>
    <w:pPr>
      <w:spacing w:after="0" w:line="240" w:lineRule="auto"/>
      <w:jc w:val="right"/>
    </w:pPr>
    <w:rPr>
      <w:rFonts w:eastAsia="Times New Roman" w:cstheme="minorHAnsi"/>
      <w:b/>
      <w:sz w:val="18"/>
      <w:szCs w:val="18"/>
      <w:lang w:eastAsia="en-AU"/>
    </w:rPr>
  </w:style>
  <w:style w:type="paragraph" w:customStyle="1" w:styleId="AdminManualEntryCellUnbold">
    <w:name w:val="Admin Manual Entry Cell Unbold"/>
    <w:qFormat/>
    <w:rsid w:val="008835EB"/>
    <w:pPr>
      <w:spacing w:after="0" w:line="240" w:lineRule="auto"/>
      <w:jc w:val="right"/>
    </w:pPr>
    <w:rPr>
      <w:rFonts w:eastAsia="Times New Roman" w:cstheme="minorHAnsi"/>
      <w:sz w:val="18"/>
      <w:szCs w:val="18"/>
      <w:lang w:eastAsia="en-AU"/>
    </w:rPr>
  </w:style>
  <w:style w:type="paragraph" w:customStyle="1" w:styleId="AdminRowTextHeaderBoldGrey">
    <w:name w:val="Admin Row Text Header Bold Grey"/>
    <w:qFormat/>
    <w:rsid w:val="008835EB"/>
    <w:pPr>
      <w:spacing w:after="0" w:line="240" w:lineRule="auto"/>
    </w:pPr>
    <w:rPr>
      <w:rFonts w:eastAsia="Times New Roman" w:cstheme="minorHAnsi"/>
      <w:b/>
      <w:sz w:val="18"/>
      <w:szCs w:val="18"/>
      <w:lang w:eastAsia="en-AU"/>
    </w:rPr>
  </w:style>
  <w:style w:type="paragraph" w:customStyle="1" w:styleId="DeptCurrentYearData">
    <w:name w:val="Dept Current Year Data"/>
    <w:qFormat/>
    <w:rsid w:val="008835EB"/>
    <w:pPr>
      <w:spacing w:after="0" w:line="240" w:lineRule="auto"/>
      <w:jc w:val="right"/>
    </w:pPr>
    <w:rPr>
      <w:rFonts w:eastAsia="Times New Roman" w:cstheme="minorHAnsi"/>
      <w:b/>
      <w:sz w:val="18"/>
      <w:szCs w:val="18"/>
      <w:lang w:eastAsia="en-AU"/>
    </w:rPr>
  </w:style>
  <w:style w:type="paragraph" w:customStyle="1" w:styleId="DeptPreviousYearData">
    <w:name w:val="Dept Previous Year Data"/>
    <w:qFormat/>
    <w:rsid w:val="008835EB"/>
    <w:pPr>
      <w:spacing w:after="0" w:line="240" w:lineRule="auto"/>
      <w:jc w:val="right"/>
    </w:pPr>
    <w:rPr>
      <w:rFonts w:eastAsia="Times New Roman" w:cstheme="minorHAnsi"/>
      <w:sz w:val="18"/>
      <w:szCs w:val="18"/>
      <w:lang w:eastAsia="en-AU"/>
    </w:rPr>
  </w:style>
  <w:style w:type="paragraph" w:customStyle="1" w:styleId="DeptNoteHeadingUnderlined">
    <w:name w:val="Dept Note Heading Underlined"/>
    <w:qFormat/>
    <w:rsid w:val="008835EB"/>
    <w:pPr>
      <w:spacing w:after="0" w:line="240" w:lineRule="auto"/>
    </w:pPr>
    <w:rPr>
      <w:rFonts w:eastAsia="Times New Roman" w:cstheme="minorHAnsi"/>
      <w:b/>
      <w:sz w:val="18"/>
      <w:szCs w:val="18"/>
      <w:u w:val="single"/>
      <w:lang w:eastAsia="en-AU"/>
    </w:rPr>
  </w:style>
  <w:style w:type="paragraph" w:customStyle="1" w:styleId="DeptCurrentYearSubTotal">
    <w:name w:val="Dept Current Year SubTotal"/>
    <w:qFormat/>
    <w:rsid w:val="008835EB"/>
    <w:pPr>
      <w:spacing w:after="0" w:line="240" w:lineRule="auto"/>
      <w:jc w:val="right"/>
    </w:pPr>
    <w:rPr>
      <w:rFonts w:eastAsia="Times New Roman" w:cstheme="minorHAnsi"/>
      <w:b/>
      <w:sz w:val="18"/>
      <w:szCs w:val="18"/>
      <w:lang w:eastAsia="en-AU"/>
    </w:rPr>
  </w:style>
  <w:style w:type="paragraph" w:customStyle="1" w:styleId="AdminCurrentYearSubTotal">
    <w:name w:val="Admin Current Year SubTotal"/>
    <w:qFormat/>
    <w:rsid w:val="008835EB"/>
    <w:pPr>
      <w:spacing w:after="0" w:line="240" w:lineRule="auto"/>
      <w:jc w:val="right"/>
    </w:pPr>
    <w:rPr>
      <w:rFonts w:eastAsia="Times New Roman" w:cstheme="minorHAnsi"/>
      <w:b/>
      <w:sz w:val="18"/>
      <w:szCs w:val="18"/>
      <w:lang w:eastAsia="en-AU"/>
    </w:rPr>
  </w:style>
  <w:style w:type="paragraph" w:customStyle="1" w:styleId="DeptNoteReference">
    <w:name w:val="Dept Note Reference"/>
    <w:basedOn w:val="AdminCurrentYearSubTotal"/>
    <w:qFormat/>
    <w:rsid w:val="008835EB"/>
    <w:pPr>
      <w:jc w:val="center"/>
    </w:pPr>
    <w:rPr>
      <w:b w:val="0"/>
    </w:rPr>
  </w:style>
  <w:style w:type="paragraph" w:customStyle="1" w:styleId="DeptRowTextDoubleIndent">
    <w:name w:val="Dept Row Text Double Indent"/>
    <w:basedOn w:val="DeptNoteReference"/>
    <w:qFormat/>
    <w:rsid w:val="008835EB"/>
    <w:pPr>
      <w:tabs>
        <w:tab w:val="left" w:pos="204"/>
      </w:tabs>
      <w:ind w:left="487"/>
      <w:jc w:val="left"/>
    </w:pPr>
  </w:style>
  <w:style w:type="paragraph" w:customStyle="1" w:styleId="AdminRowTextSubTotal">
    <w:name w:val="Admin Row Text SubTotal"/>
    <w:qFormat/>
    <w:rsid w:val="008835EB"/>
    <w:pPr>
      <w:spacing w:after="0" w:line="240" w:lineRule="auto"/>
    </w:pPr>
    <w:rPr>
      <w:rFonts w:eastAsia="Times New Roman" w:cstheme="minorHAnsi"/>
      <w:sz w:val="18"/>
      <w:szCs w:val="18"/>
      <w:lang w:eastAsia="en-AU"/>
    </w:rPr>
  </w:style>
  <w:style w:type="paragraph" w:customStyle="1" w:styleId="DeptRowTextHeader">
    <w:name w:val="Dept Row Text Header"/>
    <w:qFormat/>
    <w:rsid w:val="008835EB"/>
    <w:pPr>
      <w:spacing w:after="0" w:line="240" w:lineRule="auto"/>
    </w:pPr>
    <w:rPr>
      <w:rFonts w:eastAsia="Times New Roman" w:cstheme="minorHAnsi"/>
      <w:b/>
      <w:sz w:val="18"/>
      <w:szCs w:val="18"/>
      <w:lang w:eastAsia="en-AU"/>
    </w:rPr>
  </w:style>
  <w:style w:type="paragraph" w:customStyle="1" w:styleId="DeptPreviousYearSubTotal">
    <w:name w:val="Dept Previous Year SubTotal"/>
    <w:qFormat/>
    <w:rsid w:val="008835EB"/>
    <w:pPr>
      <w:spacing w:after="0" w:line="240" w:lineRule="auto"/>
      <w:jc w:val="right"/>
    </w:pPr>
    <w:rPr>
      <w:rFonts w:eastAsia="Times New Roman" w:cstheme="minorHAnsi"/>
      <w:sz w:val="18"/>
      <w:szCs w:val="18"/>
      <w:lang w:eastAsia="en-AU"/>
    </w:rPr>
  </w:style>
  <w:style w:type="paragraph" w:customStyle="1" w:styleId="AdminCurrentYearHeadersGrey">
    <w:name w:val="Admin Current Year Headers Grey"/>
    <w:qFormat/>
    <w:rsid w:val="008835EB"/>
    <w:pPr>
      <w:spacing w:after="0" w:line="240" w:lineRule="auto"/>
      <w:jc w:val="right"/>
    </w:pPr>
    <w:rPr>
      <w:rFonts w:eastAsia="Times New Roman" w:cstheme="minorHAnsi"/>
      <w:b/>
      <w:sz w:val="18"/>
      <w:szCs w:val="18"/>
      <w:lang w:eastAsia="en-AU"/>
    </w:rPr>
  </w:style>
  <w:style w:type="paragraph" w:customStyle="1" w:styleId="AdminPreviousYearHeadersGrey">
    <w:name w:val="Admin Previous Year Headers Grey"/>
    <w:basedOn w:val="AdminCurrentYearHeadersGrey"/>
    <w:qFormat/>
    <w:rsid w:val="008835EB"/>
  </w:style>
  <w:style w:type="paragraph" w:customStyle="1" w:styleId="AdminHeaderUnderlineGrey">
    <w:name w:val="Admin Header Underline Grey"/>
    <w:qFormat/>
    <w:rsid w:val="008835EB"/>
    <w:pPr>
      <w:spacing w:after="0" w:line="240" w:lineRule="auto"/>
    </w:pPr>
    <w:rPr>
      <w:rFonts w:eastAsia="Times New Roman" w:cstheme="minorHAnsi"/>
      <w:b/>
      <w:sz w:val="18"/>
      <w:szCs w:val="18"/>
      <w:u w:val="single"/>
      <w:lang w:eastAsia="en-AU"/>
    </w:rPr>
  </w:style>
  <w:style w:type="paragraph" w:customStyle="1" w:styleId="AdminPreviousYearHeaderGrey">
    <w:name w:val="Admin Previous Year Header Grey"/>
    <w:qFormat/>
    <w:rsid w:val="008835EB"/>
    <w:pPr>
      <w:spacing w:after="0" w:line="240" w:lineRule="auto"/>
      <w:jc w:val="right"/>
    </w:pPr>
    <w:rPr>
      <w:rFonts w:ascii="Calibri" w:eastAsia="Times New Roman" w:hAnsi="Calibri" w:cs="Calibri"/>
      <w:sz w:val="18"/>
      <w:szCs w:val="18"/>
    </w:rPr>
  </w:style>
  <w:style w:type="paragraph" w:customStyle="1" w:styleId="AdminRowTextNormal">
    <w:name w:val="Admin Row Text Normal"/>
    <w:qFormat/>
    <w:rsid w:val="008835EB"/>
    <w:pPr>
      <w:spacing w:after="0" w:line="240" w:lineRule="auto"/>
    </w:pPr>
    <w:rPr>
      <w:rFonts w:ascii="Calibri" w:eastAsia="Times New Roman" w:hAnsi="Calibri" w:cs="Calibri"/>
      <w:sz w:val="18"/>
      <w:szCs w:val="18"/>
    </w:rPr>
  </w:style>
  <w:style w:type="paragraph" w:customStyle="1" w:styleId="AdminRowTextTotal">
    <w:name w:val="Admin Row Text Total"/>
    <w:basedOn w:val="Normal"/>
    <w:qFormat/>
    <w:rsid w:val="008835EB"/>
    <w:rPr>
      <w:rFonts w:cs="Calibri"/>
      <w:b/>
      <w:bCs/>
      <w:i/>
      <w:iCs/>
      <w:szCs w:val="18"/>
    </w:rPr>
  </w:style>
  <w:style w:type="paragraph" w:customStyle="1" w:styleId="DeptRowTextSubTotal">
    <w:name w:val="Dept Row Text SubTotal"/>
    <w:basedOn w:val="Normal"/>
    <w:qFormat/>
    <w:rsid w:val="008835EB"/>
    <w:rPr>
      <w:rFonts w:cs="Calibri"/>
      <w:b/>
      <w:bCs/>
      <w:szCs w:val="18"/>
    </w:rPr>
  </w:style>
  <w:style w:type="paragraph" w:customStyle="1" w:styleId="DeptManualEntryBoldGreyShade">
    <w:name w:val="Dept Manual Entry Bold Grey Shade"/>
    <w:qFormat/>
    <w:rsid w:val="008835EB"/>
    <w:pPr>
      <w:spacing w:after="0" w:line="240" w:lineRule="auto"/>
      <w:jc w:val="right"/>
    </w:pPr>
    <w:rPr>
      <w:rFonts w:ascii="Calibri" w:eastAsia="Times New Roman" w:hAnsi="Calibri" w:cs="Calibri"/>
      <w:b/>
      <w:bCs/>
      <w:sz w:val="18"/>
      <w:szCs w:val="18"/>
    </w:rPr>
  </w:style>
  <w:style w:type="paragraph" w:customStyle="1" w:styleId="DeptManualEntryCellUnboldGreyShade">
    <w:name w:val="Dept Manual Entry Cell Unbold Grey Shade"/>
    <w:basedOn w:val="DeptManualEntryBoldGreyShade"/>
    <w:qFormat/>
    <w:rsid w:val="008835EB"/>
    <w:rPr>
      <w:b w:val="0"/>
    </w:rPr>
  </w:style>
  <w:style w:type="paragraph" w:customStyle="1" w:styleId="AdminHeaderCentered">
    <w:name w:val="Admin Header Centered"/>
    <w:basedOn w:val="AdminRowTextHeaderBoldGrey"/>
    <w:qFormat/>
    <w:rsid w:val="008835EB"/>
    <w:pPr>
      <w:jc w:val="center"/>
    </w:pPr>
  </w:style>
  <w:style w:type="paragraph" w:customStyle="1" w:styleId="AdminNoteReferenceGrey">
    <w:name w:val="Admin Note Reference Grey"/>
    <w:qFormat/>
    <w:rsid w:val="008835EB"/>
    <w:pPr>
      <w:spacing w:after="0" w:line="240" w:lineRule="auto"/>
      <w:jc w:val="center"/>
    </w:pPr>
    <w:rPr>
      <w:rFonts w:ascii="Calibri" w:eastAsia="Times New Roman" w:hAnsi="Calibri" w:cs="Calibri"/>
      <w:sz w:val="18"/>
      <w:szCs w:val="18"/>
    </w:rPr>
  </w:style>
  <w:style w:type="paragraph" w:customStyle="1" w:styleId="DeptHeaderCentered">
    <w:name w:val="Dept Header Centered"/>
    <w:qFormat/>
    <w:rsid w:val="008835EB"/>
    <w:pPr>
      <w:spacing w:after="0" w:line="240" w:lineRule="auto"/>
      <w:jc w:val="center"/>
    </w:pPr>
    <w:rPr>
      <w:rFonts w:eastAsia="Times New Roman" w:cstheme="minorHAnsi"/>
      <w:b/>
      <w:sz w:val="18"/>
      <w:szCs w:val="18"/>
      <w:lang w:eastAsia="en-AU"/>
    </w:rPr>
  </w:style>
  <w:style w:type="paragraph" w:customStyle="1" w:styleId="NotesHeading-Level1GreyShade">
    <w:name w:val="Notes Heading - Level 1 Grey Shade"/>
    <w:basedOn w:val="NotesHeading-Level1"/>
    <w:qFormat/>
    <w:rsid w:val="008835EB"/>
    <w:pPr>
      <w:numPr>
        <w:numId w:val="2"/>
      </w:numPr>
      <w:shd w:val="clear" w:color="auto" w:fill="D9D9D9" w:themeFill="background1" w:themeFillShade="D9"/>
    </w:pPr>
    <w:rPr>
      <w:rFonts w:cstheme="minorHAnsi"/>
    </w:rPr>
  </w:style>
  <w:style w:type="paragraph" w:customStyle="1" w:styleId="UnderlineItalics">
    <w:name w:val="Underline Italics"/>
    <w:basedOn w:val="Normal"/>
    <w:qFormat/>
    <w:rsid w:val="008835EB"/>
    <w:rPr>
      <w:i/>
      <w:u w:val="single"/>
    </w:rPr>
  </w:style>
  <w:style w:type="paragraph" w:customStyle="1" w:styleId="Default">
    <w:name w:val="Default"/>
    <w:rsid w:val="008835EB"/>
    <w:pPr>
      <w:autoSpaceDE w:val="0"/>
      <w:autoSpaceDN w:val="0"/>
      <w:adjustRightInd w:val="0"/>
      <w:spacing w:after="0" w:line="240" w:lineRule="auto"/>
    </w:pPr>
    <w:rPr>
      <w:rFonts w:ascii="Arial" w:eastAsia="Times New Roman" w:hAnsi="Arial" w:cs="Arial"/>
      <w:color w:val="000000"/>
      <w:sz w:val="24"/>
      <w:szCs w:val="24"/>
      <w:lang w:eastAsia="en-AU"/>
    </w:rPr>
  </w:style>
  <w:style w:type="character" w:styleId="FootnoteReference">
    <w:name w:val="footnote reference"/>
    <w:basedOn w:val="DefaultParagraphFont"/>
    <w:uiPriority w:val="99"/>
    <w:semiHidden/>
    <w:rsid w:val="008835EB"/>
    <w:rPr>
      <w:vertAlign w:val="superscript"/>
    </w:rPr>
  </w:style>
  <w:style w:type="character" w:styleId="CommentReference">
    <w:name w:val="annotation reference"/>
    <w:basedOn w:val="DefaultParagraphFont"/>
    <w:uiPriority w:val="99"/>
    <w:semiHidden/>
    <w:rsid w:val="008835EB"/>
    <w:rPr>
      <w:sz w:val="16"/>
      <w:szCs w:val="16"/>
    </w:rPr>
  </w:style>
  <w:style w:type="character" w:styleId="PageNumber">
    <w:name w:val="page number"/>
    <w:basedOn w:val="DefaultParagraphFont"/>
    <w:uiPriority w:val="99"/>
    <w:rsid w:val="008835EB"/>
    <w:rPr>
      <w:rFonts w:ascii="Times New Roman" w:hAnsi="Times New Roman" w:cs="Times New Roman" w:hint="default"/>
      <w:sz w:val="22"/>
    </w:rPr>
  </w:style>
  <w:style w:type="character" w:customStyle="1" w:styleId="A18">
    <w:name w:val="A18"/>
    <w:uiPriority w:val="99"/>
    <w:rsid w:val="008835EB"/>
    <w:rPr>
      <w:i/>
      <w:iCs/>
      <w:color w:val="000000"/>
      <w:sz w:val="14"/>
      <w:szCs w:val="14"/>
      <w:u w:val="single"/>
    </w:rPr>
  </w:style>
  <w:style w:type="table" w:styleId="TableGrid">
    <w:name w:val="Table Grid"/>
    <w:basedOn w:val="TableNormal"/>
    <w:uiPriority w:val="59"/>
    <w:rsid w:val="008835EB"/>
    <w:pPr>
      <w:spacing w:after="0" w:line="260" w:lineRule="atLeast"/>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8835E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inuedNotesHeading-Level1">
    <w:name w:val="Continued Notes Heading - Level 1"/>
    <w:basedOn w:val="NotesHeading-Level1"/>
    <w:qFormat/>
    <w:rsid w:val="008835EB"/>
    <w:pPr>
      <w:spacing w:line="240" w:lineRule="auto"/>
      <w:outlineLvl w:val="9"/>
    </w:pPr>
  </w:style>
  <w:style w:type="numbering" w:customStyle="1" w:styleId="CurrentList2">
    <w:name w:val="Current List2"/>
    <w:rsid w:val="008835EB"/>
    <w:pPr>
      <w:numPr>
        <w:numId w:val="3"/>
      </w:numPr>
    </w:pPr>
  </w:style>
  <w:style w:type="numbering" w:customStyle="1" w:styleId="Style2">
    <w:name w:val="Style2"/>
    <w:rsid w:val="008835EB"/>
    <w:pPr>
      <w:numPr>
        <w:numId w:val="4"/>
      </w:numPr>
    </w:pPr>
  </w:style>
  <w:style w:type="numbering" w:customStyle="1" w:styleId="CurrentList1">
    <w:name w:val="Current List1"/>
    <w:rsid w:val="008835EB"/>
    <w:pPr>
      <w:numPr>
        <w:numId w:val="5"/>
      </w:numPr>
    </w:pPr>
  </w:style>
  <w:style w:type="character" w:styleId="Emphasis">
    <w:name w:val="Emphasis"/>
    <w:basedOn w:val="DefaultParagraphFont"/>
    <w:uiPriority w:val="20"/>
    <w:qFormat/>
    <w:rsid w:val="008835EB"/>
    <w:rPr>
      <w:i/>
      <w:iCs/>
    </w:rPr>
  </w:style>
  <w:style w:type="paragraph" w:customStyle="1" w:styleId="SectionHeading">
    <w:name w:val="Section Heading"/>
    <w:basedOn w:val="Normal"/>
    <w:link w:val="SectionHeadingChar"/>
    <w:qFormat/>
    <w:rsid w:val="008835EB"/>
    <w:pPr>
      <w:numPr>
        <w:numId w:val="7"/>
      </w:numPr>
      <w:shd w:val="clear" w:color="00CC99" w:fill="00746B"/>
      <w:ind w:left="0" w:right="607" w:firstLine="0"/>
      <w:outlineLvl w:val="0"/>
    </w:pPr>
    <w:rPr>
      <w:rFonts w:ascii="Arial Bold" w:hAnsi="Arial Bold"/>
      <w:b/>
      <w:color w:val="FFFFFF" w:themeColor="background1"/>
      <w:sz w:val="24"/>
    </w:rPr>
  </w:style>
  <w:style w:type="character" w:customStyle="1" w:styleId="SectionHeadingChar">
    <w:name w:val="Section Heading Char"/>
    <w:basedOn w:val="DefaultParagraphFont"/>
    <w:link w:val="SectionHeading"/>
    <w:rsid w:val="008835EB"/>
    <w:rPr>
      <w:rFonts w:ascii="Arial Bold" w:eastAsia="Times New Roman" w:hAnsi="Arial Bold" w:cs="Times New Roman"/>
      <w:b/>
      <w:color w:val="FFFFFF" w:themeColor="background1"/>
      <w:sz w:val="24"/>
      <w:szCs w:val="20"/>
      <w:shd w:val="clear" w:color="00CC99" w:fill="00746B"/>
    </w:rPr>
  </w:style>
  <w:style w:type="paragraph" w:customStyle="1" w:styleId="SubHeading">
    <w:name w:val="Sub Heading"/>
    <w:basedOn w:val="SectionHeading"/>
    <w:link w:val="SubHeadingChar"/>
    <w:qFormat/>
    <w:rsid w:val="008835EB"/>
    <w:pPr>
      <w:numPr>
        <w:ilvl w:val="1"/>
      </w:numPr>
      <w:shd w:val="clear" w:color="auto" w:fill="000000" w:themeFill="text1"/>
      <w:ind w:left="425" w:hanging="425"/>
      <w:outlineLvl w:val="1"/>
    </w:pPr>
    <w:rPr>
      <w:rFonts w:ascii="Arial" w:hAnsi="Arial" w:cs="Arial"/>
      <w:sz w:val="20"/>
    </w:rPr>
  </w:style>
  <w:style w:type="character" w:customStyle="1" w:styleId="SubHeadingChar">
    <w:name w:val="Sub Heading Char"/>
    <w:basedOn w:val="DefaultParagraphFont"/>
    <w:link w:val="SubHeading"/>
    <w:rsid w:val="008835EB"/>
    <w:rPr>
      <w:rFonts w:ascii="Arial" w:eastAsia="Times New Roman" w:hAnsi="Arial" w:cs="Arial"/>
      <w:b/>
      <w:color w:val="FFFFFF" w:themeColor="background1"/>
      <w:sz w:val="20"/>
      <w:szCs w:val="20"/>
      <w:shd w:val="clear" w:color="auto" w:fill="000000" w:themeFill="text1"/>
    </w:rPr>
  </w:style>
  <w:style w:type="paragraph" w:customStyle="1" w:styleId="SectionHeadingDescription">
    <w:name w:val="Section Heading Description"/>
    <w:basedOn w:val="SectionHeading"/>
    <w:next w:val="SubHeading"/>
    <w:qFormat/>
    <w:rsid w:val="008835EB"/>
    <w:pPr>
      <w:numPr>
        <w:numId w:val="0"/>
      </w:numPr>
      <w:outlineLvl w:val="9"/>
    </w:pPr>
    <w:rPr>
      <w:rFonts w:ascii="Arial" w:hAnsi="Arial"/>
      <w:b w:val="0"/>
      <w:sz w:val="18"/>
      <w:szCs w:val="18"/>
    </w:rPr>
  </w:style>
  <w:style w:type="paragraph" w:customStyle="1" w:styleId="PolicytextDept">
    <w:name w:val="Policy text Dept"/>
    <w:basedOn w:val="Normal"/>
    <w:link w:val="PolicytextDeptChar"/>
    <w:qFormat/>
    <w:rsid w:val="008835EB"/>
    <w:pPr>
      <w:pBdr>
        <w:top w:val="single" w:sz="4" w:space="1" w:color="00746B"/>
        <w:left w:val="single" w:sz="4" w:space="0" w:color="00746B"/>
        <w:bottom w:val="single" w:sz="4" w:space="1" w:color="00746B"/>
        <w:right w:val="single" w:sz="4" w:space="0" w:color="00746B"/>
      </w:pBdr>
      <w:spacing w:after="120" w:line="120" w:lineRule="atLeast"/>
      <w:ind w:right="607"/>
    </w:pPr>
    <w:rPr>
      <w:rFonts w:asciiTheme="minorHAnsi" w:hAnsiTheme="minorHAnsi" w:cstheme="minorHAnsi"/>
      <w:bCs/>
      <w:szCs w:val="18"/>
    </w:rPr>
  </w:style>
  <w:style w:type="character" w:customStyle="1" w:styleId="PolicytextDeptChar">
    <w:name w:val="Policy text Dept Char"/>
    <w:basedOn w:val="DefaultParagraphFont"/>
    <w:link w:val="PolicytextDept"/>
    <w:rsid w:val="008835EB"/>
    <w:rPr>
      <w:rFonts w:eastAsia="Times New Roman" w:cstheme="minorHAnsi"/>
      <w:bCs/>
      <w:sz w:val="18"/>
      <w:szCs w:val="18"/>
    </w:rPr>
  </w:style>
  <w:style w:type="paragraph" w:customStyle="1" w:styleId="PolicyheadingDept">
    <w:name w:val="Policy heading Dept"/>
    <w:basedOn w:val="PolicytextDept"/>
    <w:qFormat/>
    <w:rsid w:val="008835EB"/>
    <w:rPr>
      <w:b/>
    </w:rPr>
  </w:style>
  <w:style w:type="paragraph" w:customStyle="1" w:styleId="Policytextunderline">
    <w:name w:val="Policy text + underline"/>
    <w:basedOn w:val="PolicytextDept"/>
    <w:link w:val="PolicytextunderlineChar"/>
    <w:qFormat/>
    <w:rsid w:val="008835EB"/>
    <w:rPr>
      <w:i/>
      <w:u w:val="single"/>
    </w:rPr>
  </w:style>
  <w:style w:type="paragraph" w:customStyle="1" w:styleId="PolicyTextAdmin">
    <w:name w:val="Policy Text Admin"/>
    <w:basedOn w:val="Normal"/>
    <w:link w:val="PolicyTextAdminChar"/>
    <w:qFormat/>
    <w:rsid w:val="008835EB"/>
    <w:pPr>
      <w:pBdr>
        <w:top w:val="single" w:sz="4" w:space="1" w:color="00746B"/>
        <w:left w:val="single" w:sz="4" w:space="0" w:color="00746B"/>
        <w:bottom w:val="single" w:sz="4" w:space="2" w:color="00746B"/>
        <w:right w:val="single" w:sz="4" w:space="0" w:color="00746B"/>
      </w:pBdr>
      <w:shd w:val="clear" w:color="auto" w:fill="E5F4F3"/>
      <w:spacing w:after="120" w:line="120" w:lineRule="atLeast"/>
      <w:ind w:right="607"/>
    </w:pPr>
    <w:rPr>
      <w:rFonts w:asciiTheme="minorHAnsi" w:hAnsiTheme="minorHAnsi" w:cs="Helvetica"/>
      <w:szCs w:val="18"/>
    </w:rPr>
  </w:style>
  <w:style w:type="character" w:customStyle="1" w:styleId="PolicytextunderlineChar">
    <w:name w:val="Policy text + underline Char"/>
    <w:basedOn w:val="PolicytextDeptChar"/>
    <w:link w:val="Policytextunderline"/>
    <w:rsid w:val="008835EB"/>
    <w:rPr>
      <w:rFonts w:eastAsia="Times New Roman" w:cstheme="minorHAnsi"/>
      <w:bCs/>
      <w:i/>
      <w:sz w:val="18"/>
      <w:szCs w:val="18"/>
      <w:u w:val="single"/>
    </w:rPr>
  </w:style>
  <w:style w:type="character" w:customStyle="1" w:styleId="PolicyTextAdminChar">
    <w:name w:val="Policy Text Admin Char"/>
    <w:basedOn w:val="DefaultParagraphFont"/>
    <w:link w:val="PolicyTextAdmin"/>
    <w:rsid w:val="008835EB"/>
    <w:rPr>
      <w:rFonts w:eastAsia="Times New Roman" w:cs="Helvetica"/>
      <w:sz w:val="18"/>
      <w:szCs w:val="18"/>
      <w:shd w:val="clear" w:color="auto" w:fill="E5F4F3"/>
    </w:rPr>
  </w:style>
  <w:style w:type="paragraph" w:customStyle="1" w:styleId="PolicyheadingAdmin">
    <w:name w:val="Policy heading Admin"/>
    <w:basedOn w:val="PolicyTextAdmin"/>
    <w:link w:val="PolicyheadingAdminChar"/>
    <w:rsid w:val="008835EB"/>
    <w:rPr>
      <w:rFonts w:cs="Times New Roman"/>
      <w:b/>
      <w:bCs/>
      <w:szCs w:val="20"/>
    </w:rPr>
  </w:style>
  <w:style w:type="paragraph" w:customStyle="1" w:styleId="Policytextadminunderline">
    <w:name w:val="Policy text admin + underline"/>
    <w:basedOn w:val="PolicyheadingAdmin"/>
    <w:link w:val="PolicytextadminunderlineChar"/>
    <w:qFormat/>
    <w:rsid w:val="008835EB"/>
    <w:rPr>
      <w:b w:val="0"/>
      <w:i/>
      <w:u w:val="single"/>
    </w:rPr>
  </w:style>
  <w:style w:type="paragraph" w:customStyle="1" w:styleId="Policytextadminbold">
    <w:name w:val="Policy text admin + bold"/>
    <w:basedOn w:val="PolicyheadingAdmin"/>
    <w:link w:val="PolicytextadminboldChar"/>
    <w:qFormat/>
    <w:rsid w:val="008835EB"/>
  </w:style>
  <w:style w:type="character" w:customStyle="1" w:styleId="PolicyheadingAdminChar">
    <w:name w:val="Policy heading Admin Char"/>
    <w:basedOn w:val="PolicyTextAdminChar"/>
    <w:link w:val="PolicyheadingAdmin"/>
    <w:rsid w:val="008835EB"/>
    <w:rPr>
      <w:rFonts w:eastAsia="Times New Roman" w:cs="Times New Roman"/>
      <w:b/>
      <w:bCs/>
      <w:sz w:val="18"/>
      <w:szCs w:val="20"/>
      <w:shd w:val="clear" w:color="auto" w:fill="E5F4F3"/>
    </w:rPr>
  </w:style>
  <w:style w:type="character" w:customStyle="1" w:styleId="PolicytextadminunderlineChar">
    <w:name w:val="Policy text admin + underline Char"/>
    <w:basedOn w:val="PolicyheadingAdminChar"/>
    <w:link w:val="Policytextadminunderline"/>
    <w:rsid w:val="008835EB"/>
    <w:rPr>
      <w:rFonts w:eastAsia="Times New Roman" w:cs="Times New Roman"/>
      <w:b w:val="0"/>
      <w:bCs/>
      <w:i/>
      <w:sz w:val="18"/>
      <w:szCs w:val="20"/>
      <w:u w:val="single"/>
      <w:shd w:val="clear" w:color="auto" w:fill="E5F4F3"/>
    </w:rPr>
  </w:style>
  <w:style w:type="character" w:customStyle="1" w:styleId="PolicytextadminboldChar">
    <w:name w:val="Policy text admin + bold Char"/>
    <w:basedOn w:val="PolicyheadingAdminChar"/>
    <w:link w:val="Policytextadminbold"/>
    <w:rsid w:val="008835EB"/>
    <w:rPr>
      <w:rFonts w:eastAsia="Times New Roman" w:cs="Times New Roman"/>
      <w:b/>
      <w:bCs/>
      <w:sz w:val="18"/>
      <w:szCs w:val="20"/>
      <w:shd w:val="clear" w:color="auto" w:fill="E5F4F3"/>
    </w:rPr>
  </w:style>
  <w:style w:type="paragraph" w:customStyle="1" w:styleId="ReportText">
    <w:name w:val="Report Text"/>
    <w:basedOn w:val="NotesText0"/>
    <w:link w:val="ReportTextChar"/>
    <w:qFormat/>
    <w:rsid w:val="008835EB"/>
    <w:pPr>
      <w:ind w:right="566"/>
    </w:pPr>
  </w:style>
  <w:style w:type="character" w:customStyle="1" w:styleId="ReportTextChar">
    <w:name w:val="Report Text Char"/>
    <w:basedOn w:val="NotesTextChar"/>
    <w:link w:val="ReportText"/>
    <w:rsid w:val="008835EB"/>
    <w:rPr>
      <w:rFonts w:cs="Arial"/>
      <w:sz w:val="18"/>
      <w:szCs w:val="18"/>
    </w:rPr>
  </w:style>
  <w:style w:type="paragraph" w:styleId="NormalWeb">
    <w:name w:val="Normal (Web)"/>
    <w:basedOn w:val="Normal"/>
    <w:uiPriority w:val="99"/>
    <w:semiHidden/>
    <w:unhideWhenUsed/>
    <w:rsid w:val="008835E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Finnotesheading1">
    <w:name w:val="Fin notes heading 1"/>
    <w:basedOn w:val="Normal"/>
    <w:qFormat/>
    <w:rsid w:val="008835EB"/>
    <w:pPr>
      <w:spacing w:before="120" w:after="120"/>
    </w:pPr>
    <w:rPr>
      <w:rFonts w:asciiTheme="minorHAnsi" w:hAnsiTheme="minorHAnsi" w:cs="Arial"/>
      <w:b/>
      <w:bCs/>
      <w:color w:val="00746B"/>
      <w:sz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7.xml"/><Relationship Id="rId3" Type="http://schemas.microsoft.com/office/2007/relationships/stylesWithEffects" Target="stylesWithEffects.xml"/><Relationship Id="rId21" Type="http://schemas.openxmlformats.org/officeDocument/2006/relationships/header" Target="header10.xml"/><Relationship Id="rId34" Type="http://schemas.openxmlformats.org/officeDocument/2006/relationships/header" Target="header22.xml"/><Relationship Id="rId42" Type="http://schemas.openxmlformats.org/officeDocument/2006/relationships/header" Target="header30.xml"/><Relationship Id="rId47" Type="http://schemas.openxmlformats.org/officeDocument/2006/relationships/footer" Target="footer7.xml"/><Relationship Id="rId50" Type="http://schemas.openxmlformats.org/officeDocument/2006/relationships/header" Target="header3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1.xml"/><Relationship Id="rId38" Type="http://schemas.openxmlformats.org/officeDocument/2006/relationships/header" Target="header26.xml"/><Relationship Id="rId46" Type="http://schemas.openxmlformats.org/officeDocument/2006/relationships/header" Target="header3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footer" Target="footer5.xml"/><Relationship Id="rId41" Type="http://schemas.openxmlformats.org/officeDocument/2006/relationships/header" Target="header2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4.xml"/><Relationship Id="rId49" Type="http://schemas.openxmlformats.org/officeDocument/2006/relationships/header" Target="header3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9.xml"/><Relationship Id="rId44" Type="http://schemas.openxmlformats.org/officeDocument/2006/relationships/footer" Target="footer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48" Type="http://schemas.openxmlformats.org/officeDocument/2006/relationships/header" Target="header34.xm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16383</Words>
  <Characters>93388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109552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Employment</dc:creator>
  <cp:lastModifiedBy>David HARCOURT</cp:lastModifiedBy>
  <cp:revision>2</cp:revision>
  <dcterms:created xsi:type="dcterms:W3CDTF">2016-10-11T23:30:00Z</dcterms:created>
  <dcterms:modified xsi:type="dcterms:W3CDTF">2016-10-11T23:30:00Z</dcterms:modified>
</cp:coreProperties>
</file>