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8AC0" w14:textId="599D7DE2" w:rsidR="00C012AC" w:rsidRDefault="00C012AC" w:rsidP="00313671">
      <w:pPr>
        <w:keepNext/>
        <w:keepLines/>
        <w:spacing w:before="440" w:after="360" w:line="240" w:lineRule="auto"/>
        <w:outlineLvl w:val="0"/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sectPr w:rsidR="00C012AC" w:rsidSect="00C012AC">
          <w:pgSz w:w="11906" w:h="16838"/>
          <w:pgMar w:top="0" w:right="0" w:bottom="0" w:left="0" w:header="708" w:footer="708" w:gutter="0"/>
          <w:cols w:space="708"/>
          <w:docGrid w:linePitch="360"/>
        </w:sectPr>
      </w:pPr>
      <w:bookmarkStart w:id="0" w:name="_Toc56167667"/>
      <w:r w:rsidRPr="00C012AC"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drawing>
          <wp:inline distT="0" distB="0" distL="0" distR="0" wp14:anchorId="09F32271" wp14:editId="668B24EE">
            <wp:extent cx="7562850" cy="107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7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1D7A05" w14:textId="77777777" w:rsidR="00313671" w:rsidRPr="00D14828" w:rsidRDefault="00313671" w:rsidP="00B80412">
      <w:pPr>
        <w:keepNext/>
        <w:keepLines/>
        <w:spacing w:before="440" w:after="360" w:line="240" w:lineRule="auto"/>
        <w:ind w:left="-567"/>
        <w:outlineLvl w:val="0"/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</w:pPr>
      <w:r w:rsidRPr="00D14828"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lastRenderedPageBreak/>
        <w:t>Useful Resources</w:t>
      </w:r>
    </w:p>
    <w:tbl>
      <w:tblPr>
        <w:tblStyle w:val="TableGrid"/>
        <w:tblW w:w="5471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4196"/>
        <w:gridCol w:w="4111"/>
      </w:tblGrid>
      <w:tr w:rsidR="00313671" w:rsidRPr="00313671" w14:paraId="602FB7F2" w14:textId="77777777" w:rsidTr="00D14828">
        <w:tc>
          <w:tcPr>
            <w:tcW w:w="794" w:type="pct"/>
            <w:shd w:val="clear" w:color="auto" w:fill="F65E5D"/>
          </w:tcPr>
          <w:p w14:paraId="38DEF83F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Resource</w:t>
            </w:r>
          </w:p>
        </w:tc>
        <w:tc>
          <w:tcPr>
            <w:tcW w:w="2124" w:type="pct"/>
            <w:shd w:val="clear" w:color="auto" w:fill="F65E5D"/>
          </w:tcPr>
          <w:p w14:paraId="5CE647FA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081" w:type="pct"/>
            <w:shd w:val="clear" w:color="auto" w:fill="F65E5D"/>
          </w:tcPr>
          <w:p w14:paraId="0964196A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313671" w:rsidRPr="00313671" w14:paraId="4D3BD545" w14:textId="77777777" w:rsidTr="00D14828">
        <w:tc>
          <w:tcPr>
            <w:tcW w:w="794" w:type="pct"/>
          </w:tcPr>
          <w:p w14:paraId="21B0A0D9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Flexible by Design</w:t>
            </w:r>
          </w:p>
        </w:tc>
        <w:tc>
          <w:tcPr>
            <w:tcW w:w="2124" w:type="pct"/>
          </w:tcPr>
          <w:p w14:paraId="101767D2" w14:textId="1A56541D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 xml:space="preserve">A framework </w:t>
            </w:r>
            <w:r w:rsidR="00D14828">
              <w:rPr>
                <w:rFonts w:ascii="Calibri Light" w:hAnsi="Calibri Light"/>
                <w:color w:val="000000"/>
                <w:sz w:val="24"/>
                <w:szCs w:val="24"/>
              </w:rPr>
              <w:t xml:space="preserve">that </w:t>
            </w: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outlines the benefits, reasons and principles behind flexible work as well as the organisational journey to achieve a healthy work-life blend.</w:t>
            </w:r>
          </w:p>
        </w:tc>
        <w:tc>
          <w:tcPr>
            <w:tcW w:w="2081" w:type="pct"/>
          </w:tcPr>
          <w:p w14:paraId="6CF6A599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hyperlink r:id="rId5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https://www.forgov.qld.gov.au/flexible-by-design</w:t>
              </w:r>
            </w:hyperlink>
          </w:p>
        </w:tc>
      </w:tr>
      <w:tr w:rsidR="00313671" w:rsidRPr="00313671" w14:paraId="10AD37F0" w14:textId="77777777" w:rsidTr="00D14828">
        <w:tc>
          <w:tcPr>
            <w:tcW w:w="794" w:type="pct"/>
          </w:tcPr>
          <w:p w14:paraId="0B71871F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FlexAbility</w:t>
            </w:r>
            <w:proofErr w:type="spellEnd"/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Kit for Managers </w:t>
            </w:r>
          </w:p>
        </w:tc>
        <w:tc>
          <w:tcPr>
            <w:tcW w:w="2124" w:type="pct"/>
          </w:tcPr>
          <w:p w14:paraId="1D595594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 kit for Managers that has information relating to how to tackle myths, bias and get buy-in with your peers at the senior level.</w:t>
            </w:r>
          </w:p>
        </w:tc>
        <w:tc>
          <w:tcPr>
            <w:tcW w:w="2081" w:type="pct"/>
          </w:tcPr>
          <w:p w14:paraId="0734D3C7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hyperlink r:id="rId6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http://www.flexibleworkingday.com/flexabilitykit/</w:t>
              </w:r>
            </w:hyperlink>
          </w:p>
        </w:tc>
      </w:tr>
      <w:tr w:rsidR="00313671" w:rsidRPr="00313671" w14:paraId="39767883" w14:textId="77777777" w:rsidTr="00D14828">
        <w:tc>
          <w:tcPr>
            <w:tcW w:w="794" w:type="pct"/>
          </w:tcPr>
          <w:p w14:paraId="60479FF8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Flexible working for Managers</w:t>
            </w:r>
          </w:p>
        </w:tc>
        <w:tc>
          <w:tcPr>
            <w:tcW w:w="2124" w:type="pct"/>
          </w:tcPr>
          <w:p w14:paraId="36D0C642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 comprehensive suite of resources to help managers implement flexible working.</w:t>
            </w:r>
          </w:p>
        </w:tc>
        <w:tc>
          <w:tcPr>
            <w:tcW w:w="2081" w:type="pct"/>
          </w:tcPr>
          <w:p w14:paraId="0252B1AA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hyperlink r:id="rId7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https://www.wgea.gov.au/topics/workplace-flexibility/flexibility-for-managers</w:t>
              </w:r>
            </w:hyperlink>
            <w:r w:rsidR="00313671" w:rsidRPr="00313671">
              <w:rPr>
                <w:rFonts w:ascii="Calibri Light" w:hAnsi="Calibri Light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313671" w:rsidRPr="00313671" w14:paraId="60B9E0A1" w14:textId="77777777" w:rsidTr="00D14828">
        <w:tc>
          <w:tcPr>
            <w:tcW w:w="794" w:type="pct"/>
          </w:tcPr>
          <w:p w14:paraId="10FA0473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Flexible working case studies</w:t>
            </w:r>
          </w:p>
        </w:tc>
        <w:tc>
          <w:tcPr>
            <w:tcW w:w="2124" w:type="pct"/>
          </w:tcPr>
          <w:p w14:paraId="62896580" w14:textId="0F39E499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 set of case studies from various workplaces where organisations have encountered similar challenges</w:t>
            </w:r>
            <w:r w:rsidR="00D14828">
              <w:rPr>
                <w:rFonts w:ascii="Calibri Light" w:hAnsi="Calibri Light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81" w:type="pct"/>
          </w:tcPr>
          <w:p w14:paraId="4C07C268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  <w:u w:val="single"/>
              </w:rPr>
            </w:pPr>
            <w:hyperlink r:id="rId8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https://www.psc.nsw.gov.au/workplace-culture---diversity/flexible-working/implementing-flexibility--resources-for-people-and-culture-teams/leading-implementation-of-flexible-working/case-studies</w:t>
              </w:r>
            </w:hyperlink>
          </w:p>
        </w:tc>
      </w:tr>
      <w:tr w:rsidR="00313671" w:rsidRPr="00313671" w14:paraId="35160E3A" w14:textId="77777777" w:rsidTr="00D14828">
        <w:tc>
          <w:tcPr>
            <w:tcW w:w="794" w:type="pct"/>
          </w:tcPr>
          <w:p w14:paraId="55EB59F4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A Guide to Managing Your (Newly) Remote Workers</w:t>
            </w:r>
          </w:p>
        </w:tc>
        <w:tc>
          <w:tcPr>
            <w:tcW w:w="2124" w:type="pct"/>
          </w:tcPr>
          <w:p w14:paraId="40E6BAD6" w14:textId="11EA6CE1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An overview of common challenges face by remotely working teams, and some tangible hints and tips to improve performance.</w:t>
            </w:r>
          </w:p>
        </w:tc>
        <w:tc>
          <w:tcPr>
            <w:tcW w:w="2081" w:type="pct"/>
          </w:tcPr>
          <w:p w14:paraId="6E9A6B5F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hyperlink r:id="rId9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https://hbr.org/2020/03/a-guide-to-managing-your-newly-remote-workers</w:t>
              </w:r>
            </w:hyperlink>
          </w:p>
        </w:tc>
      </w:tr>
      <w:tr w:rsidR="00313671" w:rsidRPr="00313671" w14:paraId="311C71E3" w14:textId="77777777" w:rsidTr="00D14828">
        <w:tc>
          <w:tcPr>
            <w:tcW w:w="794" w:type="pct"/>
          </w:tcPr>
          <w:p w14:paraId="2A2CA482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21st Century Work Life and leading remote teams</w:t>
            </w:r>
          </w:p>
        </w:tc>
        <w:tc>
          <w:tcPr>
            <w:tcW w:w="2124" w:type="pct"/>
          </w:tcPr>
          <w:p w14:paraId="0DAFD61D" w14:textId="695FA929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 podcast that looks at different ways of earning a living, of using technology at work and of managing teams</w:t>
            </w:r>
            <w:r w:rsidR="00D14828">
              <w:rPr>
                <w:rFonts w:ascii="Calibri Light" w:hAnsi="Calibri Light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81" w:type="pct"/>
          </w:tcPr>
          <w:p w14:paraId="2DB5C392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hyperlink r:id="rId10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https://player.fm/series/21st-century-work-life-and-leading-remote-teams</w:t>
              </w:r>
            </w:hyperlink>
          </w:p>
        </w:tc>
      </w:tr>
      <w:tr w:rsidR="00313671" w:rsidRPr="00313671" w14:paraId="6DB1B3D3" w14:textId="77777777" w:rsidTr="00D14828">
        <w:tc>
          <w:tcPr>
            <w:tcW w:w="794" w:type="pct"/>
          </w:tcPr>
          <w:p w14:paraId="2B49CDA2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Flexible Working diagnostic assessment </w:t>
            </w:r>
          </w:p>
        </w:tc>
        <w:tc>
          <w:tcPr>
            <w:tcW w:w="2124" w:type="pct"/>
          </w:tcPr>
          <w:p w14:paraId="49629438" w14:textId="15E9774B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13671">
              <w:rPr>
                <w:rFonts w:ascii="Calibri Light" w:hAnsi="Calibri Light"/>
                <w:color w:val="000000"/>
                <w:sz w:val="24"/>
                <w:szCs w:val="24"/>
              </w:rPr>
              <w:t>A readiness assessment to understand where you are now, determine your flexibility vision and identify key priorities</w:t>
            </w:r>
            <w:r w:rsidR="00D14828">
              <w:rPr>
                <w:rFonts w:ascii="Calibri Light" w:hAnsi="Calibri Light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81" w:type="pct"/>
          </w:tcPr>
          <w:p w14:paraId="65DD1669" w14:textId="77777777" w:rsidR="00313671" w:rsidRPr="00313671" w:rsidRDefault="00B80412" w:rsidP="00313671">
            <w:pPr>
              <w:spacing w:before="120" w:after="120"/>
              <w:rPr>
                <w:rFonts w:ascii="Calibri Light" w:hAnsi="Calibri Light"/>
                <w:color w:val="000000"/>
                <w:sz w:val="24"/>
                <w:szCs w:val="24"/>
              </w:rPr>
            </w:pPr>
            <w:hyperlink r:id="rId11" w:history="1">
              <w:r w:rsidR="00313671" w:rsidRPr="00313671">
                <w:rPr>
                  <w:rFonts w:ascii="Calibri Light" w:hAnsi="Calibri Light"/>
                  <w:color w:val="000000"/>
                  <w:sz w:val="24"/>
                  <w:szCs w:val="24"/>
                  <w:u w:val="single"/>
                </w:rPr>
                <w:t>https://www.wgea.gov.au/topics/workplace-flexibility/performing-a-diagnostic-assessment</w:t>
              </w:r>
            </w:hyperlink>
          </w:p>
        </w:tc>
      </w:tr>
    </w:tbl>
    <w:p w14:paraId="3C2B8055" w14:textId="77777777" w:rsidR="00697011" w:rsidRDefault="00B80412"/>
    <w:sectPr w:rsidR="00697011" w:rsidSect="00B8041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71"/>
    <w:rsid w:val="000E75DD"/>
    <w:rsid w:val="001816E6"/>
    <w:rsid w:val="00313671"/>
    <w:rsid w:val="0076530F"/>
    <w:rsid w:val="00A06531"/>
    <w:rsid w:val="00B80412"/>
    <w:rsid w:val="00C012AC"/>
    <w:rsid w:val="00D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F52"/>
  <w15:chartTrackingRefBased/>
  <w15:docId w15:val="{7F486023-367F-4361-B86E-024FFDA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3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c.nsw.gov.au/workplace-culture---diversity/flexible-working/implementing-flexibility--resources-for-people-and-culture-teams/leading-implementation-of-flexible-working/case-stud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gea.gov.au/topics/workplace-flexibility/flexibility-for-manage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exibleworkingday.com/flexabilitykit/" TargetMode="External"/><Relationship Id="rId11" Type="http://schemas.openxmlformats.org/officeDocument/2006/relationships/hyperlink" Target="https://www.wgea.gov.au/topics/workplace-flexibility/performing-a-diagnostic-assessment" TargetMode="External"/><Relationship Id="rId5" Type="http://schemas.openxmlformats.org/officeDocument/2006/relationships/hyperlink" Target="https://www.forgov.qld.gov.au/flexible-by-design" TargetMode="External"/><Relationship Id="rId10" Type="http://schemas.openxmlformats.org/officeDocument/2006/relationships/hyperlink" Target="https://player.fm/series/21st-century-work-life-and-leading-remote-team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br.org/2020/03/a-guide-to-managing-your-newly-remote-wo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 Toohey</dc:creator>
  <cp:keywords/>
  <dc:description/>
  <cp:lastModifiedBy>FISK,Ursula</cp:lastModifiedBy>
  <cp:revision>3</cp:revision>
  <dcterms:created xsi:type="dcterms:W3CDTF">2021-07-09T04:53:00Z</dcterms:created>
  <dcterms:modified xsi:type="dcterms:W3CDTF">2021-07-09T04:54:00Z</dcterms:modified>
</cp:coreProperties>
</file>