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10CEF" w14:textId="32C7D6D7" w:rsidR="00984FB8" w:rsidRPr="00C90260" w:rsidRDefault="000333A8" w:rsidP="00C90260">
      <w:r>
        <w:rPr>
          <w:noProof/>
        </w:rPr>
        <w:drawing>
          <wp:anchor distT="0" distB="0" distL="114300" distR="114300" simplePos="0" relativeHeight="251658240" behindDoc="1" locked="0" layoutInCell="1" allowOverlap="1" wp14:anchorId="63885BF4" wp14:editId="3C7B89D9">
            <wp:simplePos x="0" y="0"/>
            <wp:positionH relativeFrom="column">
              <wp:posOffset>-887095</wp:posOffset>
            </wp:positionH>
            <wp:positionV relativeFrom="page">
              <wp:posOffset>-17145</wp:posOffset>
            </wp:positionV>
            <wp:extent cx="7673234" cy="2450592"/>
            <wp:effectExtent l="0" t="0" r="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C183D7F6-B498-43B3-948B-1728B52AA6E4}">
                          <adec:decorative xmlns:adec="http://schemas.microsoft.com/office/drawing/2017/decorative" val="1"/>
                        </a:ext>
                      </a:extLst>
                    </pic:cNvPr>
                    <pic:cNvPicPr/>
                  </pic:nvPicPr>
                  <pic:blipFill>
                    <a:blip r:embed="rId8"/>
                    <a:stretch>
                      <a:fillRect/>
                    </a:stretch>
                  </pic:blipFill>
                  <pic:spPr>
                    <a:xfrm>
                      <a:off x="0" y="0"/>
                      <a:ext cx="7673234" cy="2450592"/>
                    </a:xfrm>
                    <a:prstGeom prst="rect">
                      <a:avLst/>
                    </a:prstGeom>
                  </pic:spPr>
                </pic:pic>
              </a:graphicData>
            </a:graphic>
            <wp14:sizeRelH relativeFrom="page">
              <wp14:pctWidth>0</wp14:pctWidth>
            </wp14:sizeRelH>
            <wp14:sizeRelV relativeFrom="page">
              <wp14:pctHeight>0</wp14:pctHeight>
            </wp14:sizeRelV>
          </wp:anchor>
        </w:drawing>
      </w:r>
      <w:r w:rsidR="00984FB8">
        <w:rPr>
          <w:noProof/>
        </w:rPr>
        <w:drawing>
          <wp:inline distT="0" distB="0" distL="0" distR="0" wp14:anchorId="360793E7" wp14:editId="5BF495A8">
            <wp:extent cx="2383155" cy="727075"/>
            <wp:effectExtent l="0" t="0" r="0" b="0"/>
            <wp:docPr id="2" name="Graphic 2" descr="Australian Government 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 Department of Employment and Workplace Relations."/>
                    <pic:cNvPicPr/>
                  </pic:nvPicPr>
                  <pic:blipFill>
                    <a:blip r:embed="rId9">
                      <a:extLst>
                        <a:ext uri="{96DAC541-7B7A-43D3-8B79-37D633B846F1}">
                          <asvg:svgBlip xmlns:asvg="http://schemas.microsoft.com/office/drawing/2016/SVG/main" r:embed="rId10"/>
                        </a:ext>
                      </a:extLst>
                    </a:blip>
                    <a:stretch>
                      <a:fillRect/>
                    </a:stretch>
                  </pic:blipFill>
                  <pic:spPr>
                    <a:xfrm>
                      <a:off x="0" y="0"/>
                      <a:ext cx="2383155" cy="727075"/>
                    </a:xfrm>
                    <a:prstGeom prst="rect">
                      <a:avLst/>
                    </a:prstGeom>
                  </pic:spPr>
                </pic:pic>
              </a:graphicData>
            </a:graphic>
          </wp:inline>
        </w:drawing>
      </w:r>
    </w:p>
    <w:p w14:paraId="4238F4CF" w14:textId="7CA36D30" w:rsidR="00930CDA" w:rsidRPr="00984FB8" w:rsidRDefault="00491FDD" w:rsidP="00DD148F">
      <w:pPr>
        <w:pStyle w:val="Title"/>
        <w:spacing w:line="240" w:lineRule="auto"/>
        <w:ind w:right="-284"/>
        <w:rPr>
          <w:noProof/>
          <w:color w:val="404246"/>
          <w:lang w:eastAsia="en-AU"/>
        </w:rPr>
      </w:pPr>
      <w:r w:rsidRPr="00491FDD">
        <w:rPr>
          <w:noProof/>
          <w:color w:val="404246"/>
          <w:lang w:eastAsia="en-AU"/>
        </w:rPr>
        <w:t>Future delivery of</w:t>
      </w:r>
      <w:r>
        <w:rPr>
          <w:noProof/>
          <w:color w:val="404246"/>
          <w:lang w:eastAsia="en-AU"/>
        </w:rPr>
        <w:t xml:space="preserve"> </w:t>
      </w:r>
      <w:r w:rsidRPr="00491FDD">
        <w:rPr>
          <w:noProof/>
          <w:color w:val="404246"/>
          <w:lang w:eastAsia="en-AU"/>
        </w:rPr>
        <w:t>foundation skills training in remote Australia</w:t>
      </w:r>
    </w:p>
    <w:p w14:paraId="1E148B0F" w14:textId="78AEA3FE" w:rsidR="007855CC" w:rsidRDefault="00491FDD" w:rsidP="00DD148F">
      <w:pPr>
        <w:pStyle w:val="Subtitle"/>
        <w:spacing w:before="240"/>
        <w:ind w:right="-142"/>
        <w:rPr>
          <w:noProof/>
          <w:lang w:eastAsia="en-AU"/>
        </w:rPr>
      </w:pPr>
      <w:r>
        <w:rPr>
          <w:noProof/>
          <w:lang w:eastAsia="en-AU"/>
        </w:rPr>
        <w:t>Discussion Paper</w:t>
      </w:r>
      <w:r w:rsidR="00171F88">
        <w:rPr>
          <w:noProof/>
          <w:lang w:eastAsia="en-AU"/>
        </w:rPr>
        <w:t xml:space="preserve"> - Response Summary and Analysis</w:t>
      </w:r>
    </w:p>
    <w:p w14:paraId="15277A78" w14:textId="15218D2A" w:rsidR="00180E25" w:rsidRPr="00DD148F" w:rsidRDefault="00DD148F" w:rsidP="0095636C">
      <w:pPr>
        <w:rPr>
          <w:b/>
          <w:bCs/>
          <w:noProof/>
          <w:sz w:val="28"/>
          <w:szCs w:val="28"/>
          <w:lang w:eastAsia="en-AU"/>
        </w:rPr>
      </w:pPr>
      <w:r w:rsidRPr="00DD148F">
        <w:rPr>
          <w:b/>
          <w:bCs/>
          <w:noProof/>
          <w:sz w:val="28"/>
          <w:szCs w:val="28"/>
          <w:lang w:eastAsia="en-AU"/>
        </w:rPr>
        <w:t>July 2023</w:t>
      </w:r>
      <w:r w:rsidR="00930CDA" w:rsidRPr="00DD148F">
        <w:rPr>
          <w:b/>
          <w:bCs/>
          <w:noProof/>
          <w:sz w:val="28"/>
          <w:szCs w:val="28"/>
          <w:lang w:eastAsia="en-AU"/>
        </w:rPr>
        <w:br w:type="page"/>
      </w:r>
    </w:p>
    <w:p w14:paraId="0285BF01" w14:textId="77777777" w:rsidR="00F17DBC" w:rsidRPr="00DD148F" w:rsidRDefault="00F17DBC" w:rsidP="00DD148F">
      <w:pPr>
        <w:rPr>
          <w:b/>
          <w:bCs/>
          <w:sz w:val="32"/>
          <w:szCs w:val="32"/>
        </w:rPr>
      </w:pPr>
      <w:r w:rsidRPr="00DD148F">
        <w:rPr>
          <w:b/>
          <w:bCs/>
          <w:sz w:val="32"/>
          <w:szCs w:val="32"/>
        </w:rPr>
        <w:lastRenderedPageBreak/>
        <w:t xml:space="preserve">Acknowledgement of Country </w:t>
      </w:r>
    </w:p>
    <w:p w14:paraId="5FFD345F" w14:textId="77777777" w:rsidR="00F17DBC" w:rsidRPr="00D522A6" w:rsidRDefault="00F17DBC" w:rsidP="00F17DBC">
      <w:pPr>
        <w:spacing w:after="160" w:line="259" w:lineRule="auto"/>
        <w:rPr>
          <w:noProof/>
          <w:lang w:eastAsia="en-AU"/>
        </w:rPr>
      </w:pPr>
      <w:r w:rsidRPr="00D522A6">
        <w:rPr>
          <w:noProof/>
          <w:lang w:eastAsia="en-AU"/>
        </w:rPr>
        <w:t>The Department of Employment and Workplace Relations (the department) acknowledges the traditional owners of Country throughout Australia on which we gather, live, work and stand. We acknowledge all traditional custodians, their elders past and present, and we pay our respects to their continuing connection to their culture, community, land, sea, and water.</w:t>
      </w:r>
    </w:p>
    <w:p w14:paraId="10F10B79" w14:textId="77777777" w:rsidR="00180E25" w:rsidRPr="00180E25" w:rsidRDefault="00180E25" w:rsidP="00FE5ED1">
      <w:pPr>
        <w:spacing w:before="8640" w:after="160" w:line="259" w:lineRule="auto"/>
        <w:rPr>
          <w:noProof/>
          <w:lang w:eastAsia="en-AU"/>
        </w:rPr>
      </w:pPr>
      <w:bookmarkStart w:id="0" w:name="_Hlk137036508"/>
      <w:r w:rsidRPr="00180E25">
        <w:rPr>
          <w:noProof/>
          <w:lang w:eastAsia="en-AU"/>
        </w:rPr>
        <w:drawing>
          <wp:inline distT="0" distB="0" distL="0" distR="0" wp14:anchorId="62295B69" wp14:editId="67A4A309">
            <wp:extent cx="847725" cy="285750"/>
            <wp:effectExtent l="0" t="0" r="9525" b="0"/>
            <wp:docPr id="5" name="Picture 5"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5B5E.C6C84990"/>
                    <pic:cNvPicPr>
                      <a:picLocks noChangeAspect="1" noChangeArrowheads="1"/>
                    </pic:cNvPicPr>
                  </pic:nvPicPr>
                  <pic:blipFill>
                    <a:blip r:embed="rId11" r:link="rId12" cstate="print"/>
                    <a:srcRect/>
                    <a:stretch>
                      <a:fillRect/>
                    </a:stretch>
                  </pic:blipFill>
                  <pic:spPr bwMode="auto">
                    <a:xfrm>
                      <a:off x="0" y="0"/>
                      <a:ext cx="847725" cy="285750"/>
                    </a:xfrm>
                    <a:prstGeom prst="rect">
                      <a:avLst/>
                    </a:prstGeom>
                    <a:noFill/>
                    <a:ln w="9525">
                      <a:noFill/>
                      <a:miter lim="800000"/>
                      <a:headEnd/>
                      <a:tailEnd/>
                    </a:ln>
                  </pic:spPr>
                </pic:pic>
              </a:graphicData>
            </a:graphic>
          </wp:inline>
        </w:drawing>
      </w:r>
    </w:p>
    <w:p w14:paraId="0A51DAF5" w14:textId="77777777" w:rsidR="00180E25" w:rsidRPr="00180E25" w:rsidRDefault="00180E25" w:rsidP="00180E25">
      <w:pPr>
        <w:spacing w:after="160" w:line="259" w:lineRule="auto"/>
        <w:rPr>
          <w:noProof/>
          <w:lang w:eastAsia="en-AU"/>
        </w:rPr>
      </w:pPr>
      <w:r w:rsidRPr="00180E25">
        <w:rPr>
          <w:noProof/>
          <w:lang w:eastAsia="en-AU"/>
        </w:rPr>
        <w:t xml:space="preserve">With the exception of the Commonwealth Coat of Arms, the department’s logo, any material protected by a trademark and where otherwise noted all material presented in this document is provided under a </w:t>
      </w:r>
      <w:hyperlink r:id="rId13">
        <w:r w:rsidRPr="00180E25">
          <w:rPr>
            <w:rStyle w:val="Hyperlink"/>
            <w:noProof/>
            <w:lang w:eastAsia="en-AU"/>
          </w:rPr>
          <w:t>Creative Commons Attribution 4.0 International</w:t>
        </w:r>
      </w:hyperlink>
      <w:r w:rsidRPr="00180E25">
        <w:rPr>
          <w:noProof/>
          <w:lang w:eastAsia="en-AU"/>
        </w:rPr>
        <w:t xml:space="preserve"> (https://creativecommons.org/licenses/by/4.0/) licence.</w:t>
      </w:r>
    </w:p>
    <w:p w14:paraId="01498CC0" w14:textId="77777777" w:rsidR="00180E25" w:rsidRPr="00180E25" w:rsidRDefault="00180E25" w:rsidP="00180E25">
      <w:pPr>
        <w:spacing w:after="160" w:line="259" w:lineRule="auto"/>
        <w:rPr>
          <w:noProof/>
          <w:lang w:eastAsia="en-AU"/>
        </w:rPr>
      </w:pPr>
      <w:r w:rsidRPr="00180E25">
        <w:rPr>
          <w:noProof/>
          <w:lang w:eastAsia="en-AU"/>
        </w:rPr>
        <w:t xml:space="preserve">The details of the relevant licence conditions are available on the Creative Commons website (accessible using the links provided) as is the full legal code for the </w:t>
      </w:r>
      <w:hyperlink r:id="rId14" w:history="1">
        <w:r w:rsidRPr="00180E25">
          <w:rPr>
            <w:rStyle w:val="Hyperlink"/>
            <w:noProof/>
            <w:lang w:eastAsia="en-AU"/>
          </w:rPr>
          <w:t>CC BY 4.0 International</w:t>
        </w:r>
      </w:hyperlink>
      <w:r w:rsidRPr="00180E25">
        <w:rPr>
          <w:noProof/>
          <w:lang w:eastAsia="en-AU"/>
        </w:rPr>
        <w:t xml:space="preserve"> (https://creativecommons.org/licenses/by/4.0/legalcode)</w:t>
      </w:r>
    </w:p>
    <w:p w14:paraId="1FAD7DE2" w14:textId="2F7D147C" w:rsidR="00180E25" w:rsidRDefault="00180E25">
      <w:pPr>
        <w:spacing w:after="160" w:line="259" w:lineRule="auto"/>
        <w:rPr>
          <w:noProof/>
          <w:lang w:eastAsia="en-AU"/>
        </w:rPr>
      </w:pPr>
      <w:r w:rsidRPr="00180E25">
        <w:rPr>
          <w:noProof/>
          <w:lang w:eastAsia="en-AU"/>
        </w:rPr>
        <w:t xml:space="preserve">The document must be attributed as the </w:t>
      </w:r>
      <w:r w:rsidR="000E6D25" w:rsidRPr="002D48ED">
        <w:rPr>
          <w:i/>
          <w:iCs/>
          <w:noProof/>
          <w:lang w:eastAsia="en-AU"/>
        </w:rPr>
        <w:t xml:space="preserve">Future delivery of foundation skills training in remote Australia </w:t>
      </w:r>
      <w:r w:rsidR="000E6D25">
        <w:rPr>
          <w:noProof/>
          <w:lang w:eastAsia="en-AU"/>
        </w:rPr>
        <w:t>Discussion Paper – Response Summary and Analysis.</w:t>
      </w:r>
      <w:bookmarkEnd w:id="0"/>
      <w:r>
        <w:rPr>
          <w:noProof/>
          <w:lang w:eastAsia="en-AU"/>
        </w:rPr>
        <w:br w:type="page"/>
      </w:r>
    </w:p>
    <w:bookmarkStart w:id="1" w:name="_Toc30065222" w:displacedByCustomXml="next"/>
    <w:sdt>
      <w:sdtPr>
        <w:rPr>
          <w:b w:val="0"/>
        </w:rPr>
        <w:id w:val="876666387"/>
        <w:docPartObj>
          <w:docPartGallery w:val="Table of Contents"/>
          <w:docPartUnique/>
        </w:docPartObj>
      </w:sdtPr>
      <w:sdtEndPr>
        <w:rPr>
          <w:bCs/>
          <w:noProof/>
        </w:rPr>
      </w:sdtEndPr>
      <w:sdtContent>
        <w:p w14:paraId="085D5899" w14:textId="77777777" w:rsidR="00DD148F" w:rsidRDefault="00B10415" w:rsidP="009E66C4">
          <w:pPr>
            <w:pStyle w:val="TOC1"/>
          </w:pPr>
          <w:r>
            <w:t>Contents</w:t>
          </w:r>
        </w:p>
        <w:p w14:paraId="3AB05067" w14:textId="63DE0427" w:rsidR="00B47831" w:rsidRDefault="00B10415">
          <w:pPr>
            <w:pStyle w:val="TOC1"/>
            <w:rPr>
              <w:rFonts w:eastAsiaTheme="minorEastAsia"/>
              <w:b w:val="0"/>
              <w:noProof/>
              <w:lang w:eastAsia="en-AU"/>
            </w:rPr>
          </w:pPr>
          <w:r>
            <w:rPr>
              <w:rFonts w:ascii="Calibri" w:eastAsiaTheme="majorEastAsia" w:hAnsi="Calibri" w:cstheme="majorBidi"/>
              <w:color w:val="404246"/>
              <w:sz w:val="32"/>
              <w:szCs w:val="32"/>
            </w:rPr>
            <w:fldChar w:fldCharType="begin"/>
          </w:r>
          <w:r>
            <w:instrText xml:space="preserve"> TOC \o "1-3" \h \z \u </w:instrText>
          </w:r>
          <w:r>
            <w:rPr>
              <w:rFonts w:ascii="Calibri" w:eastAsiaTheme="majorEastAsia" w:hAnsi="Calibri" w:cstheme="majorBidi"/>
              <w:color w:val="404246"/>
              <w:sz w:val="32"/>
              <w:szCs w:val="32"/>
            </w:rPr>
            <w:fldChar w:fldCharType="separate"/>
          </w:r>
          <w:hyperlink w:anchor="_Toc138159393" w:history="1">
            <w:r w:rsidR="00B47831" w:rsidRPr="00D52446">
              <w:rPr>
                <w:rStyle w:val="Hyperlink"/>
                <w:noProof/>
              </w:rPr>
              <w:t>1.0</w:t>
            </w:r>
            <w:r w:rsidR="00B47831">
              <w:rPr>
                <w:rFonts w:eastAsiaTheme="minorEastAsia"/>
                <w:b w:val="0"/>
                <w:noProof/>
                <w:lang w:eastAsia="en-AU"/>
              </w:rPr>
              <w:tab/>
            </w:r>
            <w:r w:rsidR="00B47831" w:rsidRPr="00D52446">
              <w:rPr>
                <w:rStyle w:val="Hyperlink"/>
                <w:noProof/>
              </w:rPr>
              <w:t>Context</w:t>
            </w:r>
            <w:r w:rsidR="00B47831">
              <w:rPr>
                <w:noProof/>
                <w:webHidden/>
              </w:rPr>
              <w:tab/>
            </w:r>
            <w:r w:rsidR="00B47831">
              <w:rPr>
                <w:noProof/>
                <w:webHidden/>
              </w:rPr>
              <w:fldChar w:fldCharType="begin"/>
            </w:r>
            <w:r w:rsidR="00B47831">
              <w:rPr>
                <w:noProof/>
                <w:webHidden/>
              </w:rPr>
              <w:instrText xml:space="preserve"> PAGEREF _Toc138159393 \h </w:instrText>
            </w:r>
            <w:r w:rsidR="00B47831">
              <w:rPr>
                <w:noProof/>
                <w:webHidden/>
              </w:rPr>
            </w:r>
            <w:r w:rsidR="00B47831">
              <w:rPr>
                <w:noProof/>
                <w:webHidden/>
              </w:rPr>
              <w:fldChar w:fldCharType="separate"/>
            </w:r>
            <w:r w:rsidR="00736C5C">
              <w:rPr>
                <w:noProof/>
                <w:webHidden/>
              </w:rPr>
              <w:t>5</w:t>
            </w:r>
            <w:r w:rsidR="00B47831">
              <w:rPr>
                <w:noProof/>
                <w:webHidden/>
              </w:rPr>
              <w:fldChar w:fldCharType="end"/>
            </w:r>
          </w:hyperlink>
        </w:p>
        <w:p w14:paraId="19095AAF" w14:textId="1B4FD030" w:rsidR="00B47831" w:rsidRDefault="008D59D7">
          <w:pPr>
            <w:pStyle w:val="TOC1"/>
            <w:rPr>
              <w:rFonts w:eastAsiaTheme="minorEastAsia"/>
              <w:b w:val="0"/>
              <w:noProof/>
              <w:lang w:eastAsia="en-AU"/>
            </w:rPr>
          </w:pPr>
          <w:hyperlink w:anchor="_Toc138159394" w:history="1">
            <w:r w:rsidR="00B47831" w:rsidRPr="00D52446">
              <w:rPr>
                <w:rStyle w:val="Hyperlink"/>
                <w:noProof/>
              </w:rPr>
              <w:t>2.0</w:t>
            </w:r>
            <w:r w:rsidR="00B47831">
              <w:rPr>
                <w:rFonts w:eastAsiaTheme="minorEastAsia"/>
                <w:b w:val="0"/>
                <w:noProof/>
                <w:lang w:eastAsia="en-AU"/>
              </w:rPr>
              <w:tab/>
            </w:r>
            <w:r w:rsidR="00B47831" w:rsidRPr="00D52446">
              <w:rPr>
                <w:rStyle w:val="Hyperlink"/>
                <w:noProof/>
              </w:rPr>
              <w:t>Purpose of this paper</w:t>
            </w:r>
            <w:r w:rsidR="00B47831">
              <w:rPr>
                <w:noProof/>
                <w:webHidden/>
              </w:rPr>
              <w:tab/>
            </w:r>
            <w:r w:rsidR="00B47831">
              <w:rPr>
                <w:noProof/>
                <w:webHidden/>
              </w:rPr>
              <w:fldChar w:fldCharType="begin"/>
            </w:r>
            <w:r w:rsidR="00B47831">
              <w:rPr>
                <w:noProof/>
                <w:webHidden/>
              </w:rPr>
              <w:instrText xml:space="preserve"> PAGEREF _Toc138159394 \h </w:instrText>
            </w:r>
            <w:r w:rsidR="00B47831">
              <w:rPr>
                <w:noProof/>
                <w:webHidden/>
              </w:rPr>
            </w:r>
            <w:r w:rsidR="00B47831">
              <w:rPr>
                <w:noProof/>
                <w:webHidden/>
              </w:rPr>
              <w:fldChar w:fldCharType="separate"/>
            </w:r>
            <w:r w:rsidR="00736C5C">
              <w:rPr>
                <w:noProof/>
                <w:webHidden/>
              </w:rPr>
              <w:t>5</w:t>
            </w:r>
            <w:r w:rsidR="00B47831">
              <w:rPr>
                <w:noProof/>
                <w:webHidden/>
              </w:rPr>
              <w:fldChar w:fldCharType="end"/>
            </w:r>
          </w:hyperlink>
        </w:p>
        <w:p w14:paraId="16E8A832" w14:textId="7322EAB0" w:rsidR="00B47831" w:rsidRDefault="008D59D7">
          <w:pPr>
            <w:pStyle w:val="TOC1"/>
            <w:rPr>
              <w:rFonts w:eastAsiaTheme="minorEastAsia"/>
              <w:b w:val="0"/>
              <w:noProof/>
              <w:lang w:eastAsia="en-AU"/>
            </w:rPr>
          </w:pPr>
          <w:hyperlink w:anchor="_Toc138159395" w:history="1">
            <w:r w:rsidR="00B47831" w:rsidRPr="00D52446">
              <w:rPr>
                <w:rStyle w:val="Hyperlink"/>
                <w:noProof/>
              </w:rPr>
              <w:t>3.0</w:t>
            </w:r>
            <w:r w:rsidR="00B47831">
              <w:rPr>
                <w:rFonts w:eastAsiaTheme="minorEastAsia"/>
                <w:b w:val="0"/>
                <w:noProof/>
                <w:lang w:eastAsia="en-AU"/>
              </w:rPr>
              <w:tab/>
            </w:r>
            <w:r w:rsidR="00B47831" w:rsidRPr="00D52446">
              <w:rPr>
                <w:rStyle w:val="Hyperlink"/>
                <w:noProof/>
              </w:rPr>
              <w:t>Executive Summary</w:t>
            </w:r>
            <w:r w:rsidR="00B47831">
              <w:rPr>
                <w:noProof/>
                <w:webHidden/>
              </w:rPr>
              <w:tab/>
            </w:r>
            <w:r w:rsidR="00B47831">
              <w:rPr>
                <w:noProof/>
                <w:webHidden/>
              </w:rPr>
              <w:fldChar w:fldCharType="begin"/>
            </w:r>
            <w:r w:rsidR="00B47831">
              <w:rPr>
                <w:noProof/>
                <w:webHidden/>
              </w:rPr>
              <w:instrText xml:space="preserve"> PAGEREF _Toc138159395 \h </w:instrText>
            </w:r>
            <w:r w:rsidR="00B47831">
              <w:rPr>
                <w:noProof/>
                <w:webHidden/>
              </w:rPr>
            </w:r>
            <w:r w:rsidR="00B47831">
              <w:rPr>
                <w:noProof/>
                <w:webHidden/>
              </w:rPr>
              <w:fldChar w:fldCharType="separate"/>
            </w:r>
            <w:r w:rsidR="00736C5C">
              <w:rPr>
                <w:noProof/>
                <w:webHidden/>
              </w:rPr>
              <w:t>6</w:t>
            </w:r>
            <w:r w:rsidR="00B47831">
              <w:rPr>
                <w:noProof/>
                <w:webHidden/>
              </w:rPr>
              <w:fldChar w:fldCharType="end"/>
            </w:r>
          </w:hyperlink>
        </w:p>
        <w:p w14:paraId="7689379D" w14:textId="0FE09E0A" w:rsidR="00B47831" w:rsidRDefault="008D59D7">
          <w:pPr>
            <w:pStyle w:val="TOC1"/>
            <w:rPr>
              <w:rFonts w:eastAsiaTheme="minorEastAsia"/>
              <w:b w:val="0"/>
              <w:noProof/>
              <w:lang w:eastAsia="en-AU"/>
            </w:rPr>
          </w:pPr>
          <w:hyperlink w:anchor="_Toc138159396" w:history="1">
            <w:r w:rsidR="00B47831" w:rsidRPr="00D52446">
              <w:rPr>
                <w:rStyle w:val="Hyperlink"/>
                <w:noProof/>
              </w:rPr>
              <w:t>4.0</w:t>
            </w:r>
            <w:r w:rsidR="00B47831">
              <w:rPr>
                <w:rFonts w:eastAsiaTheme="minorEastAsia"/>
                <w:b w:val="0"/>
                <w:noProof/>
                <w:lang w:eastAsia="en-AU"/>
              </w:rPr>
              <w:tab/>
            </w:r>
            <w:r w:rsidR="00B47831" w:rsidRPr="00D52446">
              <w:rPr>
                <w:rStyle w:val="Hyperlink"/>
                <w:noProof/>
              </w:rPr>
              <w:t>Analysis of Responses</w:t>
            </w:r>
            <w:r w:rsidR="00B47831">
              <w:rPr>
                <w:noProof/>
                <w:webHidden/>
              </w:rPr>
              <w:tab/>
            </w:r>
            <w:r w:rsidR="00B47831">
              <w:rPr>
                <w:noProof/>
                <w:webHidden/>
              </w:rPr>
              <w:fldChar w:fldCharType="begin"/>
            </w:r>
            <w:r w:rsidR="00B47831">
              <w:rPr>
                <w:noProof/>
                <w:webHidden/>
              </w:rPr>
              <w:instrText xml:space="preserve"> PAGEREF _Toc138159396 \h </w:instrText>
            </w:r>
            <w:r w:rsidR="00B47831">
              <w:rPr>
                <w:noProof/>
                <w:webHidden/>
              </w:rPr>
            </w:r>
            <w:r w:rsidR="00B47831">
              <w:rPr>
                <w:noProof/>
                <w:webHidden/>
              </w:rPr>
              <w:fldChar w:fldCharType="separate"/>
            </w:r>
            <w:r w:rsidR="00736C5C">
              <w:rPr>
                <w:noProof/>
                <w:webHidden/>
              </w:rPr>
              <w:t>7</w:t>
            </w:r>
            <w:r w:rsidR="00B47831">
              <w:rPr>
                <w:noProof/>
                <w:webHidden/>
              </w:rPr>
              <w:fldChar w:fldCharType="end"/>
            </w:r>
          </w:hyperlink>
        </w:p>
        <w:p w14:paraId="09277DBF" w14:textId="37E4C352" w:rsidR="00B47831" w:rsidRDefault="008D59D7">
          <w:pPr>
            <w:pStyle w:val="TOC2"/>
            <w:rPr>
              <w:rFonts w:eastAsiaTheme="minorEastAsia"/>
              <w:noProof/>
              <w:lang w:eastAsia="en-AU"/>
            </w:rPr>
          </w:pPr>
          <w:hyperlink w:anchor="_Toc138159397" w:history="1">
            <w:r w:rsidR="00B47831" w:rsidRPr="00D52446">
              <w:rPr>
                <w:rStyle w:val="Hyperlink"/>
                <w:noProof/>
              </w:rPr>
              <w:t>4.1</w:t>
            </w:r>
            <w:r w:rsidR="00B47831">
              <w:rPr>
                <w:rFonts w:eastAsiaTheme="minorEastAsia"/>
                <w:noProof/>
                <w:lang w:eastAsia="en-AU"/>
              </w:rPr>
              <w:tab/>
            </w:r>
            <w:r w:rsidR="00B47831" w:rsidRPr="00D52446">
              <w:rPr>
                <w:rStyle w:val="Hyperlink"/>
                <w:noProof/>
              </w:rPr>
              <w:t>Strengths and Needs of Remote Learners</w:t>
            </w:r>
            <w:r w:rsidR="00B47831">
              <w:rPr>
                <w:noProof/>
                <w:webHidden/>
              </w:rPr>
              <w:tab/>
            </w:r>
            <w:r w:rsidR="00B47831">
              <w:rPr>
                <w:noProof/>
                <w:webHidden/>
              </w:rPr>
              <w:fldChar w:fldCharType="begin"/>
            </w:r>
            <w:r w:rsidR="00B47831">
              <w:rPr>
                <w:noProof/>
                <w:webHidden/>
              </w:rPr>
              <w:instrText xml:space="preserve"> PAGEREF _Toc138159397 \h </w:instrText>
            </w:r>
            <w:r w:rsidR="00B47831">
              <w:rPr>
                <w:noProof/>
                <w:webHidden/>
              </w:rPr>
            </w:r>
            <w:r w:rsidR="00B47831">
              <w:rPr>
                <w:noProof/>
                <w:webHidden/>
              </w:rPr>
              <w:fldChar w:fldCharType="separate"/>
            </w:r>
            <w:r w:rsidR="00736C5C">
              <w:rPr>
                <w:noProof/>
                <w:webHidden/>
              </w:rPr>
              <w:t>7</w:t>
            </w:r>
            <w:r w:rsidR="00B47831">
              <w:rPr>
                <w:noProof/>
                <w:webHidden/>
              </w:rPr>
              <w:fldChar w:fldCharType="end"/>
            </w:r>
          </w:hyperlink>
        </w:p>
        <w:p w14:paraId="4B0FB7AB" w14:textId="7043B8B8" w:rsidR="00B47831" w:rsidRDefault="008D59D7">
          <w:pPr>
            <w:pStyle w:val="TOC3"/>
            <w:rPr>
              <w:rFonts w:eastAsiaTheme="minorEastAsia"/>
              <w:noProof/>
              <w:lang w:eastAsia="en-AU"/>
            </w:rPr>
          </w:pPr>
          <w:hyperlink w:anchor="_Toc138159398" w:history="1">
            <w:r w:rsidR="00B47831" w:rsidRPr="00D52446">
              <w:rPr>
                <w:rStyle w:val="Hyperlink"/>
                <w:noProof/>
              </w:rPr>
              <w:t>4.1.1</w:t>
            </w:r>
            <w:r w:rsidR="00B47831">
              <w:rPr>
                <w:rFonts w:eastAsiaTheme="minorEastAsia"/>
                <w:noProof/>
                <w:lang w:eastAsia="en-AU"/>
              </w:rPr>
              <w:tab/>
            </w:r>
            <w:r w:rsidR="00B47831" w:rsidRPr="00D52446">
              <w:rPr>
                <w:rStyle w:val="Hyperlink"/>
                <w:noProof/>
              </w:rPr>
              <w:t>Practical learning approach</w:t>
            </w:r>
            <w:r w:rsidR="00B47831">
              <w:rPr>
                <w:noProof/>
                <w:webHidden/>
              </w:rPr>
              <w:tab/>
            </w:r>
            <w:r w:rsidR="00B47831">
              <w:rPr>
                <w:noProof/>
                <w:webHidden/>
              </w:rPr>
              <w:fldChar w:fldCharType="begin"/>
            </w:r>
            <w:r w:rsidR="00B47831">
              <w:rPr>
                <w:noProof/>
                <w:webHidden/>
              </w:rPr>
              <w:instrText xml:space="preserve"> PAGEREF _Toc138159398 \h </w:instrText>
            </w:r>
            <w:r w:rsidR="00B47831">
              <w:rPr>
                <w:noProof/>
                <w:webHidden/>
              </w:rPr>
            </w:r>
            <w:r w:rsidR="00B47831">
              <w:rPr>
                <w:noProof/>
                <w:webHidden/>
              </w:rPr>
              <w:fldChar w:fldCharType="separate"/>
            </w:r>
            <w:r w:rsidR="00736C5C">
              <w:rPr>
                <w:noProof/>
                <w:webHidden/>
              </w:rPr>
              <w:t>7</w:t>
            </w:r>
            <w:r w:rsidR="00B47831">
              <w:rPr>
                <w:noProof/>
                <w:webHidden/>
              </w:rPr>
              <w:fldChar w:fldCharType="end"/>
            </w:r>
          </w:hyperlink>
        </w:p>
        <w:p w14:paraId="3505E633" w14:textId="6B0618A7" w:rsidR="00B47831" w:rsidRDefault="008D59D7">
          <w:pPr>
            <w:pStyle w:val="TOC3"/>
            <w:rPr>
              <w:rFonts w:eastAsiaTheme="minorEastAsia"/>
              <w:noProof/>
              <w:lang w:eastAsia="en-AU"/>
            </w:rPr>
          </w:pPr>
          <w:hyperlink w:anchor="_Toc138159399" w:history="1">
            <w:r w:rsidR="00B47831" w:rsidRPr="00D52446">
              <w:rPr>
                <w:rStyle w:val="Hyperlink"/>
                <w:noProof/>
              </w:rPr>
              <w:t>4.1.2</w:t>
            </w:r>
            <w:r w:rsidR="00B47831">
              <w:rPr>
                <w:rFonts w:eastAsiaTheme="minorEastAsia"/>
                <w:noProof/>
                <w:lang w:eastAsia="en-AU"/>
              </w:rPr>
              <w:tab/>
            </w:r>
            <w:r w:rsidR="00B47831" w:rsidRPr="00D52446">
              <w:rPr>
                <w:rStyle w:val="Hyperlink"/>
                <w:noProof/>
              </w:rPr>
              <w:t>Broaden eligibility criteria</w:t>
            </w:r>
            <w:r w:rsidR="00B47831">
              <w:rPr>
                <w:noProof/>
                <w:webHidden/>
              </w:rPr>
              <w:tab/>
            </w:r>
            <w:r w:rsidR="00B47831">
              <w:rPr>
                <w:noProof/>
                <w:webHidden/>
              </w:rPr>
              <w:fldChar w:fldCharType="begin"/>
            </w:r>
            <w:r w:rsidR="00B47831">
              <w:rPr>
                <w:noProof/>
                <w:webHidden/>
              </w:rPr>
              <w:instrText xml:space="preserve"> PAGEREF _Toc138159399 \h </w:instrText>
            </w:r>
            <w:r w:rsidR="00B47831">
              <w:rPr>
                <w:noProof/>
                <w:webHidden/>
              </w:rPr>
            </w:r>
            <w:r w:rsidR="00B47831">
              <w:rPr>
                <w:noProof/>
                <w:webHidden/>
              </w:rPr>
              <w:fldChar w:fldCharType="separate"/>
            </w:r>
            <w:r w:rsidR="00736C5C">
              <w:rPr>
                <w:noProof/>
                <w:webHidden/>
              </w:rPr>
              <w:t>8</w:t>
            </w:r>
            <w:r w:rsidR="00B47831">
              <w:rPr>
                <w:noProof/>
                <w:webHidden/>
              </w:rPr>
              <w:fldChar w:fldCharType="end"/>
            </w:r>
          </w:hyperlink>
        </w:p>
        <w:p w14:paraId="3E5D0C84" w14:textId="0A0D5DA9" w:rsidR="00B47831" w:rsidRDefault="008D59D7">
          <w:pPr>
            <w:pStyle w:val="TOC3"/>
            <w:rPr>
              <w:rFonts w:eastAsiaTheme="minorEastAsia"/>
              <w:noProof/>
              <w:lang w:eastAsia="en-AU"/>
            </w:rPr>
          </w:pPr>
          <w:hyperlink w:anchor="_Toc138159400" w:history="1">
            <w:r w:rsidR="00B47831" w:rsidRPr="00D52446">
              <w:rPr>
                <w:rStyle w:val="Hyperlink"/>
                <w:noProof/>
              </w:rPr>
              <w:t>4.1.3</w:t>
            </w:r>
            <w:r w:rsidR="00B47831">
              <w:rPr>
                <w:rFonts w:eastAsiaTheme="minorEastAsia"/>
                <w:noProof/>
                <w:lang w:eastAsia="en-AU"/>
              </w:rPr>
              <w:tab/>
            </w:r>
            <w:r w:rsidR="00B47831" w:rsidRPr="00D52446">
              <w:rPr>
                <w:rStyle w:val="Hyperlink"/>
                <w:noProof/>
              </w:rPr>
              <w:t>Overcome barriers to participation</w:t>
            </w:r>
            <w:r w:rsidR="00B47831">
              <w:rPr>
                <w:noProof/>
                <w:webHidden/>
              </w:rPr>
              <w:tab/>
            </w:r>
            <w:r w:rsidR="00B47831">
              <w:rPr>
                <w:noProof/>
                <w:webHidden/>
              </w:rPr>
              <w:fldChar w:fldCharType="begin"/>
            </w:r>
            <w:r w:rsidR="00B47831">
              <w:rPr>
                <w:noProof/>
                <w:webHidden/>
              </w:rPr>
              <w:instrText xml:space="preserve"> PAGEREF _Toc138159400 \h </w:instrText>
            </w:r>
            <w:r w:rsidR="00B47831">
              <w:rPr>
                <w:noProof/>
                <w:webHidden/>
              </w:rPr>
            </w:r>
            <w:r w:rsidR="00B47831">
              <w:rPr>
                <w:noProof/>
                <w:webHidden/>
              </w:rPr>
              <w:fldChar w:fldCharType="separate"/>
            </w:r>
            <w:r w:rsidR="00736C5C">
              <w:rPr>
                <w:noProof/>
                <w:webHidden/>
              </w:rPr>
              <w:t>8</w:t>
            </w:r>
            <w:r w:rsidR="00B47831">
              <w:rPr>
                <w:noProof/>
                <w:webHidden/>
              </w:rPr>
              <w:fldChar w:fldCharType="end"/>
            </w:r>
          </w:hyperlink>
        </w:p>
        <w:p w14:paraId="12B60391" w14:textId="44FD6DAC" w:rsidR="00B47831" w:rsidRDefault="008D59D7">
          <w:pPr>
            <w:pStyle w:val="TOC2"/>
            <w:rPr>
              <w:rFonts w:eastAsiaTheme="minorEastAsia"/>
              <w:noProof/>
              <w:lang w:eastAsia="en-AU"/>
            </w:rPr>
          </w:pPr>
          <w:hyperlink w:anchor="_Toc138159401" w:history="1">
            <w:r w:rsidR="00B47831" w:rsidRPr="00D52446">
              <w:rPr>
                <w:rStyle w:val="Hyperlink"/>
                <w:noProof/>
              </w:rPr>
              <w:t>4.2</w:t>
            </w:r>
            <w:r w:rsidR="00B47831">
              <w:rPr>
                <w:rFonts w:eastAsiaTheme="minorEastAsia"/>
                <w:noProof/>
                <w:lang w:eastAsia="en-AU"/>
              </w:rPr>
              <w:tab/>
            </w:r>
            <w:r w:rsidR="00B47831" w:rsidRPr="00D52446">
              <w:rPr>
                <w:rStyle w:val="Hyperlink"/>
                <w:noProof/>
              </w:rPr>
              <w:t>Program Design</w:t>
            </w:r>
            <w:r w:rsidR="00B47831">
              <w:rPr>
                <w:noProof/>
                <w:webHidden/>
              </w:rPr>
              <w:tab/>
            </w:r>
            <w:r w:rsidR="00B47831">
              <w:rPr>
                <w:noProof/>
                <w:webHidden/>
              </w:rPr>
              <w:fldChar w:fldCharType="begin"/>
            </w:r>
            <w:r w:rsidR="00B47831">
              <w:rPr>
                <w:noProof/>
                <w:webHidden/>
              </w:rPr>
              <w:instrText xml:space="preserve"> PAGEREF _Toc138159401 \h </w:instrText>
            </w:r>
            <w:r w:rsidR="00B47831">
              <w:rPr>
                <w:noProof/>
                <w:webHidden/>
              </w:rPr>
            </w:r>
            <w:r w:rsidR="00B47831">
              <w:rPr>
                <w:noProof/>
                <w:webHidden/>
              </w:rPr>
              <w:fldChar w:fldCharType="separate"/>
            </w:r>
            <w:r w:rsidR="00736C5C">
              <w:rPr>
                <w:noProof/>
                <w:webHidden/>
              </w:rPr>
              <w:t>9</w:t>
            </w:r>
            <w:r w:rsidR="00B47831">
              <w:rPr>
                <w:noProof/>
                <w:webHidden/>
              </w:rPr>
              <w:fldChar w:fldCharType="end"/>
            </w:r>
          </w:hyperlink>
        </w:p>
        <w:p w14:paraId="6BB37C75" w14:textId="49D0E848" w:rsidR="00B47831" w:rsidRDefault="008D59D7">
          <w:pPr>
            <w:pStyle w:val="TOC3"/>
            <w:rPr>
              <w:rFonts w:eastAsiaTheme="minorEastAsia"/>
              <w:noProof/>
              <w:lang w:eastAsia="en-AU"/>
            </w:rPr>
          </w:pPr>
          <w:hyperlink w:anchor="_Toc138159402" w:history="1">
            <w:r w:rsidR="00B47831" w:rsidRPr="00D52446">
              <w:rPr>
                <w:rStyle w:val="Hyperlink"/>
                <w:noProof/>
              </w:rPr>
              <w:t>4.2.1</w:t>
            </w:r>
            <w:r w:rsidR="00B47831">
              <w:rPr>
                <w:rFonts w:eastAsiaTheme="minorEastAsia"/>
                <w:noProof/>
                <w:lang w:eastAsia="en-AU"/>
              </w:rPr>
              <w:tab/>
            </w:r>
            <w:r w:rsidR="00B47831" w:rsidRPr="00D52446">
              <w:rPr>
                <w:rStyle w:val="Hyperlink"/>
                <w:noProof/>
              </w:rPr>
              <w:t>Prioritise Needs of Community and Individual</w:t>
            </w:r>
            <w:r w:rsidR="00B47831">
              <w:rPr>
                <w:noProof/>
                <w:webHidden/>
              </w:rPr>
              <w:tab/>
            </w:r>
            <w:r w:rsidR="00B47831">
              <w:rPr>
                <w:noProof/>
                <w:webHidden/>
              </w:rPr>
              <w:fldChar w:fldCharType="begin"/>
            </w:r>
            <w:r w:rsidR="00B47831">
              <w:rPr>
                <w:noProof/>
                <w:webHidden/>
              </w:rPr>
              <w:instrText xml:space="preserve"> PAGEREF _Toc138159402 \h </w:instrText>
            </w:r>
            <w:r w:rsidR="00B47831">
              <w:rPr>
                <w:noProof/>
                <w:webHidden/>
              </w:rPr>
            </w:r>
            <w:r w:rsidR="00B47831">
              <w:rPr>
                <w:noProof/>
                <w:webHidden/>
              </w:rPr>
              <w:fldChar w:fldCharType="separate"/>
            </w:r>
            <w:r w:rsidR="00736C5C">
              <w:rPr>
                <w:noProof/>
                <w:webHidden/>
              </w:rPr>
              <w:t>9</w:t>
            </w:r>
            <w:r w:rsidR="00B47831">
              <w:rPr>
                <w:noProof/>
                <w:webHidden/>
              </w:rPr>
              <w:fldChar w:fldCharType="end"/>
            </w:r>
          </w:hyperlink>
        </w:p>
        <w:p w14:paraId="5FBA89D7" w14:textId="401AE6D9" w:rsidR="00B47831" w:rsidRDefault="008D59D7">
          <w:pPr>
            <w:pStyle w:val="TOC3"/>
            <w:rPr>
              <w:rFonts w:eastAsiaTheme="minorEastAsia"/>
              <w:noProof/>
              <w:lang w:eastAsia="en-AU"/>
            </w:rPr>
          </w:pPr>
          <w:hyperlink w:anchor="_Toc138159403" w:history="1">
            <w:r w:rsidR="00B47831" w:rsidRPr="00D52446">
              <w:rPr>
                <w:rStyle w:val="Hyperlink"/>
                <w:noProof/>
              </w:rPr>
              <w:t>4.2.2</w:t>
            </w:r>
            <w:r w:rsidR="00B47831">
              <w:rPr>
                <w:rFonts w:eastAsiaTheme="minorEastAsia"/>
                <w:noProof/>
                <w:lang w:eastAsia="en-AU"/>
              </w:rPr>
              <w:tab/>
            </w:r>
            <w:r w:rsidR="00B47831" w:rsidRPr="00D52446">
              <w:rPr>
                <w:rStyle w:val="Hyperlink"/>
                <w:noProof/>
              </w:rPr>
              <w:t>Approach to Program Design</w:t>
            </w:r>
            <w:r w:rsidR="00B47831">
              <w:rPr>
                <w:noProof/>
                <w:webHidden/>
              </w:rPr>
              <w:tab/>
            </w:r>
            <w:r w:rsidR="00B47831">
              <w:rPr>
                <w:noProof/>
                <w:webHidden/>
              </w:rPr>
              <w:fldChar w:fldCharType="begin"/>
            </w:r>
            <w:r w:rsidR="00B47831">
              <w:rPr>
                <w:noProof/>
                <w:webHidden/>
              </w:rPr>
              <w:instrText xml:space="preserve"> PAGEREF _Toc138159403 \h </w:instrText>
            </w:r>
            <w:r w:rsidR="00B47831">
              <w:rPr>
                <w:noProof/>
                <w:webHidden/>
              </w:rPr>
            </w:r>
            <w:r w:rsidR="00B47831">
              <w:rPr>
                <w:noProof/>
                <w:webHidden/>
              </w:rPr>
              <w:fldChar w:fldCharType="separate"/>
            </w:r>
            <w:r w:rsidR="00736C5C">
              <w:rPr>
                <w:noProof/>
                <w:webHidden/>
              </w:rPr>
              <w:t>10</w:t>
            </w:r>
            <w:r w:rsidR="00B47831">
              <w:rPr>
                <w:noProof/>
                <w:webHidden/>
              </w:rPr>
              <w:fldChar w:fldCharType="end"/>
            </w:r>
          </w:hyperlink>
        </w:p>
        <w:p w14:paraId="1246E855" w14:textId="01AA925A" w:rsidR="00B47831" w:rsidRDefault="008D59D7">
          <w:pPr>
            <w:pStyle w:val="TOC3"/>
            <w:rPr>
              <w:rFonts w:eastAsiaTheme="minorEastAsia"/>
              <w:noProof/>
              <w:lang w:eastAsia="en-AU"/>
            </w:rPr>
          </w:pPr>
          <w:hyperlink w:anchor="_Toc138159404" w:history="1">
            <w:r w:rsidR="00B47831" w:rsidRPr="00D52446">
              <w:rPr>
                <w:rStyle w:val="Hyperlink"/>
                <w:noProof/>
              </w:rPr>
              <w:t>4.2.3</w:t>
            </w:r>
            <w:r w:rsidR="00B47831">
              <w:rPr>
                <w:rFonts w:eastAsiaTheme="minorEastAsia"/>
                <w:noProof/>
                <w:lang w:eastAsia="en-AU"/>
              </w:rPr>
              <w:tab/>
            </w:r>
            <w:r w:rsidR="00B47831" w:rsidRPr="00D52446">
              <w:rPr>
                <w:rStyle w:val="Hyperlink"/>
                <w:noProof/>
              </w:rPr>
              <w:t>Program Elements</w:t>
            </w:r>
            <w:r w:rsidR="00B47831">
              <w:rPr>
                <w:noProof/>
                <w:webHidden/>
              </w:rPr>
              <w:tab/>
            </w:r>
            <w:r w:rsidR="00B47831">
              <w:rPr>
                <w:noProof/>
                <w:webHidden/>
              </w:rPr>
              <w:fldChar w:fldCharType="begin"/>
            </w:r>
            <w:r w:rsidR="00B47831">
              <w:rPr>
                <w:noProof/>
                <w:webHidden/>
              </w:rPr>
              <w:instrText xml:space="preserve"> PAGEREF _Toc138159404 \h </w:instrText>
            </w:r>
            <w:r w:rsidR="00B47831">
              <w:rPr>
                <w:noProof/>
                <w:webHidden/>
              </w:rPr>
            </w:r>
            <w:r w:rsidR="00B47831">
              <w:rPr>
                <w:noProof/>
                <w:webHidden/>
              </w:rPr>
              <w:fldChar w:fldCharType="separate"/>
            </w:r>
            <w:r w:rsidR="00736C5C">
              <w:rPr>
                <w:noProof/>
                <w:webHidden/>
              </w:rPr>
              <w:t>10</w:t>
            </w:r>
            <w:r w:rsidR="00B47831">
              <w:rPr>
                <w:noProof/>
                <w:webHidden/>
              </w:rPr>
              <w:fldChar w:fldCharType="end"/>
            </w:r>
          </w:hyperlink>
        </w:p>
        <w:p w14:paraId="454BB595" w14:textId="7E769DCC" w:rsidR="00B47831" w:rsidRDefault="008D59D7">
          <w:pPr>
            <w:pStyle w:val="TOC2"/>
            <w:rPr>
              <w:rFonts w:eastAsiaTheme="minorEastAsia"/>
              <w:noProof/>
              <w:lang w:eastAsia="en-AU"/>
            </w:rPr>
          </w:pPr>
          <w:hyperlink w:anchor="_Toc138159405" w:history="1">
            <w:r w:rsidR="00B47831" w:rsidRPr="00D52446">
              <w:rPr>
                <w:rStyle w:val="Hyperlink"/>
                <w:noProof/>
              </w:rPr>
              <w:t>4.3</w:t>
            </w:r>
            <w:r w:rsidR="00B47831">
              <w:rPr>
                <w:rFonts w:eastAsiaTheme="minorEastAsia"/>
                <w:noProof/>
                <w:lang w:eastAsia="en-AU"/>
              </w:rPr>
              <w:tab/>
            </w:r>
            <w:r w:rsidR="00B47831" w:rsidRPr="00D52446">
              <w:rPr>
                <w:rStyle w:val="Hyperlink"/>
                <w:noProof/>
              </w:rPr>
              <w:t>Support for Aboriginal and Torres Strait Islander community controlled organisations</w:t>
            </w:r>
            <w:r w:rsidR="00B47831">
              <w:rPr>
                <w:noProof/>
                <w:webHidden/>
              </w:rPr>
              <w:tab/>
            </w:r>
            <w:r w:rsidR="00B47831">
              <w:rPr>
                <w:noProof/>
                <w:webHidden/>
              </w:rPr>
              <w:fldChar w:fldCharType="begin"/>
            </w:r>
            <w:r w:rsidR="00B47831">
              <w:rPr>
                <w:noProof/>
                <w:webHidden/>
              </w:rPr>
              <w:instrText xml:space="preserve"> PAGEREF _Toc138159405 \h </w:instrText>
            </w:r>
            <w:r w:rsidR="00B47831">
              <w:rPr>
                <w:noProof/>
                <w:webHidden/>
              </w:rPr>
            </w:r>
            <w:r w:rsidR="00B47831">
              <w:rPr>
                <w:noProof/>
                <w:webHidden/>
              </w:rPr>
              <w:fldChar w:fldCharType="separate"/>
            </w:r>
            <w:r w:rsidR="00736C5C">
              <w:rPr>
                <w:noProof/>
                <w:webHidden/>
              </w:rPr>
              <w:t>11</w:t>
            </w:r>
            <w:r w:rsidR="00B47831">
              <w:rPr>
                <w:noProof/>
                <w:webHidden/>
              </w:rPr>
              <w:fldChar w:fldCharType="end"/>
            </w:r>
          </w:hyperlink>
        </w:p>
        <w:p w14:paraId="0481F185" w14:textId="7155255D" w:rsidR="00B47831" w:rsidRDefault="008D59D7">
          <w:pPr>
            <w:pStyle w:val="TOC3"/>
            <w:rPr>
              <w:rFonts w:eastAsiaTheme="minorEastAsia"/>
              <w:noProof/>
              <w:lang w:eastAsia="en-AU"/>
            </w:rPr>
          </w:pPr>
          <w:hyperlink w:anchor="_Toc138159406" w:history="1">
            <w:r w:rsidR="00B47831" w:rsidRPr="00D52446">
              <w:rPr>
                <w:rStyle w:val="Hyperlink"/>
                <w:noProof/>
              </w:rPr>
              <w:t>4.3.1</w:t>
            </w:r>
            <w:r w:rsidR="00B47831">
              <w:rPr>
                <w:rFonts w:eastAsiaTheme="minorEastAsia"/>
                <w:noProof/>
                <w:lang w:eastAsia="en-AU"/>
              </w:rPr>
              <w:tab/>
            </w:r>
            <w:r w:rsidR="00B47831" w:rsidRPr="00D52446">
              <w:rPr>
                <w:rStyle w:val="Hyperlink"/>
                <w:noProof/>
              </w:rPr>
              <w:t>Partnerships</w:t>
            </w:r>
            <w:r w:rsidR="00B47831">
              <w:rPr>
                <w:noProof/>
                <w:webHidden/>
              </w:rPr>
              <w:tab/>
            </w:r>
            <w:r w:rsidR="00B47831">
              <w:rPr>
                <w:noProof/>
                <w:webHidden/>
              </w:rPr>
              <w:fldChar w:fldCharType="begin"/>
            </w:r>
            <w:r w:rsidR="00B47831">
              <w:rPr>
                <w:noProof/>
                <w:webHidden/>
              </w:rPr>
              <w:instrText xml:space="preserve"> PAGEREF _Toc138159406 \h </w:instrText>
            </w:r>
            <w:r w:rsidR="00B47831">
              <w:rPr>
                <w:noProof/>
                <w:webHidden/>
              </w:rPr>
            </w:r>
            <w:r w:rsidR="00B47831">
              <w:rPr>
                <w:noProof/>
                <w:webHidden/>
              </w:rPr>
              <w:fldChar w:fldCharType="separate"/>
            </w:r>
            <w:r w:rsidR="00736C5C">
              <w:rPr>
                <w:noProof/>
                <w:webHidden/>
              </w:rPr>
              <w:t>11</w:t>
            </w:r>
            <w:r w:rsidR="00B47831">
              <w:rPr>
                <w:noProof/>
                <w:webHidden/>
              </w:rPr>
              <w:fldChar w:fldCharType="end"/>
            </w:r>
          </w:hyperlink>
        </w:p>
        <w:p w14:paraId="081B2D5F" w14:textId="620330BC" w:rsidR="00B47831" w:rsidRDefault="008D59D7">
          <w:pPr>
            <w:pStyle w:val="TOC3"/>
            <w:rPr>
              <w:rFonts w:eastAsiaTheme="minorEastAsia"/>
              <w:noProof/>
              <w:lang w:eastAsia="en-AU"/>
            </w:rPr>
          </w:pPr>
          <w:hyperlink w:anchor="_Toc138159407" w:history="1">
            <w:r w:rsidR="00B47831" w:rsidRPr="00D52446">
              <w:rPr>
                <w:rStyle w:val="Hyperlink"/>
                <w:noProof/>
              </w:rPr>
              <w:t>4.3.2</w:t>
            </w:r>
            <w:r w:rsidR="00B47831">
              <w:rPr>
                <w:rFonts w:eastAsiaTheme="minorEastAsia"/>
                <w:noProof/>
                <w:lang w:eastAsia="en-AU"/>
              </w:rPr>
              <w:tab/>
            </w:r>
            <w:r w:rsidR="00B47831" w:rsidRPr="00D52446">
              <w:rPr>
                <w:rStyle w:val="Hyperlink"/>
                <w:noProof/>
              </w:rPr>
              <w:t>Capacity Building</w:t>
            </w:r>
            <w:r w:rsidR="00B47831">
              <w:rPr>
                <w:noProof/>
                <w:webHidden/>
              </w:rPr>
              <w:tab/>
            </w:r>
            <w:r w:rsidR="00B47831">
              <w:rPr>
                <w:noProof/>
                <w:webHidden/>
              </w:rPr>
              <w:fldChar w:fldCharType="begin"/>
            </w:r>
            <w:r w:rsidR="00B47831">
              <w:rPr>
                <w:noProof/>
                <w:webHidden/>
              </w:rPr>
              <w:instrText xml:space="preserve"> PAGEREF _Toc138159407 \h </w:instrText>
            </w:r>
            <w:r w:rsidR="00B47831">
              <w:rPr>
                <w:noProof/>
                <w:webHidden/>
              </w:rPr>
            </w:r>
            <w:r w:rsidR="00B47831">
              <w:rPr>
                <w:noProof/>
                <w:webHidden/>
              </w:rPr>
              <w:fldChar w:fldCharType="separate"/>
            </w:r>
            <w:r w:rsidR="00736C5C">
              <w:rPr>
                <w:noProof/>
                <w:webHidden/>
              </w:rPr>
              <w:t>11</w:t>
            </w:r>
            <w:r w:rsidR="00B47831">
              <w:rPr>
                <w:noProof/>
                <w:webHidden/>
              </w:rPr>
              <w:fldChar w:fldCharType="end"/>
            </w:r>
          </w:hyperlink>
        </w:p>
        <w:p w14:paraId="15A855E1" w14:textId="2F9A0535" w:rsidR="00B47831" w:rsidRDefault="008D59D7">
          <w:pPr>
            <w:pStyle w:val="TOC3"/>
            <w:rPr>
              <w:rFonts w:eastAsiaTheme="minorEastAsia"/>
              <w:noProof/>
              <w:lang w:eastAsia="en-AU"/>
            </w:rPr>
          </w:pPr>
          <w:hyperlink w:anchor="_Toc138159408" w:history="1">
            <w:r w:rsidR="00B47831" w:rsidRPr="00D52446">
              <w:rPr>
                <w:rStyle w:val="Hyperlink"/>
                <w:noProof/>
              </w:rPr>
              <w:t>4.3.3</w:t>
            </w:r>
            <w:r w:rsidR="00B47831">
              <w:rPr>
                <w:rFonts w:eastAsiaTheme="minorEastAsia"/>
                <w:noProof/>
                <w:lang w:eastAsia="en-AU"/>
              </w:rPr>
              <w:tab/>
            </w:r>
            <w:r w:rsidR="00B47831" w:rsidRPr="00D52446">
              <w:rPr>
                <w:rStyle w:val="Hyperlink"/>
                <w:noProof/>
              </w:rPr>
              <w:t>Funding</w:t>
            </w:r>
            <w:r w:rsidR="00B47831">
              <w:rPr>
                <w:noProof/>
                <w:webHidden/>
              </w:rPr>
              <w:tab/>
            </w:r>
            <w:r w:rsidR="00B47831">
              <w:rPr>
                <w:noProof/>
                <w:webHidden/>
              </w:rPr>
              <w:fldChar w:fldCharType="begin"/>
            </w:r>
            <w:r w:rsidR="00B47831">
              <w:rPr>
                <w:noProof/>
                <w:webHidden/>
              </w:rPr>
              <w:instrText xml:space="preserve"> PAGEREF _Toc138159408 \h </w:instrText>
            </w:r>
            <w:r w:rsidR="00B47831">
              <w:rPr>
                <w:noProof/>
                <w:webHidden/>
              </w:rPr>
            </w:r>
            <w:r w:rsidR="00B47831">
              <w:rPr>
                <w:noProof/>
                <w:webHidden/>
              </w:rPr>
              <w:fldChar w:fldCharType="separate"/>
            </w:r>
            <w:r w:rsidR="00736C5C">
              <w:rPr>
                <w:noProof/>
                <w:webHidden/>
              </w:rPr>
              <w:t>12</w:t>
            </w:r>
            <w:r w:rsidR="00B47831">
              <w:rPr>
                <w:noProof/>
                <w:webHidden/>
              </w:rPr>
              <w:fldChar w:fldCharType="end"/>
            </w:r>
          </w:hyperlink>
        </w:p>
        <w:p w14:paraId="75F34D56" w14:textId="54B320AE" w:rsidR="00B47831" w:rsidRDefault="008D59D7">
          <w:pPr>
            <w:pStyle w:val="TOC2"/>
            <w:rPr>
              <w:rFonts w:eastAsiaTheme="minorEastAsia"/>
              <w:noProof/>
              <w:lang w:eastAsia="en-AU"/>
            </w:rPr>
          </w:pPr>
          <w:hyperlink w:anchor="_Toc138159409" w:history="1">
            <w:r w:rsidR="00B47831" w:rsidRPr="00D52446">
              <w:rPr>
                <w:rStyle w:val="Hyperlink"/>
                <w:noProof/>
              </w:rPr>
              <w:t>4.4</w:t>
            </w:r>
            <w:r w:rsidR="00B47831">
              <w:rPr>
                <w:rFonts w:eastAsiaTheme="minorEastAsia"/>
                <w:noProof/>
                <w:lang w:eastAsia="en-AU"/>
              </w:rPr>
              <w:tab/>
            </w:r>
            <w:r w:rsidR="00B47831" w:rsidRPr="00D52446">
              <w:rPr>
                <w:rStyle w:val="Hyperlink"/>
                <w:noProof/>
              </w:rPr>
              <w:t>Measuring, monitoring, and evaluating results</w:t>
            </w:r>
            <w:r w:rsidR="00B47831">
              <w:rPr>
                <w:noProof/>
                <w:webHidden/>
              </w:rPr>
              <w:tab/>
            </w:r>
            <w:r w:rsidR="00B47831">
              <w:rPr>
                <w:noProof/>
                <w:webHidden/>
              </w:rPr>
              <w:fldChar w:fldCharType="begin"/>
            </w:r>
            <w:r w:rsidR="00B47831">
              <w:rPr>
                <w:noProof/>
                <w:webHidden/>
              </w:rPr>
              <w:instrText xml:space="preserve"> PAGEREF _Toc138159409 \h </w:instrText>
            </w:r>
            <w:r w:rsidR="00B47831">
              <w:rPr>
                <w:noProof/>
                <w:webHidden/>
              </w:rPr>
            </w:r>
            <w:r w:rsidR="00B47831">
              <w:rPr>
                <w:noProof/>
                <w:webHidden/>
              </w:rPr>
              <w:fldChar w:fldCharType="separate"/>
            </w:r>
            <w:r w:rsidR="00736C5C">
              <w:rPr>
                <w:noProof/>
                <w:webHidden/>
              </w:rPr>
              <w:t>13</w:t>
            </w:r>
            <w:r w:rsidR="00B47831">
              <w:rPr>
                <w:noProof/>
                <w:webHidden/>
              </w:rPr>
              <w:fldChar w:fldCharType="end"/>
            </w:r>
          </w:hyperlink>
        </w:p>
        <w:p w14:paraId="11EAC9B7" w14:textId="5F4E95C3" w:rsidR="00B47831" w:rsidRDefault="008D59D7">
          <w:pPr>
            <w:pStyle w:val="TOC3"/>
            <w:rPr>
              <w:rFonts w:eastAsiaTheme="minorEastAsia"/>
              <w:noProof/>
              <w:lang w:eastAsia="en-AU"/>
            </w:rPr>
          </w:pPr>
          <w:hyperlink w:anchor="_Toc138159410" w:history="1">
            <w:r w:rsidR="00B47831" w:rsidRPr="00D52446">
              <w:rPr>
                <w:rStyle w:val="Hyperlink"/>
                <w:noProof/>
              </w:rPr>
              <w:t>4.4.1</w:t>
            </w:r>
            <w:r w:rsidR="00B47831">
              <w:rPr>
                <w:rFonts w:eastAsiaTheme="minorEastAsia"/>
                <w:noProof/>
                <w:lang w:eastAsia="en-AU"/>
              </w:rPr>
              <w:tab/>
            </w:r>
            <w:r w:rsidR="00B47831" w:rsidRPr="00D52446">
              <w:rPr>
                <w:rStyle w:val="Hyperlink"/>
                <w:noProof/>
              </w:rPr>
              <w:t>Program Evaluation – LLND Outcomes</w:t>
            </w:r>
            <w:r w:rsidR="00B47831">
              <w:rPr>
                <w:noProof/>
                <w:webHidden/>
              </w:rPr>
              <w:tab/>
            </w:r>
            <w:r w:rsidR="00B47831">
              <w:rPr>
                <w:noProof/>
                <w:webHidden/>
              </w:rPr>
              <w:fldChar w:fldCharType="begin"/>
            </w:r>
            <w:r w:rsidR="00B47831">
              <w:rPr>
                <w:noProof/>
                <w:webHidden/>
              </w:rPr>
              <w:instrText xml:space="preserve"> PAGEREF _Toc138159410 \h </w:instrText>
            </w:r>
            <w:r w:rsidR="00B47831">
              <w:rPr>
                <w:noProof/>
                <w:webHidden/>
              </w:rPr>
            </w:r>
            <w:r w:rsidR="00B47831">
              <w:rPr>
                <w:noProof/>
                <w:webHidden/>
              </w:rPr>
              <w:fldChar w:fldCharType="separate"/>
            </w:r>
            <w:r w:rsidR="00736C5C">
              <w:rPr>
                <w:noProof/>
                <w:webHidden/>
              </w:rPr>
              <w:t>13</w:t>
            </w:r>
            <w:r w:rsidR="00B47831">
              <w:rPr>
                <w:noProof/>
                <w:webHidden/>
              </w:rPr>
              <w:fldChar w:fldCharType="end"/>
            </w:r>
          </w:hyperlink>
        </w:p>
        <w:p w14:paraId="7749337D" w14:textId="3F8F80B0" w:rsidR="00B47831" w:rsidRDefault="008D59D7">
          <w:pPr>
            <w:pStyle w:val="TOC3"/>
            <w:rPr>
              <w:rFonts w:eastAsiaTheme="minorEastAsia"/>
              <w:noProof/>
              <w:lang w:eastAsia="en-AU"/>
            </w:rPr>
          </w:pPr>
          <w:hyperlink w:anchor="_Toc138159411" w:history="1">
            <w:r w:rsidR="00B47831" w:rsidRPr="00D52446">
              <w:rPr>
                <w:rStyle w:val="Hyperlink"/>
                <w:noProof/>
              </w:rPr>
              <w:t>4.4.2</w:t>
            </w:r>
            <w:r w:rsidR="00B47831">
              <w:rPr>
                <w:rFonts w:eastAsiaTheme="minorEastAsia"/>
                <w:noProof/>
                <w:lang w:eastAsia="en-AU"/>
              </w:rPr>
              <w:tab/>
            </w:r>
            <w:r w:rsidR="00B47831" w:rsidRPr="00D52446">
              <w:rPr>
                <w:rStyle w:val="Hyperlink"/>
                <w:noProof/>
              </w:rPr>
              <w:t>Program Evaluation – Value for Money</w:t>
            </w:r>
            <w:r w:rsidR="00B47831">
              <w:rPr>
                <w:noProof/>
                <w:webHidden/>
              </w:rPr>
              <w:tab/>
            </w:r>
            <w:r w:rsidR="00B47831">
              <w:rPr>
                <w:noProof/>
                <w:webHidden/>
              </w:rPr>
              <w:fldChar w:fldCharType="begin"/>
            </w:r>
            <w:r w:rsidR="00B47831">
              <w:rPr>
                <w:noProof/>
                <w:webHidden/>
              </w:rPr>
              <w:instrText xml:space="preserve"> PAGEREF _Toc138159411 \h </w:instrText>
            </w:r>
            <w:r w:rsidR="00B47831">
              <w:rPr>
                <w:noProof/>
                <w:webHidden/>
              </w:rPr>
            </w:r>
            <w:r w:rsidR="00B47831">
              <w:rPr>
                <w:noProof/>
                <w:webHidden/>
              </w:rPr>
              <w:fldChar w:fldCharType="separate"/>
            </w:r>
            <w:r w:rsidR="00736C5C">
              <w:rPr>
                <w:noProof/>
                <w:webHidden/>
              </w:rPr>
              <w:t>16</w:t>
            </w:r>
            <w:r w:rsidR="00B47831">
              <w:rPr>
                <w:noProof/>
                <w:webHidden/>
              </w:rPr>
              <w:fldChar w:fldCharType="end"/>
            </w:r>
          </w:hyperlink>
        </w:p>
        <w:p w14:paraId="4E494396" w14:textId="24ACD1B9" w:rsidR="00B47831" w:rsidRDefault="008D59D7">
          <w:pPr>
            <w:pStyle w:val="TOC3"/>
            <w:rPr>
              <w:rFonts w:eastAsiaTheme="minorEastAsia"/>
              <w:noProof/>
              <w:lang w:eastAsia="en-AU"/>
            </w:rPr>
          </w:pPr>
          <w:hyperlink w:anchor="_Toc138159412" w:history="1">
            <w:r w:rsidR="00B47831" w:rsidRPr="00D52446">
              <w:rPr>
                <w:rStyle w:val="Hyperlink"/>
                <w:noProof/>
              </w:rPr>
              <w:t>4.4.3</w:t>
            </w:r>
            <w:r w:rsidR="00B47831">
              <w:rPr>
                <w:rFonts w:eastAsiaTheme="minorEastAsia"/>
                <w:noProof/>
                <w:lang w:eastAsia="en-AU"/>
              </w:rPr>
              <w:tab/>
            </w:r>
            <w:r w:rsidR="00B47831" w:rsidRPr="00D52446">
              <w:rPr>
                <w:rStyle w:val="Hyperlink"/>
                <w:noProof/>
              </w:rPr>
              <w:t>Program Evaluation – KPIs</w:t>
            </w:r>
            <w:r w:rsidR="00B47831">
              <w:rPr>
                <w:noProof/>
                <w:webHidden/>
              </w:rPr>
              <w:tab/>
            </w:r>
            <w:r w:rsidR="00B47831">
              <w:rPr>
                <w:noProof/>
                <w:webHidden/>
              </w:rPr>
              <w:fldChar w:fldCharType="begin"/>
            </w:r>
            <w:r w:rsidR="00B47831">
              <w:rPr>
                <w:noProof/>
                <w:webHidden/>
              </w:rPr>
              <w:instrText xml:space="preserve"> PAGEREF _Toc138159412 \h </w:instrText>
            </w:r>
            <w:r w:rsidR="00B47831">
              <w:rPr>
                <w:noProof/>
                <w:webHidden/>
              </w:rPr>
            </w:r>
            <w:r w:rsidR="00B47831">
              <w:rPr>
                <w:noProof/>
                <w:webHidden/>
              </w:rPr>
              <w:fldChar w:fldCharType="separate"/>
            </w:r>
            <w:r w:rsidR="00736C5C">
              <w:rPr>
                <w:noProof/>
                <w:webHidden/>
              </w:rPr>
              <w:t>16</w:t>
            </w:r>
            <w:r w:rsidR="00B47831">
              <w:rPr>
                <w:noProof/>
                <w:webHidden/>
              </w:rPr>
              <w:fldChar w:fldCharType="end"/>
            </w:r>
          </w:hyperlink>
        </w:p>
        <w:p w14:paraId="6BB2B106" w14:textId="4F789F95" w:rsidR="00B47831" w:rsidRDefault="008D59D7">
          <w:pPr>
            <w:pStyle w:val="TOC3"/>
            <w:rPr>
              <w:rFonts w:eastAsiaTheme="minorEastAsia"/>
              <w:noProof/>
              <w:lang w:eastAsia="en-AU"/>
            </w:rPr>
          </w:pPr>
          <w:hyperlink w:anchor="_Toc138159413" w:history="1">
            <w:r w:rsidR="00B47831" w:rsidRPr="00D52446">
              <w:rPr>
                <w:rStyle w:val="Hyperlink"/>
                <w:noProof/>
              </w:rPr>
              <w:t>4.4.4</w:t>
            </w:r>
            <w:r w:rsidR="00B47831">
              <w:rPr>
                <w:rFonts w:eastAsiaTheme="minorEastAsia"/>
                <w:noProof/>
                <w:lang w:eastAsia="en-AU"/>
              </w:rPr>
              <w:tab/>
            </w:r>
            <w:r w:rsidR="00B47831" w:rsidRPr="00D52446">
              <w:rPr>
                <w:rStyle w:val="Hyperlink"/>
                <w:noProof/>
              </w:rPr>
              <w:t>Data Resources</w:t>
            </w:r>
            <w:r w:rsidR="00B47831">
              <w:rPr>
                <w:noProof/>
                <w:webHidden/>
              </w:rPr>
              <w:tab/>
            </w:r>
            <w:r w:rsidR="00B47831">
              <w:rPr>
                <w:noProof/>
                <w:webHidden/>
              </w:rPr>
              <w:fldChar w:fldCharType="begin"/>
            </w:r>
            <w:r w:rsidR="00B47831">
              <w:rPr>
                <w:noProof/>
                <w:webHidden/>
              </w:rPr>
              <w:instrText xml:space="preserve"> PAGEREF _Toc138159413 \h </w:instrText>
            </w:r>
            <w:r w:rsidR="00B47831">
              <w:rPr>
                <w:noProof/>
                <w:webHidden/>
              </w:rPr>
            </w:r>
            <w:r w:rsidR="00B47831">
              <w:rPr>
                <w:noProof/>
                <w:webHidden/>
              </w:rPr>
              <w:fldChar w:fldCharType="separate"/>
            </w:r>
            <w:r w:rsidR="00736C5C">
              <w:rPr>
                <w:noProof/>
                <w:webHidden/>
              </w:rPr>
              <w:t>17</w:t>
            </w:r>
            <w:r w:rsidR="00B47831">
              <w:rPr>
                <w:noProof/>
                <w:webHidden/>
              </w:rPr>
              <w:fldChar w:fldCharType="end"/>
            </w:r>
          </w:hyperlink>
        </w:p>
        <w:p w14:paraId="413E23B9" w14:textId="45575967" w:rsidR="00B47831" w:rsidRDefault="008D59D7">
          <w:pPr>
            <w:pStyle w:val="TOC2"/>
            <w:rPr>
              <w:rFonts w:eastAsiaTheme="minorEastAsia"/>
              <w:noProof/>
              <w:lang w:eastAsia="en-AU"/>
            </w:rPr>
          </w:pPr>
          <w:hyperlink w:anchor="_Toc138159414" w:history="1">
            <w:r w:rsidR="00B47831" w:rsidRPr="00D52446">
              <w:rPr>
                <w:rStyle w:val="Hyperlink"/>
                <w:noProof/>
              </w:rPr>
              <w:t>4.5</w:t>
            </w:r>
            <w:r w:rsidR="00B47831">
              <w:rPr>
                <w:rFonts w:eastAsiaTheme="minorEastAsia"/>
                <w:noProof/>
                <w:lang w:eastAsia="en-AU"/>
              </w:rPr>
              <w:tab/>
            </w:r>
            <w:r w:rsidR="00B47831" w:rsidRPr="00D52446">
              <w:rPr>
                <w:rStyle w:val="Hyperlink"/>
                <w:noProof/>
              </w:rPr>
              <w:t>Support for foundation skills sector and workforce</w:t>
            </w:r>
            <w:r w:rsidR="00B47831">
              <w:rPr>
                <w:noProof/>
                <w:webHidden/>
              </w:rPr>
              <w:tab/>
            </w:r>
            <w:r w:rsidR="00B47831">
              <w:rPr>
                <w:noProof/>
                <w:webHidden/>
              </w:rPr>
              <w:fldChar w:fldCharType="begin"/>
            </w:r>
            <w:r w:rsidR="00B47831">
              <w:rPr>
                <w:noProof/>
                <w:webHidden/>
              </w:rPr>
              <w:instrText xml:space="preserve"> PAGEREF _Toc138159414 \h </w:instrText>
            </w:r>
            <w:r w:rsidR="00B47831">
              <w:rPr>
                <w:noProof/>
                <w:webHidden/>
              </w:rPr>
            </w:r>
            <w:r w:rsidR="00B47831">
              <w:rPr>
                <w:noProof/>
                <w:webHidden/>
              </w:rPr>
              <w:fldChar w:fldCharType="separate"/>
            </w:r>
            <w:r w:rsidR="00736C5C">
              <w:rPr>
                <w:noProof/>
                <w:webHidden/>
              </w:rPr>
              <w:t>17</w:t>
            </w:r>
            <w:r w:rsidR="00B47831">
              <w:rPr>
                <w:noProof/>
                <w:webHidden/>
              </w:rPr>
              <w:fldChar w:fldCharType="end"/>
            </w:r>
          </w:hyperlink>
        </w:p>
        <w:p w14:paraId="07ED4375" w14:textId="7AF62D3C" w:rsidR="00B47831" w:rsidRDefault="008D59D7">
          <w:pPr>
            <w:pStyle w:val="TOC3"/>
            <w:rPr>
              <w:rFonts w:eastAsiaTheme="minorEastAsia"/>
              <w:noProof/>
              <w:lang w:eastAsia="en-AU"/>
            </w:rPr>
          </w:pPr>
          <w:hyperlink w:anchor="_Toc138159415" w:history="1">
            <w:r w:rsidR="00B47831" w:rsidRPr="00D52446">
              <w:rPr>
                <w:rStyle w:val="Hyperlink"/>
                <w:noProof/>
              </w:rPr>
              <w:t>4.5.1</w:t>
            </w:r>
            <w:r w:rsidR="00B47831">
              <w:rPr>
                <w:rFonts w:eastAsiaTheme="minorEastAsia"/>
                <w:noProof/>
                <w:lang w:eastAsia="en-AU"/>
              </w:rPr>
              <w:tab/>
            </w:r>
            <w:r w:rsidR="00B47831" w:rsidRPr="00D52446">
              <w:rPr>
                <w:rStyle w:val="Hyperlink"/>
                <w:noProof/>
              </w:rPr>
              <w:t>Capacity Building</w:t>
            </w:r>
            <w:r w:rsidR="00B47831">
              <w:rPr>
                <w:noProof/>
                <w:webHidden/>
              </w:rPr>
              <w:tab/>
            </w:r>
            <w:r w:rsidR="00B47831">
              <w:rPr>
                <w:noProof/>
                <w:webHidden/>
              </w:rPr>
              <w:fldChar w:fldCharType="begin"/>
            </w:r>
            <w:r w:rsidR="00B47831">
              <w:rPr>
                <w:noProof/>
                <w:webHidden/>
              </w:rPr>
              <w:instrText xml:space="preserve"> PAGEREF _Toc138159415 \h </w:instrText>
            </w:r>
            <w:r w:rsidR="00B47831">
              <w:rPr>
                <w:noProof/>
                <w:webHidden/>
              </w:rPr>
            </w:r>
            <w:r w:rsidR="00B47831">
              <w:rPr>
                <w:noProof/>
                <w:webHidden/>
              </w:rPr>
              <w:fldChar w:fldCharType="separate"/>
            </w:r>
            <w:r w:rsidR="00736C5C">
              <w:rPr>
                <w:noProof/>
                <w:webHidden/>
              </w:rPr>
              <w:t>18</w:t>
            </w:r>
            <w:r w:rsidR="00B47831">
              <w:rPr>
                <w:noProof/>
                <w:webHidden/>
              </w:rPr>
              <w:fldChar w:fldCharType="end"/>
            </w:r>
          </w:hyperlink>
        </w:p>
        <w:p w14:paraId="34418B6A" w14:textId="10F04764" w:rsidR="00B47831" w:rsidRDefault="008D59D7">
          <w:pPr>
            <w:pStyle w:val="TOC3"/>
            <w:rPr>
              <w:rFonts w:eastAsiaTheme="minorEastAsia"/>
              <w:noProof/>
              <w:lang w:eastAsia="en-AU"/>
            </w:rPr>
          </w:pPr>
          <w:hyperlink w:anchor="_Toc138159416" w:history="1">
            <w:r w:rsidR="00B47831" w:rsidRPr="00D52446">
              <w:rPr>
                <w:rStyle w:val="Hyperlink"/>
                <w:noProof/>
              </w:rPr>
              <w:t>4.5.2</w:t>
            </w:r>
            <w:r w:rsidR="00B47831">
              <w:rPr>
                <w:rFonts w:eastAsiaTheme="minorEastAsia"/>
                <w:noProof/>
                <w:lang w:eastAsia="en-AU"/>
              </w:rPr>
              <w:tab/>
            </w:r>
            <w:r w:rsidR="00B47831" w:rsidRPr="00D52446">
              <w:rPr>
                <w:rStyle w:val="Hyperlink"/>
                <w:noProof/>
              </w:rPr>
              <w:t>Building Community Level Workforce</w:t>
            </w:r>
            <w:r w:rsidR="00B47831">
              <w:rPr>
                <w:noProof/>
                <w:webHidden/>
              </w:rPr>
              <w:tab/>
            </w:r>
            <w:r w:rsidR="00B47831">
              <w:rPr>
                <w:noProof/>
                <w:webHidden/>
              </w:rPr>
              <w:fldChar w:fldCharType="begin"/>
            </w:r>
            <w:r w:rsidR="00B47831">
              <w:rPr>
                <w:noProof/>
                <w:webHidden/>
              </w:rPr>
              <w:instrText xml:space="preserve"> PAGEREF _Toc138159416 \h </w:instrText>
            </w:r>
            <w:r w:rsidR="00B47831">
              <w:rPr>
                <w:noProof/>
                <w:webHidden/>
              </w:rPr>
            </w:r>
            <w:r w:rsidR="00B47831">
              <w:rPr>
                <w:noProof/>
                <w:webHidden/>
              </w:rPr>
              <w:fldChar w:fldCharType="separate"/>
            </w:r>
            <w:r w:rsidR="00736C5C">
              <w:rPr>
                <w:noProof/>
                <w:webHidden/>
              </w:rPr>
              <w:t>18</w:t>
            </w:r>
            <w:r w:rsidR="00B47831">
              <w:rPr>
                <w:noProof/>
                <w:webHidden/>
              </w:rPr>
              <w:fldChar w:fldCharType="end"/>
            </w:r>
          </w:hyperlink>
        </w:p>
        <w:p w14:paraId="518E25EB" w14:textId="3BFECEB9" w:rsidR="00B47831" w:rsidRDefault="008D59D7">
          <w:pPr>
            <w:pStyle w:val="TOC2"/>
            <w:rPr>
              <w:rFonts w:eastAsiaTheme="minorEastAsia"/>
              <w:noProof/>
              <w:lang w:eastAsia="en-AU"/>
            </w:rPr>
          </w:pPr>
          <w:hyperlink w:anchor="_Toc138159417" w:history="1">
            <w:r w:rsidR="00B47831" w:rsidRPr="00D52446">
              <w:rPr>
                <w:rStyle w:val="Hyperlink"/>
                <w:noProof/>
              </w:rPr>
              <w:t>4.6</w:t>
            </w:r>
            <w:r w:rsidR="00B47831">
              <w:rPr>
                <w:rFonts w:eastAsiaTheme="minorEastAsia"/>
                <w:noProof/>
                <w:lang w:eastAsia="en-AU"/>
              </w:rPr>
              <w:tab/>
            </w:r>
            <w:r w:rsidR="00B47831" w:rsidRPr="00D52446">
              <w:rPr>
                <w:rStyle w:val="Hyperlink"/>
                <w:noProof/>
              </w:rPr>
              <w:t>Commonwealth, state, and territory government collaboration</w:t>
            </w:r>
            <w:r w:rsidR="00B47831">
              <w:rPr>
                <w:noProof/>
                <w:webHidden/>
              </w:rPr>
              <w:tab/>
            </w:r>
            <w:r w:rsidR="00B47831">
              <w:rPr>
                <w:noProof/>
                <w:webHidden/>
              </w:rPr>
              <w:fldChar w:fldCharType="begin"/>
            </w:r>
            <w:r w:rsidR="00B47831">
              <w:rPr>
                <w:noProof/>
                <w:webHidden/>
              </w:rPr>
              <w:instrText xml:space="preserve"> PAGEREF _Toc138159417 \h </w:instrText>
            </w:r>
            <w:r w:rsidR="00B47831">
              <w:rPr>
                <w:noProof/>
                <w:webHidden/>
              </w:rPr>
            </w:r>
            <w:r w:rsidR="00B47831">
              <w:rPr>
                <w:noProof/>
                <w:webHidden/>
              </w:rPr>
              <w:fldChar w:fldCharType="separate"/>
            </w:r>
            <w:r w:rsidR="00736C5C">
              <w:rPr>
                <w:noProof/>
                <w:webHidden/>
              </w:rPr>
              <w:t>19</w:t>
            </w:r>
            <w:r w:rsidR="00B47831">
              <w:rPr>
                <w:noProof/>
                <w:webHidden/>
              </w:rPr>
              <w:fldChar w:fldCharType="end"/>
            </w:r>
          </w:hyperlink>
        </w:p>
        <w:p w14:paraId="55517BFD" w14:textId="67346084" w:rsidR="00B47831" w:rsidRDefault="008D59D7">
          <w:pPr>
            <w:pStyle w:val="TOC3"/>
            <w:rPr>
              <w:rFonts w:eastAsiaTheme="minorEastAsia"/>
              <w:noProof/>
              <w:lang w:eastAsia="en-AU"/>
            </w:rPr>
          </w:pPr>
          <w:hyperlink w:anchor="_Toc138159418" w:history="1">
            <w:r w:rsidR="00B47831" w:rsidRPr="00D52446">
              <w:rPr>
                <w:rStyle w:val="Hyperlink"/>
                <w:noProof/>
              </w:rPr>
              <w:t>4.6.1</w:t>
            </w:r>
            <w:r w:rsidR="00B47831">
              <w:rPr>
                <w:rFonts w:eastAsiaTheme="minorEastAsia"/>
                <w:noProof/>
                <w:lang w:eastAsia="en-AU"/>
              </w:rPr>
              <w:tab/>
            </w:r>
            <w:r w:rsidR="00B47831" w:rsidRPr="00D52446">
              <w:rPr>
                <w:rStyle w:val="Hyperlink"/>
                <w:noProof/>
              </w:rPr>
              <w:t>Duplication</w:t>
            </w:r>
            <w:r w:rsidR="00B47831">
              <w:rPr>
                <w:noProof/>
                <w:webHidden/>
              </w:rPr>
              <w:tab/>
            </w:r>
            <w:r w:rsidR="00B47831">
              <w:rPr>
                <w:noProof/>
                <w:webHidden/>
              </w:rPr>
              <w:fldChar w:fldCharType="begin"/>
            </w:r>
            <w:r w:rsidR="00B47831">
              <w:rPr>
                <w:noProof/>
                <w:webHidden/>
              </w:rPr>
              <w:instrText xml:space="preserve"> PAGEREF _Toc138159418 \h </w:instrText>
            </w:r>
            <w:r w:rsidR="00B47831">
              <w:rPr>
                <w:noProof/>
                <w:webHidden/>
              </w:rPr>
            </w:r>
            <w:r w:rsidR="00B47831">
              <w:rPr>
                <w:noProof/>
                <w:webHidden/>
              </w:rPr>
              <w:fldChar w:fldCharType="separate"/>
            </w:r>
            <w:r w:rsidR="00736C5C">
              <w:rPr>
                <w:noProof/>
                <w:webHidden/>
              </w:rPr>
              <w:t>20</w:t>
            </w:r>
            <w:r w:rsidR="00B47831">
              <w:rPr>
                <w:noProof/>
                <w:webHidden/>
              </w:rPr>
              <w:fldChar w:fldCharType="end"/>
            </w:r>
          </w:hyperlink>
        </w:p>
        <w:p w14:paraId="320E8E06" w14:textId="23AE3A9B" w:rsidR="00B47831" w:rsidRDefault="008D59D7">
          <w:pPr>
            <w:pStyle w:val="TOC3"/>
            <w:rPr>
              <w:rFonts w:eastAsiaTheme="minorEastAsia"/>
              <w:noProof/>
              <w:lang w:eastAsia="en-AU"/>
            </w:rPr>
          </w:pPr>
          <w:hyperlink w:anchor="_Toc138159419" w:history="1">
            <w:r w:rsidR="00B47831" w:rsidRPr="00D52446">
              <w:rPr>
                <w:rStyle w:val="Hyperlink"/>
                <w:noProof/>
              </w:rPr>
              <w:t>4.6.2</w:t>
            </w:r>
            <w:r w:rsidR="00B47831">
              <w:rPr>
                <w:rFonts w:eastAsiaTheme="minorEastAsia"/>
                <w:noProof/>
                <w:lang w:eastAsia="en-AU"/>
              </w:rPr>
              <w:tab/>
            </w:r>
            <w:r w:rsidR="00B47831" w:rsidRPr="00D52446">
              <w:rPr>
                <w:rStyle w:val="Hyperlink"/>
                <w:noProof/>
              </w:rPr>
              <w:t>Accessibility</w:t>
            </w:r>
            <w:r w:rsidR="00B47831">
              <w:rPr>
                <w:noProof/>
                <w:webHidden/>
              </w:rPr>
              <w:tab/>
            </w:r>
            <w:r w:rsidR="00B47831">
              <w:rPr>
                <w:noProof/>
                <w:webHidden/>
              </w:rPr>
              <w:fldChar w:fldCharType="begin"/>
            </w:r>
            <w:r w:rsidR="00B47831">
              <w:rPr>
                <w:noProof/>
                <w:webHidden/>
              </w:rPr>
              <w:instrText xml:space="preserve"> PAGEREF _Toc138159419 \h </w:instrText>
            </w:r>
            <w:r w:rsidR="00B47831">
              <w:rPr>
                <w:noProof/>
                <w:webHidden/>
              </w:rPr>
            </w:r>
            <w:r w:rsidR="00B47831">
              <w:rPr>
                <w:noProof/>
                <w:webHidden/>
              </w:rPr>
              <w:fldChar w:fldCharType="separate"/>
            </w:r>
            <w:r w:rsidR="00736C5C">
              <w:rPr>
                <w:noProof/>
                <w:webHidden/>
              </w:rPr>
              <w:t>20</w:t>
            </w:r>
            <w:r w:rsidR="00B47831">
              <w:rPr>
                <w:noProof/>
                <w:webHidden/>
              </w:rPr>
              <w:fldChar w:fldCharType="end"/>
            </w:r>
          </w:hyperlink>
        </w:p>
        <w:p w14:paraId="736B5258" w14:textId="3A3F6E72" w:rsidR="00B47831" w:rsidRDefault="008D59D7">
          <w:pPr>
            <w:pStyle w:val="TOC1"/>
            <w:rPr>
              <w:rFonts w:eastAsiaTheme="minorEastAsia"/>
              <w:b w:val="0"/>
              <w:noProof/>
              <w:lang w:eastAsia="en-AU"/>
            </w:rPr>
          </w:pPr>
          <w:hyperlink w:anchor="_Toc138159420" w:history="1">
            <w:r w:rsidR="00B47831" w:rsidRPr="00D52446">
              <w:rPr>
                <w:rStyle w:val="Hyperlink"/>
                <w:noProof/>
              </w:rPr>
              <w:t>5.0</w:t>
            </w:r>
            <w:r w:rsidR="00B47831">
              <w:rPr>
                <w:rFonts w:eastAsiaTheme="minorEastAsia"/>
                <w:b w:val="0"/>
                <w:noProof/>
                <w:lang w:eastAsia="en-AU"/>
              </w:rPr>
              <w:tab/>
            </w:r>
            <w:r w:rsidR="00B47831" w:rsidRPr="00D52446">
              <w:rPr>
                <w:rStyle w:val="Hyperlink"/>
                <w:noProof/>
              </w:rPr>
              <w:t>General comments</w:t>
            </w:r>
            <w:r w:rsidR="00B47831">
              <w:rPr>
                <w:noProof/>
                <w:webHidden/>
              </w:rPr>
              <w:tab/>
            </w:r>
            <w:r w:rsidR="00B47831">
              <w:rPr>
                <w:noProof/>
                <w:webHidden/>
              </w:rPr>
              <w:fldChar w:fldCharType="begin"/>
            </w:r>
            <w:r w:rsidR="00B47831">
              <w:rPr>
                <w:noProof/>
                <w:webHidden/>
              </w:rPr>
              <w:instrText xml:space="preserve"> PAGEREF _Toc138159420 \h </w:instrText>
            </w:r>
            <w:r w:rsidR="00B47831">
              <w:rPr>
                <w:noProof/>
                <w:webHidden/>
              </w:rPr>
            </w:r>
            <w:r w:rsidR="00B47831">
              <w:rPr>
                <w:noProof/>
                <w:webHidden/>
              </w:rPr>
              <w:fldChar w:fldCharType="separate"/>
            </w:r>
            <w:r w:rsidR="00736C5C">
              <w:rPr>
                <w:noProof/>
                <w:webHidden/>
              </w:rPr>
              <w:t>21</w:t>
            </w:r>
            <w:r w:rsidR="00B47831">
              <w:rPr>
                <w:noProof/>
                <w:webHidden/>
              </w:rPr>
              <w:fldChar w:fldCharType="end"/>
            </w:r>
          </w:hyperlink>
        </w:p>
        <w:p w14:paraId="7742F5D2" w14:textId="08C43CAB" w:rsidR="00B47831" w:rsidRDefault="008D59D7">
          <w:pPr>
            <w:pStyle w:val="TOC2"/>
            <w:rPr>
              <w:rFonts w:eastAsiaTheme="minorEastAsia"/>
              <w:noProof/>
              <w:lang w:eastAsia="en-AU"/>
            </w:rPr>
          </w:pPr>
          <w:hyperlink w:anchor="_Toc138159421" w:history="1">
            <w:r w:rsidR="00B47831" w:rsidRPr="00D52446">
              <w:rPr>
                <w:rStyle w:val="Hyperlink"/>
                <w:rFonts w:eastAsia="Calibri" w:cs="Calibri"/>
                <w:noProof/>
              </w:rPr>
              <w:t>5.1</w:t>
            </w:r>
            <w:r w:rsidR="00B47831">
              <w:rPr>
                <w:rFonts w:eastAsiaTheme="minorEastAsia"/>
                <w:noProof/>
                <w:lang w:eastAsia="en-AU"/>
              </w:rPr>
              <w:tab/>
            </w:r>
            <w:r w:rsidR="00B47831" w:rsidRPr="00D52446">
              <w:rPr>
                <w:rStyle w:val="Hyperlink"/>
                <w:rFonts w:eastAsia="Calibri" w:cs="Calibri"/>
                <w:noProof/>
              </w:rPr>
              <w:t>Submission Formats</w:t>
            </w:r>
            <w:r w:rsidR="00B47831">
              <w:rPr>
                <w:noProof/>
                <w:webHidden/>
              </w:rPr>
              <w:tab/>
            </w:r>
            <w:r w:rsidR="00B47831">
              <w:rPr>
                <w:noProof/>
                <w:webHidden/>
              </w:rPr>
              <w:fldChar w:fldCharType="begin"/>
            </w:r>
            <w:r w:rsidR="00B47831">
              <w:rPr>
                <w:noProof/>
                <w:webHidden/>
              </w:rPr>
              <w:instrText xml:space="preserve"> PAGEREF _Toc138159421 \h </w:instrText>
            </w:r>
            <w:r w:rsidR="00B47831">
              <w:rPr>
                <w:noProof/>
                <w:webHidden/>
              </w:rPr>
            </w:r>
            <w:r w:rsidR="00B47831">
              <w:rPr>
                <w:noProof/>
                <w:webHidden/>
              </w:rPr>
              <w:fldChar w:fldCharType="separate"/>
            </w:r>
            <w:r w:rsidR="00736C5C">
              <w:rPr>
                <w:noProof/>
                <w:webHidden/>
              </w:rPr>
              <w:t>21</w:t>
            </w:r>
            <w:r w:rsidR="00B47831">
              <w:rPr>
                <w:noProof/>
                <w:webHidden/>
              </w:rPr>
              <w:fldChar w:fldCharType="end"/>
            </w:r>
          </w:hyperlink>
        </w:p>
        <w:p w14:paraId="5EDD833B" w14:textId="2EA4438C" w:rsidR="00B47831" w:rsidRDefault="008D59D7">
          <w:pPr>
            <w:pStyle w:val="TOC3"/>
            <w:rPr>
              <w:rFonts w:eastAsiaTheme="minorEastAsia"/>
              <w:noProof/>
              <w:lang w:eastAsia="en-AU"/>
            </w:rPr>
          </w:pPr>
          <w:hyperlink w:anchor="_Toc138159422" w:history="1">
            <w:r w:rsidR="00B47831" w:rsidRPr="00D52446">
              <w:rPr>
                <w:rStyle w:val="Hyperlink"/>
                <w:noProof/>
              </w:rPr>
              <w:t>5.1.1</w:t>
            </w:r>
            <w:r w:rsidR="00B47831">
              <w:rPr>
                <w:rFonts w:eastAsiaTheme="minorEastAsia"/>
                <w:noProof/>
                <w:lang w:eastAsia="en-AU"/>
              </w:rPr>
              <w:tab/>
            </w:r>
            <w:r w:rsidR="00B47831" w:rsidRPr="00D52446">
              <w:rPr>
                <w:rStyle w:val="Hyperlink"/>
                <w:noProof/>
              </w:rPr>
              <w:t>Written Submissions</w:t>
            </w:r>
            <w:r w:rsidR="00B47831">
              <w:rPr>
                <w:noProof/>
                <w:webHidden/>
              </w:rPr>
              <w:tab/>
            </w:r>
            <w:r w:rsidR="00B47831">
              <w:rPr>
                <w:noProof/>
                <w:webHidden/>
              </w:rPr>
              <w:fldChar w:fldCharType="begin"/>
            </w:r>
            <w:r w:rsidR="00B47831">
              <w:rPr>
                <w:noProof/>
                <w:webHidden/>
              </w:rPr>
              <w:instrText xml:space="preserve"> PAGEREF _Toc138159422 \h </w:instrText>
            </w:r>
            <w:r w:rsidR="00B47831">
              <w:rPr>
                <w:noProof/>
                <w:webHidden/>
              </w:rPr>
            </w:r>
            <w:r w:rsidR="00B47831">
              <w:rPr>
                <w:noProof/>
                <w:webHidden/>
              </w:rPr>
              <w:fldChar w:fldCharType="separate"/>
            </w:r>
            <w:r w:rsidR="00736C5C">
              <w:rPr>
                <w:noProof/>
                <w:webHidden/>
              </w:rPr>
              <w:t>21</w:t>
            </w:r>
            <w:r w:rsidR="00B47831">
              <w:rPr>
                <w:noProof/>
                <w:webHidden/>
              </w:rPr>
              <w:fldChar w:fldCharType="end"/>
            </w:r>
          </w:hyperlink>
        </w:p>
        <w:p w14:paraId="730057B4" w14:textId="5DB53F8F" w:rsidR="00B47831" w:rsidRDefault="008D59D7">
          <w:pPr>
            <w:pStyle w:val="TOC3"/>
            <w:rPr>
              <w:rFonts w:eastAsiaTheme="minorEastAsia"/>
              <w:noProof/>
              <w:lang w:eastAsia="en-AU"/>
            </w:rPr>
          </w:pPr>
          <w:hyperlink w:anchor="_Toc138159423" w:history="1">
            <w:r w:rsidR="00B47831" w:rsidRPr="00D52446">
              <w:rPr>
                <w:rStyle w:val="Hyperlink"/>
                <w:noProof/>
              </w:rPr>
              <w:t>5.1.2</w:t>
            </w:r>
            <w:r w:rsidR="00B47831">
              <w:rPr>
                <w:rFonts w:eastAsiaTheme="minorEastAsia"/>
                <w:noProof/>
                <w:lang w:eastAsia="en-AU"/>
              </w:rPr>
              <w:tab/>
            </w:r>
            <w:r w:rsidR="00B47831" w:rsidRPr="00D52446">
              <w:rPr>
                <w:rStyle w:val="Hyperlink"/>
                <w:noProof/>
              </w:rPr>
              <w:t>Online Workshops</w:t>
            </w:r>
            <w:r w:rsidR="00B47831">
              <w:rPr>
                <w:noProof/>
                <w:webHidden/>
              </w:rPr>
              <w:tab/>
            </w:r>
            <w:r w:rsidR="00B47831">
              <w:rPr>
                <w:noProof/>
                <w:webHidden/>
              </w:rPr>
              <w:fldChar w:fldCharType="begin"/>
            </w:r>
            <w:r w:rsidR="00B47831">
              <w:rPr>
                <w:noProof/>
                <w:webHidden/>
              </w:rPr>
              <w:instrText xml:space="preserve"> PAGEREF _Toc138159423 \h </w:instrText>
            </w:r>
            <w:r w:rsidR="00B47831">
              <w:rPr>
                <w:noProof/>
                <w:webHidden/>
              </w:rPr>
            </w:r>
            <w:r w:rsidR="00B47831">
              <w:rPr>
                <w:noProof/>
                <w:webHidden/>
              </w:rPr>
              <w:fldChar w:fldCharType="separate"/>
            </w:r>
            <w:r w:rsidR="00736C5C">
              <w:rPr>
                <w:noProof/>
                <w:webHidden/>
              </w:rPr>
              <w:t>21</w:t>
            </w:r>
            <w:r w:rsidR="00B47831">
              <w:rPr>
                <w:noProof/>
                <w:webHidden/>
              </w:rPr>
              <w:fldChar w:fldCharType="end"/>
            </w:r>
          </w:hyperlink>
        </w:p>
        <w:p w14:paraId="6F319C75" w14:textId="742AB453" w:rsidR="00B47831" w:rsidRDefault="008D59D7">
          <w:pPr>
            <w:pStyle w:val="TOC3"/>
            <w:rPr>
              <w:rFonts w:eastAsiaTheme="minorEastAsia"/>
              <w:noProof/>
              <w:lang w:eastAsia="en-AU"/>
            </w:rPr>
          </w:pPr>
          <w:hyperlink w:anchor="_Toc138159424" w:history="1">
            <w:r w:rsidR="00B47831" w:rsidRPr="00D52446">
              <w:rPr>
                <w:rStyle w:val="Hyperlink"/>
                <w:rFonts w:eastAsia="Calibri" w:cs="Calibri"/>
                <w:noProof/>
              </w:rPr>
              <w:t>5.1.3</w:t>
            </w:r>
            <w:r w:rsidR="00B47831">
              <w:rPr>
                <w:rFonts w:eastAsiaTheme="minorEastAsia"/>
                <w:noProof/>
                <w:lang w:eastAsia="en-AU"/>
              </w:rPr>
              <w:tab/>
            </w:r>
            <w:r w:rsidR="00B47831" w:rsidRPr="00D52446">
              <w:rPr>
                <w:rStyle w:val="Hyperlink"/>
                <w:rFonts w:eastAsia="Calibri" w:cs="Calibri"/>
                <w:noProof/>
              </w:rPr>
              <w:t xml:space="preserve">Online </w:t>
            </w:r>
            <w:r w:rsidR="00B47831" w:rsidRPr="00D52446">
              <w:rPr>
                <w:rStyle w:val="Hyperlink"/>
                <w:noProof/>
              </w:rPr>
              <w:t>Survey</w:t>
            </w:r>
            <w:r w:rsidR="00B47831">
              <w:rPr>
                <w:noProof/>
                <w:webHidden/>
              </w:rPr>
              <w:tab/>
            </w:r>
            <w:r w:rsidR="00B47831">
              <w:rPr>
                <w:noProof/>
                <w:webHidden/>
              </w:rPr>
              <w:fldChar w:fldCharType="begin"/>
            </w:r>
            <w:r w:rsidR="00B47831">
              <w:rPr>
                <w:noProof/>
                <w:webHidden/>
              </w:rPr>
              <w:instrText xml:space="preserve"> PAGEREF _Toc138159424 \h </w:instrText>
            </w:r>
            <w:r w:rsidR="00B47831">
              <w:rPr>
                <w:noProof/>
                <w:webHidden/>
              </w:rPr>
            </w:r>
            <w:r w:rsidR="00B47831">
              <w:rPr>
                <w:noProof/>
                <w:webHidden/>
              </w:rPr>
              <w:fldChar w:fldCharType="separate"/>
            </w:r>
            <w:r w:rsidR="00736C5C">
              <w:rPr>
                <w:noProof/>
                <w:webHidden/>
              </w:rPr>
              <w:t>21</w:t>
            </w:r>
            <w:r w:rsidR="00B47831">
              <w:rPr>
                <w:noProof/>
                <w:webHidden/>
              </w:rPr>
              <w:fldChar w:fldCharType="end"/>
            </w:r>
          </w:hyperlink>
        </w:p>
        <w:p w14:paraId="5D4C2F4F" w14:textId="3F66DB35" w:rsidR="00B47831" w:rsidRDefault="008D59D7">
          <w:pPr>
            <w:pStyle w:val="TOC1"/>
            <w:rPr>
              <w:rFonts w:eastAsiaTheme="minorEastAsia"/>
              <w:b w:val="0"/>
              <w:noProof/>
              <w:lang w:eastAsia="en-AU"/>
            </w:rPr>
          </w:pPr>
          <w:hyperlink w:anchor="_Toc138159425" w:history="1">
            <w:r w:rsidR="00B47831" w:rsidRPr="00D52446">
              <w:rPr>
                <w:rStyle w:val="Hyperlink"/>
                <w:noProof/>
              </w:rPr>
              <w:t>6.0</w:t>
            </w:r>
            <w:r w:rsidR="00B47831">
              <w:rPr>
                <w:rFonts w:eastAsiaTheme="minorEastAsia"/>
                <w:b w:val="0"/>
                <w:noProof/>
                <w:lang w:eastAsia="en-AU"/>
              </w:rPr>
              <w:tab/>
            </w:r>
            <w:r w:rsidR="00B47831" w:rsidRPr="00D52446">
              <w:rPr>
                <w:rStyle w:val="Hyperlink"/>
                <w:noProof/>
              </w:rPr>
              <w:t>Next Steps</w:t>
            </w:r>
            <w:r w:rsidR="00B47831">
              <w:rPr>
                <w:noProof/>
                <w:webHidden/>
              </w:rPr>
              <w:tab/>
            </w:r>
            <w:r w:rsidR="00B47831">
              <w:rPr>
                <w:noProof/>
                <w:webHidden/>
              </w:rPr>
              <w:fldChar w:fldCharType="begin"/>
            </w:r>
            <w:r w:rsidR="00B47831">
              <w:rPr>
                <w:noProof/>
                <w:webHidden/>
              </w:rPr>
              <w:instrText xml:space="preserve"> PAGEREF _Toc138159425 \h </w:instrText>
            </w:r>
            <w:r w:rsidR="00B47831">
              <w:rPr>
                <w:noProof/>
                <w:webHidden/>
              </w:rPr>
            </w:r>
            <w:r w:rsidR="00B47831">
              <w:rPr>
                <w:noProof/>
                <w:webHidden/>
              </w:rPr>
              <w:fldChar w:fldCharType="separate"/>
            </w:r>
            <w:r w:rsidR="00736C5C">
              <w:rPr>
                <w:noProof/>
                <w:webHidden/>
              </w:rPr>
              <w:t>22</w:t>
            </w:r>
            <w:r w:rsidR="00B47831">
              <w:rPr>
                <w:noProof/>
                <w:webHidden/>
              </w:rPr>
              <w:fldChar w:fldCharType="end"/>
            </w:r>
          </w:hyperlink>
        </w:p>
        <w:p w14:paraId="4EBFDED0" w14:textId="22B88D56" w:rsidR="00B47831" w:rsidRDefault="008D59D7">
          <w:pPr>
            <w:pStyle w:val="TOC1"/>
            <w:rPr>
              <w:rFonts w:eastAsiaTheme="minorEastAsia"/>
              <w:b w:val="0"/>
              <w:noProof/>
              <w:lang w:eastAsia="en-AU"/>
            </w:rPr>
          </w:pPr>
          <w:hyperlink w:anchor="_Toc138159426" w:history="1">
            <w:r w:rsidR="00B47831" w:rsidRPr="00D52446">
              <w:rPr>
                <w:rStyle w:val="Hyperlink"/>
                <w:noProof/>
              </w:rPr>
              <w:t>7.0</w:t>
            </w:r>
            <w:r w:rsidR="00B47831">
              <w:rPr>
                <w:rFonts w:eastAsiaTheme="minorEastAsia"/>
                <w:b w:val="0"/>
                <w:noProof/>
                <w:lang w:eastAsia="en-AU"/>
              </w:rPr>
              <w:tab/>
            </w:r>
            <w:r w:rsidR="00B47831" w:rsidRPr="00D52446">
              <w:rPr>
                <w:rStyle w:val="Hyperlink"/>
                <w:noProof/>
              </w:rPr>
              <w:t xml:space="preserve">Appendix A - Discussion Paper on </w:t>
            </w:r>
            <w:r w:rsidR="00B47831" w:rsidRPr="00D52446">
              <w:rPr>
                <w:rStyle w:val="Hyperlink"/>
                <w:i/>
                <w:iCs/>
                <w:noProof/>
              </w:rPr>
              <w:t>Future delivery of foundation skills training in remote Australia</w:t>
            </w:r>
            <w:r w:rsidR="00B47831">
              <w:rPr>
                <w:noProof/>
                <w:webHidden/>
              </w:rPr>
              <w:tab/>
            </w:r>
            <w:r w:rsidR="00B47831">
              <w:rPr>
                <w:noProof/>
                <w:webHidden/>
              </w:rPr>
              <w:fldChar w:fldCharType="begin"/>
            </w:r>
            <w:r w:rsidR="00B47831">
              <w:rPr>
                <w:noProof/>
                <w:webHidden/>
              </w:rPr>
              <w:instrText xml:space="preserve"> PAGEREF _Toc138159426 \h </w:instrText>
            </w:r>
            <w:r w:rsidR="00B47831">
              <w:rPr>
                <w:noProof/>
                <w:webHidden/>
              </w:rPr>
            </w:r>
            <w:r w:rsidR="00B47831">
              <w:rPr>
                <w:noProof/>
                <w:webHidden/>
              </w:rPr>
              <w:fldChar w:fldCharType="separate"/>
            </w:r>
            <w:r w:rsidR="00736C5C">
              <w:rPr>
                <w:noProof/>
                <w:webHidden/>
              </w:rPr>
              <w:t>23</w:t>
            </w:r>
            <w:r w:rsidR="00B47831">
              <w:rPr>
                <w:noProof/>
                <w:webHidden/>
              </w:rPr>
              <w:fldChar w:fldCharType="end"/>
            </w:r>
          </w:hyperlink>
        </w:p>
        <w:p w14:paraId="31A63E98" w14:textId="52845409" w:rsidR="007855CC" w:rsidRPr="0095636C" w:rsidRDefault="00B10415" w:rsidP="00DD148F">
          <w:pPr>
            <w:ind w:right="-286"/>
          </w:pPr>
          <w:r>
            <w:rPr>
              <w:b/>
              <w:bCs/>
              <w:noProof/>
            </w:rPr>
            <w:fldChar w:fldCharType="end"/>
          </w:r>
        </w:p>
      </w:sdtContent>
    </w:sdt>
    <w:bookmarkEnd w:id="1"/>
    <w:p w14:paraId="0E9A3249" w14:textId="77777777" w:rsidR="009370AF" w:rsidRDefault="009370AF">
      <w:pPr>
        <w:spacing w:after="160" w:line="259" w:lineRule="auto"/>
        <w:rPr>
          <w:rFonts w:ascii="Calibri" w:eastAsiaTheme="majorEastAsia" w:hAnsi="Calibri" w:cstheme="majorBidi"/>
          <w:b/>
          <w:color w:val="404246"/>
          <w:sz w:val="32"/>
          <w:szCs w:val="32"/>
        </w:rPr>
      </w:pPr>
      <w:r>
        <w:br w:type="page"/>
      </w:r>
    </w:p>
    <w:p w14:paraId="51BC0F01" w14:textId="3D30A797" w:rsidR="002B1CE5" w:rsidRDefault="002172F8" w:rsidP="00BD3C4B">
      <w:pPr>
        <w:pStyle w:val="Heading1"/>
        <w:numPr>
          <w:ilvl w:val="0"/>
          <w:numId w:val="8"/>
        </w:numPr>
      </w:pPr>
      <w:bookmarkStart w:id="2" w:name="_Toc138159393"/>
      <w:r>
        <w:lastRenderedPageBreak/>
        <w:t>Context</w:t>
      </w:r>
      <w:bookmarkEnd w:id="2"/>
    </w:p>
    <w:p w14:paraId="0D51E06B" w14:textId="77777777" w:rsidR="002172F8" w:rsidRDefault="002172F8" w:rsidP="002172F8">
      <w:r>
        <w:t xml:space="preserve">At the Jobs and Skills Summit, held in September 2022, the Australian Government committed to reinvigorating the delivery of foundation skills programs, in partnership with states, territories and foundation skills sector stakeholders. </w:t>
      </w:r>
    </w:p>
    <w:p w14:paraId="191B287D" w14:textId="77777777" w:rsidR="002172F8" w:rsidRDefault="002172F8" w:rsidP="002172F8">
      <w:r>
        <w:t xml:space="preserve">Over the period from September 2022 to March 2023, a series of consultations and engagements were conducted to better understand what is needed from a future foundation skills program. </w:t>
      </w:r>
    </w:p>
    <w:p w14:paraId="41ECFF0E" w14:textId="77777777" w:rsidR="002172F8" w:rsidRDefault="002172F8" w:rsidP="002172F8">
      <w:r>
        <w:t xml:space="preserve">Drawing on this consultation and engagement, the Australian Government announced a redesigned foundation skills program in the 2023-24 Budget to improve access to training for all Australians seeking to develop their language, literacy, </w:t>
      </w:r>
      <w:proofErr w:type="gramStart"/>
      <w:r>
        <w:t>numeracy</w:t>
      </w:r>
      <w:proofErr w:type="gramEnd"/>
      <w:r>
        <w:t xml:space="preserve"> and digital skills. </w:t>
      </w:r>
    </w:p>
    <w:p w14:paraId="3C01860A" w14:textId="77777777" w:rsidR="002172F8" w:rsidRDefault="002172F8" w:rsidP="002172F8">
      <w:r>
        <w:t>Commencing on 1 July 2024, the redesigned Skills for Education and Employment program will include two distinct but complementary programs. They are:</w:t>
      </w:r>
    </w:p>
    <w:p w14:paraId="21801230" w14:textId="77777777" w:rsidR="002172F8" w:rsidRDefault="002172F8" w:rsidP="002172F8">
      <w:pPr>
        <w:pStyle w:val="ListParagraph"/>
        <w:numPr>
          <w:ilvl w:val="0"/>
          <w:numId w:val="20"/>
        </w:numPr>
        <w:spacing w:line="276" w:lineRule="auto"/>
        <w:ind w:left="714" w:hanging="357"/>
      </w:pPr>
      <w:r w:rsidRPr="00BD3C4B">
        <w:rPr>
          <w:b/>
          <w:bCs/>
        </w:rPr>
        <w:t>Stream 1</w:t>
      </w:r>
      <w:r>
        <w:t xml:space="preserve"> – foundation skills training delivery to individuals by contracted service providers including through place-based project delivery for example to workers and their employers who may want tailored training for their workforce. The government is investing $366 million in this stream.</w:t>
      </w:r>
    </w:p>
    <w:p w14:paraId="49468C23" w14:textId="0F9959DC" w:rsidR="002172F8" w:rsidRPr="00BD3C4B" w:rsidRDefault="002172F8" w:rsidP="002172F8">
      <w:pPr>
        <w:pStyle w:val="ListParagraph"/>
        <w:numPr>
          <w:ilvl w:val="0"/>
          <w:numId w:val="20"/>
        </w:numPr>
        <w:spacing w:line="276" w:lineRule="auto"/>
        <w:ind w:left="714" w:hanging="357"/>
      </w:pPr>
      <w:r w:rsidRPr="00BD3C4B">
        <w:rPr>
          <w:b/>
          <w:bCs/>
        </w:rPr>
        <w:t>Stream 2</w:t>
      </w:r>
      <w:r>
        <w:t xml:space="preserve"> – foundation skills training delivery to First Nations Australians by First Nations organisations in partnership with Registered Training Organisations or Adult and Community Education sector providers to deliver whole of community language, literacy, </w:t>
      </w:r>
      <w:proofErr w:type="gramStart"/>
      <w:r>
        <w:t>numeracy</w:t>
      </w:r>
      <w:proofErr w:type="gramEnd"/>
      <w:r>
        <w:t xml:space="preserve"> and digital skills training through place-based grants. The government is investing $46 million in this stream.</w:t>
      </w:r>
    </w:p>
    <w:p w14:paraId="61C8C122" w14:textId="464C3674" w:rsidR="00F16576" w:rsidRDefault="5CBA6A5C" w:rsidP="00BD3C4B">
      <w:pPr>
        <w:pStyle w:val="Heading1"/>
        <w:numPr>
          <w:ilvl w:val="0"/>
          <w:numId w:val="8"/>
        </w:numPr>
      </w:pPr>
      <w:bookmarkStart w:id="3" w:name="_Toc1973033205"/>
      <w:bookmarkStart w:id="4" w:name="_Toc138159394"/>
      <w:r>
        <w:t>Purpose</w:t>
      </w:r>
      <w:bookmarkEnd w:id="3"/>
      <w:r w:rsidR="002172F8">
        <w:t xml:space="preserve"> of this paper</w:t>
      </w:r>
      <w:bookmarkEnd w:id="4"/>
    </w:p>
    <w:p w14:paraId="082E43BF" w14:textId="77777777" w:rsidR="002172F8" w:rsidRDefault="002172F8" w:rsidP="002172F8">
      <w:r>
        <w:t>As part of the consultations that informed the redesigned program, o</w:t>
      </w:r>
      <w:r w:rsidRPr="00D67EFC">
        <w:t xml:space="preserve">n 8 December 2022 the </w:t>
      </w:r>
      <w:r>
        <w:t>Department of Employment and Workplace Relations (the department)</w:t>
      </w:r>
      <w:r w:rsidRPr="00D67EFC">
        <w:t xml:space="preserve"> released a discussion paper titled the </w:t>
      </w:r>
      <w:r w:rsidRPr="00D93A69">
        <w:t>Future delivery of foundation skills training in remote Australia</w:t>
      </w:r>
      <w:r>
        <w:t xml:space="preserve">, </w:t>
      </w:r>
      <w:r w:rsidRPr="00D67EFC">
        <w:t xml:space="preserve">how foundation skills delivery in remote Australia could be strengthened. </w:t>
      </w:r>
    </w:p>
    <w:p w14:paraId="71E9B074" w14:textId="3998BFCD" w:rsidR="002172F8" w:rsidRDefault="002172F8" w:rsidP="002172F8">
      <w:r w:rsidRPr="00D67EFC">
        <w:t xml:space="preserve">Responses to the discussion paper </w:t>
      </w:r>
      <w:r>
        <w:t xml:space="preserve">closed </w:t>
      </w:r>
      <w:r w:rsidRPr="00D67EFC">
        <w:t>on 13 February 2023.</w:t>
      </w:r>
      <w:r>
        <w:t xml:space="preserve"> </w:t>
      </w:r>
    </w:p>
    <w:p w14:paraId="2D234994" w14:textId="77777777" w:rsidR="002172F8" w:rsidRDefault="002172F8" w:rsidP="002172F8">
      <w:r>
        <w:t>The discussion paper included the following questions:</w:t>
      </w:r>
    </w:p>
    <w:p w14:paraId="3DCA7AEC" w14:textId="77777777" w:rsidR="002172F8" w:rsidRDefault="002172F8" w:rsidP="002172F8">
      <w:pPr>
        <w:pStyle w:val="ListParagraph"/>
        <w:numPr>
          <w:ilvl w:val="0"/>
          <w:numId w:val="6"/>
        </w:numPr>
        <w:spacing w:after="120" w:line="240" w:lineRule="auto"/>
        <w:ind w:left="714" w:hanging="357"/>
        <w:contextualSpacing w:val="0"/>
      </w:pPr>
      <w:r w:rsidRPr="00F16576">
        <w:t>How can foundation skills training be designed to draw on the strengths, and meet the needs, of learners in remote Australia?</w:t>
      </w:r>
    </w:p>
    <w:p w14:paraId="1BDA8681" w14:textId="77777777" w:rsidR="002172F8" w:rsidRDefault="002172F8" w:rsidP="002172F8">
      <w:pPr>
        <w:pStyle w:val="ListParagraph"/>
        <w:numPr>
          <w:ilvl w:val="0"/>
          <w:numId w:val="6"/>
        </w:numPr>
        <w:spacing w:after="120" w:line="240" w:lineRule="auto"/>
        <w:ind w:left="714" w:hanging="357"/>
        <w:contextualSpacing w:val="0"/>
      </w:pPr>
      <w:r w:rsidRPr="00F16576">
        <w:t>How should a foundation skills remote program be designed to respond to local needs?</w:t>
      </w:r>
    </w:p>
    <w:p w14:paraId="2966C361" w14:textId="369CC035" w:rsidR="002172F8" w:rsidRDefault="002172F8" w:rsidP="002172F8">
      <w:pPr>
        <w:pStyle w:val="ListParagraph"/>
        <w:numPr>
          <w:ilvl w:val="0"/>
          <w:numId w:val="6"/>
        </w:numPr>
        <w:spacing w:after="120" w:line="240" w:lineRule="auto"/>
        <w:ind w:left="714" w:hanging="357"/>
        <w:contextualSpacing w:val="0"/>
      </w:pPr>
      <w:r w:rsidRPr="00F16576">
        <w:t xml:space="preserve">How could Aboriginal and Torres Strait Islander </w:t>
      </w:r>
      <w:proofErr w:type="gramStart"/>
      <w:r w:rsidR="00F5479B">
        <w:t>community controlled</w:t>
      </w:r>
      <w:proofErr w:type="gramEnd"/>
      <w:r w:rsidRPr="00F16576">
        <w:t xml:space="preserve"> organisations be better supported to deliver appropriate training?</w:t>
      </w:r>
    </w:p>
    <w:p w14:paraId="666222C6" w14:textId="77777777" w:rsidR="002172F8" w:rsidRDefault="002172F8" w:rsidP="002172F8">
      <w:pPr>
        <w:pStyle w:val="ListParagraph"/>
        <w:numPr>
          <w:ilvl w:val="0"/>
          <w:numId w:val="6"/>
        </w:numPr>
        <w:spacing w:after="120" w:line="240" w:lineRule="auto"/>
        <w:ind w:left="714" w:hanging="357"/>
        <w:contextualSpacing w:val="0"/>
      </w:pPr>
      <w:r w:rsidRPr="00F16576">
        <w:t>How should results of the foundation skills remote program be measured, monitored, and evaluated?</w:t>
      </w:r>
    </w:p>
    <w:p w14:paraId="5DDCEB28" w14:textId="77777777" w:rsidR="002172F8" w:rsidRDefault="002172F8" w:rsidP="002172F8">
      <w:pPr>
        <w:pStyle w:val="ListParagraph"/>
        <w:numPr>
          <w:ilvl w:val="0"/>
          <w:numId w:val="6"/>
        </w:numPr>
        <w:spacing w:after="120" w:line="240" w:lineRule="auto"/>
        <w:ind w:left="714" w:hanging="357"/>
        <w:contextualSpacing w:val="0"/>
      </w:pPr>
      <w:r w:rsidRPr="00F16576">
        <w:t>How could the foundation skills sector, including the workforce, be better supported to deliver in remote Australia?</w:t>
      </w:r>
    </w:p>
    <w:p w14:paraId="1B33779A" w14:textId="62B17E36" w:rsidR="00F31F13" w:rsidRDefault="002172F8" w:rsidP="00F31F13">
      <w:pPr>
        <w:pStyle w:val="ListParagraph"/>
        <w:numPr>
          <w:ilvl w:val="0"/>
          <w:numId w:val="6"/>
        </w:numPr>
        <w:spacing w:after="120" w:line="240" w:lineRule="auto"/>
        <w:ind w:left="714" w:hanging="357"/>
        <w:contextualSpacing w:val="0"/>
      </w:pPr>
      <w:r w:rsidRPr="00F16576">
        <w:t>What opportunities are there for the Commonwealth, state, and territory governments to work together to better support foundation skills delivery?</w:t>
      </w:r>
    </w:p>
    <w:p w14:paraId="0DB5DB0D" w14:textId="4438AA78" w:rsidR="00F31F13" w:rsidRPr="00DD148F" w:rsidRDefault="00094FE5" w:rsidP="00094FE5">
      <w:pPr>
        <w:spacing w:after="120" w:line="240" w:lineRule="auto"/>
      </w:pPr>
      <w:r>
        <w:lastRenderedPageBreak/>
        <w:t xml:space="preserve">This paper provides </w:t>
      </w:r>
      <w:r w:rsidR="00F31F13" w:rsidRPr="00F31F13">
        <w:t xml:space="preserve">a summary </w:t>
      </w:r>
      <w:r>
        <w:t xml:space="preserve">and synthesis </w:t>
      </w:r>
      <w:r w:rsidR="00F31F13" w:rsidRPr="00F31F13">
        <w:t>of feedback received through consultations. This feedback has been instrumental in shaping government policy however does not necessarily reflect government policy.</w:t>
      </w:r>
    </w:p>
    <w:p w14:paraId="07CCF04D" w14:textId="364021EB" w:rsidR="00F16576" w:rsidRDefault="27E66949" w:rsidP="00BD3C4B">
      <w:pPr>
        <w:pStyle w:val="Heading1"/>
        <w:numPr>
          <w:ilvl w:val="0"/>
          <w:numId w:val="8"/>
        </w:numPr>
      </w:pPr>
      <w:bookmarkStart w:id="5" w:name="_Toc235347533"/>
      <w:bookmarkStart w:id="6" w:name="_Toc138159395"/>
      <w:r>
        <w:t>Executive Summary</w:t>
      </w:r>
      <w:bookmarkEnd w:id="5"/>
      <w:bookmarkEnd w:id="6"/>
    </w:p>
    <w:p w14:paraId="66574821" w14:textId="2414610D" w:rsidR="00BF35FC" w:rsidRPr="00722809" w:rsidRDefault="0087303B" w:rsidP="002B1CE5">
      <w:r>
        <w:t>Thirty-seven</w:t>
      </w:r>
      <w:r w:rsidR="00C400F4">
        <w:t xml:space="preserve"> organisations and stakeholder groups either responded to the discussion paper or participated in </w:t>
      </w:r>
      <w:r w:rsidR="00C23CEA">
        <w:t>virtual workshops</w:t>
      </w:r>
      <w:r w:rsidR="00C400F4">
        <w:t>.</w:t>
      </w:r>
      <w:r w:rsidR="00C23CEA">
        <w:t xml:space="preserve"> </w:t>
      </w:r>
    </w:p>
    <w:p w14:paraId="172C3E63" w14:textId="18536AA6" w:rsidR="00A5234A" w:rsidRPr="00722809" w:rsidRDefault="00932D08" w:rsidP="002B1CE5">
      <w:r w:rsidRPr="00722809">
        <w:t xml:space="preserve">Stakeholders </w:t>
      </w:r>
      <w:r w:rsidR="00B40A79" w:rsidRPr="00722809">
        <w:t>included</w:t>
      </w:r>
      <w:r w:rsidRPr="00722809">
        <w:t xml:space="preserve"> </w:t>
      </w:r>
      <w:r w:rsidR="002172F8">
        <w:t>peak</w:t>
      </w:r>
      <w:r w:rsidR="002172F8" w:rsidRPr="00722809">
        <w:t xml:space="preserve"> </w:t>
      </w:r>
      <w:r w:rsidR="002172F8">
        <w:t>body</w:t>
      </w:r>
      <w:r w:rsidR="002172F8" w:rsidRPr="00722809">
        <w:t xml:space="preserve"> </w:t>
      </w:r>
      <w:r w:rsidRPr="00722809">
        <w:t>organisations, industry bodies,</w:t>
      </w:r>
      <w:r w:rsidR="00274591">
        <w:t xml:space="preserve"> Skills for Education and Employment</w:t>
      </w:r>
      <w:r w:rsidRPr="00722809">
        <w:t xml:space="preserve"> providers</w:t>
      </w:r>
      <w:r w:rsidR="006D7839">
        <w:t>,</w:t>
      </w:r>
      <w:r w:rsidR="007F50E3">
        <w:t xml:space="preserve"> </w:t>
      </w:r>
      <w:r w:rsidRPr="00722809">
        <w:t xml:space="preserve">Remote Community Pilot providers, and key First Nations representatives.  </w:t>
      </w:r>
    </w:p>
    <w:p w14:paraId="15F2DDF0" w14:textId="49C232D5" w:rsidR="00BF35FC" w:rsidRPr="00722809" w:rsidRDefault="004D6C33" w:rsidP="002B1CE5">
      <w:r w:rsidRPr="00722809">
        <w:t>Several</w:t>
      </w:r>
      <w:r w:rsidR="00BF35FC" w:rsidRPr="00722809">
        <w:t xml:space="preserve"> themes emerged from responses, with the resounding message to Government to support</w:t>
      </w:r>
      <w:r w:rsidR="00E077FC">
        <w:t xml:space="preserve"> language, literacy, </w:t>
      </w:r>
      <w:proofErr w:type="gramStart"/>
      <w:r w:rsidR="00E077FC">
        <w:t>numeracy</w:t>
      </w:r>
      <w:proofErr w:type="gramEnd"/>
      <w:r w:rsidR="00E077FC">
        <w:t xml:space="preserve"> and digital literacy (</w:t>
      </w:r>
      <w:r w:rsidR="00BF35FC" w:rsidRPr="00722809">
        <w:t>LLND</w:t>
      </w:r>
      <w:r w:rsidR="00E077FC">
        <w:t>) skills</w:t>
      </w:r>
      <w:r w:rsidR="00BF35FC" w:rsidRPr="00722809">
        <w:t xml:space="preserve"> programs that are designed in partnership </w:t>
      </w:r>
      <w:r w:rsidR="006232CB" w:rsidRPr="00722809">
        <w:t>with</w:t>
      </w:r>
      <w:r w:rsidR="00DE34EB">
        <w:t>,</w:t>
      </w:r>
      <w:r w:rsidR="006232CB" w:rsidRPr="00722809">
        <w:t xml:space="preserve"> and</w:t>
      </w:r>
      <w:r w:rsidR="00BF35FC" w:rsidRPr="00722809">
        <w:t xml:space="preserve"> led by</w:t>
      </w:r>
      <w:r w:rsidR="00DE34EB">
        <w:t>,</w:t>
      </w:r>
      <w:r w:rsidR="00BF35FC" w:rsidRPr="00722809">
        <w:t xml:space="preserve"> remote communities.  </w:t>
      </w:r>
      <w:r w:rsidR="00B40A79" w:rsidRPr="00722809">
        <w:t>There was a</w:t>
      </w:r>
      <w:r w:rsidR="00BF35FC" w:rsidRPr="00722809">
        <w:t xml:space="preserve"> strong call to commit to the principles of the Closing the Gap Agreement, including the four priority reform areas.</w:t>
      </w:r>
    </w:p>
    <w:p w14:paraId="2EEC2A87" w14:textId="6D435115" w:rsidR="00A5234A" w:rsidRPr="00722809" w:rsidRDefault="00A5234A" w:rsidP="002B1CE5">
      <w:r w:rsidRPr="00722809">
        <w:t xml:space="preserve">While responses were </w:t>
      </w:r>
      <w:r w:rsidR="00C23CEA">
        <w:t>requesting</w:t>
      </w:r>
      <w:r w:rsidRPr="00722809">
        <w:t xml:space="preserve"> a suite of ‘off the shelf’ models to be developed, or the use of tested literacy campaigns such as ‘Yes I Can’ and 26TEN, the </w:t>
      </w:r>
      <w:r w:rsidR="00816123">
        <w:t xml:space="preserve">responses emphasised the need for each </w:t>
      </w:r>
      <w:r w:rsidRPr="00722809">
        <w:t>project to be designed at the community level.</w:t>
      </w:r>
      <w:r w:rsidR="00722809">
        <w:t xml:space="preserve"> </w:t>
      </w:r>
      <w:r w:rsidR="00722809" w:rsidRPr="00722809">
        <w:t>This community led component is critical</w:t>
      </w:r>
      <w:r w:rsidR="00DE34EB">
        <w:t xml:space="preserve"> for</w:t>
      </w:r>
      <w:r w:rsidR="00722809" w:rsidRPr="00722809">
        <w:t xml:space="preserve"> remote and First Nations</w:t>
      </w:r>
      <w:r w:rsidR="00D242AC">
        <w:t xml:space="preserve"> </w:t>
      </w:r>
      <w:r w:rsidR="00722809" w:rsidRPr="00722809">
        <w:t>communities, where success of the program can depend largely on word of mouth, and the support of key community members.</w:t>
      </w:r>
      <w:r w:rsidRPr="00722809">
        <w:t xml:space="preserve"> </w:t>
      </w:r>
    </w:p>
    <w:p w14:paraId="09BE8AB0" w14:textId="5C777FA8" w:rsidR="00A5234A" w:rsidRPr="00722809" w:rsidRDefault="00E077FC" w:rsidP="002B1CE5">
      <w:r>
        <w:t xml:space="preserve">Feedback was clear </w:t>
      </w:r>
      <w:r w:rsidR="00DE34EB">
        <w:t>that</w:t>
      </w:r>
      <w:r w:rsidR="00A5234A" w:rsidRPr="00722809">
        <w:t xml:space="preserve"> longer funding periods and </w:t>
      </w:r>
      <w:r>
        <w:t xml:space="preserve">a </w:t>
      </w:r>
      <w:r w:rsidR="00A5234A" w:rsidRPr="00722809">
        <w:t xml:space="preserve">commitment to embed resources in </w:t>
      </w:r>
      <w:r>
        <w:t xml:space="preserve">the </w:t>
      </w:r>
      <w:r w:rsidR="00A5234A" w:rsidRPr="00722809">
        <w:t>community</w:t>
      </w:r>
      <w:r w:rsidR="00DE34EB">
        <w:t xml:space="preserve"> are critical</w:t>
      </w:r>
      <w:r w:rsidR="00A5234A" w:rsidRPr="00722809">
        <w:t xml:space="preserve">. Responses </w:t>
      </w:r>
      <w:r>
        <w:t>pointed out</w:t>
      </w:r>
      <w:r w:rsidRPr="00722809">
        <w:t xml:space="preserve"> </w:t>
      </w:r>
      <w:r w:rsidR="00A5234A" w:rsidRPr="00722809">
        <w:t>that in remote communities</w:t>
      </w:r>
      <w:r>
        <w:t xml:space="preserve">, </w:t>
      </w:r>
      <w:proofErr w:type="gramStart"/>
      <w:r w:rsidR="00A5234A" w:rsidRPr="00722809">
        <w:t>in particular First</w:t>
      </w:r>
      <w:proofErr w:type="gramEnd"/>
      <w:r w:rsidR="00A5234A" w:rsidRPr="00722809">
        <w:t xml:space="preserve"> Nations</w:t>
      </w:r>
      <w:r w:rsidR="00DE34EB">
        <w:t xml:space="preserve"> remote</w:t>
      </w:r>
      <w:r w:rsidR="00A5234A" w:rsidRPr="00722809">
        <w:t xml:space="preserve"> communities</w:t>
      </w:r>
      <w:r>
        <w:t xml:space="preserve">, </w:t>
      </w:r>
      <w:r w:rsidR="00A5234A" w:rsidRPr="00722809">
        <w:t>projects take time to develop and</w:t>
      </w:r>
      <w:r>
        <w:t xml:space="preserve"> </w:t>
      </w:r>
      <w:r w:rsidR="00A5234A" w:rsidRPr="00722809">
        <w:t>gain traction. Additionally</w:t>
      </w:r>
      <w:r w:rsidR="00DE34EB">
        <w:t>,</w:t>
      </w:r>
      <w:r w:rsidR="00A5234A" w:rsidRPr="00722809">
        <w:t xml:space="preserve"> shorter programs </w:t>
      </w:r>
      <w:r>
        <w:t xml:space="preserve">that were </w:t>
      </w:r>
      <w:r w:rsidR="00A5234A" w:rsidRPr="00722809">
        <w:t xml:space="preserve">based on </w:t>
      </w:r>
      <w:r w:rsidR="00DE34EB">
        <w:t xml:space="preserve">achieving </w:t>
      </w:r>
      <w:r w:rsidR="00A5234A" w:rsidRPr="00722809">
        <w:t>outcomes against</w:t>
      </w:r>
      <w:r>
        <w:t xml:space="preserve"> a</w:t>
      </w:r>
      <w:r w:rsidR="00A5234A" w:rsidRPr="00722809">
        <w:t xml:space="preserve"> </w:t>
      </w:r>
      <w:r>
        <w:t xml:space="preserve">full assessment of a learner’s LLND skills against both the </w:t>
      </w:r>
      <w:r w:rsidR="00A5234A" w:rsidRPr="00722809">
        <w:t xml:space="preserve">Australian Core Skills Framework (ACSF) </w:t>
      </w:r>
      <w:r>
        <w:t xml:space="preserve">and the Digital Literacy Skills Framework (DLSF) </w:t>
      </w:r>
      <w:r w:rsidR="00A5234A" w:rsidRPr="00722809">
        <w:t xml:space="preserve">indicators did not necessarily reflect the </w:t>
      </w:r>
      <w:r w:rsidR="00B40A79" w:rsidRPr="00722809">
        <w:t xml:space="preserve">desired or actual </w:t>
      </w:r>
      <w:r w:rsidR="00A5234A" w:rsidRPr="00722809">
        <w:t>outcomes for communities or individuals</w:t>
      </w:r>
      <w:r>
        <w:t xml:space="preserve">. </w:t>
      </w:r>
      <w:r w:rsidR="00D15FE9">
        <w:t>T</w:t>
      </w:r>
      <w:r>
        <w:t xml:space="preserve">hese </w:t>
      </w:r>
      <w:r w:rsidRPr="00722809">
        <w:t>shorter programs</w:t>
      </w:r>
      <w:r w:rsidR="00A5234A" w:rsidRPr="00722809">
        <w:t xml:space="preserve"> </w:t>
      </w:r>
      <w:r>
        <w:t xml:space="preserve">should also include </w:t>
      </w:r>
      <w:r w:rsidR="00A5234A" w:rsidRPr="00722809">
        <w:t>other key life goals and social and economic objectives</w:t>
      </w:r>
      <w:r>
        <w:t xml:space="preserve"> of the communities and individuals</w:t>
      </w:r>
      <w:r w:rsidR="00A5234A" w:rsidRPr="00722809">
        <w:t>.</w:t>
      </w:r>
    </w:p>
    <w:p w14:paraId="050AFE3F" w14:textId="58197118" w:rsidR="00BF35FC" w:rsidRPr="00722809" w:rsidRDefault="00EC08FC" w:rsidP="002B1CE5">
      <w:r>
        <w:t>Feedback indicated that d</w:t>
      </w:r>
      <w:r w:rsidR="00932D08" w:rsidRPr="00722809">
        <w:t xml:space="preserve">ata collection, management and transparency were important to respondents. Data collected in terms of LLND needs for First Nations people should be available to community for the development of </w:t>
      </w:r>
      <w:r w:rsidR="00B40A79" w:rsidRPr="00722809">
        <w:t>program design</w:t>
      </w:r>
      <w:r w:rsidR="00722809" w:rsidRPr="00722809">
        <w:t xml:space="preserve"> and decision-making</w:t>
      </w:r>
      <w:r w:rsidR="00932D08" w:rsidRPr="00722809">
        <w:t xml:space="preserve">. </w:t>
      </w:r>
    </w:p>
    <w:p w14:paraId="5AE58A24" w14:textId="6D115E7B" w:rsidR="00D242AC" w:rsidRDefault="00D242AC" w:rsidP="002B1CE5">
      <w:r>
        <w:t xml:space="preserve">In addition </w:t>
      </w:r>
      <w:r w:rsidR="00881726">
        <w:t xml:space="preserve">to </w:t>
      </w:r>
      <w:r>
        <w:t>these common themes,</w:t>
      </w:r>
      <w:r w:rsidR="00DD148F">
        <w:t xml:space="preserve"> </w:t>
      </w:r>
      <w:r>
        <w:t>s</w:t>
      </w:r>
      <w:r w:rsidR="00A5234A" w:rsidRPr="00722809">
        <w:t>ubmissions from industry bodies concentrated on future employment needs for industry that are often prevalent in remote areas</w:t>
      </w:r>
      <w:r>
        <w:t xml:space="preserve"> and the need for LLND support to better meet these employment opportunities</w:t>
      </w:r>
      <w:r w:rsidR="00512253">
        <w:t xml:space="preserve">. </w:t>
      </w:r>
    </w:p>
    <w:p w14:paraId="0F7507C5" w14:textId="5A0AADC6" w:rsidR="00A5234A" w:rsidRPr="00722809" w:rsidRDefault="00D242AC" w:rsidP="002B1CE5">
      <w:r>
        <w:t>Separately</w:t>
      </w:r>
      <w:r w:rsidR="00881726">
        <w:t>,</w:t>
      </w:r>
      <w:r w:rsidR="00DD148F">
        <w:t xml:space="preserve"> </w:t>
      </w:r>
      <w:r w:rsidR="00A5234A" w:rsidRPr="00722809">
        <w:t xml:space="preserve">a peak body representing women in </w:t>
      </w:r>
      <w:r w:rsidR="00E45658">
        <w:t>V</w:t>
      </w:r>
      <w:r w:rsidR="00A5234A" w:rsidRPr="00722809">
        <w:t xml:space="preserve">ocational </w:t>
      </w:r>
      <w:r w:rsidR="00E45658">
        <w:t>E</w:t>
      </w:r>
      <w:r w:rsidR="00A5234A" w:rsidRPr="00722809">
        <w:t xml:space="preserve">ducation and </w:t>
      </w:r>
      <w:r w:rsidR="00E45658">
        <w:t>T</w:t>
      </w:r>
      <w:r w:rsidR="00A5234A" w:rsidRPr="00722809">
        <w:t>raining</w:t>
      </w:r>
      <w:r w:rsidR="00E45658">
        <w:t xml:space="preserve"> (VET)</w:t>
      </w:r>
      <w:r w:rsidR="00A5234A" w:rsidRPr="00722809">
        <w:t xml:space="preserve">, outlined the key barriers facing women in remote areas, and the prevalence of women needing assistance </w:t>
      </w:r>
      <w:r w:rsidR="00094FE5">
        <w:t>or</w:t>
      </w:r>
      <w:r w:rsidR="008D7521">
        <w:t xml:space="preserve"> </w:t>
      </w:r>
      <w:r w:rsidR="00094FE5">
        <w:t xml:space="preserve">providing </w:t>
      </w:r>
      <w:r w:rsidR="00A5234A" w:rsidRPr="00722809">
        <w:t>support services for people who experience LLND barriers.</w:t>
      </w:r>
    </w:p>
    <w:p w14:paraId="5B254A2C" w14:textId="5866541E" w:rsidR="002D0106" w:rsidRPr="00722809" w:rsidRDefault="002D0106" w:rsidP="002B1CE5">
      <w:r w:rsidRPr="00722809">
        <w:t xml:space="preserve">Focused virtual workshops were conducted with </w:t>
      </w:r>
      <w:r w:rsidR="00DE34EB" w:rsidRPr="00722809">
        <w:t>several</w:t>
      </w:r>
      <w:r w:rsidRPr="00722809">
        <w:t xml:space="preserve"> stakeholders. These workshops echoed the sentiments expressed in the Discussion Paper responses with </w:t>
      </w:r>
      <w:proofErr w:type="gramStart"/>
      <w:r w:rsidRPr="00722809">
        <w:t>a number of</w:t>
      </w:r>
      <w:proofErr w:type="gramEnd"/>
      <w:r w:rsidRPr="00722809">
        <w:t xml:space="preserve"> </w:t>
      </w:r>
      <w:r w:rsidR="00C23CEA">
        <w:t xml:space="preserve">findings to be considered in the </w:t>
      </w:r>
      <w:r w:rsidRPr="00722809">
        <w:t>new program development.</w:t>
      </w:r>
    </w:p>
    <w:p w14:paraId="17EFE926" w14:textId="555E8792" w:rsidR="007F2798" w:rsidRDefault="736F1E5C" w:rsidP="00BD3C4B">
      <w:pPr>
        <w:pStyle w:val="Heading1"/>
        <w:numPr>
          <w:ilvl w:val="0"/>
          <w:numId w:val="8"/>
        </w:numPr>
      </w:pPr>
      <w:bookmarkStart w:id="7" w:name="_Toc1110256280"/>
      <w:bookmarkStart w:id="8" w:name="_Toc138159396"/>
      <w:r>
        <w:lastRenderedPageBreak/>
        <w:t>Analysis of Responses</w:t>
      </w:r>
      <w:bookmarkEnd w:id="7"/>
      <w:bookmarkEnd w:id="8"/>
    </w:p>
    <w:p w14:paraId="71CC2E37" w14:textId="3E90E911" w:rsidR="002B642C" w:rsidRDefault="67DDAD73" w:rsidP="00BD3C4B">
      <w:pPr>
        <w:pStyle w:val="Heading2"/>
        <w:numPr>
          <w:ilvl w:val="1"/>
          <w:numId w:val="8"/>
        </w:numPr>
        <w:ind w:left="567" w:hanging="567"/>
      </w:pPr>
      <w:bookmarkStart w:id="9" w:name="_Toc1074235945"/>
      <w:bookmarkStart w:id="10" w:name="_Toc138159397"/>
      <w:r>
        <w:t>Strengths and Needs of Remote Learners</w:t>
      </w:r>
      <w:bookmarkEnd w:id="9"/>
      <w:bookmarkEnd w:id="10"/>
    </w:p>
    <w:p w14:paraId="5D9640DD" w14:textId="3FE2FAEC" w:rsidR="00D755E8" w:rsidRDefault="00D242AC" w:rsidP="004B1AF5">
      <w:pPr>
        <w:rPr>
          <w:noProof/>
        </w:rPr>
      </w:pPr>
      <w:r>
        <w:t xml:space="preserve">Stakeholders were clear that </w:t>
      </w:r>
      <w:r w:rsidR="00F31F13">
        <w:t xml:space="preserve">each </w:t>
      </w:r>
      <w:r>
        <w:t>r</w:t>
      </w:r>
      <w:r w:rsidR="004B1AF5">
        <w:t>emote communit</w:t>
      </w:r>
      <w:r w:rsidR="00F31F13">
        <w:t>y is</w:t>
      </w:r>
      <w:r w:rsidR="004B1AF5">
        <w:t xml:space="preserve"> unique, with different social and economic priorities, varying levels of engagement with support services, and cultural sensitivities. Programs need to recognise and meet the individual needs of communities.</w:t>
      </w:r>
      <w:r w:rsidR="00D755E8" w:rsidRPr="00D755E8">
        <w:rPr>
          <w:noProof/>
        </w:rPr>
        <w:t xml:space="preserve"> </w:t>
      </w:r>
    </w:p>
    <w:p w14:paraId="186D3407" w14:textId="7D811F2F" w:rsidR="004B1AF5" w:rsidRDefault="00D755E8" w:rsidP="004B1AF5">
      <w:r>
        <w:rPr>
          <w:noProof/>
        </w:rPr>
        <mc:AlternateContent>
          <mc:Choice Requires="wps">
            <w:drawing>
              <wp:inline distT="0" distB="0" distL="0" distR="0" wp14:anchorId="34941FBC" wp14:editId="3192379B">
                <wp:extent cx="5715000" cy="1657350"/>
                <wp:effectExtent l="0" t="0" r="19050" b="1905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57350"/>
                        </a:xfrm>
                        <a:prstGeom prst="rect">
                          <a:avLst/>
                        </a:prstGeom>
                        <a:solidFill>
                          <a:srgbClr val="E5EEDA"/>
                        </a:solidFill>
                        <a:ln w="9525">
                          <a:solidFill>
                            <a:srgbClr val="789B4A"/>
                          </a:solidFill>
                          <a:miter lim="800000"/>
                          <a:headEnd/>
                          <a:tailEnd/>
                        </a:ln>
                      </wps:spPr>
                      <wps:txbx>
                        <w:txbxContent>
                          <w:p w14:paraId="23FA9C66" w14:textId="4A0524A8" w:rsidR="00D755E8" w:rsidRDefault="00D755E8" w:rsidP="00D755E8">
                            <w:pPr>
                              <w:spacing w:after="120"/>
                              <w:rPr>
                                <w:b/>
                                <w:bCs/>
                                <w:i/>
                                <w:iCs/>
                              </w:rPr>
                            </w:pPr>
                            <w:r>
                              <w:rPr>
                                <w:b/>
                                <w:bCs/>
                                <w:i/>
                                <w:iCs/>
                              </w:rPr>
                              <w:t xml:space="preserve">Key </w:t>
                            </w:r>
                            <w:r w:rsidR="00F31F13">
                              <w:rPr>
                                <w:b/>
                                <w:bCs/>
                                <w:i/>
                                <w:iCs/>
                              </w:rPr>
                              <w:t>Feedback</w:t>
                            </w:r>
                            <w:r w:rsidRPr="001805B5">
                              <w:rPr>
                                <w:b/>
                                <w:bCs/>
                                <w:i/>
                                <w:iCs/>
                              </w:rPr>
                              <w:t>:</w:t>
                            </w:r>
                          </w:p>
                          <w:p w14:paraId="67C4D886" w14:textId="7715DCC3" w:rsidR="00A1688D" w:rsidRPr="002D48ED" w:rsidRDefault="00A1688D" w:rsidP="002D48ED">
                            <w:r w:rsidRPr="002D48ED">
                              <w:t>Government should:</w:t>
                            </w:r>
                          </w:p>
                          <w:p w14:paraId="604EC4B4" w14:textId="77777777" w:rsidR="00D755E8" w:rsidRDefault="00D755E8" w:rsidP="00BD3C4B">
                            <w:pPr>
                              <w:pStyle w:val="ListParagraph"/>
                              <w:numPr>
                                <w:ilvl w:val="0"/>
                                <w:numId w:val="18"/>
                              </w:numPr>
                            </w:pPr>
                            <w:r>
                              <w:t>Prioritise programs that c</w:t>
                            </w:r>
                            <w:r w:rsidRPr="001468CC">
                              <w:t>ombine instruction with applied learning approaches in work, community development and social enterprise activities.</w:t>
                            </w:r>
                          </w:p>
                          <w:p w14:paraId="48DD0A74" w14:textId="77777777" w:rsidR="00D755E8" w:rsidRDefault="00D755E8" w:rsidP="00BD3C4B">
                            <w:pPr>
                              <w:pStyle w:val="ListParagraph"/>
                              <w:numPr>
                                <w:ilvl w:val="0"/>
                                <w:numId w:val="18"/>
                              </w:numPr>
                            </w:pPr>
                            <w:r>
                              <w:t xml:space="preserve">Open programs to all in the community who need foundation skills development.  </w:t>
                            </w:r>
                          </w:p>
                          <w:p w14:paraId="62E6CE8B" w14:textId="77777777" w:rsidR="00D755E8" w:rsidRDefault="00D755E8" w:rsidP="00BD3C4B">
                            <w:pPr>
                              <w:pStyle w:val="ListParagraph"/>
                              <w:numPr>
                                <w:ilvl w:val="0"/>
                                <w:numId w:val="18"/>
                              </w:numPr>
                            </w:pPr>
                            <w:r w:rsidRPr="009B4987">
                              <w:t>Incorporat</w:t>
                            </w:r>
                            <w:r>
                              <w:t>e</w:t>
                            </w:r>
                            <w:r w:rsidRPr="009B4987">
                              <w:t xml:space="preserve"> First Nations language and culture into individual project design</w:t>
                            </w:r>
                            <w:r>
                              <w:t>.</w:t>
                            </w:r>
                          </w:p>
                          <w:p w14:paraId="4B8E927F" w14:textId="77777777" w:rsidR="00D755E8" w:rsidRPr="001468CC" w:rsidRDefault="00D755E8" w:rsidP="00BD3C4B">
                            <w:pPr>
                              <w:pStyle w:val="ListParagraph"/>
                              <w:numPr>
                                <w:ilvl w:val="0"/>
                                <w:numId w:val="13"/>
                              </w:numPr>
                              <w:spacing w:after="0"/>
                            </w:pPr>
                            <w:r>
                              <w:t>Incorporate wrap-around support to address barriers to participation.</w:t>
                            </w:r>
                          </w:p>
                        </w:txbxContent>
                      </wps:txbx>
                      <wps:bodyPr rot="0" vert="horz" wrap="square" lIns="91440" tIns="45720" rIns="91440" bIns="45720" anchor="t" anchorCtr="0">
                        <a:noAutofit/>
                      </wps:bodyPr>
                    </wps:wsp>
                  </a:graphicData>
                </a:graphic>
              </wp:inline>
            </w:drawing>
          </mc:Choice>
          <mc:Fallback>
            <w:pict>
              <v:shapetype w14:anchorId="34941FBC" id="_x0000_t202" coordsize="21600,21600" o:spt="202" path="m,l,21600r21600,l21600,xe">
                <v:stroke joinstyle="miter"/>
                <v:path gradientshapeok="t" o:connecttype="rect"/>
              </v:shapetype>
              <v:shape id="Text Box 6" o:spid="_x0000_s1026" type="#_x0000_t202" style="width:450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72wGAIAACAEAAAOAAAAZHJzL2Uyb0RvYy54bWysU9tu2zAMfR+wfxD0vjjO4iYx4hRpkg4D&#10;ugvQ7QNkWY6FyaImKbGzry8lp2nQbS/DXgRSpI54Dsnlbd8qchTWSdAFTUdjSoTmUEm9L+j3b/fv&#10;5pQ4z3TFFGhR0JNw9Hb19s2yM7mYQAOqEpYgiHZ5ZwraeG/yJHG8ES1zIzBCY7AG2zKPrt0nlWUd&#10;orcqmYzHN0kHtjIWuHAOb7dDkK4ifl0L7r/UtROeqIJibT6eNp5lOJPVkuV7y0wj+bkM9g9VtExq&#10;/PQCtWWekYOVv0G1kltwUPsRhzaBupZcRA7IJh2/YvPYMCMiFxTHmYtM7v/B8s/HR/PVEt/fQY8N&#10;jCSceQD+wxENm4bpvVhbC10jWIUfp0GypDMuPz8NUrvcBZCy+wQVNpkdPESgvrZtUAV5EkTHBpwu&#10;ooveE46X2SzNxmMMcYylN9nsfRbbkrD8+bmxzn8Q0JJgFNRiVyM8Oz44H8ph+XNK+M2BktW9VCo6&#10;dl9ulCVHhhOwy3a77ToyeJWmNOkKusgm2aDAXyFm88Xd9I8QrfQ4ykq2BZ0jIaQUhyvottNVtD2T&#10;arCxZKXPQgbtBhV9X/aYGAQtoTqhpBaGkcUVQ6MB+4uSDse1oO7ngVlBifqosS2LdDoN8x2daTab&#10;oGOvI+V1hGmOUAX1lAzmxsedCIJpWGP7ahmFfankXCuOYdT7vDJhzq/9mPWy2KsnAAAA//8DAFBL&#10;AwQUAAYACAAAACEAaS+y6tkAAAAFAQAADwAAAGRycy9kb3ducmV2LnhtbEyPQUvDQBCF74L/YRnB&#10;m91ND6HGbEopKIKCmup9moxJaHY2ZLdN+u8dvdjLg8cb3vsmX8+uVycaQ+fZQrIwoIgrX3fcWPjc&#10;Pd6tQIWIXGPvmSycKcC6uL7KMav9xB90KmOjpIRDhhbaGIdM61C15DAs/EAs2bcfHUaxY6PrEScp&#10;d71eGpNqhx3LQosDbVuqDuXRWSB+eXp+K9+/EtxEs9pNnU9fz9be3sybB1CR5vh/DL/4gg6FMO39&#10;keugegvySPxTye6NEbu3sEwTA7rI9SV98QMAAP//AwBQSwECLQAUAAYACAAAACEAtoM4kv4AAADh&#10;AQAAEwAAAAAAAAAAAAAAAAAAAAAAW0NvbnRlbnRfVHlwZXNdLnhtbFBLAQItABQABgAIAAAAIQA4&#10;/SH/1gAAAJQBAAALAAAAAAAAAAAAAAAAAC8BAABfcmVscy8ucmVsc1BLAQItABQABgAIAAAAIQD0&#10;Q72wGAIAACAEAAAOAAAAAAAAAAAAAAAAAC4CAABkcnMvZTJvRG9jLnhtbFBLAQItABQABgAIAAAA&#10;IQBpL7Lq2QAAAAUBAAAPAAAAAAAAAAAAAAAAAHIEAABkcnMvZG93bnJldi54bWxQSwUGAAAAAAQA&#10;BADzAAAAeAUAAAAA&#10;" fillcolor="#e5eeda" strokecolor="#789b4a">
                <v:textbox>
                  <w:txbxContent>
                    <w:p w14:paraId="23FA9C66" w14:textId="4A0524A8" w:rsidR="00D755E8" w:rsidRDefault="00D755E8" w:rsidP="00D755E8">
                      <w:pPr>
                        <w:spacing w:after="120"/>
                        <w:rPr>
                          <w:b/>
                          <w:bCs/>
                          <w:i/>
                          <w:iCs/>
                        </w:rPr>
                      </w:pPr>
                      <w:r>
                        <w:rPr>
                          <w:b/>
                          <w:bCs/>
                          <w:i/>
                          <w:iCs/>
                        </w:rPr>
                        <w:t xml:space="preserve">Key </w:t>
                      </w:r>
                      <w:r w:rsidR="00F31F13">
                        <w:rPr>
                          <w:b/>
                          <w:bCs/>
                          <w:i/>
                          <w:iCs/>
                        </w:rPr>
                        <w:t>Feedback</w:t>
                      </w:r>
                      <w:r w:rsidRPr="001805B5">
                        <w:rPr>
                          <w:b/>
                          <w:bCs/>
                          <w:i/>
                          <w:iCs/>
                        </w:rPr>
                        <w:t>:</w:t>
                      </w:r>
                    </w:p>
                    <w:p w14:paraId="67C4D886" w14:textId="7715DCC3" w:rsidR="00A1688D" w:rsidRPr="002D48ED" w:rsidRDefault="00A1688D" w:rsidP="002D48ED">
                      <w:r w:rsidRPr="002D48ED">
                        <w:t>Government should:</w:t>
                      </w:r>
                    </w:p>
                    <w:p w14:paraId="604EC4B4" w14:textId="77777777" w:rsidR="00D755E8" w:rsidRDefault="00D755E8" w:rsidP="00BD3C4B">
                      <w:pPr>
                        <w:pStyle w:val="ListParagraph"/>
                        <w:numPr>
                          <w:ilvl w:val="0"/>
                          <w:numId w:val="18"/>
                        </w:numPr>
                      </w:pPr>
                      <w:r>
                        <w:t>Prioritise programs that c</w:t>
                      </w:r>
                      <w:r w:rsidRPr="001468CC">
                        <w:t>ombine instruction with applied learning approaches in work, community development and social enterprise activities.</w:t>
                      </w:r>
                    </w:p>
                    <w:p w14:paraId="48DD0A74" w14:textId="77777777" w:rsidR="00D755E8" w:rsidRDefault="00D755E8" w:rsidP="00BD3C4B">
                      <w:pPr>
                        <w:pStyle w:val="ListParagraph"/>
                        <w:numPr>
                          <w:ilvl w:val="0"/>
                          <w:numId w:val="18"/>
                        </w:numPr>
                      </w:pPr>
                      <w:r>
                        <w:t xml:space="preserve">Open programs to all in the community who need foundation skills development.  </w:t>
                      </w:r>
                    </w:p>
                    <w:p w14:paraId="62E6CE8B" w14:textId="77777777" w:rsidR="00D755E8" w:rsidRDefault="00D755E8" w:rsidP="00BD3C4B">
                      <w:pPr>
                        <w:pStyle w:val="ListParagraph"/>
                        <w:numPr>
                          <w:ilvl w:val="0"/>
                          <w:numId w:val="18"/>
                        </w:numPr>
                      </w:pPr>
                      <w:r w:rsidRPr="009B4987">
                        <w:t>Incorporat</w:t>
                      </w:r>
                      <w:r>
                        <w:t>e</w:t>
                      </w:r>
                      <w:r w:rsidRPr="009B4987">
                        <w:t xml:space="preserve"> First Nations language and culture into individual project design</w:t>
                      </w:r>
                      <w:r>
                        <w:t>.</w:t>
                      </w:r>
                    </w:p>
                    <w:p w14:paraId="4B8E927F" w14:textId="77777777" w:rsidR="00D755E8" w:rsidRPr="001468CC" w:rsidRDefault="00D755E8" w:rsidP="00BD3C4B">
                      <w:pPr>
                        <w:pStyle w:val="ListParagraph"/>
                        <w:numPr>
                          <w:ilvl w:val="0"/>
                          <w:numId w:val="13"/>
                        </w:numPr>
                        <w:spacing w:after="0"/>
                      </w:pPr>
                      <w:r>
                        <w:t>Incorporate wrap-around support to address barriers to participation.</w:t>
                      </w:r>
                    </w:p>
                  </w:txbxContent>
                </v:textbox>
                <w10:anchorlock/>
              </v:shape>
            </w:pict>
          </mc:Fallback>
        </mc:AlternateContent>
      </w:r>
    </w:p>
    <w:p w14:paraId="4FC22649" w14:textId="24E179B5" w:rsidR="004B1AF5" w:rsidRDefault="062125CC" w:rsidP="00BD3C4B">
      <w:pPr>
        <w:pStyle w:val="Heading3"/>
        <w:numPr>
          <w:ilvl w:val="2"/>
          <w:numId w:val="8"/>
        </w:numPr>
        <w:ind w:left="709" w:hanging="709"/>
      </w:pPr>
      <w:bookmarkStart w:id="11" w:name="_Toc132829799"/>
      <w:bookmarkStart w:id="12" w:name="_Toc132829800"/>
      <w:bookmarkStart w:id="13" w:name="_Toc134107117"/>
      <w:bookmarkStart w:id="14" w:name="_Toc138159398"/>
      <w:bookmarkEnd w:id="11"/>
      <w:bookmarkEnd w:id="12"/>
      <w:r>
        <w:t>Practical learning approach</w:t>
      </w:r>
      <w:bookmarkEnd w:id="13"/>
      <w:bookmarkEnd w:id="14"/>
    </w:p>
    <w:p w14:paraId="6BFAE1D0" w14:textId="34D557A1" w:rsidR="005E310E" w:rsidRPr="001D3AED" w:rsidRDefault="005E310E" w:rsidP="001805B5">
      <w:r w:rsidRPr="001D3AED">
        <w:t xml:space="preserve">Respondents stressed the importance LLND skills play in equipping individuals and communities </w:t>
      </w:r>
      <w:r w:rsidR="001331A5">
        <w:t xml:space="preserve">with </w:t>
      </w:r>
      <w:r w:rsidRPr="001D3AED">
        <w:t xml:space="preserve">the tools </w:t>
      </w:r>
      <w:r w:rsidR="001331A5">
        <w:t xml:space="preserve">needed </w:t>
      </w:r>
      <w:r w:rsidRPr="001D3AED">
        <w:t xml:space="preserve">for agency and self-advocacy. </w:t>
      </w:r>
    </w:p>
    <w:p w14:paraId="64CCBA42" w14:textId="64BAB679" w:rsidR="005E310E" w:rsidRDefault="005E310E" w:rsidP="001805B5">
      <w:r>
        <w:t xml:space="preserve">Traditional style classrooms may be appropriate in some settings, but not all. </w:t>
      </w:r>
      <w:r w:rsidR="001B2F56">
        <w:t>Many</w:t>
      </w:r>
      <w:r w:rsidR="001331A5">
        <w:t xml:space="preserve"> r</w:t>
      </w:r>
      <w:r>
        <w:t>espondents suggested that programs aimed at community should not be ‘one size fits all’</w:t>
      </w:r>
      <w:r w:rsidR="002D48ED">
        <w:t>. G</w:t>
      </w:r>
      <w:r>
        <w:t>eneric competency-based training which is not aligned to individual, or community goals</w:t>
      </w:r>
      <w:r w:rsidR="001331A5">
        <w:t xml:space="preserve">, </w:t>
      </w:r>
      <w:r>
        <w:t xml:space="preserve">is rarely successful. </w:t>
      </w:r>
    </w:p>
    <w:p w14:paraId="7906E8D2" w14:textId="13095344" w:rsidR="005E310E" w:rsidRDefault="005E310E" w:rsidP="005E310E">
      <w:r>
        <w:t>Ownership and participation are enhanced when training is aligned to life goals of participants (</w:t>
      </w:r>
      <w:r w:rsidR="001331A5">
        <w:t xml:space="preserve">for example, </w:t>
      </w:r>
      <w:r>
        <w:t xml:space="preserve">obtaining </w:t>
      </w:r>
      <w:r w:rsidR="001331A5">
        <w:t xml:space="preserve">a </w:t>
      </w:r>
      <w:r>
        <w:t>driver’s licence, budgeting etc), and the current and future needs of communities.</w:t>
      </w:r>
    </w:p>
    <w:p w14:paraId="4F8E39CD" w14:textId="06E246D6" w:rsidR="005E310E" w:rsidRDefault="005E310E" w:rsidP="005E310E">
      <w:r>
        <w:t>Respondents indicate</w:t>
      </w:r>
      <w:r w:rsidR="0046175D">
        <w:t xml:space="preserve">d </w:t>
      </w:r>
      <w:r>
        <w:t xml:space="preserve">programs </w:t>
      </w:r>
      <w:r w:rsidR="0046175D">
        <w:t xml:space="preserve">are often </w:t>
      </w:r>
      <w:r>
        <w:t xml:space="preserve">designed without consideration of the existing skills and knowledge of First </w:t>
      </w:r>
      <w:r w:rsidRPr="00147F14">
        <w:t xml:space="preserve">Nations people. </w:t>
      </w:r>
      <w:r w:rsidR="0046175D" w:rsidRPr="00147F14">
        <w:t xml:space="preserve">Instead, </w:t>
      </w:r>
      <w:r w:rsidRPr="00147F14">
        <w:t>traditional knowledge (including</w:t>
      </w:r>
      <w:r w:rsidR="00006753" w:rsidRPr="00147F14">
        <w:t xml:space="preserve"> First Nations</w:t>
      </w:r>
      <w:r w:rsidRPr="00147F14">
        <w:t xml:space="preserve"> language</w:t>
      </w:r>
      <w:r w:rsidR="00006753" w:rsidRPr="00147F14">
        <w:t>s</w:t>
      </w:r>
      <w:r w:rsidRPr="00147F14">
        <w:t>) may be aligned to various careers and programs could capitalise on this.</w:t>
      </w:r>
      <w:r w:rsidR="00502E2B" w:rsidRPr="00147F14">
        <w:t xml:space="preserve"> Projects built around local and traditional knowledge should be</w:t>
      </w:r>
      <w:r w:rsidR="00502E2B">
        <w:t xml:space="preserve"> prioritised where appropriate.</w:t>
      </w:r>
    </w:p>
    <w:p w14:paraId="1E4C4045" w14:textId="582B767F" w:rsidR="005E310E" w:rsidRDefault="0046175D" w:rsidP="005E310E">
      <w:r>
        <w:t>Similarly</w:t>
      </w:r>
      <w:r w:rsidR="005E310E">
        <w:t xml:space="preserve">, respondents called for greater recognition of the role elders and community-based mentors can play in the delivery of foundation skills training.  </w:t>
      </w:r>
    </w:p>
    <w:p w14:paraId="75C72E60" w14:textId="4375B4EA" w:rsidR="00C81E97" w:rsidRDefault="00C81E97" w:rsidP="005E310E">
      <w:r w:rsidRPr="00C2184E">
        <w:t xml:space="preserve">In remote areas where there </w:t>
      </w:r>
      <w:r w:rsidR="00816B5C">
        <w:t>are established</w:t>
      </w:r>
      <w:r w:rsidRPr="00C2184E">
        <w:t xml:space="preserve"> industr</w:t>
      </w:r>
      <w:r w:rsidR="00816B5C">
        <w:t xml:space="preserve">ies, </w:t>
      </w:r>
      <w:r w:rsidRPr="00C2184E">
        <w:t>such as the resource and/or agricultural sectors, workplace programs or programs targeting LLND development for prospective employees may be beneficial.</w:t>
      </w:r>
    </w:p>
    <w:p w14:paraId="300AB0FA" w14:textId="77D943A2" w:rsidR="0051073E" w:rsidRDefault="00816B5C" w:rsidP="0051073E">
      <w:r>
        <w:t>I</w:t>
      </w:r>
      <w:r w:rsidR="0051073E">
        <w:t>ndustry in some remote areas</w:t>
      </w:r>
      <w:r>
        <w:t xml:space="preserve"> is also experiencing changing workforce needs. The</w:t>
      </w:r>
      <w:r w:rsidR="0051073E">
        <w:t xml:space="preserve"> resource and agricultural industries</w:t>
      </w:r>
      <w:r>
        <w:t xml:space="preserve"> </w:t>
      </w:r>
      <w:r w:rsidR="0051073E">
        <w:t>are experiencing rapid and significant change due to decarbonisation initiatives and digitisation/automation</w:t>
      </w:r>
      <w:r>
        <w:t>. F</w:t>
      </w:r>
      <w:r w:rsidR="0051073E">
        <w:t>oundation skills</w:t>
      </w:r>
      <w:r>
        <w:t>, including digital literacy skills,</w:t>
      </w:r>
      <w:r w:rsidR="0051073E">
        <w:t xml:space="preserve"> will be vital </w:t>
      </w:r>
      <w:r>
        <w:t>for individuals to gain the required skills to undertake further</w:t>
      </w:r>
      <w:r w:rsidR="0051073E">
        <w:t xml:space="preserve"> training or education, </w:t>
      </w:r>
      <w:r w:rsidR="001B2F56">
        <w:t>to</w:t>
      </w:r>
      <w:r w:rsidR="0051073E">
        <w:t xml:space="preserve"> gain employment</w:t>
      </w:r>
      <w:r>
        <w:t>, or upskill, in</w:t>
      </w:r>
      <w:r w:rsidR="0051073E">
        <w:t xml:space="preserve"> these industries.  </w:t>
      </w:r>
    </w:p>
    <w:p w14:paraId="7C0EDD7E" w14:textId="03726E30" w:rsidR="005E310E" w:rsidRDefault="00161E1C" w:rsidP="005E310E">
      <w:r>
        <w:lastRenderedPageBreak/>
        <w:t>We heard that p</w:t>
      </w:r>
      <w:r w:rsidR="005E310E">
        <w:t>rograms that combine instruction with applied learning approaches in work, community development and social enterprise activities should be prioritised.</w:t>
      </w:r>
    </w:p>
    <w:p w14:paraId="36DB75C2" w14:textId="77777777" w:rsidR="005E310E" w:rsidRDefault="062125CC" w:rsidP="00BD3C4B">
      <w:pPr>
        <w:pStyle w:val="Heading3"/>
        <w:numPr>
          <w:ilvl w:val="2"/>
          <w:numId w:val="8"/>
        </w:numPr>
        <w:ind w:left="709" w:hanging="709"/>
      </w:pPr>
      <w:bookmarkStart w:id="15" w:name="_Toc1658500198"/>
      <w:bookmarkStart w:id="16" w:name="_Toc138159399"/>
      <w:r>
        <w:t xml:space="preserve">Broaden eligibility </w:t>
      </w:r>
      <w:proofErr w:type="gramStart"/>
      <w:r>
        <w:t>criteria</w:t>
      </w:r>
      <w:bookmarkEnd w:id="15"/>
      <w:bookmarkEnd w:id="16"/>
      <w:proofErr w:type="gramEnd"/>
    </w:p>
    <w:p w14:paraId="4537E767" w14:textId="001B04B1" w:rsidR="00D177C1" w:rsidRDefault="003E455C" w:rsidP="00F703D9">
      <w:r>
        <w:t>O</w:t>
      </w:r>
      <w:r w:rsidR="009B4987">
        <w:t>ne response highlight</w:t>
      </w:r>
      <w:r w:rsidR="001B2F56">
        <w:t>ed</w:t>
      </w:r>
      <w:r w:rsidR="009B4987">
        <w:t xml:space="preserve"> that foundation skills </w:t>
      </w:r>
      <w:r w:rsidR="00E17D0C">
        <w:t>are</w:t>
      </w:r>
      <w:r w:rsidR="009B4987">
        <w:t xml:space="preserve"> part of a lifelong learning framework. Many people have multiple jobs over their lifetime and may need to upskill in areas – particularly with digital </w:t>
      </w:r>
      <w:r w:rsidR="00281205">
        <w:t xml:space="preserve">literacy </w:t>
      </w:r>
      <w:r w:rsidR="009B4987">
        <w:t xml:space="preserve">skills. Additionally, as new technologies emerge, participating fully in society requires some level of proficiency in </w:t>
      </w:r>
      <w:r w:rsidR="00281205">
        <w:t xml:space="preserve">literacy </w:t>
      </w:r>
      <w:r w:rsidR="009B4987">
        <w:t>skills. As many workers are still employed in some capacity after retirement age (contributing to the economy and community in remote areas), it is vital to ensure access to foundation skills training for all ages and employment status.</w:t>
      </w:r>
      <w:r w:rsidR="00D177C1">
        <w:t xml:space="preserve"> Learning hubs within communities that people can access</w:t>
      </w:r>
      <w:r w:rsidR="00281205">
        <w:t xml:space="preserve">, </w:t>
      </w:r>
      <w:r w:rsidR="00D177C1">
        <w:t>even after training is completed</w:t>
      </w:r>
      <w:r w:rsidR="00281205">
        <w:t xml:space="preserve">, </w:t>
      </w:r>
      <w:r w:rsidR="00D177C1">
        <w:t>c</w:t>
      </w:r>
      <w:r w:rsidR="00281205">
        <w:t>an</w:t>
      </w:r>
      <w:r w:rsidR="00D177C1">
        <w:t xml:space="preserve"> embed the program within the community and ensure </w:t>
      </w:r>
      <w:r w:rsidR="002C6B88">
        <w:t>sustainability for the longer term</w:t>
      </w:r>
      <w:r w:rsidR="00D177C1">
        <w:t>.</w:t>
      </w:r>
    </w:p>
    <w:p w14:paraId="1C415617" w14:textId="4B65A25C" w:rsidR="005E310E" w:rsidRDefault="00DD148F" w:rsidP="005E310E">
      <w:r>
        <w:t>A</w:t>
      </w:r>
      <w:r w:rsidR="00904085" w:rsidRPr="001D3AED">
        <w:t xml:space="preserve"> </w:t>
      </w:r>
      <w:r w:rsidR="005E310E" w:rsidRPr="001D3AED">
        <w:t xml:space="preserve">clear </w:t>
      </w:r>
      <w:r w:rsidR="00904085">
        <w:t>theme in the feedback was that</w:t>
      </w:r>
      <w:r w:rsidR="005E310E" w:rsidRPr="001D3AED">
        <w:t xml:space="preserve"> training should </w:t>
      </w:r>
      <w:r w:rsidR="003E455C">
        <w:t xml:space="preserve">be available to all in the community who need, or express a desire to improve their foundation skills, and eligibility not restricted to jobseekers.  Instead, eligibility should include anyone in the community who expresses a desire to improve their foundation skills, and access to the program should be simple and not involve a cumbersome registration process. </w:t>
      </w:r>
    </w:p>
    <w:p w14:paraId="775B091F" w14:textId="7CF858CA" w:rsidR="0070279D" w:rsidRDefault="005E310E" w:rsidP="005E310E">
      <w:r w:rsidRPr="00C2184E">
        <w:t xml:space="preserve">While many responses concentrated on First Nations participants, </w:t>
      </w:r>
      <w:r w:rsidR="00904085">
        <w:t>other</w:t>
      </w:r>
      <w:r w:rsidRPr="00C2184E">
        <w:t xml:space="preserve"> </w:t>
      </w:r>
      <w:r w:rsidR="00904085">
        <w:t>feedback suggested the need to include</w:t>
      </w:r>
      <w:r w:rsidRPr="00C2184E">
        <w:t xml:space="preserve"> </w:t>
      </w:r>
      <w:r w:rsidR="00904085" w:rsidRPr="00C2184E">
        <w:t xml:space="preserve">migrants </w:t>
      </w:r>
      <w:r w:rsidR="00904085">
        <w:t>in LLND programs targeting remote areas</w:t>
      </w:r>
      <w:r w:rsidR="00904085" w:rsidRPr="00C2184E">
        <w:t xml:space="preserve">. </w:t>
      </w:r>
    </w:p>
    <w:p w14:paraId="11907631" w14:textId="4D8C773D" w:rsidR="005E310E" w:rsidRDefault="0070279D" w:rsidP="005E310E">
      <w:r>
        <w:t>The issue of v</w:t>
      </w:r>
      <w:r w:rsidR="005E310E" w:rsidRPr="00C2184E">
        <w:t xml:space="preserve">arying gendered experiences </w:t>
      </w:r>
      <w:r>
        <w:t>in</w:t>
      </w:r>
      <w:r w:rsidR="005E310E" w:rsidRPr="00C2184E">
        <w:t xml:space="preserve"> remote areas</w:t>
      </w:r>
      <w:r>
        <w:t xml:space="preserve"> was also highlighted in the feedback</w:t>
      </w:r>
      <w:r w:rsidR="005E310E" w:rsidRPr="00C2184E">
        <w:t xml:space="preserve">.  </w:t>
      </w:r>
      <w:r w:rsidR="00DA3E56">
        <w:t xml:space="preserve">Ensuring </w:t>
      </w:r>
      <w:r w:rsidR="001A4F09">
        <w:t xml:space="preserve">access to </w:t>
      </w:r>
      <w:r w:rsidR="005E310E" w:rsidRPr="00C2184E">
        <w:t xml:space="preserve">training </w:t>
      </w:r>
      <w:r w:rsidR="001A4F09">
        <w:t>for</w:t>
      </w:r>
      <w:r w:rsidR="001A4F09" w:rsidRPr="00C2184E">
        <w:t xml:space="preserve"> </w:t>
      </w:r>
      <w:r w:rsidR="005E310E" w:rsidRPr="00C2184E">
        <w:t xml:space="preserve">women was </w:t>
      </w:r>
      <w:r w:rsidR="00DA3E56">
        <w:t>seen as important</w:t>
      </w:r>
      <w:r w:rsidR="005E310E" w:rsidRPr="00C2184E">
        <w:t>, with suggestions that training be more family centric.</w:t>
      </w:r>
    </w:p>
    <w:p w14:paraId="79B60E63" w14:textId="6D3052D7" w:rsidR="005E310E" w:rsidRPr="005E310E" w:rsidRDefault="062125CC" w:rsidP="00BD3C4B">
      <w:pPr>
        <w:pStyle w:val="Heading3"/>
        <w:numPr>
          <w:ilvl w:val="2"/>
          <w:numId w:val="8"/>
        </w:numPr>
        <w:ind w:left="709" w:hanging="709"/>
      </w:pPr>
      <w:bookmarkStart w:id="17" w:name="_Toc265050537"/>
      <w:bookmarkStart w:id="18" w:name="_Toc138159400"/>
      <w:r>
        <w:t>Overcom</w:t>
      </w:r>
      <w:r w:rsidR="60CC6F05">
        <w:t>e</w:t>
      </w:r>
      <w:r>
        <w:t xml:space="preserve"> barriers to </w:t>
      </w:r>
      <w:proofErr w:type="gramStart"/>
      <w:r>
        <w:t>participation</w:t>
      </w:r>
      <w:bookmarkEnd w:id="17"/>
      <w:bookmarkEnd w:id="18"/>
      <w:proofErr w:type="gramEnd"/>
    </w:p>
    <w:p w14:paraId="2A5D8226" w14:textId="74FE2FD0" w:rsidR="0051073E" w:rsidRDefault="0051073E" w:rsidP="005E310E">
      <w:r>
        <w:t xml:space="preserve">Commentary in the responses indicated that often foundation skills training is based on a deficit model with participants’ current skills and knowledge not being </w:t>
      </w:r>
      <w:r w:rsidR="00337956">
        <w:t>considered</w:t>
      </w:r>
      <w:r>
        <w:t xml:space="preserve">. This was mentioned particularly in the context of operation within First Nations communities. </w:t>
      </w:r>
      <w:r w:rsidR="003E455C">
        <w:t>Together</w:t>
      </w:r>
      <w:r>
        <w:t xml:space="preserve"> with potential prior negative experiences or trauma with education (or other factors), </w:t>
      </w:r>
      <w:r w:rsidR="003E455C">
        <w:t>a deficit model</w:t>
      </w:r>
      <w:r w:rsidR="00DD148F">
        <w:t xml:space="preserve"> </w:t>
      </w:r>
      <w:r w:rsidR="003E455C">
        <w:t>reduces the likelihood of learners fully engaging and succeeding in training.</w:t>
      </w:r>
      <w:r w:rsidR="008765E5">
        <w:t xml:space="preserve"> </w:t>
      </w:r>
    </w:p>
    <w:p w14:paraId="65BA3601" w14:textId="09DA0172" w:rsidR="00783DDD" w:rsidRDefault="008765E5" w:rsidP="005E310E">
      <w:r>
        <w:t xml:space="preserve">Additionally, responses stressed that it should be remembered that often in remote and First Nations communities, learning is not always </w:t>
      </w:r>
      <w:proofErr w:type="gramStart"/>
      <w:r w:rsidR="00783DDD">
        <w:t xml:space="preserve">a </w:t>
      </w:r>
      <w:r>
        <w:t>first priority</w:t>
      </w:r>
      <w:proofErr w:type="gramEnd"/>
      <w:r>
        <w:t>, with family and cultural obligations taking precedence over training. This should not be interpreted in the first instance as lack of interest</w:t>
      </w:r>
      <w:r w:rsidR="00783DDD">
        <w:t>. Importantly, d</w:t>
      </w:r>
      <w:r w:rsidR="00EC5A85">
        <w:t xml:space="preserve">isengagement should not be </w:t>
      </w:r>
      <w:r w:rsidR="00E95693">
        <w:t xml:space="preserve">looked at in isolation as a measure of underperformance for </w:t>
      </w:r>
      <w:r w:rsidR="00783DDD">
        <w:t xml:space="preserve">a </w:t>
      </w:r>
      <w:r w:rsidR="00E95693">
        <w:t>project</w:t>
      </w:r>
      <w:r w:rsidR="00783DDD">
        <w:t xml:space="preserve"> and </w:t>
      </w:r>
      <w:r w:rsidR="00E95693">
        <w:t xml:space="preserve">highlights the need for projects to </w:t>
      </w:r>
      <w:r w:rsidR="003E455C">
        <w:t xml:space="preserve">be delivered in a way that understands community context and supports participant re-engagement. </w:t>
      </w:r>
      <w:r>
        <w:t xml:space="preserve"> </w:t>
      </w:r>
    </w:p>
    <w:p w14:paraId="6E678233" w14:textId="7F0394B7" w:rsidR="009B4987" w:rsidRDefault="009B4987" w:rsidP="005E310E">
      <w:r>
        <w:t xml:space="preserve">Incorporating First Nations language and culture into individual project design </w:t>
      </w:r>
      <w:proofErr w:type="gramStart"/>
      <w:r>
        <w:t>in order to</w:t>
      </w:r>
      <w:proofErr w:type="gramEnd"/>
      <w:r>
        <w:t xml:space="preserve"> engage and motivate community was suggested through a number of responses. This would also ensure that training is not approached from </w:t>
      </w:r>
      <w:r w:rsidR="00783DDD">
        <w:t xml:space="preserve">a </w:t>
      </w:r>
      <w:r>
        <w:t>deficit perspective</w:t>
      </w:r>
      <w:r w:rsidR="00783DDD">
        <w:t xml:space="preserve">, and instead </w:t>
      </w:r>
      <w:r>
        <w:t>build</w:t>
      </w:r>
      <w:r w:rsidR="00783DDD">
        <w:t>s</w:t>
      </w:r>
      <w:r>
        <w:t xml:space="preserve"> on traditional language and knowledge </w:t>
      </w:r>
      <w:r w:rsidR="00783DDD">
        <w:t xml:space="preserve">to </w:t>
      </w:r>
      <w:r>
        <w:t>ensure that acknowledgement and respect are afforded the learner, aiding in confidence and value of the program.</w:t>
      </w:r>
    </w:p>
    <w:p w14:paraId="685B40CB" w14:textId="106B6FE3" w:rsidR="00160956" w:rsidRDefault="00145947" w:rsidP="00160956">
      <w:r>
        <w:lastRenderedPageBreak/>
        <w:t xml:space="preserve">Additionally, </w:t>
      </w:r>
      <w:r w:rsidR="00160956">
        <w:t xml:space="preserve">teachers in the program </w:t>
      </w:r>
      <w:r>
        <w:t>should be</w:t>
      </w:r>
      <w:r w:rsidR="00160956">
        <w:t xml:space="preserve"> aware of the different written and spoken language conventions of First Nations’ languages</w:t>
      </w:r>
      <w:r w:rsidR="00161E1C">
        <w:t xml:space="preserve"> </w:t>
      </w:r>
      <w:proofErr w:type="gramStart"/>
      <w:r w:rsidR="00161E1C">
        <w:t>in order to</w:t>
      </w:r>
      <w:proofErr w:type="gramEnd"/>
      <w:r w:rsidR="00161E1C">
        <w:t xml:space="preserve"> better understand the context in which to design and deliver English LLND training</w:t>
      </w:r>
      <w:r w:rsidR="00147F14">
        <w:t>.</w:t>
      </w:r>
    </w:p>
    <w:p w14:paraId="42640277" w14:textId="36F2ED4A" w:rsidR="005E310E" w:rsidRDefault="005E310E" w:rsidP="005E310E">
      <w:r>
        <w:t xml:space="preserve">The lack of suitable and affordable digital infrastructure in remote areas was a key theme throughout the responses. Digital capacity in remote areas is often limited. Affordability of digital devices, high cost of data and the ability to maintain these digital devices (repairs etc), restricts capacity for digital </w:t>
      </w:r>
      <w:r w:rsidR="00783DDD">
        <w:t xml:space="preserve">literacy </w:t>
      </w:r>
      <w:r>
        <w:t xml:space="preserve">skills development. </w:t>
      </w:r>
      <w:r w:rsidR="009B4987">
        <w:t xml:space="preserve">Internet access and capacity in remote areas </w:t>
      </w:r>
      <w:r w:rsidR="00783DDD">
        <w:t>requires that device</w:t>
      </w:r>
      <w:r w:rsidR="009B4987">
        <w:t xml:space="preserve"> and connectivity costs are built into program costs. </w:t>
      </w:r>
      <w:r w:rsidR="00753E2A">
        <w:t xml:space="preserve">Technological advances, such as </w:t>
      </w:r>
      <w:r w:rsidR="00196D1D">
        <w:t>a</w:t>
      </w:r>
      <w:r w:rsidR="00DF4CE6">
        <w:t>rtificial intelligence</w:t>
      </w:r>
      <w:r w:rsidR="00196D1D">
        <w:t xml:space="preserve"> (AI)</w:t>
      </w:r>
      <w:r w:rsidR="00DF4CE6">
        <w:t xml:space="preserve"> </w:t>
      </w:r>
      <w:r w:rsidR="00753E2A">
        <w:t xml:space="preserve">and chatbots, should be integrated into </w:t>
      </w:r>
      <w:r w:rsidR="00783DDD">
        <w:t>programs</w:t>
      </w:r>
      <w:r w:rsidR="00753E2A">
        <w:t xml:space="preserve"> </w:t>
      </w:r>
      <w:r w:rsidR="009B4987">
        <w:t>where possible and appropriate.</w:t>
      </w:r>
    </w:p>
    <w:p w14:paraId="4BB5D8D3" w14:textId="2BF147A2" w:rsidR="004B1AF5" w:rsidRDefault="00161E1C" w:rsidP="005E310E">
      <w:r>
        <w:t>We heard that t</w:t>
      </w:r>
      <w:r w:rsidR="005E310E">
        <w:t>ransport to and from training continues to be an issue in remote and outer regional areas and this is a significant barrier to training.</w:t>
      </w:r>
      <w:r w:rsidR="002F5B65">
        <w:t xml:space="preserve"> Transport and other barriers should be considered when designing community-based projects and partnerships with organisations offering wrap</w:t>
      </w:r>
      <w:r w:rsidR="001758F5">
        <w:t>-</w:t>
      </w:r>
      <w:r w:rsidR="002F5B65">
        <w:t>around support need to be considered.</w:t>
      </w:r>
    </w:p>
    <w:p w14:paraId="4557E738" w14:textId="0C6EC347" w:rsidR="005E310E" w:rsidRDefault="005E310E" w:rsidP="005E310E">
      <w:r>
        <w:t>Programs should contain elements of wrap-around support to assist addressing barriers to participation in training</w:t>
      </w:r>
      <w:r w:rsidR="00245D5C">
        <w:t>. F</w:t>
      </w:r>
      <w:r w:rsidR="00D93190">
        <w:t xml:space="preserve">or example, </w:t>
      </w:r>
      <w:r>
        <w:t xml:space="preserve">linking participants to childcare centres </w:t>
      </w:r>
      <w:r w:rsidR="00D93190">
        <w:t>through assisting learners to</w:t>
      </w:r>
      <w:r>
        <w:t xml:space="preserve"> access suitable digital devices.</w:t>
      </w:r>
    </w:p>
    <w:p w14:paraId="5938C230" w14:textId="10463CCF" w:rsidR="005E310E" w:rsidRDefault="009B4987" w:rsidP="001805B5">
      <w:r>
        <w:t>Program design should be able to change as industry and technologies change, and skills required for work and society change.</w:t>
      </w:r>
    </w:p>
    <w:p w14:paraId="4E7E78B2" w14:textId="282B3B9E" w:rsidR="00214F0E" w:rsidRDefault="7CEDB650" w:rsidP="00BD3C4B">
      <w:pPr>
        <w:pStyle w:val="Heading2"/>
        <w:numPr>
          <w:ilvl w:val="1"/>
          <w:numId w:val="8"/>
        </w:numPr>
        <w:ind w:left="567" w:hanging="567"/>
      </w:pPr>
      <w:bookmarkStart w:id="19" w:name="_Toc1225005447"/>
      <w:bookmarkStart w:id="20" w:name="_Toc138159401"/>
      <w:r>
        <w:t>Program Design</w:t>
      </w:r>
      <w:bookmarkEnd w:id="19"/>
      <w:bookmarkEnd w:id="20"/>
    </w:p>
    <w:p w14:paraId="4E8CF6CA" w14:textId="479588CF" w:rsidR="00D755E8" w:rsidRDefault="00D755E8" w:rsidP="00214F0E">
      <w:r>
        <w:rPr>
          <w:noProof/>
        </w:rPr>
        <mc:AlternateContent>
          <mc:Choice Requires="wps">
            <w:drawing>
              <wp:inline distT="0" distB="0" distL="0" distR="0" wp14:anchorId="4EAE4743" wp14:editId="3861830C">
                <wp:extent cx="5686425" cy="1914525"/>
                <wp:effectExtent l="0" t="0" r="28575"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914525"/>
                        </a:xfrm>
                        <a:prstGeom prst="rect">
                          <a:avLst/>
                        </a:prstGeom>
                        <a:solidFill>
                          <a:srgbClr val="E5EEDA"/>
                        </a:solidFill>
                        <a:ln w="9525">
                          <a:solidFill>
                            <a:srgbClr val="789B4A"/>
                          </a:solidFill>
                          <a:miter lim="800000"/>
                          <a:headEnd/>
                          <a:tailEnd/>
                        </a:ln>
                      </wps:spPr>
                      <wps:txbx>
                        <w:txbxContent>
                          <w:p w14:paraId="0B4999F5" w14:textId="318DB684" w:rsidR="00D755E8" w:rsidRPr="00AB7603" w:rsidRDefault="00D755E8" w:rsidP="00AB7603">
                            <w:pPr>
                              <w:spacing w:after="120"/>
                              <w:rPr>
                                <w:b/>
                                <w:bCs/>
                                <w:i/>
                                <w:iCs/>
                              </w:rPr>
                            </w:pPr>
                            <w:r w:rsidRPr="00AB7603">
                              <w:rPr>
                                <w:b/>
                                <w:bCs/>
                                <w:i/>
                                <w:iCs/>
                              </w:rPr>
                              <w:t xml:space="preserve">Key </w:t>
                            </w:r>
                            <w:r w:rsidR="00F31F13" w:rsidRPr="00AB7603">
                              <w:rPr>
                                <w:b/>
                                <w:bCs/>
                                <w:i/>
                                <w:iCs/>
                              </w:rPr>
                              <w:t>Feedback</w:t>
                            </w:r>
                            <w:r w:rsidRPr="00AB7603">
                              <w:rPr>
                                <w:b/>
                                <w:bCs/>
                                <w:i/>
                                <w:iCs/>
                              </w:rPr>
                              <w:t>:</w:t>
                            </w:r>
                          </w:p>
                          <w:p w14:paraId="21A4124A" w14:textId="5EB9C52E" w:rsidR="00D755E8" w:rsidRPr="001468CC" w:rsidRDefault="00A1688D" w:rsidP="00834736">
                            <w:pPr>
                              <w:pStyle w:val="ListParagraph"/>
                              <w:numPr>
                                <w:ilvl w:val="0"/>
                                <w:numId w:val="19"/>
                              </w:numPr>
                            </w:pPr>
                            <w:r>
                              <w:t>P</w:t>
                            </w:r>
                            <w:r w:rsidR="00D755E8" w:rsidRPr="001468CC">
                              <w:t xml:space="preserve">rograms </w:t>
                            </w:r>
                            <w:r>
                              <w:t xml:space="preserve">should be designed </w:t>
                            </w:r>
                            <w:r w:rsidR="00D755E8" w:rsidRPr="001468CC">
                              <w:t>around individual and community priorities (current and future).</w:t>
                            </w:r>
                          </w:p>
                          <w:p w14:paraId="2E5E62E5" w14:textId="6130617F" w:rsidR="00D755E8" w:rsidRPr="001468CC" w:rsidRDefault="00A1688D" w:rsidP="00BD3C4B">
                            <w:pPr>
                              <w:pStyle w:val="ListParagraph"/>
                              <w:numPr>
                                <w:ilvl w:val="0"/>
                                <w:numId w:val="19"/>
                              </w:numPr>
                            </w:pPr>
                            <w:r>
                              <w:t>C</w:t>
                            </w:r>
                            <w:r w:rsidR="00D755E8">
                              <w:t>ommunity controlled</w:t>
                            </w:r>
                            <w:r w:rsidR="00D755E8" w:rsidRPr="001468CC">
                              <w:t xml:space="preserve"> organisations</w:t>
                            </w:r>
                            <w:r>
                              <w:t xml:space="preserve"> should</w:t>
                            </w:r>
                            <w:r w:rsidR="00D755E8" w:rsidRPr="001468CC">
                              <w:t xml:space="preserve"> lead </w:t>
                            </w:r>
                            <w:r w:rsidR="00D755E8">
                              <w:t xml:space="preserve">program </w:t>
                            </w:r>
                            <w:r w:rsidR="00D755E8" w:rsidRPr="001468CC">
                              <w:t>design.</w:t>
                            </w:r>
                          </w:p>
                          <w:p w14:paraId="7604C600" w14:textId="18B49840" w:rsidR="00D755E8" w:rsidRDefault="00A1688D" w:rsidP="00BD3C4B">
                            <w:pPr>
                              <w:pStyle w:val="ListParagraph"/>
                              <w:numPr>
                                <w:ilvl w:val="0"/>
                                <w:numId w:val="19"/>
                              </w:numPr>
                            </w:pPr>
                            <w:r>
                              <w:t>A</w:t>
                            </w:r>
                            <w:r w:rsidR="00D755E8">
                              <w:t>dequate time</w:t>
                            </w:r>
                            <w:r>
                              <w:t xml:space="preserve"> should be allowed for</w:t>
                            </w:r>
                            <w:r w:rsidR="00D755E8">
                              <w:t xml:space="preserve"> partnership development and program design.</w:t>
                            </w:r>
                          </w:p>
                          <w:p w14:paraId="302CF3E6" w14:textId="2BD8E10F" w:rsidR="00D755E8" w:rsidRDefault="00D755E8" w:rsidP="00BD3C4B">
                            <w:pPr>
                              <w:pStyle w:val="ListParagraph"/>
                              <w:numPr>
                                <w:ilvl w:val="0"/>
                                <w:numId w:val="19"/>
                              </w:numPr>
                            </w:pPr>
                            <w:r>
                              <w:t>Traditional knowledge and its application should guide foundation skills design and be recognised as valid skills set in the national skills taxonomy</w:t>
                            </w:r>
                            <w:r w:rsidR="002D48ED">
                              <w:t>.</w:t>
                            </w:r>
                          </w:p>
                        </w:txbxContent>
                      </wps:txbx>
                      <wps:bodyPr rot="0" vert="horz" wrap="square" lIns="91440" tIns="45720" rIns="91440" bIns="45720" anchor="t" anchorCtr="0">
                        <a:noAutofit/>
                      </wps:bodyPr>
                    </wps:wsp>
                  </a:graphicData>
                </a:graphic>
              </wp:inline>
            </w:drawing>
          </mc:Choice>
          <mc:Fallback>
            <w:pict>
              <v:shape w14:anchorId="4EAE4743" id="Text Box 7" o:spid="_x0000_s1027" type="#_x0000_t202" style="width:447.75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huFgIAACcEAAAOAAAAZHJzL2Uyb0RvYy54bWysU9uO2jAQfa/Uf7D8XgIIWIgIKxbYqtL2&#10;Im37AY7tEKuOx7UNyfbrO3ayLL2oD1XzYHky4zMzZ86sb7tGk7N0XoEp6GQ0pkQaDkKZY0G/fL5/&#10;s6TEB2YE02BkQZ+kp7eb16/Wrc3lFGrQQjqCIMbnrS1oHYLNs8zzWjbMj8BKg84KXMMCmu6YCcda&#10;RG90Nh2PF1kLTlgHXHqPf/e9k24SflVJHj5WlZeB6IJibSGdLp1lPLPNmuVHx2yt+FAG+4cqGqYM&#10;Jr1A7Vlg5OTUb1CN4g48VGHEocmgqhSXqQfsZjL+pZvHmlmZekFyvL3Q5P8fLP9wfrSfHAndHXQ4&#10;wNSEtw/Av3piYFczc5Rb56CtJROYeBIpy1rr8+FppNrnPoKU7XsQOGR2CpCAuso1kRXskyA6DuDp&#10;QrrsAuH4c75YLmbTOSUcfZPVZDZHI+Zg+fNz63x4K6Eh8VJQh1NN8Oz84EMf+hwSs3nQStwrrZPh&#10;juVOO3JmqIDD/HDYbwf0n8K0IW1BVzH33yFulqu72R8hGhVQylo1BV2O49eLK/J2MCIJLTCl+zt2&#10;p81AZOSuZzF0ZUeUGFiOvJYgnpBZB71ycdPwUoP7TkmLqi2o/3ZiTlKi3xmcDtI3izJPxmx+M0XD&#10;XXvKaw8zHKEKGijpr7uQViMyYGCLU6xU4velkqFkVGOa0LA5Ue7Xdop62e/NDwAAAP//AwBQSwME&#10;FAAGAAgAAAAhAJFk1wzbAAAABQEAAA8AAABkcnMvZG93bnJldi54bWxMj0FLw0AQhe+C/2EZwZvd&#10;jZIS02xKERRBwZra+zQ7JsHsbMhum/Tfu3rRy8DjPd77pljPthcnGn3nWEOyUCCIa2c6bjR87B5v&#10;MhA+IBvsHZOGM3lYl5cXBebGTfxOpyo0Ipawz1FDG8KQS+nrliz6hRuIo/fpRoshyrGRZsQpltte&#10;3iq1lBY7jgstDvTQUv1VHa0G4pen57dqu09wE1S2mzq3fD1rfX01b1YgAs3hLww/+BEdysh0cEc2&#10;XvQa4iPh90Yvu09TEAcNdypJQZaF/E9ffgMAAP//AwBQSwECLQAUAAYACAAAACEAtoM4kv4AAADh&#10;AQAAEwAAAAAAAAAAAAAAAAAAAAAAW0NvbnRlbnRfVHlwZXNdLnhtbFBLAQItABQABgAIAAAAIQA4&#10;/SH/1gAAAJQBAAALAAAAAAAAAAAAAAAAAC8BAABfcmVscy8ucmVsc1BLAQItABQABgAIAAAAIQAZ&#10;8GhuFgIAACcEAAAOAAAAAAAAAAAAAAAAAC4CAABkcnMvZTJvRG9jLnhtbFBLAQItABQABgAIAAAA&#10;IQCRZNcM2wAAAAUBAAAPAAAAAAAAAAAAAAAAAHAEAABkcnMvZG93bnJldi54bWxQSwUGAAAAAAQA&#10;BADzAAAAeAUAAAAA&#10;" fillcolor="#e5eeda" strokecolor="#789b4a">
                <v:textbox>
                  <w:txbxContent>
                    <w:p w14:paraId="0B4999F5" w14:textId="318DB684" w:rsidR="00D755E8" w:rsidRPr="00AB7603" w:rsidRDefault="00D755E8" w:rsidP="00AB7603">
                      <w:pPr>
                        <w:spacing w:after="120"/>
                        <w:rPr>
                          <w:b/>
                          <w:bCs/>
                          <w:i/>
                          <w:iCs/>
                        </w:rPr>
                      </w:pPr>
                      <w:r w:rsidRPr="00AB7603">
                        <w:rPr>
                          <w:b/>
                          <w:bCs/>
                          <w:i/>
                          <w:iCs/>
                        </w:rPr>
                        <w:t xml:space="preserve">Key </w:t>
                      </w:r>
                      <w:r w:rsidR="00F31F13" w:rsidRPr="00AB7603">
                        <w:rPr>
                          <w:b/>
                          <w:bCs/>
                          <w:i/>
                          <w:iCs/>
                        </w:rPr>
                        <w:t>Feedback</w:t>
                      </w:r>
                      <w:r w:rsidRPr="00AB7603">
                        <w:rPr>
                          <w:b/>
                          <w:bCs/>
                          <w:i/>
                          <w:iCs/>
                        </w:rPr>
                        <w:t>:</w:t>
                      </w:r>
                    </w:p>
                    <w:p w14:paraId="21A4124A" w14:textId="5EB9C52E" w:rsidR="00D755E8" w:rsidRPr="001468CC" w:rsidRDefault="00A1688D" w:rsidP="00834736">
                      <w:pPr>
                        <w:pStyle w:val="ListParagraph"/>
                        <w:numPr>
                          <w:ilvl w:val="0"/>
                          <w:numId w:val="19"/>
                        </w:numPr>
                      </w:pPr>
                      <w:r>
                        <w:t>P</w:t>
                      </w:r>
                      <w:r w:rsidR="00D755E8" w:rsidRPr="001468CC">
                        <w:t xml:space="preserve">rograms </w:t>
                      </w:r>
                      <w:r>
                        <w:t xml:space="preserve">should be designed </w:t>
                      </w:r>
                      <w:r w:rsidR="00D755E8" w:rsidRPr="001468CC">
                        <w:t>around individual and community priorities (current and future).</w:t>
                      </w:r>
                    </w:p>
                    <w:p w14:paraId="2E5E62E5" w14:textId="6130617F" w:rsidR="00D755E8" w:rsidRPr="001468CC" w:rsidRDefault="00A1688D" w:rsidP="00BD3C4B">
                      <w:pPr>
                        <w:pStyle w:val="ListParagraph"/>
                        <w:numPr>
                          <w:ilvl w:val="0"/>
                          <w:numId w:val="19"/>
                        </w:numPr>
                      </w:pPr>
                      <w:r>
                        <w:t>C</w:t>
                      </w:r>
                      <w:r w:rsidR="00D755E8">
                        <w:t>ommunity controlled</w:t>
                      </w:r>
                      <w:r w:rsidR="00D755E8" w:rsidRPr="001468CC">
                        <w:t xml:space="preserve"> organisations</w:t>
                      </w:r>
                      <w:r>
                        <w:t xml:space="preserve"> should</w:t>
                      </w:r>
                      <w:r w:rsidR="00D755E8" w:rsidRPr="001468CC">
                        <w:t xml:space="preserve"> lead </w:t>
                      </w:r>
                      <w:r w:rsidR="00D755E8">
                        <w:t xml:space="preserve">program </w:t>
                      </w:r>
                      <w:r w:rsidR="00D755E8" w:rsidRPr="001468CC">
                        <w:t>design.</w:t>
                      </w:r>
                    </w:p>
                    <w:p w14:paraId="7604C600" w14:textId="18B49840" w:rsidR="00D755E8" w:rsidRDefault="00A1688D" w:rsidP="00BD3C4B">
                      <w:pPr>
                        <w:pStyle w:val="ListParagraph"/>
                        <w:numPr>
                          <w:ilvl w:val="0"/>
                          <w:numId w:val="19"/>
                        </w:numPr>
                      </w:pPr>
                      <w:r>
                        <w:t>A</w:t>
                      </w:r>
                      <w:r w:rsidR="00D755E8">
                        <w:t>dequate time</w:t>
                      </w:r>
                      <w:r>
                        <w:t xml:space="preserve"> should be allowed for</w:t>
                      </w:r>
                      <w:r w:rsidR="00D755E8">
                        <w:t xml:space="preserve"> partnership development and program design.</w:t>
                      </w:r>
                    </w:p>
                    <w:p w14:paraId="302CF3E6" w14:textId="2BD8E10F" w:rsidR="00D755E8" w:rsidRDefault="00D755E8" w:rsidP="00BD3C4B">
                      <w:pPr>
                        <w:pStyle w:val="ListParagraph"/>
                        <w:numPr>
                          <w:ilvl w:val="0"/>
                          <w:numId w:val="19"/>
                        </w:numPr>
                      </w:pPr>
                      <w:r>
                        <w:t>Traditional knowledge and its application should guide foundation skills design and be recognised as valid skills set in the national skills taxonomy</w:t>
                      </w:r>
                      <w:r w:rsidR="002D48ED">
                        <w:t>.</w:t>
                      </w:r>
                    </w:p>
                  </w:txbxContent>
                </v:textbox>
                <w10:anchorlock/>
              </v:shape>
            </w:pict>
          </mc:Fallback>
        </mc:AlternateContent>
      </w:r>
    </w:p>
    <w:p w14:paraId="64E92C96" w14:textId="3458ECB1" w:rsidR="00214F0E" w:rsidRDefault="0051073E" w:rsidP="00214F0E">
      <w:r w:rsidRPr="0051073E">
        <w:t xml:space="preserve">As per the issues raised in response to Question 1, the overarching theme of submissions </w:t>
      </w:r>
      <w:r w:rsidR="003E455C">
        <w:t>was</w:t>
      </w:r>
      <w:r w:rsidR="003E455C" w:rsidRPr="0051073E">
        <w:t xml:space="preserve"> </w:t>
      </w:r>
      <w:r w:rsidRPr="0051073E">
        <w:t>that the program should be designed to cater for needs at the community level and should be community-led. Programs should not be developed in isolation from community and individual goals and should incorporate LLND into other training or community-based activities where necessary.</w:t>
      </w:r>
    </w:p>
    <w:p w14:paraId="772EFC12" w14:textId="036B7B10" w:rsidR="001468CC" w:rsidRDefault="11399CCD" w:rsidP="00BD3C4B">
      <w:pPr>
        <w:pStyle w:val="Heading3"/>
        <w:numPr>
          <w:ilvl w:val="2"/>
          <w:numId w:val="8"/>
        </w:numPr>
        <w:ind w:left="709" w:hanging="709"/>
      </w:pPr>
      <w:bookmarkStart w:id="21" w:name="_Toc132829805"/>
      <w:bookmarkStart w:id="22" w:name="_Toc1576075683"/>
      <w:bookmarkStart w:id="23" w:name="_Toc138159402"/>
      <w:bookmarkEnd w:id="21"/>
      <w:r>
        <w:t>Prioritise Needs of Community and Individual</w:t>
      </w:r>
      <w:bookmarkEnd w:id="22"/>
      <w:bookmarkEnd w:id="23"/>
    </w:p>
    <w:p w14:paraId="4D5CC909" w14:textId="21405E17" w:rsidR="00E05B3E" w:rsidRDefault="0051073E" w:rsidP="00E05B3E">
      <w:r w:rsidRPr="001D3AED">
        <w:t xml:space="preserve">The need for LLND training models to be designed around the needs of the community and individuals was the overarching theme of the responses to this question.  </w:t>
      </w:r>
    </w:p>
    <w:p w14:paraId="3D665905" w14:textId="64B68A46" w:rsidR="0051073E" w:rsidRPr="00147F14" w:rsidRDefault="0051073E" w:rsidP="00E05B3E">
      <w:r>
        <w:lastRenderedPageBreak/>
        <w:t>Responses resoundingly did not support ‘fly-in and fly-out’ models nor wholly online programs.</w:t>
      </w:r>
      <w:r w:rsidR="00E90831">
        <w:t xml:space="preserve"> </w:t>
      </w:r>
      <w:r w:rsidR="00E90831" w:rsidRPr="008311F1">
        <w:t>Programs should be place-based with</w:t>
      </w:r>
      <w:r w:rsidR="003E455C">
        <w:t xml:space="preserve"> teachers and</w:t>
      </w:r>
      <w:r w:rsidR="00E90831" w:rsidRPr="008311F1">
        <w:t xml:space="preserve"> trainers </w:t>
      </w:r>
      <w:r w:rsidR="00E90831">
        <w:t xml:space="preserve">living within the community wherever </w:t>
      </w:r>
      <w:r w:rsidR="00E90831" w:rsidRPr="00147F14">
        <w:t>possible.</w:t>
      </w:r>
    </w:p>
    <w:p w14:paraId="3A7B9844" w14:textId="42B6AA9A" w:rsidR="002F5B65" w:rsidRPr="00147F14" w:rsidRDefault="002F5B65" w:rsidP="00E05B3E">
      <w:r w:rsidRPr="00147F14">
        <w:t>The training model needs to be flexible to accommodate responsibilities of the communities and individuals.</w:t>
      </w:r>
      <w:r w:rsidR="00E90831" w:rsidRPr="00147F14">
        <w:t xml:space="preserve"> </w:t>
      </w:r>
      <w:r w:rsidR="00161E1C" w:rsidRPr="00147F14">
        <w:t>In recognition of this, p</w:t>
      </w:r>
      <w:r w:rsidR="00E90831" w:rsidRPr="00147F14">
        <w:t>rogram</w:t>
      </w:r>
      <w:r w:rsidR="00D93190" w:rsidRPr="00147F14">
        <w:t>s</w:t>
      </w:r>
      <w:r w:rsidR="00E90831" w:rsidRPr="00147F14">
        <w:t xml:space="preserve"> should allow for repeat engagement or re-entry </w:t>
      </w:r>
      <w:r w:rsidR="00BD42D6" w:rsidRPr="00147F14">
        <w:t xml:space="preserve">by individuals </w:t>
      </w:r>
      <w:r w:rsidR="00E90831" w:rsidRPr="00147F14">
        <w:t>after periods of withdrawal from the program.</w:t>
      </w:r>
      <w:r w:rsidR="00161E1C" w:rsidRPr="00147F14">
        <w:t xml:space="preserve"> This approach </w:t>
      </w:r>
      <w:r w:rsidR="00094FE5" w:rsidRPr="00147F14">
        <w:t>would</w:t>
      </w:r>
      <w:r w:rsidR="00161E1C" w:rsidRPr="00147F14">
        <w:t xml:space="preserve"> </w:t>
      </w:r>
      <w:r w:rsidR="008A7F42" w:rsidRPr="00147F14">
        <w:t xml:space="preserve">build trust and </w:t>
      </w:r>
      <w:r w:rsidR="00161E1C" w:rsidRPr="00147F14">
        <w:t>assist</w:t>
      </w:r>
      <w:r w:rsidR="008A7F42" w:rsidRPr="00147F14">
        <w:t xml:space="preserve"> to maintain </w:t>
      </w:r>
      <w:r w:rsidR="00161E1C" w:rsidRPr="00147F14">
        <w:t>buy in from participants and the community</w:t>
      </w:r>
      <w:r w:rsidR="008A7F42" w:rsidRPr="00147F14">
        <w:t>.</w:t>
      </w:r>
      <w:r w:rsidR="00161E1C" w:rsidRPr="00147F14">
        <w:t xml:space="preserve"> </w:t>
      </w:r>
    </w:p>
    <w:p w14:paraId="23B1F36C" w14:textId="59344EF1" w:rsidR="00502115" w:rsidRDefault="00D93190" w:rsidP="00E05B3E">
      <w:r w:rsidRPr="00147F14">
        <w:t>C</w:t>
      </w:r>
      <w:r w:rsidR="00502115" w:rsidRPr="00147F14">
        <w:t>onsultation</w:t>
      </w:r>
      <w:r w:rsidR="00502115">
        <w:t xml:space="preserve"> and </w:t>
      </w:r>
      <w:r>
        <w:t xml:space="preserve">clear </w:t>
      </w:r>
      <w:r w:rsidR="00502115">
        <w:t>communication with community members</w:t>
      </w:r>
      <w:r>
        <w:t xml:space="preserve">, </w:t>
      </w:r>
      <w:r w:rsidR="00502115">
        <w:t>including elders and community leaders</w:t>
      </w:r>
      <w:r>
        <w:t xml:space="preserve">, needs to continue </w:t>
      </w:r>
      <w:r w:rsidR="00502115">
        <w:t xml:space="preserve">throughout the project life cycle to </w:t>
      </w:r>
      <w:r>
        <w:t>ensure</w:t>
      </w:r>
      <w:r w:rsidR="00502115">
        <w:t xml:space="preserve"> the project </w:t>
      </w:r>
      <w:r>
        <w:t>aligns</w:t>
      </w:r>
      <w:r w:rsidR="00502115">
        <w:t xml:space="preserve"> to community and individual goals</w:t>
      </w:r>
      <w:r>
        <w:t xml:space="preserve">, </w:t>
      </w:r>
      <w:r w:rsidR="00502115">
        <w:t xml:space="preserve">and </w:t>
      </w:r>
      <w:r>
        <w:t>helps maintain community</w:t>
      </w:r>
      <w:r w:rsidR="00502115">
        <w:t xml:space="preserve"> ‘buy-in’ </w:t>
      </w:r>
      <w:r>
        <w:t>and</w:t>
      </w:r>
      <w:r w:rsidR="00502115">
        <w:t xml:space="preserve"> participation.</w:t>
      </w:r>
    </w:p>
    <w:p w14:paraId="63197819" w14:textId="224647FE" w:rsidR="00E05B3E" w:rsidRPr="00E05B3E" w:rsidRDefault="11399CCD" w:rsidP="00BD3C4B">
      <w:pPr>
        <w:pStyle w:val="Heading3"/>
        <w:numPr>
          <w:ilvl w:val="2"/>
          <w:numId w:val="8"/>
        </w:numPr>
        <w:ind w:left="709" w:hanging="709"/>
      </w:pPr>
      <w:bookmarkStart w:id="24" w:name="_Toc1016843407"/>
      <w:bookmarkStart w:id="25" w:name="_Toc138159403"/>
      <w:r>
        <w:t>Approach to Program Design</w:t>
      </w:r>
      <w:bookmarkEnd w:id="24"/>
      <w:bookmarkEnd w:id="25"/>
    </w:p>
    <w:p w14:paraId="7E2BF814" w14:textId="5F9E3E2B" w:rsidR="00E90831" w:rsidRDefault="003D28F4" w:rsidP="001468CC">
      <w:r>
        <w:t xml:space="preserve">The </w:t>
      </w:r>
      <w:r w:rsidR="00E90831" w:rsidRPr="008311F1">
        <w:t xml:space="preserve">Program needs to be aligned with the </w:t>
      </w:r>
      <w:hyperlink r:id="rId15" w:history="1">
        <w:r w:rsidR="00E90831" w:rsidRPr="002C6B88">
          <w:rPr>
            <w:rStyle w:val="Hyperlink"/>
          </w:rPr>
          <w:t>National Agreement for Closing the Gap 4 priority reform areas</w:t>
        </w:r>
      </w:hyperlink>
      <w:r w:rsidR="00E90831" w:rsidRPr="008311F1">
        <w:t>.</w:t>
      </w:r>
    </w:p>
    <w:p w14:paraId="113CA3BF" w14:textId="5A9B4E34" w:rsidR="005E310E" w:rsidRDefault="0051073E" w:rsidP="001468CC">
      <w:r>
        <w:t>I</w:t>
      </w:r>
      <w:r w:rsidR="005E310E" w:rsidRPr="001D3AED">
        <w:t>t was strongly suggested that programs should be co-designed and led by the communities – particularly in First Nations communities.</w:t>
      </w:r>
    </w:p>
    <w:p w14:paraId="1313F6E9" w14:textId="40F99BB8" w:rsidR="00E26563" w:rsidRDefault="00E26563" w:rsidP="001468CC">
      <w:r>
        <w:t>One submission suggest</w:t>
      </w:r>
      <w:r w:rsidR="003E455C">
        <w:t>ed</w:t>
      </w:r>
      <w:r>
        <w:t xml:space="preserve"> that a population model for service provision should be developed and not a model built on individual access.  </w:t>
      </w:r>
    </w:p>
    <w:p w14:paraId="41EC1BE6" w14:textId="456F0063" w:rsidR="009B4987" w:rsidRDefault="009B4987" w:rsidP="001468CC">
      <w:r>
        <w:t xml:space="preserve">There was a call </w:t>
      </w:r>
      <w:r w:rsidR="008D351A">
        <w:t>for the department</w:t>
      </w:r>
      <w:r>
        <w:t xml:space="preserve"> to develop a suite of</w:t>
      </w:r>
      <w:r w:rsidR="008D351A">
        <w:t xml:space="preserve"> potential</w:t>
      </w:r>
      <w:r>
        <w:t xml:space="preserve"> learning models which can be tailored locally and include tools for the delivery of LLND (and other – including mentoring) skills to those community people who may be identified to </w:t>
      </w:r>
      <w:r w:rsidR="003B4485">
        <w:t>function</w:t>
      </w:r>
      <w:r>
        <w:t xml:space="preserve"> as project staff.</w:t>
      </w:r>
      <w:r w:rsidR="008D351A">
        <w:t xml:space="preserve"> </w:t>
      </w:r>
    </w:p>
    <w:p w14:paraId="33168A78" w14:textId="5B31EBEA" w:rsidR="002F5B65" w:rsidRDefault="005E310E" w:rsidP="001468CC">
      <w:r>
        <w:t>Adequate time should be afforded to develop partnerships and design program concepts.</w:t>
      </w:r>
      <w:r w:rsidR="009B4987">
        <w:t xml:space="preserve"> True partnerships in remote communities take some time to build</w:t>
      </w:r>
      <w:r w:rsidR="00C22098">
        <w:t>. C</w:t>
      </w:r>
      <w:r w:rsidR="009B4987">
        <w:t>o-design approaches</w:t>
      </w:r>
      <w:r w:rsidR="00C22098">
        <w:t xml:space="preserve"> required</w:t>
      </w:r>
      <w:r w:rsidR="009B4987">
        <w:t xml:space="preserve"> to get the community on board and recruit participants</w:t>
      </w:r>
      <w:r w:rsidR="00C22098">
        <w:t xml:space="preserve"> </w:t>
      </w:r>
      <w:r w:rsidR="009B4987">
        <w:t>also take considerable time to implement. This needs to be built into program design, including performance measures</w:t>
      </w:r>
      <w:r w:rsidR="002F5B65">
        <w:t xml:space="preserve">, to allow </w:t>
      </w:r>
      <w:r w:rsidR="00C22098">
        <w:t>s</w:t>
      </w:r>
      <w:r w:rsidR="00C22098" w:rsidRPr="008311F1">
        <w:t>ufficient time to</w:t>
      </w:r>
      <w:r w:rsidR="002F5B65">
        <w:t>:</w:t>
      </w:r>
    </w:p>
    <w:p w14:paraId="6D4CB2AA" w14:textId="4CCBAA50" w:rsidR="002F5B65" w:rsidRDefault="002F5B65" w:rsidP="00BD3C4B">
      <w:pPr>
        <w:pStyle w:val="ListParagraph"/>
        <w:numPr>
          <w:ilvl w:val="0"/>
          <w:numId w:val="9"/>
        </w:numPr>
        <w:spacing w:line="276" w:lineRule="auto"/>
      </w:pPr>
      <w:r w:rsidRPr="008311F1">
        <w:t xml:space="preserve">develop partnerships required to design a project at the community </w:t>
      </w:r>
      <w:proofErr w:type="gramStart"/>
      <w:r w:rsidRPr="008311F1">
        <w:t>level</w:t>
      </w:r>
      <w:proofErr w:type="gramEnd"/>
    </w:p>
    <w:p w14:paraId="15D4017E" w14:textId="222B7022" w:rsidR="00C22098" w:rsidRDefault="00C22098" w:rsidP="00BD3C4B">
      <w:pPr>
        <w:pStyle w:val="ListParagraph"/>
        <w:numPr>
          <w:ilvl w:val="0"/>
          <w:numId w:val="9"/>
        </w:numPr>
        <w:spacing w:line="276" w:lineRule="auto"/>
      </w:pPr>
      <w:r>
        <w:t xml:space="preserve">allow lead in time before </w:t>
      </w:r>
      <w:r w:rsidR="002F5B65" w:rsidRPr="008311F1">
        <w:t>commenc</w:t>
      </w:r>
      <w:r>
        <w:t>ing</w:t>
      </w:r>
      <w:r w:rsidR="002F5B65" w:rsidRPr="008311F1">
        <w:t xml:space="preserve"> </w:t>
      </w:r>
      <w:proofErr w:type="gramStart"/>
      <w:r w:rsidR="002F5B65" w:rsidRPr="008311F1">
        <w:t>projects</w:t>
      </w:r>
      <w:proofErr w:type="gramEnd"/>
      <w:r w:rsidR="002F5B65" w:rsidRPr="008311F1">
        <w:t xml:space="preserve"> </w:t>
      </w:r>
    </w:p>
    <w:p w14:paraId="540765BB" w14:textId="0CC0CC79" w:rsidR="002F5B65" w:rsidRDefault="00C22098" w:rsidP="00BD3C4B">
      <w:pPr>
        <w:pStyle w:val="ListParagraph"/>
        <w:numPr>
          <w:ilvl w:val="0"/>
          <w:numId w:val="9"/>
        </w:numPr>
        <w:spacing w:line="276" w:lineRule="auto"/>
      </w:pPr>
      <w:r>
        <w:t>allow enough</w:t>
      </w:r>
      <w:r w:rsidR="002F5B65" w:rsidRPr="008311F1">
        <w:t xml:space="preserve"> time to achieve project milestones and outcomes.</w:t>
      </w:r>
    </w:p>
    <w:p w14:paraId="55B6D35F" w14:textId="7FD91B0C" w:rsidR="005E310E" w:rsidRDefault="00A14CAE" w:rsidP="001468CC">
      <w:r>
        <w:t>Government will need to develop a tolerance for allowing projects adequate time to</w:t>
      </w:r>
      <w:r w:rsidR="009B4987">
        <w:t xml:space="preserve"> investigate ways </w:t>
      </w:r>
      <w:r>
        <w:t>t</w:t>
      </w:r>
      <w:r w:rsidR="009B4987">
        <w:t xml:space="preserve">o truly </w:t>
      </w:r>
      <w:r w:rsidR="00BD42D6">
        <w:t xml:space="preserve">achieve </w:t>
      </w:r>
      <w:r w:rsidR="009B4987">
        <w:t>outcomes.</w:t>
      </w:r>
    </w:p>
    <w:p w14:paraId="647450EA" w14:textId="46203EA8" w:rsidR="00B07931" w:rsidRDefault="00B07931" w:rsidP="00337956">
      <w:pPr>
        <w:spacing w:after="0" w:line="240" w:lineRule="auto"/>
      </w:pPr>
      <w:r>
        <w:t>Traditional knowledge could assist Aboriginal and Torres Strait Islander learners to recognise the skills and associated career paths associated with this knowledge which include some in science and innovation.</w:t>
      </w:r>
    </w:p>
    <w:p w14:paraId="122BC8DF" w14:textId="054B5432" w:rsidR="002F5B65" w:rsidRDefault="039C6586" w:rsidP="00BD3C4B">
      <w:pPr>
        <w:pStyle w:val="Heading3"/>
        <w:numPr>
          <w:ilvl w:val="2"/>
          <w:numId w:val="8"/>
        </w:numPr>
        <w:ind w:left="709" w:hanging="709"/>
      </w:pPr>
      <w:bookmarkStart w:id="26" w:name="_Toc1303431942"/>
      <w:bookmarkStart w:id="27" w:name="_Toc138159404"/>
      <w:r>
        <w:t>Program Elements</w:t>
      </w:r>
      <w:bookmarkEnd w:id="26"/>
      <w:bookmarkEnd w:id="27"/>
    </w:p>
    <w:p w14:paraId="74F5BAFC" w14:textId="7774BCB4" w:rsidR="002F5B65" w:rsidRDefault="002F5B65" w:rsidP="006F2057">
      <w:r w:rsidRPr="008311F1">
        <w:t xml:space="preserve">Both accredited and non-accredited training should be </w:t>
      </w:r>
      <w:r w:rsidR="006232CB">
        <w:t>acceptable</w:t>
      </w:r>
      <w:r w:rsidRPr="008311F1">
        <w:t xml:space="preserve">, </w:t>
      </w:r>
      <w:r w:rsidR="004B6D29">
        <w:t xml:space="preserve">to allow for the type of training that </w:t>
      </w:r>
      <w:r w:rsidRPr="008311F1">
        <w:t>is most appropriate for achievement of community and participant goals.</w:t>
      </w:r>
    </w:p>
    <w:p w14:paraId="3880583D" w14:textId="162726BA" w:rsidR="00214F0E" w:rsidRDefault="7CEDB650" w:rsidP="00BD3C4B">
      <w:pPr>
        <w:pStyle w:val="Heading2"/>
        <w:numPr>
          <w:ilvl w:val="1"/>
          <w:numId w:val="8"/>
        </w:numPr>
        <w:ind w:left="567" w:hanging="567"/>
      </w:pPr>
      <w:bookmarkStart w:id="28" w:name="_Toc759073734"/>
      <w:bookmarkStart w:id="29" w:name="_Toc138159405"/>
      <w:r>
        <w:lastRenderedPageBreak/>
        <w:t xml:space="preserve">Support for Aboriginal and Torres Strait Islander </w:t>
      </w:r>
      <w:proofErr w:type="gramStart"/>
      <w:r w:rsidR="00F5479B">
        <w:t>community controlled</w:t>
      </w:r>
      <w:proofErr w:type="gramEnd"/>
      <w:r>
        <w:t xml:space="preserve"> organisations</w:t>
      </w:r>
      <w:bookmarkEnd w:id="28"/>
      <w:bookmarkEnd w:id="29"/>
    </w:p>
    <w:p w14:paraId="66F8DB1F" w14:textId="77777777" w:rsidR="00A1688D" w:rsidRDefault="003C5BBA" w:rsidP="002D48ED">
      <w:r>
        <w:rPr>
          <w:noProof/>
        </w:rPr>
        <mc:AlternateContent>
          <mc:Choice Requires="wps">
            <w:drawing>
              <wp:inline distT="0" distB="0" distL="0" distR="0" wp14:anchorId="09E64AC1" wp14:editId="7F8BAE95">
                <wp:extent cx="5686425" cy="1885950"/>
                <wp:effectExtent l="0" t="0" r="28575" b="1905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885950"/>
                        </a:xfrm>
                        <a:prstGeom prst="rect">
                          <a:avLst/>
                        </a:prstGeom>
                        <a:solidFill>
                          <a:srgbClr val="E5EEDA"/>
                        </a:solidFill>
                        <a:ln w="9525">
                          <a:solidFill>
                            <a:srgbClr val="789B4A"/>
                          </a:solidFill>
                          <a:miter lim="800000"/>
                          <a:headEnd/>
                          <a:tailEnd/>
                        </a:ln>
                      </wps:spPr>
                      <wps:txbx>
                        <w:txbxContent>
                          <w:p w14:paraId="6CE70C54" w14:textId="4CB1405A" w:rsidR="003C5BBA" w:rsidRDefault="003C5BBA" w:rsidP="003C5BBA">
                            <w:pPr>
                              <w:spacing w:after="120"/>
                              <w:rPr>
                                <w:b/>
                                <w:bCs/>
                                <w:i/>
                                <w:iCs/>
                              </w:rPr>
                            </w:pPr>
                            <w:r>
                              <w:rPr>
                                <w:b/>
                                <w:bCs/>
                                <w:i/>
                                <w:iCs/>
                              </w:rPr>
                              <w:t xml:space="preserve">Key </w:t>
                            </w:r>
                            <w:r w:rsidR="00F31F13">
                              <w:rPr>
                                <w:b/>
                                <w:bCs/>
                                <w:i/>
                                <w:iCs/>
                              </w:rPr>
                              <w:t>Feedback</w:t>
                            </w:r>
                            <w:r w:rsidRPr="001805B5">
                              <w:rPr>
                                <w:b/>
                                <w:bCs/>
                                <w:i/>
                                <w:iCs/>
                              </w:rPr>
                              <w:t>:</w:t>
                            </w:r>
                          </w:p>
                          <w:p w14:paraId="144CE28F" w14:textId="47809B6D" w:rsidR="00A1688D" w:rsidRPr="002D48ED" w:rsidRDefault="00A1688D" w:rsidP="003C5BBA">
                            <w:pPr>
                              <w:spacing w:after="120"/>
                            </w:pPr>
                            <w:r w:rsidRPr="002D48ED">
                              <w:t>Program design should include:</w:t>
                            </w:r>
                          </w:p>
                          <w:p w14:paraId="76D0ED05" w14:textId="62914586" w:rsidR="003C5BBA" w:rsidRDefault="003C5BBA" w:rsidP="00834736">
                            <w:pPr>
                              <w:pStyle w:val="ListParagraph"/>
                              <w:numPr>
                                <w:ilvl w:val="0"/>
                                <w:numId w:val="14"/>
                              </w:numPr>
                              <w:spacing w:after="0"/>
                            </w:pPr>
                            <w:r>
                              <w:t>Establish</w:t>
                            </w:r>
                            <w:r w:rsidR="00A1688D">
                              <w:t>ment of</w:t>
                            </w:r>
                            <w:r>
                              <w:t xml:space="preserve"> programs that can accommodate a </w:t>
                            </w:r>
                            <w:r w:rsidRPr="005D70C6">
                              <w:t xml:space="preserve">broader range of </w:t>
                            </w:r>
                            <w:r w:rsidR="00F5479B">
                              <w:t>community controlled</w:t>
                            </w:r>
                            <w:r w:rsidRPr="005D70C6">
                              <w:t xml:space="preserve"> organisations.</w:t>
                            </w:r>
                          </w:p>
                          <w:p w14:paraId="4821D86B" w14:textId="55D95EFD" w:rsidR="003C5BBA" w:rsidRDefault="00A1688D" w:rsidP="00BD3C4B">
                            <w:pPr>
                              <w:pStyle w:val="ListParagraph"/>
                              <w:numPr>
                                <w:ilvl w:val="0"/>
                                <w:numId w:val="14"/>
                              </w:numPr>
                              <w:spacing w:after="0"/>
                            </w:pPr>
                            <w:r>
                              <w:t>C</w:t>
                            </w:r>
                            <w:r w:rsidR="003C5BBA">
                              <w:t>apacity building opportunities in program design.</w:t>
                            </w:r>
                          </w:p>
                          <w:p w14:paraId="55786799" w14:textId="0D1B3434" w:rsidR="003C5BBA" w:rsidRDefault="00A1688D" w:rsidP="00BD3C4B">
                            <w:pPr>
                              <w:pStyle w:val="ListParagraph"/>
                              <w:numPr>
                                <w:ilvl w:val="0"/>
                                <w:numId w:val="14"/>
                              </w:numPr>
                              <w:spacing w:after="0"/>
                            </w:pPr>
                            <w:r>
                              <w:t>F</w:t>
                            </w:r>
                            <w:r w:rsidR="003C5BBA">
                              <w:t>unding a</w:t>
                            </w:r>
                            <w:r w:rsidR="003C5BBA" w:rsidRPr="005D70C6">
                              <w:t xml:space="preserve">ssistance </w:t>
                            </w:r>
                            <w:r w:rsidR="003C5BBA">
                              <w:t>to support organisations with identifying suitable registered training organisations.</w:t>
                            </w:r>
                          </w:p>
                          <w:p w14:paraId="072B338C" w14:textId="77777777" w:rsidR="003C5BBA" w:rsidRPr="001468CC" w:rsidRDefault="003C5BBA" w:rsidP="003C5BBA">
                            <w:pPr>
                              <w:spacing w:after="0"/>
                            </w:pPr>
                          </w:p>
                        </w:txbxContent>
                      </wps:txbx>
                      <wps:bodyPr rot="0" vert="horz" wrap="square" lIns="91440" tIns="45720" rIns="91440" bIns="45720" anchor="t" anchorCtr="0">
                        <a:noAutofit/>
                      </wps:bodyPr>
                    </wps:wsp>
                  </a:graphicData>
                </a:graphic>
              </wp:inline>
            </w:drawing>
          </mc:Choice>
          <mc:Fallback>
            <w:pict>
              <v:shape w14:anchorId="09E64AC1" id="Text Box 8" o:spid="_x0000_s1028" type="#_x0000_t202" style="width:447.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vFGwIAACcEAAAOAAAAZHJzL2Uyb0RvYy54bWysU9uO2jAQfa/Uf7D8XgKIsCEirFhgq0rb&#10;i7TdD3Ach1h1PK5tSOjXd+ywLNqu+lA1D5YnYx+fOXNmedu3ihyFdRJ0QSejMSVCc6ik3hf06fv9&#10;h4wS55mumAItCnoSjt6u3r9bdiYXU2hAVcISBNEu70xBG+9NniSON6JlbgRGaEzWYFvmMbT7pLKs&#10;Q/RWJdPxeJ50YCtjgQvn8O92SNJVxK9rwf3XunbCE1VQ5ObjauNahjVZLVm+t8w0kp9psH9g0TKp&#10;8dEL1JZ5Rg5W/gHVSm7BQe1HHNoE6lpyEWvAaibjV9U8NsyIWAuK48xFJvf/YPmX46P5Zonv76DH&#10;BsYinHkA/sMRDZuG6b1YWwtdI1iFD0+CZElnXH6+GqR2uQsgZfcZKmwyO3iIQH1t26AK1kkQHRtw&#10;uoguek84/kzn2Xw2TSnhmJtkWbpIY1sSlj9fN9b5jwJaEjYFtdjVCM+OD84HOix/PhJec6BkdS+V&#10;ioHdlxtlyZGhA3bpbrddxwpeHVOadAVdpEjk7xA32eJu9iZEKz1aWcm2oNk4fIO5gm47XUWjeSbV&#10;sEfKSp+FDNoNKvq+7ImsCjoNd4OuJVQnVNbC4FycNNw0YH9R0qFrC+p+HpgVlKhPGruzmMxmweYx&#10;mKU3Uwzsdaa8zjDNEaqgnpJhu/FxNIICGtbYxVpGfV+YnCmjG6Ps58kJdr+O46mX+V79BgAA//8D&#10;AFBLAwQUAAYACAAAACEA1pp+G9wAAAAFAQAADwAAAGRycy9kb3ducmV2LnhtbEyPQUvDQBCF70L/&#10;wzKCN7vbQmsasymloAgKtqnep9kxCWZnQ3bbpP/e1Yu9DDze471vsvVoW3Gm3jeONcymCgRx6UzD&#10;lYaPw9N9AsIHZIOtY9JwIQ/rfHKTYWrcwHs6F6ESsYR9ihrqELpUSl/WZNFPXUccvS/XWwxR9pU0&#10;PQ6x3LZyrtRSWmw4LtTY0bam8rs4WQ3Er88v78Xuc4aboJLD0Ljl20Xru9tx8wgi0Bj+w/CLH9Eh&#10;j0xHd2LjRashPhL+bvSS1WIB4qhhvnpQIPNMXtPnPwAAAP//AwBQSwECLQAUAAYACAAAACEAtoM4&#10;kv4AAADhAQAAEwAAAAAAAAAAAAAAAAAAAAAAW0NvbnRlbnRfVHlwZXNdLnhtbFBLAQItABQABgAI&#10;AAAAIQA4/SH/1gAAAJQBAAALAAAAAAAAAAAAAAAAAC8BAABfcmVscy8ucmVsc1BLAQItABQABgAI&#10;AAAAIQCaA2vFGwIAACcEAAAOAAAAAAAAAAAAAAAAAC4CAABkcnMvZTJvRG9jLnhtbFBLAQItABQA&#10;BgAIAAAAIQDWmn4b3AAAAAUBAAAPAAAAAAAAAAAAAAAAAHUEAABkcnMvZG93bnJldi54bWxQSwUG&#10;AAAAAAQABADzAAAAfgUAAAAA&#10;" fillcolor="#e5eeda" strokecolor="#789b4a">
                <v:textbox>
                  <w:txbxContent>
                    <w:p w14:paraId="6CE70C54" w14:textId="4CB1405A" w:rsidR="003C5BBA" w:rsidRDefault="003C5BBA" w:rsidP="003C5BBA">
                      <w:pPr>
                        <w:spacing w:after="120"/>
                        <w:rPr>
                          <w:b/>
                          <w:bCs/>
                          <w:i/>
                          <w:iCs/>
                        </w:rPr>
                      </w:pPr>
                      <w:r>
                        <w:rPr>
                          <w:b/>
                          <w:bCs/>
                          <w:i/>
                          <w:iCs/>
                        </w:rPr>
                        <w:t xml:space="preserve">Key </w:t>
                      </w:r>
                      <w:r w:rsidR="00F31F13">
                        <w:rPr>
                          <w:b/>
                          <w:bCs/>
                          <w:i/>
                          <w:iCs/>
                        </w:rPr>
                        <w:t>Feedback</w:t>
                      </w:r>
                      <w:r w:rsidRPr="001805B5">
                        <w:rPr>
                          <w:b/>
                          <w:bCs/>
                          <w:i/>
                          <w:iCs/>
                        </w:rPr>
                        <w:t>:</w:t>
                      </w:r>
                    </w:p>
                    <w:p w14:paraId="144CE28F" w14:textId="47809B6D" w:rsidR="00A1688D" w:rsidRPr="002D48ED" w:rsidRDefault="00A1688D" w:rsidP="003C5BBA">
                      <w:pPr>
                        <w:spacing w:after="120"/>
                      </w:pPr>
                      <w:r w:rsidRPr="002D48ED">
                        <w:t>Program design should include:</w:t>
                      </w:r>
                    </w:p>
                    <w:p w14:paraId="76D0ED05" w14:textId="62914586" w:rsidR="003C5BBA" w:rsidRDefault="003C5BBA" w:rsidP="00834736">
                      <w:pPr>
                        <w:pStyle w:val="ListParagraph"/>
                        <w:numPr>
                          <w:ilvl w:val="0"/>
                          <w:numId w:val="14"/>
                        </w:numPr>
                        <w:spacing w:after="0"/>
                      </w:pPr>
                      <w:r>
                        <w:t>Establish</w:t>
                      </w:r>
                      <w:r w:rsidR="00A1688D">
                        <w:t>ment of</w:t>
                      </w:r>
                      <w:r>
                        <w:t xml:space="preserve"> programs that can accommodate a </w:t>
                      </w:r>
                      <w:r w:rsidRPr="005D70C6">
                        <w:t xml:space="preserve">broader range of </w:t>
                      </w:r>
                      <w:r w:rsidR="00F5479B">
                        <w:t>community controlled</w:t>
                      </w:r>
                      <w:r w:rsidRPr="005D70C6">
                        <w:t xml:space="preserve"> organisations.</w:t>
                      </w:r>
                    </w:p>
                    <w:p w14:paraId="4821D86B" w14:textId="55D95EFD" w:rsidR="003C5BBA" w:rsidRDefault="00A1688D" w:rsidP="00BD3C4B">
                      <w:pPr>
                        <w:pStyle w:val="ListParagraph"/>
                        <w:numPr>
                          <w:ilvl w:val="0"/>
                          <w:numId w:val="14"/>
                        </w:numPr>
                        <w:spacing w:after="0"/>
                      </w:pPr>
                      <w:r>
                        <w:t>C</w:t>
                      </w:r>
                      <w:r w:rsidR="003C5BBA">
                        <w:t>apacity building opportunities in program design.</w:t>
                      </w:r>
                    </w:p>
                    <w:p w14:paraId="55786799" w14:textId="0D1B3434" w:rsidR="003C5BBA" w:rsidRDefault="00A1688D" w:rsidP="00BD3C4B">
                      <w:pPr>
                        <w:pStyle w:val="ListParagraph"/>
                        <w:numPr>
                          <w:ilvl w:val="0"/>
                          <w:numId w:val="14"/>
                        </w:numPr>
                        <w:spacing w:after="0"/>
                      </w:pPr>
                      <w:r>
                        <w:t>F</w:t>
                      </w:r>
                      <w:r w:rsidR="003C5BBA">
                        <w:t>unding a</w:t>
                      </w:r>
                      <w:r w:rsidR="003C5BBA" w:rsidRPr="005D70C6">
                        <w:t xml:space="preserve">ssistance </w:t>
                      </w:r>
                      <w:r w:rsidR="003C5BBA">
                        <w:t>to support organisations with identifying suitable registered training organisations.</w:t>
                      </w:r>
                    </w:p>
                    <w:p w14:paraId="072B338C" w14:textId="77777777" w:rsidR="003C5BBA" w:rsidRPr="001468CC" w:rsidRDefault="003C5BBA" w:rsidP="003C5BBA">
                      <w:pPr>
                        <w:spacing w:after="0"/>
                      </w:pPr>
                    </w:p>
                  </w:txbxContent>
                </v:textbox>
                <w10:anchorlock/>
              </v:shape>
            </w:pict>
          </mc:Fallback>
        </mc:AlternateContent>
      </w:r>
    </w:p>
    <w:p w14:paraId="644BBD48" w14:textId="300CDB3A" w:rsidR="005D70C6" w:rsidRPr="005D70C6" w:rsidRDefault="005D70C6" w:rsidP="001805B5">
      <w:r>
        <w:t xml:space="preserve">The key theme of the responses to this question centre on capacity of </w:t>
      </w:r>
      <w:proofErr w:type="gramStart"/>
      <w:r w:rsidR="00F5479B">
        <w:t>community controlled</w:t>
      </w:r>
      <w:proofErr w:type="gramEnd"/>
      <w:r>
        <w:t xml:space="preserve"> organisations to deliver training,</w:t>
      </w:r>
      <w:r w:rsidR="008E2C7D">
        <w:t xml:space="preserve"> and</w:t>
      </w:r>
      <w:r>
        <w:t xml:space="preserve"> to successfully identify and/or partner with quality training providers.</w:t>
      </w:r>
    </w:p>
    <w:p w14:paraId="6BCF67ED" w14:textId="79E99B14" w:rsidR="0051073E" w:rsidRDefault="66C6A946" w:rsidP="00BD3C4B">
      <w:pPr>
        <w:pStyle w:val="Heading3"/>
        <w:numPr>
          <w:ilvl w:val="2"/>
          <w:numId w:val="8"/>
        </w:numPr>
        <w:ind w:left="709" w:hanging="709"/>
      </w:pPr>
      <w:bookmarkStart w:id="30" w:name="_Toc132829810"/>
      <w:bookmarkStart w:id="31" w:name="_Toc531902043"/>
      <w:bookmarkStart w:id="32" w:name="_Toc138159406"/>
      <w:bookmarkEnd w:id="30"/>
      <w:r>
        <w:t>Partnerships</w:t>
      </w:r>
      <w:bookmarkEnd w:id="31"/>
      <w:bookmarkEnd w:id="32"/>
    </w:p>
    <w:p w14:paraId="719A4F01" w14:textId="6A2EC613" w:rsidR="005D70C6" w:rsidRDefault="005D70C6" w:rsidP="0051073E">
      <w:r>
        <w:t>Community</w:t>
      </w:r>
      <w:r w:rsidR="00857365">
        <w:t xml:space="preserve"> controlled</w:t>
      </w:r>
      <w:r>
        <w:t xml:space="preserve"> organisations are best placed to design programs from a culturally safe and often trauma informed perspective.</w:t>
      </w:r>
    </w:p>
    <w:p w14:paraId="25E74203" w14:textId="74BBB7B9" w:rsidR="0051073E" w:rsidRDefault="005D70C6" w:rsidP="0051073E">
      <w:r>
        <w:t>However, s</w:t>
      </w:r>
      <w:r w:rsidR="0051073E">
        <w:t xml:space="preserve">ome </w:t>
      </w:r>
      <w:proofErr w:type="gramStart"/>
      <w:r w:rsidR="00857365">
        <w:t>community controlled</w:t>
      </w:r>
      <w:proofErr w:type="gramEnd"/>
      <w:r w:rsidR="0051073E">
        <w:t xml:space="preserve"> organisations are either inexperienced with LLND delivery or may not have the capacity to deliver a program in isolation. These organisations may benefit from forming partnerships with</w:t>
      </w:r>
      <w:r w:rsidR="004B6D29">
        <w:t xml:space="preserve"> Registered Training Organisations (</w:t>
      </w:r>
      <w:r w:rsidR="0051073E">
        <w:t>RTOs</w:t>
      </w:r>
      <w:r w:rsidR="004B6D29">
        <w:t>)</w:t>
      </w:r>
      <w:r w:rsidR="0051073E">
        <w:t xml:space="preserve"> </w:t>
      </w:r>
      <w:r w:rsidR="003E455C">
        <w:t xml:space="preserve">and other educational organisations, </w:t>
      </w:r>
      <w:r w:rsidR="00BD42D6">
        <w:t xml:space="preserve">which </w:t>
      </w:r>
      <w:r w:rsidR="0051073E">
        <w:t>can deliver the LLND components, community services offering wrap-around support, and other key stakeholders.</w:t>
      </w:r>
    </w:p>
    <w:p w14:paraId="7FF9D8B0" w14:textId="268E18E5" w:rsidR="005D70C6" w:rsidRDefault="005D70C6" w:rsidP="0051073E">
      <w:r>
        <w:t xml:space="preserve">Projects need to be designed and led by community in partnership with </w:t>
      </w:r>
      <w:r w:rsidR="004B6D29">
        <w:t>RTOs</w:t>
      </w:r>
      <w:r>
        <w:t xml:space="preserve"> and other support services to ensure they are wholistic and community and </w:t>
      </w:r>
      <w:r w:rsidR="006232CB">
        <w:t>person centric</w:t>
      </w:r>
      <w:r>
        <w:t>.</w:t>
      </w:r>
    </w:p>
    <w:p w14:paraId="127F3EAF" w14:textId="664A695D" w:rsidR="009B4987" w:rsidRDefault="004B6D29" w:rsidP="0051073E">
      <w:r>
        <w:t>Responses called for the c</w:t>
      </w:r>
      <w:r w:rsidR="009B4987">
        <w:t xml:space="preserve">onsideration </w:t>
      </w:r>
      <w:r>
        <w:t xml:space="preserve">of </w:t>
      </w:r>
      <w:r w:rsidR="009B4987">
        <w:t>partnership approaches that have demonstrated outcomes such as 26TEN (supported by 1</w:t>
      </w:r>
      <w:r w:rsidR="00CA5470">
        <w:t>,</w:t>
      </w:r>
      <w:r w:rsidR="009B4987">
        <w:t>131 organisations across Tasmania) and ‘Yes I Can’ (Literacy for Life Foundation)</w:t>
      </w:r>
      <w:r>
        <w:t xml:space="preserve"> initiatives</w:t>
      </w:r>
      <w:r w:rsidR="009B4987">
        <w:t>.</w:t>
      </w:r>
      <w:r w:rsidR="00502E2B">
        <w:t xml:space="preserve"> </w:t>
      </w:r>
      <w:r>
        <w:t xml:space="preserve">This should include the consideration of </w:t>
      </w:r>
      <w:r w:rsidR="00502E2B" w:rsidRPr="008311F1">
        <w:t>funding</w:t>
      </w:r>
      <w:r>
        <w:t xml:space="preserve"> for</w:t>
      </w:r>
      <w:r w:rsidR="00502E2B" w:rsidRPr="008311F1">
        <w:t xml:space="preserve"> partnership or campaign type models such as 26TEN and ‘Yes I Can’</w:t>
      </w:r>
      <w:r>
        <w:t xml:space="preserve">, </w:t>
      </w:r>
      <w:r w:rsidR="00502E2B" w:rsidRPr="008311F1">
        <w:t>where local people are at the centre of program design.</w:t>
      </w:r>
    </w:p>
    <w:p w14:paraId="6ED09E94" w14:textId="2C8557E9" w:rsidR="005D70C6" w:rsidRDefault="005D70C6" w:rsidP="0051073E">
      <w:r w:rsidRPr="005D70C6">
        <w:t>The</w:t>
      </w:r>
      <w:r w:rsidR="00C86ACD">
        <w:t xml:space="preserve"> </w:t>
      </w:r>
      <w:r w:rsidR="000264D3">
        <w:t>program</w:t>
      </w:r>
      <w:r w:rsidRPr="005D70C6">
        <w:t xml:space="preserve"> should be opened for a broader range of </w:t>
      </w:r>
      <w:proofErr w:type="gramStart"/>
      <w:r w:rsidR="00857365">
        <w:t>community controlled</w:t>
      </w:r>
      <w:proofErr w:type="gramEnd"/>
      <w:r w:rsidRPr="005D70C6">
        <w:t xml:space="preserve"> organisations to apply for funding, including Land Councils</w:t>
      </w:r>
      <w:r w:rsidR="004B6D29">
        <w:t xml:space="preserve"> and </w:t>
      </w:r>
      <w:r w:rsidR="00291E96">
        <w:t>Aboriginal Community Controlled Health Services (ACCHS)</w:t>
      </w:r>
      <w:r w:rsidRPr="005D70C6">
        <w:t>.  These organisations can partner with suitable RTOs for the training design and delivery components.</w:t>
      </w:r>
    </w:p>
    <w:p w14:paraId="417B5B3A" w14:textId="16E4E85C" w:rsidR="002F5B65" w:rsidRDefault="039C6586" w:rsidP="00BD3C4B">
      <w:pPr>
        <w:pStyle w:val="Heading3"/>
        <w:numPr>
          <w:ilvl w:val="2"/>
          <w:numId w:val="8"/>
        </w:numPr>
        <w:ind w:left="709" w:hanging="709"/>
      </w:pPr>
      <w:bookmarkStart w:id="33" w:name="_Toc1957072549"/>
      <w:bookmarkStart w:id="34" w:name="_Toc138159407"/>
      <w:r>
        <w:t>Capacity Building</w:t>
      </w:r>
      <w:bookmarkEnd w:id="33"/>
      <w:bookmarkEnd w:id="34"/>
    </w:p>
    <w:p w14:paraId="06ADE4F8" w14:textId="194CA51B" w:rsidR="002F5B65" w:rsidRPr="00BA6DC9" w:rsidRDefault="00DB6222" w:rsidP="0051073E">
      <w:r>
        <w:t xml:space="preserve">LLND </w:t>
      </w:r>
      <w:r w:rsidR="002F5B65">
        <w:t xml:space="preserve">education is not the same as </w:t>
      </w:r>
      <w:r>
        <w:t xml:space="preserve">other </w:t>
      </w:r>
      <w:r w:rsidR="002F5B65">
        <w:t>training</w:t>
      </w:r>
      <w:r>
        <w:t xml:space="preserve">, such as </w:t>
      </w:r>
      <w:r w:rsidR="00E45658">
        <w:t>VET</w:t>
      </w:r>
      <w:r w:rsidR="002F5B65">
        <w:t xml:space="preserve">, and part of the overall objective of increasing </w:t>
      </w:r>
      <w:r>
        <w:t xml:space="preserve">LLND skills </w:t>
      </w:r>
      <w:r w:rsidR="002F5B65" w:rsidRPr="00BA6DC9">
        <w:t xml:space="preserve">involves the capacity building of </w:t>
      </w:r>
      <w:proofErr w:type="gramStart"/>
      <w:r w:rsidR="00857365" w:rsidRPr="00BA6DC9">
        <w:t>community controlled</w:t>
      </w:r>
      <w:proofErr w:type="gramEnd"/>
      <w:r w:rsidR="002F5B65" w:rsidRPr="00BA6DC9">
        <w:t xml:space="preserve"> organisations.</w:t>
      </w:r>
    </w:p>
    <w:p w14:paraId="29298A15" w14:textId="35AEA117" w:rsidR="008A7F42" w:rsidRPr="00BA6DC9" w:rsidRDefault="008A7F42" w:rsidP="0051073E">
      <w:r w:rsidRPr="00BA6DC9">
        <w:t>We heard that the c</w:t>
      </w:r>
      <w:r w:rsidR="005D70C6" w:rsidRPr="00BA6DC9">
        <w:t xml:space="preserve">apacity of </w:t>
      </w:r>
      <w:proofErr w:type="gramStart"/>
      <w:r w:rsidR="00857365" w:rsidRPr="00BA6DC9">
        <w:t>community controlled</w:t>
      </w:r>
      <w:proofErr w:type="gramEnd"/>
      <w:r w:rsidR="005D70C6" w:rsidRPr="00BA6DC9">
        <w:t xml:space="preserve"> organisations</w:t>
      </w:r>
      <w:r w:rsidR="006D1D7C" w:rsidRPr="00BA6DC9">
        <w:t xml:space="preserve"> needs to be addressed</w:t>
      </w:r>
      <w:r w:rsidR="005D70C6" w:rsidRPr="00BA6DC9">
        <w:t xml:space="preserve"> across a number of fronts.  </w:t>
      </w:r>
      <w:r w:rsidRPr="00BA6DC9">
        <w:t>C</w:t>
      </w:r>
      <w:r w:rsidR="00857365" w:rsidRPr="00BA6DC9">
        <w:t>ommunity controlled</w:t>
      </w:r>
      <w:r w:rsidR="00F068E5" w:rsidRPr="00BA6DC9">
        <w:t xml:space="preserve"> </w:t>
      </w:r>
      <w:r w:rsidR="005D70C6" w:rsidRPr="00BA6DC9">
        <w:t xml:space="preserve">organisations </w:t>
      </w:r>
      <w:r w:rsidR="00F068E5" w:rsidRPr="00BA6DC9">
        <w:t>may</w:t>
      </w:r>
      <w:r w:rsidRPr="00BA6DC9">
        <w:t>:</w:t>
      </w:r>
    </w:p>
    <w:p w14:paraId="43242C2D" w14:textId="66EADC81" w:rsidR="008A7F42" w:rsidRPr="00BA6DC9" w:rsidRDefault="008A7F42" w:rsidP="008A7F42">
      <w:pPr>
        <w:pStyle w:val="ListParagraph"/>
        <w:numPr>
          <w:ilvl w:val="0"/>
          <w:numId w:val="21"/>
        </w:numPr>
      </w:pPr>
      <w:r w:rsidRPr="00BA6DC9">
        <w:lastRenderedPageBreak/>
        <w:t>not know</w:t>
      </w:r>
      <w:r w:rsidR="00BA6DC9" w:rsidRPr="00BA6DC9">
        <w:t xml:space="preserve"> </w:t>
      </w:r>
      <w:r w:rsidR="005D70C6" w:rsidRPr="00BA6DC9">
        <w:t xml:space="preserve">where to source </w:t>
      </w:r>
      <w:r w:rsidR="00F068E5" w:rsidRPr="00BA6DC9">
        <w:t xml:space="preserve">an </w:t>
      </w:r>
      <w:r w:rsidR="005D70C6" w:rsidRPr="00BA6DC9">
        <w:t xml:space="preserve">appropriate </w:t>
      </w:r>
      <w:r w:rsidR="00F068E5" w:rsidRPr="00BA6DC9">
        <w:t xml:space="preserve">RTO </w:t>
      </w:r>
      <w:r w:rsidR="005D70C6" w:rsidRPr="00BA6DC9">
        <w:t>with which to partner</w:t>
      </w:r>
      <w:r w:rsidR="0023612C" w:rsidRPr="00BA6DC9">
        <w:t xml:space="preserve"> to deliver LLND </w:t>
      </w:r>
      <w:proofErr w:type="gramStart"/>
      <w:r w:rsidR="0023612C" w:rsidRPr="00BA6DC9">
        <w:t>training</w:t>
      </w:r>
      <w:proofErr w:type="gramEnd"/>
    </w:p>
    <w:p w14:paraId="5AD526AB" w14:textId="56C2AA9D" w:rsidR="008A7F42" w:rsidRPr="00BA6DC9" w:rsidRDefault="008A7F42" w:rsidP="008A7F42">
      <w:pPr>
        <w:pStyle w:val="ListParagraph"/>
        <w:numPr>
          <w:ilvl w:val="0"/>
          <w:numId w:val="21"/>
        </w:numPr>
      </w:pPr>
      <w:r w:rsidRPr="00BA6DC9">
        <w:t xml:space="preserve">not </w:t>
      </w:r>
      <w:r w:rsidR="005D70C6" w:rsidRPr="00BA6DC9">
        <w:t xml:space="preserve">have suitably trained staff to deliver the </w:t>
      </w:r>
      <w:proofErr w:type="gramStart"/>
      <w:r w:rsidR="005D70C6" w:rsidRPr="00BA6DC9">
        <w:t>program</w:t>
      </w:r>
      <w:proofErr w:type="gramEnd"/>
      <w:r w:rsidR="005D70C6" w:rsidRPr="00BA6DC9">
        <w:t xml:space="preserve"> </w:t>
      </w:r>
    </w:p>
    <w:p w14:paraId="107FBD93" w14:textId="0518304A" w:rsidR="008A7F42" w:rsidRPr="00BA6DC9" w:rsidRDefault="008A7F42" w:rsidP="008A7F42">
      <w:pPr>
        <w:pStyle w:val="ListParagraph"/>
        <w:numPr>
          <w:ilvl w:val="0"/>
          <w:numId w:val="21"/>
        </w:numPr>
      </w:pPr>
      <w:r w:rsidRPr="00BA6DC9">
        <w:t xml:space="preserve">have </w:t>
      </w:r>
      <w:r w:rsidR="005D70C6" w:rsidRPr="00BA6DC9">
        <w:t xml:space="preserve">staff </w:t>
      </w:r>
      <w:r w:rsidRPr="00BA6DC9">
        <w:t xml:space="preserve">that </w:t>
      </w:r>
      <w:r w:rsidR="005D70C6" w:rsidRPr="00BA6DC9">
        <w:t xml:space="preserve">may be experiencing LLND issues </w:t>
      </w:r>
      <w:proofErr w:type="gramStart"/>
      <w:r w:rsidR="005D70C6" w:rsidRPr="00BA6DC9">
        <w:t>themselves</w:t>
      </w:r>
      <w:proofErr w:type="gramEnd"/>
    </w:p>
    <w:p w14:paraId="6C7A64B4" w14:textId="021186A3" w:rsidR="005D70C6" w:rsidRPr="00BA6DC9" w:rsidRDefault="008A7F42" w:rsidP="008A7F42">
      <w:pPr>
        <w:pStyle w:val="ListParagraph"/>
        <w:numPr>
          <w:ilvl w:val="0"/>
          <w:numId w:val="21"/>
        </w:numPr>
      </w:pPr>
      <w:r w:rsidRPr="00BA6DC9">
        <w:t xml:space="preserve">not </w:t>
      </w:r>
      <w:r w:rsidR="005D70C6" w:rsidRPr="00BA6DC9">
        <w:t xml:space="preserve">have the capacity to provide effective </w:t>
      </w:r>
      <w:r w:rsidRPr="00BA6DC9">
        <w:t xml:space="preserve">program </w:t>
      </w:r>
      <w:r w:rsidR="005D70C6" w:rsidRPr="00BA6DC9">
        <w:t xml:space="preserve">governance as it may be outside the normal </w:t>
      </w:r>
      <w:r w:rsidRPr="00BA6DC9">
        <w:t xml:space="preserve">business </w:t>
      </w:r>
      <w:r w:rsidR="005D70C6" w:rsidRPr="00BA6DC9">
        <w:t>of the organisation.</w:t>
      </w:r>
    </w:p>
    <w:p w14:paraId="2FF86D0B" w14:textId="311D73C1" w:rsidR="005D70C6" w:rsidRDefault="00C86ACD" w:rsidP="0051073E">
      <w:r w:rsidRPr="00BA6DC9">
        <w:t xml:space="preserve">The broader program should contain an element of capacity building for </w:t>
      </w:r>
      <w:proofErr w:type="gramStart"/>
      <w:r w:rsidRPr="00BA6DC9">
        <w:t>community controlled</w:t>
      </w:r>
      <w:proofErr w:type="gramEnd"/>
      <w:r w:rsidRPr="00BA6DC9">
        <w:t xml:space="preserve"> organisations </w:t>
      </w:r>
      <w:r w:rsidR="00BD42D6" w:rsidRPr="00BA6DC9">
        <w:t xml:space="preserve">which </w:t>
      </w:r>
      <w:r w:rsidRPr="00BA6DC9">
        <w:t xml:space="preserve">are applying for project funds. </w:t>
      </w:r>
      <w:r w:rsidR="005D70C6" w:rsidRPr="00BA6DC9">
        <w:t xml:space="preserve">This will be vital </w:t>
      </w:r>
      <w:r w:rsidR="00337956" w:rsidRPr="00BA6DC9">
        <w:t>to</w:t>
      </w:r>
      <w:r w:rsidR="005D70C6" w:rsidRPr="00BA6DC9">
        <w:t xml:space="preserve"> embed the program in the community </w:t>
      </w:r>
      <w:r w:rsidR="00337956" w:rsidRPr="00BA6DC9">
        <w:t xml:space="preserve">and </w:t>
      </w:r>
      <w:r w:rsidR="005D70C6" w:rsidRPr="00BA6DC9">
        <w:t>will have flow on effects</w:t>
      </w:r>
      <w:r w:rsidR="005D70C6">
        <w:t xml:space="preserve"> to broader community capacity.   </w:t>
      </w:r>
    </w:p>
    <w:p w14:paraId="0A3B09EE" w14:textId="5074AB6D" w:rsidR="005D70C6" w:rsidRDefault="008409C9" w:rsidP="001805B5">
      <w:pPr>
        <w:spacing w:after="0"/>
      </w:pPr>
      <w:r>
        <w:t xml:space="preserve">Funds </w:t>
      </w:r>
      <w:r w:rsidR="005D70C6">
        <w:t xml:space="preserve">could be </w:t>
      </w:r>
      <w:r>
        <w:t xml:space="preserve">provided for </w:t>
      </w:r>
      <w:r w:rsidR="005D70C6">
        <w:t>(but not necessarily restricted to) the following:</w:t>
      </w:r>
    </w:p>
    <w:p w14:paraId="15F8AA5C" w14:textId="77777777" w:rsidR="005D70C6" w:rsidRDefault="005D70C6" w:rsidP="00BD3C4B">
      <w:pPr>
        <w:pStyle w:val="ListParagraph"/>
        <w:numPr>
          <w:ilvl w:val="1"/>
          <w:numId w:val="10"/>
        </w:numPr>
        <w:spacing w:after="0"/>
      </w:pPr>
      <w:r>
        <w:t>LLND development for existing and potential staff</w:t>
      </w:r>
    </w:p>
    <w:p w14:paraId="435A454D" w14:textId="5B1A232B" w:rsidR="005D70C6" w:rsidRDefault="00CA5470" w:rsidP="00BD3C4B">
      <w:pPr>
        <w:pStyle w:val="ListParagraph"/>
        <w:numPr>
          <w:ilvl w:val="1"/>
          <w:numId w:val="10"/>
        </w:numPr>
        <w:spacing w:after="0"/>
      </w:pPr>
      <w:r>
        <w:t>a</w:t>
      </w:r>
      <w:r w:rsidR="005D70C6">
        <w:t xml:space="preserve">ssistance with LLND and/or training to assist with administration of the </w:t>
      </w:r>
      <w:proofErr w:type="gramStart"/>
      <w:r w:rsidR="005D70C6">
        <w:t>program</w:t>
      </w:r>
      <w:proofErr w:type="gramEnd"/>
    </w:p>
    <w:p w14:paraId="1F2E8BB8" w14:textId="14C40E74" w:rsidR="005D70C6" w:rsidRDefault="00CA5470" w:rsidP="00BD3C4B">
      <w:pPr>
        <w:pStyle w:val="ListParagraph"/>
        <w:numPr>
          <w:ilvl w:val="1"/>
          <w:numId w:val="10"/>
        </w:numPr>
        <w:spacing w:after="0"/>
      </w:pPr>
      <w:r>
        <w:t>m</w:t>
      </w:r>
      <w:r w:rsidR="005D70C6">
        <w:t>entoring training for community members</w:t>
      </w:r>
      <w:r>
        <w:t>.</w:t>
      </w:r>
    </w:p>
    <w:p w14:paraId="20329575" w14:textId="77777777" w:rsidR="00C86ACD" w:rsidRDefault="00C86ACD" w:rsidP="00C86ACD">
      <w:r>
        <w:t>Projects tied to key personnel often lose momentum if these people leave the program, therefore capacity building within communities should occur to ensure that projects become less reliant on key individuals.</w:t>
      </w:r>
    </w:p>
    <w:p w14:paraId="66AB633B" w14:textId="690CDC65" w:rsidR="002F5B65" w:rsidRDefault="00502115" w:rsidP="0051073E">
      <w:r>
        <w:t xml:space="preserve">The overarching program should </w:t>
      </w:r>
      <w:r w:rsidR="00C86ACD">
        <w:t xml:space="preserve">also </w:t>
      </w:r>
      <w:r>
        <w:t>assist communities</w:t>
      </w:r>
      <w:r w:rsidR="00436361">
        <w:t xml:space="preserve"> and organisations seeking to apply for funding</w:t>
      </w:r>
      <w:r>
        <w:t xml:space="preserve"> to source appropriate quality </w:t>
      </w:r>
      <w:r w:rsidR="00B9007A">
        <w:t>RTOs</w:t>
      </w:r>
      <w:r>
        <w:t xml:space="preserve">. </w:t>
      </w:r>
    </w:p>
    <w:p w14:paraId="68B886FA" w14:textId="37DDD172" w:rsidR="002F5B65" w:rsidRDefault="039C6586" w:rsidP="00BD3C4B">
      <w:pPr>
        <w:pStyle w:val="Heading3"/>
        <w:numPr>
          <w:ilvl w:val="2"/>
          <w:numId w:val="8"/>
        </w:numPr>
        <w:ind w:left="709" w:hanging="709"/>
      </w:pPr>
      <w:bookmarkStart w:id="35" w:name="_Toc17365279"/>
      <w:bookmarkStart w:id="36" w:name="_Toc138159408"/>
      <w:r>
        <w:t>Funding</w:t>
      </w:r>
      <w:bookmarkEnd w:id="35"/>
      <w:bookmarkEnd w:id="36"/>
    </w:p>
    <w:p w14:paraId="71346673" w14:textId="36C0E215" w:rsidR="0052012B" w:rsidRDefault="009A698F" w:rsidP="0051073E">
      <w:r>
        <w:t xml:space="preserve">The following section summarises what we heard in relation to how LLND programs in remote Australia should be funded. </w:t>
      </w:r>
    </w:p>
    <w:p w14:paraId="7B45C371" w14:textId="4DA294D4" w:rsidR="002F5B65" w:rsidRDefault="002F5B65" w:rsidP="0051073E">
      <w:r>
        <w:t>Attendance</w:t>
      </w:r>
      <w:r w:rsidR="00D12632">
        <w:t>-</w:t>
      </w:r>
      <w:r>
        <w:t>based training models such as the Skills for Education and Employment (SEE) are often not viable in remote communitie</w:t>
      </w:r>
      <w:r w:rsidR="00D12632">
        <w:t>s. O</w:t>
      </w:r>
      <w:r>
        <w:t>ne respondent outlin</w:t>
      </w:r>
      <w:r w:rsidR="00D12632">
        <w:t>ed</w:t>
      </w:r>
      <w:r>
        <w:t xml:space="preserve"> a case study where a project was developed to meet community demand and resulted in a financial loss for the RTO due to attendance-based funding.</w:t>
      </w:r>
    </w:p>
    <w:p w14:paraId="4738B94A" w14:textId="42E86361" w:rsidR="00502115" w:rsidRDefault="00502115" w:rsidP="0051073E">
      <w:r>
        <w:t>Community controlled organisations in most remote communities are dealing with significant socio-economic issues such as health, employment and are not resourced to expand into other areas.</w:t>
      </w:r>
    </w:p>
    <w:p w14:paraId="295E6589" w14:textId="430E9BF9" w:rsidR="002F5B65" w:rsidRDefault="002F5B65" w:rsidP="0051073E">
      <w:r>
        <w:t xml:space="preserve">Funding needs to reflect the real costs of delivering in remote areas with mainstream ‘value for money’ principles </w:t>
      </w:r>
      <w:r w:rsidR="00773F44">
        <w:t xml:space="preserve">being </w:t>
      </w:r>
      <w:r>
        <w:t>inappropriate for remote delivery.</w:t>
      </w:r>
      <w:r w:rsidR="00502115">
        <w:t xml:space="preserve"> Assistance with funding for IT capability for the projects</w:t>
      </w:r>
      <w:r w:rsidR="00773F44">
        <w:t xml:space="preserve"> should be provided,</w:t>
      </w:r>
      <w:r w:rsidR="00502115">
        <w:t xml:space="preserve"> if necessary.</w:t>
      </w:r>
    </w:p>
    <w:p w14:paraId="2E951016" w14:textId="66277FDE" w:rsidR="005D70C6" w:rsidRDefault="005D70C6" w:rsidP="0051073E">
      <w:r>
        <w:t>Costs to deliver training in remote communities restricts viability. While it is recommended project staff and partners should be local to the community, this is not always possible, particularly when specific expertise and experience needs to be (at least initially) sourced from outside the community.  Accommodation for these personnel is difficult to find and costly. Wage costs are also high with incentives need</w:t>
      </w:r>
      <w:r w:rsidR="00F628D5">
        <w:t>ed</w:t>
      </w:r>
      <w:r>
        <w:t xml:space="preserve"> to be inbuilt into the program to keep personnel on board.</w:t>
      </w:r>
    </w:p>
    <w:p w14:paraId="195EE454" w14:textId="3343DAE0" w:rsidR="005D70C6" w:rsidRDefault="00BD42D6" w:rsidP="0051073E">
      <w:r>
        <w:t xml:space="preserve">Current </w:t>
      </w:r>
      <w:r w:rsidR="005D70C6">
        <w:t xml:space="preserve">funding for programs restricts the contributions that some </w:t>
      </w:r>
      <w:proofErr w:type="gramStart"/>
      <w:r w:rsidR="00F5479B">
        <w:t>community controlled</w:t>
      </w:r>
      <w:proofErr w:type="gramEnd"/>
      <w:r w:rsidR="005D70C6">
        <w:t xml:space="preserve"> organisations can make towards LLND improvement. For example, there are </w:t>
      </w:r>
      <w:r w:rsidR="005D70C6" w:rsidRPr="00291E96">
        <w:t>ACCHS</w:t>
      </w:r>
      <w:r w:rsidR="005D70C6">
        <w:t xml:space="preserve"> in community </w:t>
      </w:r>
      <w:r>
        <w:lastRenderedPageBreak/>
        <w:t xml:space="preserve">which </w:t>
      </w:r>
      <w:r w:rsidR="005D70C6">
        <w:t>are one of the larger employers, and while they may be succeeding in the delivery of their services, are often not resourced to focus on preparing for future workforce needs.</w:t>
      </w:r>
    </w:p>
    <w:p w14:paraId="69FFEC93" w14:textId="00210D33" w:rsidR="00502E2B" w:rsidRDefault="00502E2B" w:rsidP="0051073E">
      <w:r>
        <w:t>Commonwealth investment in LLND programs for remote communities should be longer term.</w:t>
      </w:r>
    </w:p>
    <w:p w14:paraId="0FB35765" w14:textId="70209A7C" w:rsidR="00502115" w:rsidRDefault="005D70C6" w:rsidP="0051073E">
      <w:r>
        <w:t xml:space="preserve">Responses have suggested to direct funding towards campaign and partnership models such as ‘Yes I Can’ (Literacy for Life Foundation) </w:t>
      </w:r>
      <w:r w:rsidR="00BD42D6">
        <w:t xml:space="preserve">which </w:t>
      </w:r>
      <w:r>
        <w:t>aim to build LLND capacity of community members to help others with LLND issues.</w:t>
      </w:r>
    </w:p>
    <w:p w14:paraId="5F058941" w14:textId="455FA025" w:rsidR="00214F0E" w:rsidRDefault="7CEDB650" w:rsidP="00BD3C4B">
      <w:pPr>
        <w:pStyle w:val="Heading2"/>
        <w:numPr>
          <w:ilvl w:val="1"/>
          <w:numId w:val="8"/>
        </w:numPr>
        <w:ind w:left="567" w:hanging="567"/>
      </w:pPr>
      <w:bookmarkStart w:id="37" w:name="_Toc950119401"/>
      <w:bookmarkStart w:id="38" w:name="_Toc138159409"/>
      <w:r>
        <w:t>Measuring, monitoring, and evaluating results</w:t>
      </w:r>
      <w:bookmarkEnd w:id="37"/>
      <w:bookmarkEnd w:id="38"/>
    </w:p>
    <w:p w14:paraId="1D8E661B" w14:textId="03B6EB0E" w:rsidR="004F4BB2" w:rsidRPr="004F4BB2" w:rsidRDefault="004F4BB2" w:rsidP="004F4BB2">
      <w:r w:rsidRPr="004F4BB2">
        <w:rPr>
          <w:b/>
          <w:noProof/>
        </w:rPr>
        <mc:AlternateContent>
          <mc:Choice Requires="wps">
            <w:drawing>
              <wp:inline distT="0" distB="0" distL="0" distR="0" wp14:anchorId="1B6438D4" wp14:editId="6EE4CE17">
                <wp:extent cx="5686425" cy="1905000"/>
                <wp:effectExtent l="0" t="0" r="28575" b="1905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905000"/>
                        </a:xfrm>
                        <a:prstGeom prst="rect">
                          <a:avLst/>
                        </a:prstGeom>
                        <a:solidFill>
                          <a:srgbClr val="E5EEDA"/>
                        </a:solidFill>
                        <a:ln w="9525">
                          <a:solidFill>
                            <a:srgbClr val="789B4A"/>
                          </a:solidFill>
                          <a:miter lim="800000"/>
                          <a:headEnd/>
                          <a:tailEnd/>
                        </a:ln>
                      </wps:spPr>
                      <wps:txbx>
                        <w:txbxContent>
                          <w:p w14:paraId="7B0ABDF2" w14:textId="034D6A5E" w:rsidR="004F4BB2" w:rsidRPr="001805B5" w:rsidRDefault="004F4BB2" w:rsidP="004F4BB2">
                            <w:pPr>
                              <w:spacing w:after="120"/>
                              <w:rPr>
                                <w:b/>
                                <w:bCs/>
                                <w:i/>
                                <w:iCs/>
                              </w:rPr>
                            </w:pPr>
                            <w:r>
                              <w:rPr>
                                <w:b/>
                                <w:bCs/>
                                <w:i/>
                                <w:iCs/>
                              </w:rPr>
                              <w:t xml:space="preserve">Key </w:t>
                            </w:r>
                            <w:r w:rsidR="00F31F13">
                              <w:rPr>
                                <w:b/>
                                <w:bCs/>
                                <w:i/>
                                <w:iCs/>
                              </w:rPr>
                              <w:t>Feedback</w:t>
                            </w:r>
                            <w:r w:rsidRPr="001805B5">
                              <w:rPr>
                                <w:b/>
                                <w:bCs/>
                                <w:i/>
                                <w:iCs/>
                              </w:rPr>
                              <w:t>:</w:t>
                            </w:r>
                          </w:p>
                          <w:p w14:paraId="6625E060" w14:textId="77777777" w:rsidR="004F4BB2" w:rsidRDefault="004F4BB2" w:rsidP="00834736">
                            <w:pPr>
                              <w:pStyle w:val="ListParagraph"/>
                              <w:numPr>
                                <w:ilvl w:val="0"/>
                                <w:numId w:val="15"/>
                              </w:numPr>
                              <w:spacing w:after="0"/>
                            </w:pPr>
                            <w:r>
                              <w:t xml:space="preserve">The Productivity Commission’s </w:t>
                            </w:r>
                            <w:r w:rsidRPr="004F4BB2">
                              <w:rPr>
                                <w:i/>
                                <w:iCs/>
                              </w:rPr>
                              <w:t xml:space="preserve">Indigenous Evaluation Strategy </w:t>
                            </w:r>
                            <w:r>
                              <w:t>should inform the performance framework and subsequent program evaluation.</w:t>
                            </w:r>
                          </w:p>
                          <w:p w14:paraId="561DBFA1" w14:textId="77777777" w:rsidR="004F4BB2" w:rsidRDefault="004F4BB2" w:rsidP="00BD3C4B">
                            <w:pPr>
                              <w:pStyle w:val="ListParagraph"/>
                              <w:numPr>
                                <w:ilvl w:val="0"/>
                                <w:numId w:val="15"/>
                              </w:numPr>
                              <w:spacing w:after="0"/>
                            </w:pPr>
                            <w:r>
                              <w:t>Measurements should be in line with Priority Reform 4 of the National Agreement on Closing the Gap: ‘Shared Access to Data and Information at a Regional Level’.</w:t>
                            </w:r>
                          </w:p>
                          <w:p w14:paraId="4E4D6DE3" w14:textId="77777777" w:rsidR="004F4BB2" w:rsidRDefault="004F4BB2" w:rsidP="00BD3C4B">
                            <w:pPr>
                              <w:pStyle w:val="ListParagraph"/>
                              <w:numPr>
                                <w:ilvl w:val="0"/>
                                <w:numId w:val="15"/>
                              </w:numPr>
                              <w:spacing w:after="0"/>
                            </w:pPr>
                            <w:r>
                              <w:t>A set of tools for measurement of the ACSF/DLSF could be developed and tailored at the community level to meet community and individual needs.</w:t>
                            </w:r>
                          </w:p>
                          <w:p w14:paraId="0B7D749C" w14:textId="77777777" w:rsidR="004F4BB2" w:rsidRPr="001468CC" w:rsidRDefault="004F4BB2" w:rsidP="004F4BB2">
                            <w:pPr>
                              <w:pStyle w:val="ListParagraph"/>
                              <w:spacing w:after="0"/>
                              <w:ind w:left="360"/>
                            </w:pPr>
                          </w:p>
                          <w:p w14:paraId="66EF41A9" w14:textId="77777777" w:rsidR="004F4BB2" w:rsidRPr="001468CC" w:rsidRDefault="004F4BB2" w:rsidP="004F4BB2">
                            <w:pPr>
                              <w:spacing w:after="0"/>
                            </w:pPr>
                          </w:p>
                        </w:txbxContent>
                      </wps:txbx>
                      <wps:bodyPr rot="0" vert="horz" wrap="square" lIns="91440" tIns="45720" rIns="91440" bIns="45720" anchor="t" anchorCtr="0">
                        <a:noAutofit/>
                      </wps:bodyPr>
                    </wps:wsp>
                  </a:graphicData>
                </a:graphic>
              </wp:inline>
            </w:drawing>
          </mc:Choice>
          <mc:Fallback>
            <w:pict>
              <v:shape w14:anchorId="1B6438D4" id="Text Box 9" o:spid="_x0000_s1029" type="#_x0000_t202" style="width:447.75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7oGwIAACcEAAAOAAAAZHJzL2Uyb0RvYy54bWysU9uO2yAQfa/Uf0C8N3bSOJtYcVbZJFtV&#10;2l6kbT8AYxyjYoYCiZ1+/Q44m422VR+qvqAZBg7nnBmWt32ryFFYJ0EXdDxKKRGaQyX1vqDfv92/&#10;m1PiPNMVU6BFQU/C0dvV2zfLzuRiAg2oSliCINrlnSlo473Jk8TxRrTMjcAIjcUabMs8pnafVJZ1&#10;iN6qZJKms6QDWxkLXDiHu9uhSFcRv64F91/q2glPVEGRm4+rjWsZ1mS1ZPneMtNIfqbB/oFFy6TG&#10;Ry9QW+YZOVj5G1QruQUHtR9xaBOoa8lF1IBqxukrNY8NMyJqQXOcudjk/h8s/3x8NF8t8f0d9NjA&#10;KMKZB+A/HNGwaZjei7W10DWCVfjwOFiWdMbl56vBape7AFJ2n6DCJrODhwjU17YNrqBOgujYgNPF&#10;dNF7wnEzm81n00lGCcfaeJFmaRrbkrD8+bqxzn8Q0JIQFNRiVyM8Oz44H+iw/PlIeM2BktW9VCom&#10;dl9ulCVHhhOwy3a77ToqeHVMadIVdJEhkb9D3MwXd9M/QrTS4ygr2RZ0jhoGFSwPvu10FQfNM6mG&#10;GCkrfTYyeDe46PuyJ7Iq6PvAMfhaQnVCZy0Mk4s/DYMG7C9KOpzagrqfB2YFJeqjxu4sxtNpGPOY&#10;TLObCSb2ulJeV5jmCFVQT8kQbnz8GsEBDWvsYi2jvy9MzpRxGqPt558Txv06j6de/vfqCQAA//8D&#10;AFBLAwQUAAYACAAAACEAbdI6V9sAAAAFAQAADwAAAGRycy9kb3ducmV2LnhtbEyPQUvDQBCF74L/&#10;YRnBm91tpSWm2ZRSUAQFa2rv0+w0Cc3Ohuy2Sf+9qxe9DDze471vstVoW3Gh3jeONUwnCgRx6UzD&#10;lYav3fNDAsIHZIOtY9JwJQ+r/PYmw9S4gT/pUoRKxBL2KWqoQ+hSKX1Zk0U/cR1x9I6utxii7Ctp&#10;ehxiuW3lTKmFtNhwXKixo01N5ak4Ww3Eby+vH8V2P8V1UMluaNzi/ar1/d24XoIINIa/MPzgR3TI&#10;I9PBndl40WqIj4TfG73kaT4HcdDwqJQCmWfyP33+DQAA//8DAFBLAQItABQABgAIAAAAIQC2gziS&#10;/gAAAOEBAAATAAAAAAAAAAAAAAAAAAAAAABbQ29udGVudF9UeXBlc10ueG1sUEsBAi0AFAAGAAgA&#10;AAAhADj9If/WAAAAlAEAAAsAAAAAAAAAAAAAAAAALwEAAF9yZWxzLy5yZWxzUEsBAi0AFAAGAAgA&#10;AAAhAJdcnugbAgAAJwQAAA4AAAAAAAAAAAAAAAAALgIAAGRycy9lMm9Eb2MueG1sUEsBAi0AFAAG&#10;AAgAAAAhAG3SOlfbAAAABQEAAA8AAAAAAAAAAAAAAAAAdQQAAGRycy9kb3ducmV2LnhtbFBLBQYA&#10;AAAABAAEAPMAAAB9BQAAAAA=&#10;" fillcolor="#e5eeda" strokecolor="#789b4a">
                <v:textbox>
                  <w:txbxContent>
                    <w:p w14:paraId="7B0ABDF2" w14:textId="034D6A5E" w:rsidR="004F4BB2" w:rsidRPr="001805B5" w:rsidRDefault="004F4BB2" w:rsidP="004F4BB2">
                      <w:pPr>
                        <w:spacing w:after="120"/>
                        <w:rPr>
                          <w:b/>
                          <w:bCs/>
                          <w:i/>
                          <w:iCs/>
                        </w:rPr>
                      </w:pPr>
                      <w:r>
                        <w:rPr>
                          <w:b/>
                          <w:bCs/>
                          <w:i/>
                          <w:iCs/>
                        </w:rPr>
                        <w:t xml:space="preserve">Key </w:t>
                      </w:r>
                      <w:r w:rsidR="00F31F13">
                        <w:rPr>
                          <w:b/>
                          <w:bCs/>
                          <w:i/>
                          <w:iCs/>
                        </w:rPr>
                        <w:t>Feedback</w:t>
                      </w:r>
                      <w:r w:rsidRPr="001805B5">
                        <w:rPr>
                          <w:b/>
                          <w:bCs/>
                          <w:i/>
                          <w:iCs/>
                        </w:rPr>
                        <w:t>:</w:t>
                      </w:r>
                    </w:p>
                    <w:p w14:paraId="6625E060" w14:textId="77777777" w:rsidR="004F4BB2" w:rsidRDefault="004F4BB2" w:rsidP="00834736">
                      <w:pPr>
                        <w:pStyle w:val="ListParagraph"/>
                        <w:numPr>
                          <w:ilvl w:val="0"/>
                          <w:numId w:val="15"/>
                        </w:numPr>
                        <w:spacing w:after="0"/>
                      </w:pPr>
                      <w:r>
                        <w:t xml:space="preserve">The Productivity Commission’s </w:t>
                      </w:r>
                      <w:r w:rsidRPr="004F4BB2">
                        <w:rPr>
                          <w:i/>
                          <w:iCs/>
                        </w:rPr>
                        <w:t xml:space="preserve">Indigenous Evaluation Strategy </w:t>
                      </w:r>
                      <w:r>
                        <w:t>should inform the performance framework and subsequent program evaluation.</w:t>
                      </w:r>
                    </w:p>
                    <w:p w14:paraId="561DBFA1" w14:textId="77777777" w:rsidR="004F4BB2" w:rsidRDefault="004F4BB2" w:rsidP="00BD3C4B">
                      <w:pPr>
                        <w:pStyle w:val="ListParagraph"/>
                        <w:numPr>
                          <w:ilvl w:val="0"/>
                          <w:numId w:val="15"/>
                        </w:numPr>
                        <w:spacing w:after="0"/>
                      </w:pPr>
                      <w:r>
                        <w:t>Measurements should be in line with Priority Reform 4 of the National Agreement on Closing the Gap: ‘Shared Access to Data and Information at a Regional Level’.</w:t>
                      </w:r>
                    </w:p>
                    <w:p w14:paraId="4E4D6DE3" w14:textId="77777777" w:rsidR="004F4BB2" w:rsidRDefault="004F4BB2" w:rsidP="00BD3C4B">
                      <w:pPr>
                        <w:pStyle w:val="ListParagraph"/>
                        <w:numPr>
                          <w:ilvl w:val="0"/>
                          <w:numId w:val="15"/>
                        </w:numPr>
                        <w:spacing w:after="0"/>
                      </w:pPr>
                      <w:r>
                        <w:t>A set of tools for measurement of the ACSF/DLSF could be developed and tailored at the community level to meet community and individual needs.</w:t>
                      </w:r>
                    </w:p>
                    <w:p w14:paraId="0B7D749C" w14:textId="77777777" w:rsidR="004F4BB2" w:rsidRPr="001468CC" w:rsidRDefault="004F4BB2" w:rsidP="004F4BB2">
                      <w:pPr>
                        <w:pStyle w:val="ListParagraph"/>
                        <w:spacing w:after="0"/>
                        <w:ind w:left="360"/>
                      </w:pPr>
                    </w:p>
                    <w:p w14:paraId="66EF41A9" w14:textId="77777777" w:rsidR="004F4BB2" w:rsidRPr="001468CC" w:rsidRDefault="004F4BB2" w:rsidP="004F4BB2">
                      <w:pPr>
                        <w:spacing w:after="0"/>
                      </w:pPr>
                    </w:p>
                  </w:txbxContent>
                </v:textbox>
                <w10:anchorlock/>
              </v:shape>
            </w:pict>
          </mc:Fallback>
        </mc:AlternateContent>
      </w:r>
    </w:p>
    <w:p w14:paraId="2DB9980C" w14:textId="149826B5" w:rsidR="00B00621" w:rsidRDefault="3ABA6E95" w:rsidP="00BD3C4B">
      <w:pPr>
        <w:pStyle w:val="Heading3"/>
        <w:numPr>
          <w:ilvl w:val="2"/>
          <w:numId w:val="8"/>
        </w:numPr>
        <w:ind w:left="709" w:hanging="709"/>
      </w:pPr>
      <w:bookmarkStart w:id="39" w:name="_Toc132829815"/>
      <w:bookmarkStart w:id="40" w:name="_Toc1708006002"/>
      <w:bookmarkStart w:id="41" w:name="_Toc138159410"/>
      <w:bookmarkEnd w:id="39"/>
      <w:r>
        <w:t>Program Evaluation – LLND Outcomes</w:t>
      </w:r>
      <w:bookmarkEnd w:id="40"/>
      <w:bookmarkEnd w:id="41"/>
    </w:p>
    <w:p w14:paraId="2C11A7FA" w14:textId="406B25D9" w:rsidR="006C53E2" w:rsidRPr="008D7521" w:rsidRDefault="006C53E2" w:rsidP="006C53E2">
      <w:r w:rsidRPr="008D7521">
        <w:t>Measurements should be in line with Priority Reform 4 of the National Agreement on Closing the Gap</w:t>
      </w:r>
      <w:r w:rsidR="006232CB" w:rsidRPr="008D7521">
        <w:t>: ‘</w:t>
      </w:r>
      <w:r w:rsidRPr="008D7521">
        <w:t>Shared Access to Data and Information at a Regional Level’.</w:t>
      </w:r>
      <w:r w:rsidR="00B462E9" w:rsidRPr="008D7521">
        <w:t xml:space="preserve"> This priority reform requires that the Government collect, </w:t>
      </w:r>
      <w:proofErr w:type="gramStart"/>
      <w:r w:rsidR="00B462E9" w:rsidRPr="008D7521">
        <w:t>manage</w:t>
      </w:r>
      <w:proofErr w:type="gramEnd"/>
      <w:r w:rsidR="00B462E9" w:rsidRPr="008D7521">
        <w:t xml:space="preserve"> and report data that is</w:t>
      </w:r>
      <w:r w:rsidR="00C02833" w:rsidRPr="008D7521">
        <w:t xml:space="preserve"> transparent and</w:t>
      </w:r>
      <w:r w:rsidR="00B462E9" w:rsidRPr="008D7521">
        <w:t xml:space="preserve"> accessible by First Nations people</w:t>
      </w:r>
      <w:r w:rsidR="00C02833" w:rsidRPr="008D7521">
        <w:t>, in order for informed shared</w:t>
      </w:r>
      <w:r w:rsidR="005C2E81" w:rsidRPr="008D7521">
        <w:t xml:space="preserve"> </w:t>
      </w:r>
      <w:r w:rsidR="00C02833" w:rsidRPr="008D7521">
        <w:t>decision</w:t>
      </w:r>
      <w:r w:rsidR="005C2E81" w:rsidRPr="008D7521">
        <w:t>-</w:t>
      </w:r>
      <w:r w:rsidR="00C02833" w:rsidRPr="008D7521">
        <w:t>making on initiatives aimed towards Closing the Gap.</w:t>
      </w:r>
    </w:p>
    <w:p w14:paraId="3F447DA5" w14:textId="6997C807" w:rsidR="00110BD3" w:rsidRPr="00110BD3" w:rsidRDefault="001805B5" w:rsidP="006C53E2">
      <w:r w:rsidRPr="008D7521">
        <w:t xml:space="preserve">Performance frameworks and program evaluation should be aligned to the Productivity Commission’s </w:t>
      </w:r>
      <w:hyperlink r:id="rId16" w:history="1">
        <w:r w:rsidRPr="008D7521">
          <w:rPr>
            <w:rStyle w:val="Hyperlink"/>
            <w:i/>
            <w:iCs/>
          </w:rPr>
          <w:t>Indigenous Evaluation Strategy</w:t>
        </w:r>
      </w:hyperlink>
      <w:r w:rsidR="00110BD3" w:rsidRPr="008D7521">
        <w:t xml:space="preserve">. The </w:t>
      </w:r>
      <w:r w:rsidR="00BA6DC9" w:rsidRPr="008D7521">
        <w:t>Strategy</w:t>
      </w:r>
      <w:r w:rsidR="00110BD3" w:rsidRPr="008D7521">
        <w:t xml:space="preserve"> recognises the knowledge and diversity among First Nations communities and is a framework for Australian Government agencies to </w:t>
      </w:r>
      <w:r w:rsidR="008F15C3" w:rsidRPr="008D7521">
        <w:t>work with First Nations people in the planning and implementation of any evaluation.</w:t>
      </w:r>
    </w:p>
    <w:p w14:paraId="0C6D9B01" w14:textId="29EF6927" w:rsidR="00593E70" w:rsidRDefault="00593E70" w:rsidP="00BD3C4B">
      <w:pPr>
        <w:pStyle w:val="Heading4"/>
        <w:numPr>
          <w:ilvl w:val="3"/>
          <w:numId w:val="8"/>
        </w:numPr>
        <w:ind w:left="851" w:hanging="851"/>
      </w:pPr>
      <w:r>
        <w:t>Approach to Assessments</w:t>
      </w:r>
    </w:p>
    <w:p w14:paraId="3824BA7B" w14:textId="608A49FE" w:rsidR="00593E70" w:rsidRDefault="003E455C" w:rsidP="001805B5">
      <w:r>
        <w:t xml:space="preserve">Stakeholders were clear that it was essential that the development of measures and conduct of assessments was approached sensitively, </w:t>
      </w:r>
      <w:r w:rsidR="00593E70">
        <w:t>given the prior experience</w:t>
      </w:r>
      <w:r w:rsidR="0028104E">
        <w:t xml:space="preserve"> that many First Nations people may have had</w:t>
      </w:r>
      <w:r w:rsidR="00593E70">
        <w:t xml:space="preserve"> with Western education</w:t>
      </w:r>
      <w:r w:rsidR="0028104E">
        <w:t>.</w:t>
      </w:r>
      <w:r w:rsidR="00593E70">
        <w:t xml:space="preserve"> Culturally safe and trauma informed learning should be considered when developing </w:t>
      </w:r>
      <w:r w:rsidR="007951DF">
        <w:t>Key Performance Indicators (</w:t>
      </w:r>
      <w:r w:rsidR="00593E70">
        <w:t>KPIs</w:t>
      </w:r>
      <w:r w:rsidR="007951DF">
        <w:t>)</w:t>
      </w:r>
      <w:r w:rsidR="00593E70">
        <w:t xml:space="preserve"> or program requirements </w:t>
      </w:r>
      <w:r w:rsidR="007951DF">
        <w:t xml:space="preserve">attached to </w:t>
      </w:r>
      <w:r w:rsidR="00593E70">
        <w:t>the number of assessments individuals need to undertake. The example</w:t>
      </w:r>
      <w:r w:rsidR="007951DF">
        <w:t>s</w:t>
      </w:r>
      <w:r w:rsidR="00593E70">
        <w:t xml:space="preserve"> of ‘shame’ in not having sufficient LLND skills</w:t>
      </w:r>
      <w:r w:rsidR="007951DF">
        <w:t>, or the</w:t>
      </w:r>
      <w:r w:rsidR="00593E70">
        <w:t xml:space="preserve"> reluctance to engage with assessment if family members do not have skills at the level they do</w:t>
      </w:r>
      <w:r w:rsidR="007951DF">
        <w:t xml:space="preserve"> (</w:t>
      </w:r>
      <w:r w:rsidR="00593E70">
        <w:t>if the learner can read and others in the family cannot</w:t>
      </w:r>
      <w:r w:rsidR="007951DF">
        <w:t>) are powerful barriers to engagement</w:t>
      </w:r>
      <w:r w:rsidR="00593E70">
        <w:t>.</w:t>
      </w:r>
      <w:r w:rsidR="00A1363D">
        <w:t xml:space="preserve"> Additionally, lower levels of LLND may be intergenerational, and it may take years for significant change to occur within a community even if there are more immediate benefits to individuals. </w:t>
      </w:r>
      <w:r w:rsidR="00593E70">
        <w:t>Assessment framework</w:t>
      </w:r>
      <w:r w:rsidR="007951DF">
        <w:t xml:space="preserve">s need </w:t>
      </w:r>
      <w:r w:rsidR="00593E70">
        <w:t>to be in line with both funding body objectives</w:t>
      </w:r>
      <w:r w:rsidR="007951DF">
        <w:t xml:space="preserve">, </w:t>
      </w:r>
      <w:proofErr w:type="gramStart"/>
      <w:r w:rsidR="00593E70">
        <w:t>community</w:t>
      </w:r>
      <w:proofErr w:type="gramEnd"/>
      <w:r w:rsidR="00593E70">
        <w:t xml:space="preserve"> and individual objectives.</w:t>
      </w:r>
    </w:p>
    <w:p w14:paraId="60A1D4D5" w14:textId="020AE9A9" w:rsidR="00593E70" w:rsidRDefault="005D06FD" w:rsidP="00593E70">
      <w:r>
        <w:lastRenderedPageBreak/>
        <w:t>Assessments should not solely rely on the ACSF as a measure of proficiency. C</w:t>
      </w:r>
      <w:r w:rsidR="00593E70">
        <w:t>hanges</w:t>
      </w:r>
      <w:r>
        <w:t xml:space="preserve"> to participant practices and the level of engagement with LLND should be considered.</w:t>
      </w:r>
    </w:p>
    <w:p w14:paraId="27B4418F" w14:textId="4D52132D" w:rsidR="00593E70" w:rsidRDefault="00593E70" w:rsidP="00593E70">
      <w:r>
        <w:t xml:space="preserve">Success at the project level should also be assessed through measures such as achievement against personal and community goals, participant reflection and satisfaction, increased participation in the community and other measures such as employment, </w:t>
      </w:r>
      <w:r w:rsidR="00582CFB">
        <w:t xml:space="preserve">or </w:t>
      </w:r>
      <w:r>
        <w:t>less reliance on government support services (refer to 4.4.2).</w:t>
      </w:r>
    </w:p>
    <w:p w14:paraId="2B555A4C" w14:textId="4FA7F5C4" w:rsidR="006C53E2" w:rsidRDefault="006C53E2" w:rsidP="00593E70">
      <w:r>
        <w:t>While some</w:t>
      </w:r>
      <w:r w:rsidR="00582CFB">
        <w:t xml:space="preserve"> responses</w:t>
      </w:r>
      <w:r>
        <w:t xml:space="preserve"> suggested attendance and retention </w:t>
      </w:r>
      <w:r w:rsidR="00582CFB">
        <w:t>are</w:t>
      </w:r>
      <w:r>
        <w:t xml:space="preserve"> a good indicator of a program’s success, others indicated that having targets associated with these could have a negative impact in that there are many barriers to attendance, particularly in remote areas. It had also been suggested that payment models based on attendance are largely unviable in remote areas. </w:t>
      </w:r>
    </w:p>
    <w:p w14:paraId="7CECDB4B" w14:textId="0C03C05C" w:rsidR="00593E70" w:rsidRDefault="00593E70" w:rsidP="00593E70">
      <w:r>
        <w:t xml:space="preserve">Longer term measurement of the social and economic impact of programs </w:t>
      </w:r>
      <w:r w:rsidR="003E455C">
        <w:t xml:space="preserve">should </w:t>
      </w:r>
      <w:r>
        <w:t xml:space="preserve">inform future funding models. Longer term evaluations of projects </w:t>
      </w:r>
      <w:r w:rsidR="00E13A2B">
        <w:t xml:space="preserve">should be implemented, </w:t>
      </w:r>
      <w:r>
        <w:t>including longitudinal studies on current Remote Community Pilot participants to evaluate longer term impacts on individuals and communities.</w:t>
      </w:r>
    </w:p>
    <w:p w14:paraId="11E842FB" w14:textId="112A7406" w:rsidR="00593E70" w:rsidRDefault="003E455C">
      <w:r>
        <w:t>There was a s</w:t>
      </w:r>
      <w:r w:rsidR="00593E70">
        <w:t xml:space="preserve">uggestion to use ‘practice based’ measures such as those used in </w:t>
      </w:r>
      <w:r w:rsidR="000E71AB">
        <w:t>Programme for the International Assessment of Adult Competencies (</w:t>
      </w:r>
      <w:r w:rsidR="00593E70">
        <w:t>PIAAC</w:t>
      </w:r>
      <w:r w:rsidR="000E71AB">
        <w:t>)</w:t>
      </w:r>
      <w:r w:rsidR="001E3AF3">
        <w:t xml:space="preserve"> </w:t>
      </w:r>
      <w:r w:rsidR="00BD42D6">
        <w:t>possibly in conjunction with</w:t>
      </w:r>
      <w:r w:rsidR="00593E70">
        <w:t xml:space="preserve"> the ACSF.</w:t>
      </w:r>
    </w:p>
    <w:p w14:paraId="602E1C0D" w14:textId="506D4E9C" w:rsidR="00593E70" w:rsidRDefault="00593E70" w:rsidP="00BD3C4B">
      <w:pPr>
        <w:pStyle w:val="Heading4"/>
        <w:numPr>
          <w:ilvl w:val="3"/>
          <w:numId w:val="8"/>
        </w:numPr>
        <w:ind w:left="851" w:hanging="851"/>
      </w:pPr>
      <w:r>
        <w:t>Core Skills Assessments</w:t>
      </w:r>
    </w:p>
    <w:p w14:paraId="5529DF09" w14:textId="097A1F1E" w:rsidR="00593E70" w:rsidRDefault="00593E70" w:rsidP="001805B5">
      <w:r w:rsidRPr="008311F1">
        <w:t>Measuring LLND success needs to be both quantitative (ACSF) and qualitative (based on participant life or employment goals).</w:t>
      </w:r>
      <w:r>
        <w:t xml:space="preserve"> Responses highlight that while LLND is a priority for government, </w:t>
      </w:r>
      <w:r w:rsidR="008619B4">
        <w:t>improving LLND skills</w:t>
      </w:r>
      <w:r>
        <w:t xml:space="preserve"> </w:t>
      </w:r>
      <w:r w:rsidR="008619B4">
        <w:t xml:space="preserve">are </w:t>
      </w:r>
      <w:r>
        <w:t xml:space="preserve">not usually </w:t>
      </w:r>
      <w:r w:rsidR="008619B4">
        <w:t>the</w:t>
      </w:r>
      <w:r>
        <w:t xml:space="preserve"> primary focus of individuals, whose immediate priorities may be to gain skills to participate more fully in the workplace, to assist other family members or to engage more in everyday life, such as bill paying or obtaining a driver’s licence.</w:t>
      </w:r>
      <w:r w:rsidR="008619B4">
        <w:t xml:space="preserve"> Improving LLND skills are </w:t>
      </w:r>
      <w:r w:rsidR="00E13A2B">
        <w:t xml:space="preserve">generally </w:t>
      </w:r>
      <w:r w:rsidR="008619B4">
        <w:t>a means to achieving a person’s primary goals.</w:t>
      </w:r>
    </w:p>
    <w:p w14:paraId="425E3330" w14:textId="51349E6A" w:rsidR="00593E70" w:rsidRDefault="00593E70" w:rsidP="001805B5">
      <w:r>
        <w:t xml:space="preserve">The current assessment frameworks for Commonwealth funded LLND programs have been raised as an issue. Responses highlight the difficulties of assessing against the ACSF and the conflict between having to achieve progression against full ACSF indicators versus the participant’s goals, which could be something </w:t>
      </w:r>
      <w:r w:rsidR="00FE1A9A">
        <w:t>such as being able to fill out online forms</w:t>
      </w:r>
      <w:r w:rsidR="0005787C">
        <w:t xml:space="preserve"> or obtaining a general construction induction (White Card)</w:t>
      </w:r>
      <w:r w:rsidR="00D06195">
        <w:t xml:space="preserve"> </w:t>
      </w:r>
      <w:r>
        <w:t xml:space="preserve">which may or may not include a full indicator progression. Or the participant may leave the program </w:t>
      </w:r>
      <w:r w:rsidR="00616690">
        <w:t xml:space="preserve">early, </w:t>
      </w:r>
      <w:r>
        <w:t xml:space="preserve">once this goal is reached.  </w:t>
      </w:r>
    </w:p>
    <w:p w14:paraId="46D183C3" w14:textId="7350781B" w:rsidR="00593E70" w:rsidRDefault="008619B4" w:rsidP="00593E70">
      <w:r>
        <w:t>An increase in assessment results against the ACSF</w:t>
      </w:r>
      <w:r w:rsidR="00593E70">
        <w:t xml:space="preserve"> was considered by many to not always be an effective tool for measuring the effectiveness of </w:t>
      </w:r>
      <w:r>
        <w:t xml:space="preserve">training outcomes </w:t>
      </w:r>
      <w:r w:rsidR="00593E70">
        <w:t xml:space="preserve">in assisting people with low LLND skills </w:t>
      </w:r>
      <w:r w:rsidR="00E57189">
        <w:t xml:space="preserve">to get </w:t>
      </w:r>
      <w:r w:rsidR="00593E70">
        <w:t xml:space="preserve">into the labour market and in particular the shorter, sharper programs – </w:t>
      </w:r>
      <w:proofErr w:type="gramStart"/>
      <w:r w:rsidR="005128E0">
        <w:t>e.g.</w:t>
      </w:r>
      <w:proofErr w:type="gramEnd"/>
      <w:r w:rsidR="00593E70">
        <w:t xml:space="preserve"> those offering industry specific skills in order to transition to particular employment.</w:t>
      </w:r>
    </w:p>
    <w:p w14:paraId="02A5BDB5" w14:textId="15762FB5" w:rsidR="00593E70" w:rsidRDefault="00593E70" w:rsidP="00593E70">
      <w:r>
        <w:t>One response indicated that the ACSF promotes ‘teaching to the test</w:t>
      </w:r>
      <w:r w:rsidR="006232CB">
        <w:t>’ and</w:t>
      </w:r>
      <w:r>
        <w:t xml:space="preserve"> does not measure </w:t>
      </w:r>
      <w:r w:rsidR="00225637">
        <w:t>whether</w:t>
      </w:r>
      <w:r>
        <w:t xml:space="preserve"> LLND levels are embedded in participant practice and does not measure the level of engagement with LLND more broadly. Comments indicated that the ACSF is viewed as too linear when </w:t>
      </w:r>
      <w:proofErr w:type="gramStart"/>
      <w:r>
        <w:t>in reality learning</w:t>
      </w:r>
      <w:proofErr w:type="gramEnd"/>
      <w:r>
        <w:t xml:space="preserve"> is not a linear process. There were </w:t>
      </w:r>
      <w:r w:rsidR="00225637">
        <w:t>several</w:t>
      </w:r>
      <w:r>
        <w:t xml:space="preserve"> adverse comments regarding baseline or pre-training assessment as being a disincentive and a barrier to participation in the program.</w:t>
      </w:r>
    </w:p>
    <w:p w14:paraId="615F0846" w14:textId="1FFAF67A" w:rsidR="00593E70" w:rsidRDefault="00616690" w:rsidP="00593E70">
      <w:r>
        <w:lastRenderedPageBreak/>
        <w:t xml:space="preserve">Other respondents supported </w:t>
      </w:r>
      <w:r w:rsidR="00593E70">
        <w:t xml:space="preserve">the use of the ACSF and </w:t>
      </w:r>
      <w:r w:rsidR="006232CB">
        <w:t>DLSF but</w:t>
      </w:r>
      <w:r w:rsidR="00593E70">
        <w:t xml:space="preserve"> did highlight frequent assessments had (in their experience) proven to be counter-productive and had been a disincentive for participants and contributed to drop out rate. Respondents who were also SEE providers saw the requirement for progress assessments after 200 hours of training did not align with training schedules.</w:t>
      </w:r>
    </w:p>
    <w:p w14:paraId="4EA6E259" w14:textId="42F23D02" w:rsidR="00593E70" w:rsidRDefault="00593E70" w:rsidP="00593E70">
      <w:r>
        <w:t>A set of tools for measurement of the ACSF/DLSF could be developed and tailored at the community level to meet community and individual needs.</w:t>
      </w:r>
    </w:p>
    <w:p w14:paraId="621B502A" w14:textId="0F2C024A" w:rsidR="00593E70" w:rsidRPr="00593E70" w:rsidRDefault="00E13A2B" w:rsidP="001805B5">
      <w:r>
        <w:t xml:space="preserve">There was a suggestion to use case </w:t>
      </w:r>
      <w:r w:rsidR="00593E70">
        <w:t xml:space="preserve">studies of participants at identified intervals (such as </w:t>
      </w:r>
      <w:proofErr w:type="gramStart"/>
      <w:r w:rsidR="00593E70">
        <w:t>1, 3 and 5 year</w:t>
      </w:r>
      <w:proofErr w:type="gramEnd"/>
      <w:r w:rsidR="00593E70">
        <w:t xml:space="preserve"> interval</w:t>
      </w:r>
      <w:r w:rsidR="00D16F85">
        <w:t>s</w:t>
      </w:r>
      <w:r w:rsidR="00593E70">
        <w:t xml:space="preserve">). These case studies </w:t>
      </w:r>
      <w:r>
        <w:t xml:space="preserve">could </w:t>
      </w:r>
      <w:r w:rsidR="00593E70">
        <w:t xml:space="preserve">also </w:t>
      </w:r>
      <w:r>
        <w:t>(</w:t>
      </w:r>
      <w:r w:rsidR="00593E70">
        <w:t>where possible</w:t>
      </w:r>
      <w:r>
        <w:t>)</w:t>
      </w:r>
      <w:r w:rsidR="00593E70">
        <w:t xml:space="preserve"> measure the impact on families and connections of participants to gain a greater understanding of the wider impact of LLND programs on participants and the community.</w:t>
      </w:r>
    </w:p>
    <w:p w14:paraId="20EB791E" w14:textId="0C7E463C" w:rsidR="00593E70" w:rsidRPr="00593E70" w:rsidRDefault="00593E70" w:rsidP="00BD3C4B">
      <w:pPr>
        <w:pStyle w:val="Heading4"/>
        <w:numPr>
          <w:ilvl w:val="3"/>
          <w:numId w:val="8"/>
        </w:numPr>
        <w:ind w:left="851" w:hanging="851"/>
      </w:pPr>
      <w:r>
        <w:t>Assessment</w:t>
      </w:r>
      <w:r w:rsidR="00367B31">
        <w:t xml:space="preserve"> Alternatives</w:t>
      </w:r>
    </w:p>
    <w:p w14:paraId="2503C880" w14:textId="4853DF2F" w:rsidR="00593E70" w:rsidRDefault="00EB03B2" w:rsidP="00D30D12">
      <w:r w:rsidRPr="008D7521">
        <w:t>An alternative to measuring</w:t>
      </w:r>
      <w:r w:rsidR="00593E70" w:rsidRPr="008D7521">
        <w:t xml:space="preserve"> </w:t>
      </w:r>
      <w:r w:rsidR="00E443E0" w:rsidRPr="008D7521">
        <w:t xml:space="preserve">a leaner’s LLND progress with a </w:t>
      </w:r>
      <w:proofErr w:type="gramStart"/>
      <w:r w:rsidR="00E443E0" w:rsidRPr="008D7521">
        <w:t>competency based</w:t>
      </w:r>
      <w:proofErr w:type="gramEnd"/>
      <w:r w:rsidR="00E443E0" w:rsidRPr="008D7521">
        <w:t xml:space="preserve"> testing methodology that requires achievement of full ACSF or DLSF indicators, is to measure using the individual </w:t>
      </w:r>
      <w:r w:rsidR="006F346D" w:rsidRPr="008D7521">
        <w:t xml:space="preserve">descriptions of </w:t>
      </w:r>
      <w:r w:rsidR="00E443E0" w:rsidRPr="008D7521">
        <w:t>performance</w:t>
      </w:r>
      <w:r w:rsidR="006F346D" w:rsidRPr="008D7521">
        <w:t xml:space="preserve"> (performance</w:t>
      </w:r>
      <w:r w:rsidR="00E443E0" w:rsidRPr="008D7521">
        <w:t xml:space="preserve"> features</w:t>
      </w:r>
      <w:r w:rsidR="006F346D" w:rsidRPr="008D7521">
        <w:t>)</w:t>
      </w:r>
      <w:r w:rsidR="00E443E0" w:rsidRPr="008D7521">
        <w:t xml:space="preserve"> within</w:t>
      </w:r>
      <w:r w:rsidR="006F346D" w:rsidRPr="008D7521">
        <w:t xml:space="preserve"> </w:t>
      </w:r>
      <w:r w:rsidR="00E443E0" w:rsidRPr="008D7521">
        <w:t>each indicator. This would allow providers to report on what leaners ‘can do’ after a period study</w:t>
      </w:r>
      <w:r w:rsidR="006F346D" w:rsidRPr="008D7521">
        <w:t xml:space="preserve">. It also better aligns with </w:t>
      </w:r>
      <w:r w:rsidR="00E443E0" w:rsidRPr="008D7521">
        <w:t>how learners progress in LLND focused courses</w:t>
      </w:r>
      <w:r w:rsidR="006F346D" w:rsidRPr="008D7521">
        <w:t>, and with best practice in LLND training and assessment</w:t>
      </w:r>
      <w:r w:rsidR="00E443E0" w:rsidRPr="008D7521">
        <w:t xml:space="preserve">. </w:t>
      </w:r>
      <w:r w:rsidR="00593E70" w:rsidRPr="008D7521">
        <w:t>Assessment should be progressive and incremental.</w:t>
      </w:r>
    </w:p>
    <w:p w14:paraId="3DD593E7" w14:textId="7108682D" w:rsidR="00D30D12" w:rsidRDefault="00D30D12" w:rsidP="00D30D12">
      <w:r>
        <w:t xml:space="preserve">The use of performance features within the ACSF as evidence for progress (as opposed to the full indicator) was supported by </w:t>
      </w:r>
      <w:r w:rsidR="004E0BBE">
        <w:t>several</w:t>
      </w:r>
      <w:r>
        <w:t xml:space="preserve"> respondents to better show incremental progress. Another response indicated that funding should be allocated for the development of ACSF/DLSF toolkits which could be customised for each discrete community/project. This follows on from responses earlier in this report where the development of ‘off the shelf’ models was suggested. A central set of resources or ‘tools’ could be developed, or ‘off the shelf’ models, so that communities have a starting point on which to develop their projects.</w:t>
      </w:r>
    </w:p>
    <w:p w14:paraId="5A46FA2E" w14:textId="25895C70" w:rsidR="00B00621" w:rsidRDefault="00B00621" w:rsidP="0051073E">
      <w:r w:rsidRPr="008311F1">
        <w:t xml:space="preserve">LLND skills training needs to be linked to practical outcomes and may involve skill sets rather than units of competency or full qualifications. </w:t>
      </w:r>
      <w:r>
        <w:t xml:space="preserve">If the use of the ACSF as a measurement of progression continues, then the assessment framework (including baseline assessments) needs to be designed and executed in a way that does not cause stress or anxiety for the learner and is culturally safe. A call for careful consideration has been voiced through the responses. </w:t>
      </w:r>
      <w:r w:rsidR="00367B31">
        <w:t xml:space="preserve">It was suggested that “a greater use of skill sets could enable improved outcomes for learners” as it allows learners to </w:t>
      </w:r>
      <w:r w:rsidR="003B4485">
        <w:t>evaluate</w:t>
      </w:r>
      <w:r w:rsidR="00367B31">
        <w:t xml:space="preserve"> whether the training is suitable for them and gain recognition for the skillset they have </w:t>
      </w:r>
      <w:r w:rsidR="003B4485">
        <w:t>achieved.</w:t>
      </w:r>
    </w:p>
    <w:p w14:paraId="4160A3D9" w14:textId="77777777" w:rsidR="00B47831" w:rsidRDefault="00B47831" w:rsidP="00F32BD3">
      <w:pPr>
        <w:spacing w:line="240" w:lineRule="auto"/>
      </w:pPr>
      <w:r>
        <w:br w:type="page"/>
      </w:r>
    </w:p>
    <w:p w14:paraId="2C4133F8" w14:textId="22E4DF8B" w:rsidR="006C53E2" w:rsidRDefault="006C53E2" w:rsidP="00F32BD3">
      <w:pPr>
        <w:spacing w:line="240" w:lineRule="auto"/>
      </w:pPr>
      <w:r>
        <w:lastRenderedPageBreak/>
        <w:t>Suggested measures include:</w:t>
      </w:r>
    </w:p>
    <w:tbl>
      <w:tblPr>
        <w:tblStyle w:val="DESE"/>
        <w:tblW w:w="9584" w:type="dxa"/>
        <w:tblLook w:val="04A0" w:firstRow="1" w:lastRow="0" w:firstColumn="1" w:lastColumn="0" w:noHBand="0" w:noVBand="1"/>
      </w:tblPr>
      <w:tblGrid>
        <w:gridCol w:w="3194"/>
        <w:gridCol w:w="3195"/>
        <w:gridCol w:w="3195"/>
      </w:tblGrid>
      <w:tr w:rsidR="006C53E2" w14:paraId="3CBDFD90" w14:textId="77777777" w:rsidTr="00B065D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3194" w:type="dxa"/>
            <w:tcBorders>
              <w:top w:val="single" w:sz="4" w:space="0" w:color="002D3F" w:themeColor="text2"/>
            </w:tcBorders>
            <w:vAlign w:val="bottom"/>
          </w:tcPr>
          <w:p w14:paraId="50A45860" w14:textId="5050951D" w:rsidR="006C53E2" w:rsidRPr="001805B5" w:rsidRDefault="006C53E2" w:rsidP="00F32BD3">
            <w:pPr>
              <w:spacing w:after="100" w:line="240" w:lineRule="auto"/>
              <w:jc w:val="center"/>
              <w:rPr>
                <w:b/>
                <w:bCs/>
              </w:rPr>
            </w:pPr>
            <w:r w:rsidRPr="001805B5">
              <w:rPr>
                <w:b/>
                <w:bCs/>
              </w:rPr>
              <w:t>Direct/Individual</w:t>
            </w:r>
          </w:p>
        </w:tc>
        <w:tc>
          <w:tcPr>
            <w:tcW w:w="3195" w:type="dxa"/>
            <w:tcBorders>
              <w:top w:val="single" w:sz="4" w:space="0" w:color="002D3F" w:themeColor="text2"/>
            </w:tcBorders>
            <w:vAlign w:val="bottom"/>
          </w:tcPr>
          <w:p w14:paraId="4BDF3E4E" w14:textId="0316DD11" w:rsidR="006C53E2" w:rsidRPr="001805B5" w:rsidRDefault="006C53E2" w:rsidP="00F32BD3">
            <w:pPr>
              <w:spacing w:after="100" w:line="240" w:lineRule="auto"/>
              <w:jc w:val="center"/>
              <w:cnfStyle w:val="100000000000" w:firstRow="1" w:lastRow="0" w:firstColumn="0" w:lastColumn="0" w:oddVBand="0" w:evenVBand="0" w:oddHBand="0" w:evenHBand="0" w:firstRowFirstColumn="0" w:firstRowLastColumn="0" w:lastRowFirstColumn="0" w:lastRowLastColumn="0"/>
              <w:rPr>
                <w:b/>
                <w:bCs/>
              </w:rPr>
            </w:pPr>
            <w:r w:rsidRPr="001805B5">
              <w:rPr>
                <w:b/>
                <w:bCs/>
              </w:rPr>
              <w:t>Project Level Indicators</w:t>
            </w:r>
          </w:p>
        </w:tc>
        <w:tc>
          <w:tcPr>
            <w:tcW w:w="3195" w:type="dxa"/>
            <w:vAlign w:val="bottom"/>
          </w:tcPr>
          <w:p w14:paraId="4E661199" w14:textId="6FB60226" w:rsidR="006C53E2" w:rsidRPr="001805B5" w:rsidRDefault="006C53E2" w:rsidP="00F32BD3">
            <w:pPr>
              <w:spacing w:after="100" w:line="240" w:lineRule="auto"/>
              <w:jc w:val="center"/>
              <w:cnfStyle w:val="100000000000" w:firstRow="1" w:lastRow="0" w:firstColumn="0" w:lastColumn="0" w:oddVBand="0" w:evenVBand="0" w:oddHBand="0" w:evenHBand="0" w:firstRowFirstColumn="0" w:firstRowLastColumn="0" w:lastRowFirstColumn="0" w:lastRowLastColumn="0"/>
              <w:rPr>
                <w:b/>
                <w:bCs/>
              </w:rPr>
            </w:pPr>
            <w:r>
              <w:rPr>
                <w:b/>
                <w:bCs/>
              </w:rPr>
              <w:t>Community Level Measures</w:t>
            </w:r>
          </w:p>
        </w:tc>
      </w:tr>
      <w:tr w:rsidR="006C53E2" w14:paraId="30E6F1E3" w14:textId="77777777" w:rsidTr="00B065DE">
        <w:tc>
          <w:tcPr>
            <w:cnfStyle w:val="001000000000" w:firstRow="0" w:lastRow="0" w:firstColumn="1" w:lastColumn="0" w:oddVBand="0" w:evenVBand="0" w:oddHBand="0" w:evenHBand="0" w:firstRowFirstColumn="0" w:firstRowLastColumn="0" w:lastRowFirstColumn="0" w:lastRowLastColumn="0"/>
            <w:tcW w:w="3194" w:type="dxa"/>
            <w:vAlign w:val="top"/>
          </w:tcPr>
          <w:p w14:paraId="358A19EF" w14:textId="1519A9C1" w:rsidR="006C53E2" w:rsidRDefault="006C53E2" w:rsidP="00BD3C4B">
            <w:pPr>
              <w:pStyle w:val="ListParagraph"/>
              <w:numPr>
                <w:ilvl w:val="0"/>
                <w:numId w:val="11"/>
              </w:numPr>
              <w:spacing w:after="100" w:line="240" w:lineRule="auto"/>
            </w:pPr>
            <w:r>
              <w:t>Successful attendance and retention.</w:t>
            </w:r>
          </w:p>
          <w:p w14:paraId="0E11AB36" w14:textId="4D69DA30" w:rsidR="006C53E2" w:rsidRDefault="006C53E2" w:rsidP="00BD3C4B">
            <w:pPr>
              <w:pStyle w:val="ListParagraph"/>
              <w:numPr>
                <w:ilvl w:val="0"/>
                <w:numId w:val="11"/>
              </w:numPr>
              <w:spacing w:after="100" w:line="240" w:lineRule="auto"/>
            </w:pPr>
            <w:r>
              <w:t>Individual attainment and improvements on life outcomes.</w:t>
            </w:r>
          </w:p>
          <w:p w14:paraId="56E1F1BC" w14:textId="77777777" w:rsidR="006C53E2" w:rsidRDefault="006C53E2" w:rsidP="00BD3C4B">
            <w:pPr>
              <w:pStyle w:val="ListParagraph"/>
              <w:numPr>
                <w:ilvl w:val="0"/>
                <w:numId w:val="11"/>
              </w:numPr>
              <w:spacing w:after="100" w:line="240" w:lineRule="auto"/>
            </w:pPr>
            <w:r>
              <w:t>Qualitative feedback from participants and other key stakeholders involved in the program.</w:t>
            </w:r>
          </w:p>
          <w:p w14:paraId="35039F33" w14:textId="77777777" w:rsidR="006C53E2" w:rsidRDefault="006C53E2" w:rsidP="00BD3C4B">
            <w:pPr>
              <w:pStyle w:val="ListParagraph"/>
              <w:numPr>
                <w:ilvl w:val="0"/>
                <w:numId w:val="11"/>
              </w:numPr>
              <w:spacing w:after="100" w:line="240" w:lineRule="auto"/>
            </w:pPr>
            <w:r>
              <w:t>Impact on participant reliance on other forms of government support such as income support.</w:t>
            </w:r>
          </w:p>
          <w:p w14:paraId="5FB55520" w14:textId="66FF4290" w:rsidR="006C53E2" w:rsidRPr="00030437" w:rsidRDefault="006C53E2" w:rsidP="00BD3C4B">
            <w:pPr>
              <w:pStyle w:val="ListParagraph"/>
              <w:numPr>
                <w:ilvl w:val="0"/>
                <w:numId w:val="11"/>
              </w:numPr>
              <w:spacing w:after="100" w:line="240" w:lineRule="auto"/>
            </w:pPr>
            <w:r>
              <w:t>Other post completion outcomes</w:t>
            </w:r>
          </w:p>
        </w:tc>
        <w:tc>
          <w:tcPr>
            <w:tcW w:w="3195" w:type="dxa"/>
            <w:vAlign w:val="top"/>
          </w:tcPr>
          <w:p w14:paraId="1437985D" w14:textId="6F37EFC0" w:rsidR="006C53E2" w:rsidRDefault="006C53E2" w:rsidP="00BD3C4B">
            <w:pPr>
              <w:pStyle w:val="ListParagraph"/>
              <w:numPr>
                <w:ilvl w:val="0"/>
                <w:numId w:val="11"/>
              </w:numPr>
              <w:spacing w:after="100" w:line="240" w:lineRule="auto"/>
              <w:cnfStyle w:val="000000000000" w:firstRow="0" w:lastRow="0" w:firstColumn="0" w:lastColumn="0" w:oddVBand="0" w:evenVBand="0" w:oddHBand="0" w:evenHBand="0" w:firstRowFirstColumn="0" w:firstRowLastColumn="0" w:lastRowFirstColumn="0" w:lastRowLastColumn="0"/>
            </w:pPr>
            <w:r>
              <w:t>Employment of First Nations project staff.</w:t>
            </w:r>
          </w:p>
          <w:p w14:paraId="4A8FA855" w14:textId="33DCDDF6" w:rsidR="006C53E2" w:rsidRDefault="006C53E2" w:rsidP="00BD3C4B">
            <w:pPr>
              <w:pStyle w:val="ListParagraph"/>
              <w:numPr>
                <w:ilvl w:val="0"/>
                <w:numId w:val="11"/>
              </w:numPr>
              <w:spacing w:after="100" w:line="240" w:lineRule="auto"/>
              <w:cnfStyle w:val="000000000000" w:firstRow="0" w:lastRow="0" w:firstColumn="0" w:lastColumn="0" w:oddVBand="0" w:evenVBand="0" w:oddHBand="0" w:evenHBand="0" w:firstRowFirstColumn="0" w:firstRowLastColumn="0" w:lastRowFirstColumn="0" w:lastRowLastColumn="0"/>
            </w:pPr>
            <w:r>
              <w:t>Evidence of positive partnerships with other key Aboriginal and Torres Strait Islander community controlled and other appropriate community organisations.</w:t>
            </w:r>
          </w:p>
        </w:tc>
        <w:tc>
          <w:tcPr>
            <w:tcW w:w="3195" w:type="dxa"/>
            <w:vAlign w:val="top"/>
          </w:tcPr>
          <w:p w14:paraId="16516222" w14:textId="0E0F1210" w:rsidR="006C53E2" w:rsidRDefault="006C53E2" w:rsidP="00BD3C4B">
            <w:pPr>
              <w:pStyle w:val="ListParagraph"/>
              <w:numPr>
                <w:ilvl w:val="0"/>
                <w:numId w:val="11"/>
              </w:numPr>
              <w:spacing w:after="100" w:line="240" w:lineRule="auto"/>
              <w:cnfStyle w:val="000000000000" w:firstRow="0" w:lastRow="0" w:firstColumn="0" w:lastColumn="0" w:oddVBand="0" w:evenVBand="0" w:oddHBand="0" w:evenHBand="0" w:firstRowFirstColumn="0" w:firstRowLastColumn="0" w:lastRowFirstColumn="0" w:lastRowLastColumn="0"/>
            </w:pPr>
            <w:r>
              <w:t>Creation of a local sustainable industry or sector with the employment of local people, and utilisation of other local resources.</w:t>
            </w:r>
          </w:p>
          <w:p w14:paraId="04399A73" w14:textId="266B6315" w:rsidR="006C53E2" w:rsidRDefault="006C53E2" w:rsidP="00BD3C4B">
            <w:pPr>
              <w:pStyle w:val="ListParagraph"/>
              <w:numPr>
                <w:ilvl w:val="0"/>
                <w:numId w:val="11"/>
              </w:numPr>
              <w:spacing w:after="100" w:line="240" w:lineRule="auto"/>
              <w:cnfStyle w:val="000000000000" w:firstRow="0" w:lastRow="0" w:firstColumn="0" w:lastColumn="0" w:oddVBand="0" w:evenVBand="0" w:oddHBand="0" w:evenHBand="0" w:firstRowFirstColumn="0" w:firstRowLastColumn="0" w:lastRowFirstColumn="0" w:lastRowLastColumn="0"/>
            </w:pPr>
            <w:r>
              <w:t xml:space="preserve">Reduction in the </w:t>
            </w:r>
            <w:r w:rsidR="00BD42D6">
              <w:t xml:space="preserve">incidence </w:t>
            </w:r>
            <w:r>
              <w:t>of anti-social behaviour in the community.</w:t>
            </w:r>
          </w:p>
        </w:tc>
      </w:tr>
    </w:tbl>
    <w:p w14:paraId="25E9D086" w14:textId="51DDFA7B" w:rsidR="006C53E2" w:rsidRDefault="006C53E2" w:rsidP="00F32BD3">
      <w:pPr>
        <w:spacing w:line="240" w:lineRule="auto"/>
      </w:pPr>
    </w:p>
    <w:p w14:paraId="18F75456" w14:textId="5061BAD8" w:rsidR="00B00621" w:rsidRDefault="3ABA6E95" w:rsidP="00BD3C4B">
      <w:pPr>
        <w:pStyle w:val="Heading3"/>
        <w:numPr>
          <w:ilvl w:val="2"/>
          <w:numId w:val="8"/>
        </w:numPr>
        <w:ind w:left="709" w:hanging="709"/>
      </w:pPr>
      <w:bookmarkStart w:id="42" w:name="_Toc1254491402"/>
      <w:bookmarkStart w:id="43" w:name="_Toc138159411"/>
      <w:r>
        <w:t>Program Evaluation – Value for Money</w:t>
      </w:r>
      <w:bookmarkEnd w:id="42"/>
      <w:bookmarkEnd w:id="43"/>
    </w:p>
    <w:p w14:paraId="57A7BED1" w14:textId="6738D1EE" w:rsidR="00B00621" w:rsidRDefault="00B00621" w:rsidP="0051073E">
      <w:r>
        <w:t>‘Value for money’ for literacy education should be considered in line with the impacts of literacy for the economy and society in the wider context. For example, if someone’s literacy is improved, then their employment prospects are improved, as well as their overall health and wellbeing.</w:t>
      </w:r>
    </w:p>
    <w:p w14:paraId="3B733548" w14:textId="76247FF8" w:rsidR="00A1363D" w:rsidRDefault="00A1363D" w:rsidP="0051073E">
      <w:r>
        <w:t>Value for money should not be determined for remote and First Nations LLND programs</w:t>
      </w:r>
      <w:r w:rsidR="00E13A2B">
        <w:t xml:space="preserve"> in the same way as it is determined in urban areas</w:t>
      </w:r>
      <w:r>
        <w:t xml:space="preserve">, in recognition of the high cost of delivery in remote areas, and the fact that programs take a significant time to embed.  </w:t>
      </w:r>
    </w:p>
    <w:p w14:paraId="0F1E527C" w14:textId="66F8629D" w:rsidR="00D30D12" w:rsidRDefault="47E56DF1" w:rsidP="00BD3C4B">
      <w:pPr>
        <w:pStyle w:val="Heading3"/>
        <w:numPr>
          <w:ilvl w:val="2"/>
          <w:numId w:val="8"/>
        </w:numPr>
        <w:ind w:left="709" w:hanging="709"/>
      </w:pPr>
      <w:bookmarkStart w:id="44" w:name="_Toc1476649167"/>
      <w:bookmarkStart w:id="45" w:name="_Toc138159412"/>
      <w:r>
        <w:t>Program Evaluation – KPIs</w:t>
      </w:r>
      <w:bookmarkEnd w:id="44"/>
      <w:bookmarkEnd w:id="45"/>
    </w:p>
    <w:p w14:paraId="549C1215" w14:textId="23477766" w:rsidR="00D30D12" w:rsidRDefault="00E13A2B" w:rsidP="00D30D12">
      <w:r>
        <w:t>Stakeholders noted that i</w:t>
      </w:r>
      <w:r w:rsidR="00D30D12">
        <w:t>mpacts of KPIs on program providers</w:t>
      </w:r>
      <w:r w:rsidR="003A276B">
        <w:t xml:space="preserve"> should be considered</w:t>
      </w:r>
      <w:r w:rsidR="00D30D12">
        <w:t xml:space="preserve">, particularly those which </w:t>
      </w:r>
      <w:r w:rsidR="003A276B">
        <w:t xml:space="preserve">measure things that are </w:t>
      </w:r>
      <w:r w:rsidR="00D30D12">
        <w:t>outside of provider</w:t>
      </w:r>
      <w:r w:rsidR="003A276B">
        <w:t>’s</w:t>
      </w:r>
      <w:r w:rsidR="00D30D12">
        <w:t xml:space="preserve"> </w:t>
      </w:r>
      <w:r w:rsidR="003B4485">
        <w:t>control or</w:t>
      </w:r>
      <w:r w:rsidR="00D30D12">
        <w:t xml:space="preserve"> are largely dependent on third parties. Responses indicate that there is duplication of reporting on current VET programs, </w:t>
      </w:r>
      <w:proofErr w:type="gramStart"/>
      <w:r w:rsidR="00F5340E">
        <w:t>i.e.</w:t>
      </w:r>
      <w:proofErr w:type="gramEnd"/>
      <w:r w:rsidR="00D30D12">
        <w:t xml:space="preserve"> the same data is collected several times for varying programs and government departments. Responses indicated that additional reporting should be avoided.</w:t>
      </w:r>
    </w:p>
    <w:p w14:paraId="08E50449" w14:textId="5F63E593" w:rsidR="00D30D12" w:rsidRDefault="00D30D12" w:rsidP="00D30D12">
      <w:r>
        <w:t xml:space="preserve">Development of KPIs at the individual project level should be community-led. It was recommended that </w:t>
      </w:r>
      <w:r w:rsidR="003A276B">
        <w:t>d</w:t>
      </w:r>
      <w:r>
        <w:t>epartmental personnel that have responsibility for program design, including KPIs</w:t>
      </w:r>
      <w:r w:rsidR="00DC3F66">
        <w:t>,</w:t>
      </w:r>
      <w:r>
        <w:t xml:space="preserve"> should visit the delivery sites to gain a greater understanding of the cultural context in which programs are delivered.</w:t>
      </w:r>
    </w:p>
    <w:p w14:paraId="6F9B2638" w14:textId="59D724AA" w:rsidR="00593E70" w:rsidRPr="00D30D12" w:rsidRDefault="00593E70" w:rsidP="001805B5">
      <w:r>
        <w:t>Measures could be designed in partnership with community at the design stage of the individual programs/projects. This will ensure that KPIs are aligned with community values.</w:t>
      </w:r>
    </w:p>
    <w:p w14:paraId="3A2B6D2C" w14:textId="242734B9" w:rsidR="00B00621" w:rsidRDefault="3ABA6E95" w:rsidP="00BD3C4B">
      <w:pPr>
        <w:pStyle w:val="Heading3"/>
        <w:numPr>
          <w:ilvl w:val="2"/>
          <w:numId w:val="8"/>
        </w:numPr>
        <w:ind w:left="709" w:hanging="709"/>
      </w:pPr>
      <w:bookmarkStart w:id="46" w:name="_Toc222513567"/>
      <w:bookmarkStart w:id="47" w:name="_Toc138159413"/>
      <w:r>
        <w:lastRenderedPageBreak/>
        <w:t>Data Resources</w:t>
      </w:r>
      <w:bookmarkEnd w:id="46"/>
      <w:bookmarkEnd w:id="47"/>
    </w:p>
    <w:p w14:paraId="7A162C4C" w14:textId="2DA66FB1" w:rsidR="00D30D12" w:rsidRDefault="00D30D12" w:rsidP="0051073E">
      <w:r>
        <w:t xml:space="preserve">Lack of available, </w:t>
      </w:r>
      <w:proofErr w:type="gramStart"/>
      <w:r>
        <w:t>reliable</w:t>
      </w:r>
      <w:proofErr w:type="gramEnd"/>
      <w:r>
        <w:t xml:space="preserve"> and transparent data on LLND levels in remote and First Nations communities has been cited as an issue in some responses. The responses refer to the issue of Indigenous Data Sovereignty, being the right to govern how and what data is collected and its use; and Indigenous Data Governance which relates to policy development and the rights of First Nations people are considered and reflected in this policy.</w:t>
      </w:r>
    </w:p>
    <w:p w14:paraId="5F1CC08A" w14:textId="5651274B" w:rsidR="0051073E" w:rsidRDefault="0051073E" w:rsidP="0051073E">
      <w:r>
        <w:t xml:space="preserve">Responses indicated that there </w:t>
      </w:r>
      <w:r w:rsidR="003E1B36">
        <w:t>is no</w:t>
      </w:r>
      <w:r>
        <w:t xml:space="preserve"> central </w:t>
      </w:r>
      <w:r w:rsidR="00BF04E5">
        <w:t>repository</w:t>
      </w:r>
      <w:r>
        <w:t xml:space="preserve"> </w:t>
      </w:r>
      <w:r w:rsidRPr="00E17D0C">
        <w:t xml:space="preserve">for </w:t>
      </w:r>
      <w:r w:rsidR="00BF04E5" w:rsidRPr="00E17D0C">
        <w:t xml:space="preserve">data relating to </w:t>
      </w:r>
      <w:r w:rsidRPr="00E17D0C">
        <w:t xml:space="preserve">the </w:t>
      </w:r>
      <w:r w:rsidR="00807355" w:rsidRPr="00E17D0C">
        <w:t xml:space="preserve">current </w:t>
      </w:r>
      <w:r w:rsidRPr="00E17D0C">
        <w:t>level</w:t>
      </w:r>
      <w:r w:rsidR="00807355" w:rsidRPr="00E17D0C">
        <w:t>s</w:t>
      </w:r>
      <w:r w:rsidRPr="00E17D0C">
        <w:t xml:space="preserve"> </w:t>
      </w:r>
      <w:r>
        <w:t xml:space="preserve">of foundation skills in remote Australia. A point was made </w:t>
      </w:r>
      <w:r w:rsidR="003E1B36">
        <w:t xml:space="preserve">about </w:t>
      </w:r>
      <w:r w:rsidR="00C448D2">
        <w:t>P</w:t>
      </w:r>
      <w:r>
        <w:t xml:space="preserve">riority </w:t>
      </w:r>
      <w:r w:rsidR="009A555F">
        <w:t xml:space="preserve">4 </w:t>
      </w:r>
      <w:r>
        <w:t xml:space="preserve">of the National Agreement on Closing the Gap reforms: ‘Shared access to data and information at a regional level’. Data should be accessible and transparent </w:t>
      </w:r>
      <w:proofErr w:type="gramStart"/>
      <w:r>
        <w:t>taking into account</w:t>
      </w:r>
      <w:proofErr w:type="gramEnd"/>
      <w:r>
        <w:t xml:space="preserve"> the principles of Indigenous Data Sovereignty and Indigenous Data Governance.</w:t>
      </w:r>
    </w:p>
    <w:p w14:paraId="52445525" w14:textId="6D265343" w:rsidR="002F5B65" w:rsidRDefault="002F5B65" w:rsidP="0051073E">
      <w:r w:rsidRPr="008311F1">
        <w:t>The Commonwealth should resource a data collection standard to determine LLND levels in remote communities and ensure equitable access and transparency around this data so that it can be used to adequately inform the design of LLND and other programs at the community level.</w:t>
      </w:r>
    </w:p>
    <w:p w14:paraId="791449F0" w14:textId="3846741D" w:rsidR="00D30D12" w:rsidRDefault="00D30D12" w:rsidP="001805B5">
      <w:r>
        <w:t>It was suggested that the government invest in establishing data collection standards with the principles of Priority 4 of the</w:t>
      </w:r>
      <w:r w:rsidR="00C448D2">
        <w:t xml:space="preserve"> National Agreement on</w:t>
      </w:r>
      <w:r>
        <w:t xml:space="preserve"> </w:t>
      </w:r>
      <w:r w:rsidR="000264D3">
        <w:t xml:space="preserve">Closing the Gap </w:t>
      </w:r>
      <w:r>
        <w:t xml:space="preserve">and the principles of Indigenous Data Sovereignty and Indigenous Data Governance.  </w:t>
      </w:r>
    </w:p>
    <w:p w14:paraId="6A07016C" w14:textId="1A656D42" w:rsidR="00D30D12" w:rsidRDefault="00D30D12" w:rsidP="00D30D12">
      <w:r>
        <w:t>Data measured and collected should be reliable and transparent and be of benefit to the community, and specifically for First Nations people.</w:t>
      </w:r>
    </w:p>
    <w:p w14:paraId="22871DA5" w14:textId="6B0DC6E3" w:rsidR="00214F0E" w:rsidRDefault="7CEDB650" w:rsidP="00BD3C4B">
      <w:pPr>
        <w:pStyle w:val="Heading2"/>
        <w:numPr>
          <w:ilvl w:val="1"/>
          <w:numId w:val="8"/>
        </w:numPr>
        <w:ind w:left="567" w:hanging="567"/>
      </w:pPr>
      <w:bookmarkStart w:id="48" w:name="_Toc877136127"/>
      <w:bookmarkStart w:id="49" w:name="_Toc138159414"/>
      <w:r>
        <w:t>Support for foundation skills sector and workforce</w:t>
      </w:r>
      <w:bookmarkEnd w:id="48"/>
      <w:bookmarkEnd w:id="49"/>
    </w:p>
    <w:p w14:paraId="515322DE" w14:textId="79BA4A49" w:rsidR="00F400BC" w:rsidRPr="00F400BC" w:rsidRDefault="00F400BC" w:rsidP="00F400BC">
      <w:r>
        <w:rPr>
          <w:noProof/>
        </w:rPr>
        <mc:AlternateContent>
          <mc:Choice Requires="wps">
            <w:drawing>
              <wp:inline distT="0" distB="0" distL="0" distR="0" wp14:anchorId="7AC0D4D1" wp14:editId="586DD53C">
                <wp:extent cx="5686425" cy="3848100"/>
                <wp:effectExtent l="0" t="0" r="28575" b="1905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3848100"/>
                        </a:xfrm>
                        <a:prstGeom prst="rect">
                          <a:avLst/>
                        </a:prstGeom>
                        <a:solidFill>
                          <a:srgbClr val="E5EEDA"/>
                        </a:solidFill>
                        <a:ln w="9525">
                          <a:solidFill>
                            <a:srgbClr val="789B4A"/>
                          </a:solidFill>
                          <a:miter lim="800000"/>
                          <a:headEnd/>
                          <a:tailEnd/>
                        </a:ln>
                      </wps:spPr>
                      <wps:txbx>
                        <w:txbxContent>
                          <w:p w14:paraId="326369B2" w14:textId="21934B48" w:rsidR="00F400BC" w:rsidRPr="001805B5" w:rsidRDefault="00F400BC" w:rsidP="00F400BC">
                            <w:pPr>
                              <w:spacing w:after="120"/>
                              <w:rPr>
                                <w:b/>
                                <w:bCs/>
                                <w:i/>
                                <w:iCs/>
                              </w:rPr>
                            </w:pPr>
                            <w:r>
                              <w:rPr>
                                <w:b/>
                                <w:bCs/>
                                <w:i/>
                                <w:iCs/>
                              </w:rPr>
                              <w:t xml:space="preserve">Key </w:t>
                            </w:r>
                            <w:r w:rsidR="00F31F13">
                              <w:rPr>
                                <w:b/>
                                <w:bCs/>
                                <w:i/>
                                <w:iCs/>
                              </w:rPr>
                              <w:t>Feedback</w:t>
                            </w:r>
                            <w:r w:rsidRPr="001805B5">
                              <w:rPr>
                                <w:b/>
                                <w:bCs/>
                                <w:i/>
                                <w:iCs/>
                              </w:rPr>
                              <w:t>:</w:t>
                            </w:r>
                          </w:p>
                          <w:p w14:paraId="2ADA99AC" w14:textId="51C05B2D" w:rsidR="00F400BC" w:rsidRDefault="00F400BC" w:rsidP="008D59D7">
                            <w:pPr>
                              <w:pStyle w:val="ListParagraph"/>
                              <w:numPr>
                                <w:ilvl w:val="0"/>
                                <w:numId w:val="22"/>
                              </w:numPr>
                              <w:spacing w:after="0"/>
                            </w:pPr>
                            <w:r>
                              <w:t xml:space="preserve">The Department should work with state training authorities to develop a sector and workforce strategy and initiatives to increase the size of the remote specialist foundation skills teaching workforce.   </w:t>
                            </w:r>
                          </w:p>
                          <w:p w14:paraId="1F462451" w14:textId="77777777" w:rsidR="00F400BC" w:rsidRDefault="00F400BC" w:rsidP="008D59D7">
                            <w:pPr>
                              <w:pStyle w:val="ListParagraph"/>
                              <w:numPr>
                                <w:ilvl w:val="0"/>
                                <w:numId w:val="22"/>
                              </w:numPr>
                              <w:spacing w:after="0"/>
                            </w:pPr>
                            <w:r>
                              <w:t>Funding should incentivise local delivery and development of local resources to deliver the training.</w:t>
                            </w:r>
                          </w:p>
                          <w:p w14:paraId="60EC002E" w14:textId="41FA0F18" w:rsidR="00F400BC" w:rsidRDefault="00F400BC" w:rsidP="008D59D7">
                            <w:pPr>
                              <w:pStyle w:val="ListParagraph"/>
                              <w:numPr>
                                <w:ilvl w:val="0"/>
                                <w:numId w:val="22"/>
                              </w:numPr>
                              <w:spacing w:after="0"/>
                            </w:pPr>
                            <w:r>
                              <w:t>A model for a pathways approach to achieving a TAE40116 Certificate IV in Training and Assessment should be developed</w:t>
                            </w:r>
                            <w:r w:rsidR="00E018B3">
                              <w:t xml:space="preserve"> and where possible, s</w:t>
                            </w:r>
                            <w:r>
                              <w:t>hould articulate into a diploma and/or degree.</w:t>
                            </w:r>
                          </w:p>
                          <w:p w14:paraId="58CFCCDC" w14:textId="77777777" w:rsidR="00F400BC" w:rsidRDefault="00F400BC" w:rsidP="008D59D7">
                            <w:pPr>
                              <w:pStyle w:val="ListParagraph"/>
                              <w:numPr>
                                <w:ilvl w:val="0"/>
                                <w:numId w:val="22"/>
                              </w:numPr>
                              <w:spacing w:after="0"/>
                            </w:pPr>
                            <w:r>
                              <w:t>Commonwealth scholarships for the completion of the TAE40116 should also be implemented.</w:t>
                            </w:r>
                          </w:p>
                          <w:p w14:paraId="36F30032" w14:textId="77777777" w:rsidR="00F400BC" w:rsidRDefault="00F400BC" w:rsidP="008D59D7">
                            <w:pPr>
                              <w:pStyle w:val="ListParagraph"/>
                              <w:numPr>
                                <w:ilvl w:val="0"/>
                                <w:numId w:val="22"/>
                              </w:numPr>
                              <w:spacing w:after="0"/>
                            </w:pPr>
                            <w:r>
                              <w:t xml:space="preserve">Government should support the establishment a peak or association to grow collaboration, standard setting and innovation. </w:t>
                            </w:r>
                          </w:p>
                          <w:p w14:paraId="235B43B3" w14:textId="77777777" w:rsidR="00F400BC" w:rsidRDefault="00F400BC" w:rsidP="008D59D7">
                            <w:pPr>
                              <w:pStyle w:val="ListParagraph"/>
                              <w:numPr>
                                <w:ilvl w:val="0"/>
                                <w:numId w:val="22"/>
                              </w:numPr>
                              <w:spacing w:after="0"/>
                            </w:pPr>
                            <w:r>
                              <w:t>The possibility of engaging a peak organisation to organise remote LLND delivery on a national scale should be explored.</w:t>
                            </w:r>
                          </w:p>
                          <w:p w14:paraId="7F40F314" w14:textId="77777777" w:rsidR="00F400BC" w:rsidRPr="001468CC" w:rsidRDefault="00F400BC" w:rsidP="00F400BC">
                            <w:pPr>
                              <w:spacing w:after="0"/>
                            </w:pPr>
                          </w:p>
                        </w:txbxContent>
                      </wps:txbx>
                      <wps:bodyPr rot="0" vert="horz" wrap="square" lIns="91440" tIns="45720" rIns="91440" bIns="45720" anchor="t" anchorCtr="0">
                        <a:noAutofit/>
                      </wps:bodyPr>
                    </wps:wsp>
                  </a:graphicData>
                </a:graphic>
              </wp:inline>
            </w:drawing>
          </mc:Choice>
          <mc:Fallback>
            <w:pict>
              <v:shape w14:anchorId="7AC0D4D1" id="Text Box 12" o:spid="_x0000_s1030" type="#_x0000_t202" style="width:447.7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gGGwIAACcEAAAOAAAAZHJzL2Uyb0RvYy54bWysU9uO2jAQfa/Uf7D8XgI0sCEirFhgq0rb&#10;i7TtBziOQ6w6Htc2JPTrd+ywLNpWfaiaB8uTsY/PnDmzvO1bRY7COgm6oJPRmBKhOVRS7wv6/dv9&#10;u4wS55mumAItCnoSjt6u3r5ZdiYXU2hAVcISBNEu70xBG+9NniSON6JlbgRGaEzWYFvmMbT7pLKs&#10;Q/RWJdPxeJ50YCtjgQvn8O92SNJVxK9rwf2XunbCE1VQ5ObjauNahjVZLVm+t8w0kp9psH9g0TKp&#10;8dEL1JZ5Rg5W/gbVSm7BQe1HHNoE6lpyEWvAaibjV9U8NsyIWAuK48xFJvf/YPnn46P5aonv76DH&#10;BsYinHkA/sMRDZuG6b1YWwtdI1iFD0+CZElnXH6+GqR2uQsgZfcJKmwyO3iIQH1t26AK1kkQHRtw&#10;uoguek84/pzNs3k6nVHCMfc+S7PJOLYlYfnzdWOd/yCgJWFTUItdjfDs+OB8oMPy5yPhNQdKVvdS&#10;qRjYfblRlhwZOmA32+2261jBq2NKk66gixkS+TvETba4S/8I0UqPVlayLWg2Dt9grqDbTlfRaJ5J&#10;NeyRstJnIYN2g4q+L3siq4Km4W7QtYTqhMpaGJyLk4abBuwvSjp0bUHdzwOzghL1UWN3FpM0DTaP&#10;QTq7mWJgrzPldYZpjlAF9ZQM242PoxEU0LDGLtYy6vvC5EwZ3RhlP09OsPt1HE+9zPfqCQAA//8D&#10;AFBLAwQUAAYACAAAACEAeLiQmNsAAAAFAQAADwAAAGRycy9kb3ducmV2LnhtbEyPQUvDQBCF70L/&#10;wzJCb3a3QkNMsymloAgV1FTv0+w0CWZnQ3bbpP/e1YteBh7v8d43+WaynbjQ4FvHGpYLBYK4cqbl&#10;WsPH4fEuBeEDssHOMWm4kodNMbvJMTNu5He6lKEWsYR9hhqaEPpMSl81ZNEvXE8cvZMbLIYoh1qa&#10;AcdYbjt5r1QiLbYcFxrsaddQ9VWerQbi/dPza/n2ucRtUOlhbF3yctV6fjtt1yACTeEvDD/4ER2K&#10;yHR0ZzZedBriI+H3Ri99WK1AHDUkKlEgi1z+py++AQAA//8DAFBLAQItABQABgAIAAAAIQC2gziS&#10;/gAAAOEBAAATAAAAAAAAAAAAAAAAAAAAAABbQ29udGVudF9UeXBlc10ueG1sUEsBAi0AFAAGAAgA&#10;AAAhADj9If/WAAAAlAEAAAsAAAAAAAAAAAAAAAAALwEAAF9yZWxzLy5yZWxzUEsBAi0AFAAGAAgA&#10;AAAhAGU+6AYbAgAAJwQAAA4AAAAAAAAAAAAAAAAALgIAAGRycy9lMm9Eb2MueG1sUEsBAi0AFAAG&#10;AAgAAAAhAHi4kJjbAAAABQEAAA8AAAAAAAAAAAAAAAAAdQQAAGRycy9kb3ducmV2LnhtbFBLBQYA&#10;AAAABAAEAPMAAAB9BQAAAAA=&#10;" fillcolor="#e5eeda" strokecolor="#789b4a">
                <v:textbox>
                  <w:txbxContent>
                    <w:p w14:paraId="326369B2" w14:textId="21934B48" w:rsidR="00F400BC" w:rsidRPr="001805B5" w:rsidRDefault="00F400BC" w:rsidP="00F400BC">
                      <w:pPr>
                        <w:spacing w:after="120"/>
                        <w:rPr>
                          <w:b/>
                          <w:bCs/>
                          <w:i/>
                          <w:iCs/>
                        </w:rPr>
                      </w:pPr>
                      <w:r>
                        <w:rPr>
                          <w:b/>
                          <w:bCs/>
                          <w:i/>
                          <w:iCs/>
                        </w:rPr>
                        <w:t xml:space="preserve">Key </w:t>
                      </w:r>
                      <w:r w:rsidR="00F31F13">
                        <w:rPr>
                          <w:b/>
                          <w:bCs/>
                          <w:i/>
                          <w:iCs/>
                        </w:rPr>
                        <w:t>Feedback</w:t>
                      </w:r>
                      <w:r w:rsidRPr="001805B5">
                        <w:rPr>
                          <w:b/>
                          <w:bCs/>
                          <w:i/>
                          <w:iCs/>
                        </w:rPr>
                        <w:t>:</w:t>
                      </w:r>
                    </w:p>
                    <w:p w14:paraId="2ADA99AC" w14:textId="51C05B2D" w:rsidR="00F400BC" w:rsidRDefault="00F400BC" w:rsidP="008D59D7">
                      <w:pPr>
                        <w:pStyle w:val="ListParagraph"/>
                        <w:numPr>
                          <w:ilvl w:val="0"/>
                          <w:numId w:val="22"/>
                        </w:numPr>
                        <w:spacing w:after="0"/>
                      </w:pPr>
                      <w:r>
                        <w:t xml:space="preserve">The Department should work with state training authorities to develop a sector and workforce strategy and initiatives to increase the size of the remote specialist foundation skills teaching workforce.   </w:t>
                      </w:r>
                    </w:p>
                    <w:p w14:paraId="1F462451" w14:textId="77777777" w:rsidR="00F400BC" w:rsidRDefault="00F400BC" w:rsidP="008D59D7">
                      <w:pPr>
                        <w:pStyle w:val="ListParagraph"/>
                        <w:numPr>
                          <w:ilvl w:val="0"/>
                          <w:numId w:val="22"/>
                        </w:numPr>
                        <w:spacing w:after="0"/>
                      </w:pPr>
                      <w:r>
                        <w:t>Funding should incentivise local delivery and development of local resources to deliver the training.</w:t>
                      </w:r>
                    </w:p>
                    <w:p w14:paraId="60EC002E" w14:textId="41FA0F18" w:rsidR="00F400BC" w:rsidRDefault="00F400BC" w:rsidP="008D59D7">
                      <w:pPr>
                        <w:pStyle w:val="ListParagraph"/>
                        <w:numPr>
                          <w:ilvl w:val="0"/>
                          <w:numId w:val="22"/>
                        </w:numPr>
                        <w:spacing w:after="0"/>
                      </w:pPr>
                      <w:r>
                        <w:t>A model for a pathways approach to achieving a TAE40116 Certificate IV in Training and Assessment should be developed</w:t>
                      </w:r>
                      <w:r w:rsidR="00E018B3">
                        <w:t xml:space="preserve"> and where possible, s</w:t>
                      </w:r>
                      <w:r>
                        <w:t>hould articulate into a diploma and/or degree.</w:t>
                      </w:r>
                    </w:p>
                    <w:p w14:paraId="58CFCCDC" w14:textId="77777777" w:rsidR="00F400BC" w:rsidRDefault="00F400BC" w:rsidP="008D59D7">
                      <w:pPr>
                        <w:pStyle w:val="ListParagraph"/>
                        <w:numPr>
                          <w:ilvl w:val="0"/>
                          <w:numId w:val="22"/>
                        </w:numPr>
                        <w:spacing w:after="0"/>
                      </w:pPr>
                      <w:r>
                        <w:t>Commonwealth scholarships for the completion of the TAE40116 should also be implemented.</w:t>
                      </w:r>
                    </w:p>
                    <w:p w14:paraId="36F30032" w14:textId="77777777" w:rsidR="00F400BC" w:rsidRDefault="00F400BC" w:rsidP="008D59D7">
                      <w:pPr>
                        <w:pStyle w:val="ListParagraph"/>
                        <w:numPr>
                          <w:ilvl w:val="0"/>
                          <w:numId w:val="22"/>
                        </w:numPr>
                        <w:spacing w:after="0"/>
                      </w:pPr>
                      <w:r>
                        <w:t xml:space="preserve">Government should support the establishment a peak or association to grow collaboration, standard setting and innovation. </w:t>
                      </w:r>
                    </w:p>
                    <w:p w14:paraId="235B43B3" w14:textId="77777777" w:rsidR="00F400BC" w:rsidRDefault="00F400BC" w:rsidP="008D59D7">
                      <w:pPr>
                        <w:pStyle w:val="ListParagraph"/>
                        <w:numPr>
                          <w:ilvl w:val="0"/>
                          <w:numId w:val="22"/>
                        </w:numPr>
                        <w:spacing w:after="0"/>
                      </w:pPr>
                      <w:r>
                        <w:t>The possibility of engaging a peak organisation to organise remote LLND delivery on a national scale should be explored.</w:t>
                      </w:r>
                    </w:p>
                    <w:p w14:paraId="7F40F314" w14:textId="77777777" w:rsidR="00F400BC" w:rsidRPr="001468CC" w:rsidRDefault="00F400BC" w:rsidP="00F400BC">
                      <w:pPr>
                        <w:spacing w:after="0"/>
                      </w:pPr>
                    </w:p>
                  </w:txbxContent>
                </v:textbox>
                <w10:anchorlock/>
              </v:shape>
            </w:pict>
          </mc:Fallback>
        </mc:AlternateContent>
      </w:r>
    </w:p>
    <w:p w14:paraId="59902BF7" w14:textId="3DDF9C92" w:rsidR="0051073E" w:rsidRDefault="3ABA6E95" w:rsidP="00BD3C4B">
      <w:pPr>
        <w:pStyle w:val="Heading3"/>
        <w:numPr>
          <w:ilvl w:val="2"/>
          <w:numId w:val="8"/>
        </w:numPr>
        <w:ind w:left="709" w:hanging="709"/>
      </w:pPr>
      <w:bookmarkStart w:id="50" w:name="_Toc2118723833"/>
      <w:bookmarkStart w:id="51" w:name="_Toc138159415"/>
      <w:r>
        <w:lastRenderedPageBreak/>
        <w:t>Capacity Building</w:t>
      </w:r>
      <w:bookmarkEnd w:id="50"/>
      <w:bookmarkEnd w:id="51"/>
    </w:p>
    <w:p w14:paraId="7A0D27AC" w14:textId="2EA99F7D" w:rsidR="0051073E" w:rsidRDefault="0051073E" w:rsidP="0051073E">
      <w:r>
        <w:t xml:space="preserve">Responses also highlighted the roles that community members play in assisting people due to lower levels of LLND, with many being volunteers (such as those working in community libraries or centres helping people fill out forms) or people in an informal mentoring or advisory capacity. These include elders of Aboriginal and Torres Strait Islander communities who often provide support, including bridging the gap between traditional knowledge and more mainstream learning environments.  There were </w:t>
      </w:r>
      <w:proofErr w:type="gramStart"/>
      <w:r>
        <w:t>a number of</w:t>
      </w:r>
      <w:proofErr w:type="gramEnd"/>
      <w:r>
        <w:t xml:space="preserve"> calls in responses for these people to be recognised and compensated appropriately.</w:t>
      </w:r>
    </w:p>
    <w:p w14:paraId="10AE9D65" w14:textId="3C584D76" w:rsidR="00502E2B" w:rsidRDefault="00502E2B" w:rsidP="0051073E">
      <w:r w:rsidRPr="008311F1">
        <w:t xml:space="preserve">Community members should be compensated for work they do to facilitate/deliver training/programs. </w:t>
      </w:r>
      <w:r>
        <w:t>The role of mentors should be an important</w:t>
      </w:r>
      <w:r w:rsidR="003A276B">
        <w:t xml:space="preserve"> element</w:t>
      </w:r>
      <w:r>
        <w:t xml:space="preserve"> of program design.</w:t>
      </w:r>
    </w:p>
    <w:p w14:paraId="3C1DC977" w14:textId="6AABD7A6" w:rsidR="00246A39" w:rsidRDefault="00246A39" w:rsidP="0051073E">
      <w:r>
        <w:t xml:space="preserve">The recognition of the importance of mentoring in remote and First Nations LLND projects is highlighted throughout the responses. Local mentors </w:t>
      </w:r>
      <w:r w:rsidR="0055361A">
        <w:t xml:space="preserve">add significant value to projects and are often the lynchpin for engagement and retention. Funding should be allocated to the training and payment of mentors. </w:t>
      </w:r>
      <w:r w:rsidR="003078B0">
        <w:t xml:space="preserve">In the context of remote </w:t>
      </w:r>
      <w:proofErr w:type="gramStart"/>
      <w:r w:rsidR="003078B0">
        <w:t>and in particular, First</w:t>
      </w:r>
      <w:proofErr w:type="gramEnd"/>
      <w:r w:rsidR="003078B0">
        <w:t xml:space="preserve"> Nations communities, m</w:t>
      </w:r>
      <w:r w:rsidR="0055361A">
        <w:t>entor</w:t>
      </w:r>
      <w:r w:rsidR="003078B0">
        <w:t>s</w:t>
      </w:r>
      <w:r w:rsidR="0055361A">
        <w:t xml:space="preserve"> provide</w:t>
      </w:r>
      <w:r w:rsidR="003078B0">
        <w:t xml:space="preserve"> </w:t>
      </w:r>
      <w:r w:rsidR="0055361A">
        <w:t xml:space="preserve">culturally safe support and have a role that extends beyond the training environment </w:t>
      </w:r>
      <w:r w:rsidR="003078B0">
        <w:t xml:space="preserve">and into everyday community life.  </w:t>
      </w:r>
    </w:p>
    <w:p w14:paraId="617C762B" w14:textId="58DF3436" w:rsidR="004D2651" w:rsidRDefault="004D2651" w:rsidP="0051073E">
      <w:r>
        <w:t>Again, the issue of funding the projects longer term was raised in the context of providing stability for the local project workforce</w:t>
      </w:r>
      <w:r w:rsidR="00153657">
        <w:t>, attract</w:t>
      </w:r>
      <w:r w:rsidR="00757CC4">
        <w:t>ing</w:t>
      </w:r>
      <w:r w:rsidR="00153657">
        <w:t xml:space="preserve"> quality candidates for </w:t>
      </w:r>
      <w:r w:rsidR="00692093">
        <w:t>positions,</w:t>
      </w:r>
      <w:r w:rsidR="00757CC4">
        <w:t xml:space="preserve"> and allowing sufficient time in which to train those who required it.  </w:t>
      </w:r>
    </w:p>
    <w:p w14:paraId="1EA2F95B" w14:textId="77735C77" w:rsidR="00123DAA" w:rsidRDefault="00123DAA" w:rsidP="0051073E">
      <w:r>
        <w:t>From an industry perspective, where jobs are becoming more technical and digitised (particularly in the resources industry which has a significant presence in outer regional and remote Australia),</w:t>
      </w:r>
      <w:r w:rsidR="006A1EE6">
        <w:t xml:space="preserve"> mathematics is a skill in demand and is often lacking. It was suggested in one response that there should be incentives to encourage more mathematics teachers in remote areas. Additionally, the respondent indicated that there should be more mathematics-based programs, including those in language where appropriate.</w:t>
      </w:r>
      <w:r>
        <w:t xml:space="preserve"> </w:t>
      </w:r>
      <w:r w:rsidR="00A92513">
        <w:t xml:space="preserve">This would assist those from remote communities who </w:t>
      </w:r>
      <w:proofErr w:type="gramStart"/>
      <w:r w:rsidR="00A92513">
        <w:t>have aspirations</w:t>
      </w:r>
      <w:proofErr w:type="gramEnd"/>
      <w:r w:rsidR="00A92513">
        <w:t xml:space="preserve"> for higher education to be better equipped. Addressing the other barriers such as </w:t>
      </w:r>
      <w:r w:rsidR="00FF2281">
        <w:t xml:space="preserve">financial, </w:t>
      </w:r>
      <w:r w:rsidR="00A92513">
        <w:t>transport</w:t>
      </w:r>
      <w:r w:rsidR="00FF2281">
        <w:t xml:space="preserve"> and </w:t>
      </w:r>
      <w:r w:rsidR="00A92513">
        <w:t>lack of support networks</w:t>
      </w:r>
      <w:r w:rsidR="00FF2281">
        <w:t xml:space="preserve"> should be a priority of government to encourage community people to attend higher education institutions</w:t>
      </w:r>
      <w:r w:rsidR="00477ED3">
        <w:t xml:space="preserve">.  </w:t>
      </w:r>
    </w:p>
    <w:p w14:paraId="30A74D8F" w14:textId="1D573D45" w:rsidR="00D5613E" w:rsidRPr="00D5613E" w:rsidRDefault="004D4678" w:rsidP="00BD3C4B">
      <w:pPr>
        <w:pStyle w:val="Heading3"/>
        <w:numPr>
          <w:ilvl w:val="2"/>
          <w:numId w:val="8"/>
        </w:numPr>
        <w:ind w:left="709" w:hanging="709"/>
      </w:pPr>
      <w:bookmarkStart w:id="52" w:name="_Toc138159416"/>
      <w:r w:rsidRPr="00D5613E">
        <w:t>Building Community Level Workforce</w:t>
      </w:r>
      <w:bookmarkEnd w:id="52"/>
    </w:p>
    <w:p w14:paraId="47E89113" w14:textId="36871526" w:rsidR="004D4678" w:rsidRDefault="000E71AB" w:rsidP="00D5613E">
      <w:r>
        <w:t xml:space="preserve">Responses </w:t>
      </w:r>
      <w:r w:rsidR="00E13A2B">
        <w:t xml:space="preserve">recommended </w:t>
      </w:r>
      <w:r>
        <w:t>that</w:t>
      </w:r>
      <w:r w:rsidR="00E13A2B">
        <w:t>,</w:t>
      </w:r>
      <w:r>
        <w:t xml:space="preserve"> w</w:t>
      </w:r>
      <w:r w:rsidR="004D4678">
        <w:t>here possible</w:t>
      </w:r>
      <w:r w:rsidR="00E13A2B">
        <w:t>,</w:t>
      </w:r>
      <w:r w:rsidR="004D4678">
        <w:t xml:space="preserve"> local people are employed at the project level</w:t>
      </w:r>
      <w:r w:rsidR="00E13A2B">
        <w:t xml:space="preserve"> and that f</w:t>
      </w:r>
      <w:r w:rsidR="00E5360A">
        <w:t xml:space="preserve">unding </w:t>
      </w:r>
      <w:r w:rsidR="00E13A2B">
        <w:t>should be</w:t>
      </w:r>
      <w:r w:rsidR="00E5360A">
        <w:t xml:space="preserve"> structured to incentivise the employment of local people</w:t>
      </w:r>
      <w:r w:rsidR="004A0DDF">
        <w:t>.</w:t>
      </w:r>
    </w:p>
    <w:p w14:paraId="35AFCB61" w14:textId="0559461E" w:rsidR="004D4678" w:rsidRDefault="004D4678" w:rsidP="004D4678">
      <w:r>
        <w:t xml:space="preserve">Projects should consider an element of training community people to become trainers and teachers, and for other key project roles. </w:t>
      </w:r>
      <w:r w:rsidR="00290F18">
        <w:t xml:space="preserve"> </w:t>
      </w:r>
    </w:p>
    <w:p w14:paraId="4CE392F6" w14:textId="77431437" w:rsidR="00290F18" w:rsidRDefault="00290F18" w:rsidP="004D4678">
      <w:r>
        <w:t>There is no current larger scale pathways approach to obtaining the TAE40122 Certificate IV – Training and Assessment, and beyond. One provider has suggested the development of a program to step First Nations people towards the Certificate IV using a tiered pathways approach. This has been trialled i</w:t>
      </w:r>
      <w:r w:rsidR="000E5E7D">
        <w:t>n</w:t>
      </w:r>
      <w:r>
        <w:t xml:space="preserve"> </w:t>
      </w:r>
      <w:r w:rsidR="000E5E7D">
        <w:t>New South Wales.</w:t>
      </w:r>
      <w:r w:rsidR="00EE5214">
        <w:t xml:space="preserve"> This training should be able to articulate towards a diploma and to degree level courses should participants want to take their training further. This will allow them to potentially continue working while gaining their qualifications.  </w:t>
      </w:r>
    </w:p>
    <w:p w14:paraId="6567C65F" w14:textId="783B0EC7" w:rsidR="000E5E7D" w:rsidRDefault="000E5E7D" w:rsidP="004D4678">
      <w:r>
        <w:lastRenderedPageBreak/>
        <w:t xml:space="preserve">Any teacher or ‘trainer training’ strategies embedded within the program at the local level would require a commitment of several years’ funding. Alternatively, a national teacher training initiative </w:t>
      </w:r>
      <w:r w:rsidR="000F1091">
        <w:t xml:space="preserve">could be </w:t>
      </w:r>
      <w:r w:rsidR="00692093">
        <w:t>supported,</w:t>
      </w:r>
      <w:r w:rsidR="000F1091">
        <w:t xml:space="preserve"> </w:t>
      </w:r>
      <w:r>
        <w:t>or funding</w:t>
      </w:r>
      <w:r w:rsidR="000F1091">
        <w:t xml:space="preserve"> provisioned</w:t>
      </w:r>
      <w:r>
        <w:t xml:space="preserve"> that project proponents could access. </w:t>
      </w:r>
    </w:p>
    <w:p w14:paraId="00B22E49" w14:textId="448E4F7C" w:rsidR="000E5E7D" w:rsidRDefault="00303347" w:rsidP="004D4678">
      <w:r>
        <w:t xml:space="preserve">Comments included that the </w:t>
      </w:r>
      <w:r w:rsidR="00C56CCE">
        <w:t xml:space="preserve">wages were relatively low for the </w:t>
      </w:r>
      <w:r>
        <w:t>foundation skills</w:t>
      </w:r>
      <w:r w:rsidR="00C56CCE">
        <w:t xml:space="preserve"> workforce, reflecting the status of foundation skills within the education and training industry more broadly. There was a call to government to review </w:t>
      </w:r>
      <w:r w:rsidR="000F1091">
        <w:t xml:space="preserve">this </w:t>
      </w:r>
      <w:r w:rsidR="00C56CCE">
        <w:t xml:space="preserve">to attract and retain people into the foundation skills workforce. It was also noted that women form </w:t>
      </w:r>
      <w:proofErr w:type="gramStart"/>
      <w:r w:rsidR="00C56CCE">
        <w:t>the majority of</w:t>
      </w:r>
      <w:proofErr w:type="gramEnd"/>
      <w:r w:rsidR="00C56CCE">
        <w:t xml:space="preserve"> the foundation skills workforce, </w:t>
      </w:r>
      <w:r w:rsidR="00BD42D6">
        <w:t>contributing</w:t>
      </w:r>
      <w:r w:rsidR="00C56CCE">
        <w:t xml:space="preserve"> to the gender pay gap.</w:t>
      </w:r>
    </w:p>
    <w:p w14:paraId="523F6EFD" w14:textId="68AE9AB2" w:rsidR="00246A39" w:rsidRDefault="00D675E4" w:rsidP="004D4678">
      <w:r>
        <w:t xml:space="preserve">Several responses indicate that incorporating the local Aboriginal and Torres Strait Islander </w:t>
      </w:r>
      <w:r w:rsidR="001508AC">
        <w:t xml:space="preserve">languages into training where possible </w:t>
      </w:r>
      <w:r w:rsidR="008067D7">
        <w:t xml:space="preserve">creates a </w:t>
      </w:r>
      <w:r w:rsidR="001508AC">
        <w:t>more accessible program for First Nations participa</w:t>
      </w:r>
      <w:r w:rsidR="00966852">
        <w:t xml:space="preserve">nts.  </w:t>
      </w:r>
    </w:p>
    <w:p w14:paraId="3187C8EA" w14:textId="1E661DBC" w:rsidR="00CC7732" w:rsidRDefault="00CC7732" w:rsidP="004D4678">
      <w:r w:rsidRPr="00F703D9">
        <w:rPr>
          <w:rFonts w:ascii="Calibri" w:eastAsiaTheme="majorEastAsia" w:hAnsi="Calibri" w:cstheme="majorBidi"/>
          <w:color w:val="000000" w:themeColor="text1"/>
          <w:sz w:val="28"/>
          <w:szCs w:val="24"/>
        </w:rPr>
        <w:t>4.5.3 Workforce Strategies</w:t>
      </w:r>
    </w:p>
    <w:p w14:paraId="5C443FF5" w14:textId="0550BA29" w:rsidR="0051073E" w:rsidRDefault="00DF12B3" w:rsidP="001805B5">
      <w:r>
        <w:t xml:space="preserve">It was </w:t>
      </w:r>
      <w:r w:rsidR="000E71AB">
        <w:t xml:space="preserve">suggested </w:t>
      </w:r>
      <w:r>
        <w:t xml:space="preserve">that a </w:t>
      </w:r>
      <w:proofErr w:type="gramStart"/>
      <w:r>
        <w:t>high level</w:t>
      </w:r>
      <w:proofErr w:type="gramEnd"/>
      <w:r>
        <w:t xml:space="preserve"> strategic approach to building the foundation skills workforce be developed. Remote foundation skills could be a component of an overarching strategy.  </w:t>
      </w:r>
    </w:p>
    <w:p w14:paraId="74CE789B" w14:textId="7F89A420" w:rsidR="00246A39" w:rsidRDefault="00246A39" w:rsidP="001805B5">
      <w:r>
        <w:t xml:space="preserve">Incentives such as scholarships and awards should be available to encourage the completion of trainer qualifications. </w:t>
      </w:r>
    </w:p>
    <w:p w14:paraId="0463F0F5" w14:textId="6734522C" w:rsidR="00246A39" w:rsidRDefault="00651720" w:rsidP="001805B5">
      <w:r>
        <w:t>A mechanism for innovation, collaboration and to set standards</w:t>
      </w:r>
      <w:r w:rsidR="009A5F4D">
        <w:t xml:space="preserve"> in remote and First Nations LLND design and delivery (</w:t>
      </w:r>
      <w:r>
        <w:t>such as a peak or association</w:t>
      </w:r>
      <w:r w:rsidR="009A5F4D">
        <w:t xml:space="preserve">) </w:t>
      </w:r>
      <w:r w:rsidR="00244D35">
        <w:t>should be established.</w:t>
      </w:r>
    </w:p>
    <w:p w14:paraId="7A5F87BA" w14:textId="228C2E53" w:rsidR="003A3104" w:rsidRDefault="003A3104" w:rsidP="001805B5">
      <w:r>
        <w:t xml:space="preserve">A reference to the </w:t>
      </w:r>
      <w:hyperlink r:id="rId17" w:history="1">
        <w:proofErr w:type="spellStart"/>
        <w:r w:rsidRPr="005128E0">
          <w:rPr>
            <w:rStyle w:val="Hyperlink"/>
          </w:rPr>
          <w:t>Woort</w:t>
        </w:r>
        <w:proofErr w:type="spellEnd"/>
        <w:r w:rsidRPr="005128E0">
          <w:rPr>
            <w:rStyle w:val="Hyperlink"/>
          </w:rPr>
          <w:t xml:space="preserve"> </w:t>
        </w:r>
        <w:proofErr w:type="spellStart"/>
        <w:r w:rsidRPr="005128E0">
          <w:rPr>
            <w:rStyle w:val="Hyperlink"/>
          </w:rPr>
          <w:t>Koorliny</w:t>
        </w:r>
        <w:proofErr w:type="spellEnd"/>
        <w:r w:rsidRPr="005128E0">
          <w:rPr>
            <w:rStyle w:val="Hyperlink"/>
          </w:rPr>
          <w:t>:  Australian Indigenous Employment Index 2022</w:t>
        </w:r>
      </w:hyperlink>
      <w:r>
        <w:t xml:space="preserve"> was cited in the context of </w:t>
      </w:r>
      <w:r w:rsidR="00484672">
        <w:t xml:space="preserve">what works in terms </w:t>
      </w:r>
      <w:r w:rsidR="00857550">
        <w:t xml:space="preserve">of practices within large organisations </w:t>
      </w:r>
      <w:r w:rsidR="00BD42D6">
        <w:t xml:space="preserve">which </w:t>
      </w:r>
      <w:r w:rsidR="00857550">
        <w:t>have had success in increasing and improving Indigenous employment. Learnings from this study could be used to model strategies</w:t>
      </w:r>
      <w:r w:rsidR="00E0420F">
        <w:t xml:space="preserve"> for the foundation skills workforce.</w:t>
      </w:r>
    </w:p>
    <w:p w14:paraId="0E792D81" w14:textId="76D9FDAA" w:rsidR="005A3030" w:rsidRDefault="005A3030" w:rsidP="001805B5">
      <w:r>
        <w:t xml:space="preserve">A response from a peak organisation recommends funding an </w:t>
      </w:r>
      <w:r w:rsidR="005128E0">
        <w:t>organisation</w:t>
      </w:r>
      <w:r>
        <w:t xml:space="preserve"> such as the N</w:t>
      </w:r>
      <w:r w:rsidR="00866AB1">
        <w:t>ational Aboriginal Community Controlled Health Organisation (N</w:t>
      </w:r>
      <w:r>
        <w:t>ACCHO</w:t>
      </w:r>
      <w:r w:rsidR="00866AB1">
        <w:t>)</w:t>
      </w:r>
      <w:r>
        <w:t xml:space="preserve"> to coordinate the delivery of foundation skills in remote areas through </w:t>
      </w:r>
      <w:r w:rsidR="00BD42D6">
        <w:t xml:space="preserve">its </w:t>
      </w:r>
      <w:r>
        <w:t>network of ACCHOs</w:t>
      </w:r>
      <w:r w:rsidR="006810D4">
        <w:t>. ACCHOs are a significant employer of First Nations people in regional and remote Australia. An alternative separate procurement process for th</w:t>
      </w:r>
      <w:r w:rsidR="00485643">
        <w:t>i</w:t>
      </w:r>
      <w:r w:rsidR="006810D4">
        <w:t>s sector was also suggested.</w:t>
      </w:r>
    </w:p>
    <w:p w14:paraId="4C035608" w14:textId="2ED20635" w:rsidR="00214F0E" w:rsidRDefault="7CEDB650" w:rsidP="00BD3C4B">
      <w:pPr>
        <w:pStyle w:val="Heading2"/>
        <w:numPr>
          <w:ilvl w:val="1"/>
          <w:numId w:val="8"/>
        </w:numPr>
        <w:ind w:left="567" w:hanging="567"/>
      </w:pPr>
      <w:bookmarkStart w:id="53" w:name="_Toc136513284"/>
      <w:bookmarkStart w:id="54" w:name="_Toc136513477"/>
      <w:bookmarkStart w:id="55" w:name="_Toc136513540"/>
      <w:bookmarkStart w:id="56" w:name="_Toc136513658"/>
      <w:bookmarkStart w:id="57" w:name="_Toc136513834"/>
      <w:bookmarkStart w:id="58" w:name="_Toc602317974"/>
      <w:bookmarkStart w:id="59" w:name="_Toc138159417"/>
      <w:bookmarkEnd w:id="53"/>
      <w:bookmarkEnd w:id="54"/>
      <w:bookmarkEnd w:id="55"/>
      <w:bookmarkEnd w:id="56"/>
      <w:bookmarkEnd w:id="57"/>
      <w:r>
        <w:t>Commonwealth, state, and territory government collaboration</w:t>
      </w:r>
      <w:bookmarkEnd w:id="58"/>
      <w:bookmarkEnd w:id="59"/>
    </w:p>
    <w:p w14:paraId="6BD1A20D" w14:textId="5D7A6C18" w:rsidR="00F400BC" w:rsidRPr="00F400BC" w:rsidRDefault="00F400BC" w:rsidP="00F400BC">
      <w:r>
        <w:rPr>
          <w:noProof/>
        </w:rPr>
        <mc:AlternateContent>
          <mc:Choice Requires="wps">
            <w:drawing>
              <wp:inline distT="0" distB="0" distL="0" distR="0" wp14:anchorId="3C91BF1E" wp14:editId="3E5DB90A">
                <wp:extent cx="5686425" cy="1895475"/>
                <wp:effectExtent l="0" t="0" r="28575"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895475"/>
                        </a:xfrm>
                        <a:prstGeom prst="rect">
                          <a:avLst/>
                        </a:prstGeom>
                        <a:solidFill>
                          <a:srgbClr val="E5EEDA"/>
                        </a:solidFill>
                        <a:ln w="9525">
                          <a:solidFill>
                            <a:srgbClr val="789B4A"/>
                          </a:solidFill>
                          <a:miter lim="800000"/>
                          <a:headEnd/>
                          <a:tailEnd/>
                        </a:ln>
                      </wps:spPr>
                      <wps:txbx>
                        <w:txbxContent>
                          <w:p w14:paraId="22C783EE" w14:textId="23E568F5" w:rsidR="00F400BC" w:rsidRPr="001805B5" w:rsidRDefault="00F400BC" w:rsidP="00F400BC">
                            <w:pPr>
                              <w:spacing w:after="120"/>
                              <w:rPr>
                                <w:b/>
                                <w:bCs/>
                                <w:i/>
                                <w:iCs/>
                              </w:rPr>
                            </w:pPr>
                            <w:r>
                              <w:rPr>
                                <w:b/>
                                <w:bCs/>
                                <w:i/>
                                <w:iCs/>
                              </w:rPr>
                              <w:t xml:space="preserve">Key </w:t>
                            </w:r>
                            <w:r w:rsidR="00F31F13">
                              <w:rPr>
                                <w:b/>
                                <w:bCs/>
                                <w:i/>
                                <w:iCs/>
                              </w:rPr>
                              <w:t>Feedback</w:t>
                            </w:r>
                            <w:r w:rsidRPr="001805B5">
                              <w:rPr>
                                <w:b/>
                                <w:bCs/>
                                <w:i/>
                                <w:iCs/>
                              </w:rPr>
                              <w:t>:</w:t>
                            </w:r>
                          </w:p>
                          <w:p w14:paraId="5B1CF5FC" w14:textId="74BF910C" w:rsidR="00F400BC" w:rsidRDefault="00F400BC" w:rsidP="008D59D7">
                            <w:pPr>
                              <w:pStyle w:val="ListParagraph"/>
                              <w:numPr>
                                <w:ilvl w:val="0"/>
                                <w:numId w:val="22"/>
                              </w:numPr>
                              <w:spacing w:after="0"/>
                            </w:pPr>
                            <w:r>
                              <w:t>Government</w:t>
                            </w:r>
                            <w:r w:rsidR="00E13A2B">
                              <w:t>s</w:t>
                            </w:r>
                            <w:r>
                              <w:t xml:space="preserve"> need to collaborate across all tiers and portfolio</w:t>
                            </w:r>
                            <w:r w:rsidR="00DC1AC7">
                              <w:t>s</w:t>
                            </w:r>
                            <w:r>
                              <w:t xml:space="preserve"> to better target funds and avoid duplication of services. This includes a more cohesive interaction between various programs targeting the same cohorts.</w:t>
                            </w:r>
                          </w:p>
                          <w:p w14:paraId="0115AB0E" w14:textId="77777777" w:rsidR="00F400BC" w:rsidRDefault="00F400BC" w:rsidP="008D59D7">
                            <w:pPr>
                              <w:pStyle w:val="ListParagraph"/>
                              <w:numPr>
                                <w:ilvl w:val="0"/>
                                <w:numId w:val="22"/>
                              </w:numPr>
                              <w:spacing w:after="0"/>
                            </w:pPr>
                            <w:r>
                              <w:t>Government should ensure programs are not competing for the same thin market.</w:t>
                            </w:r>
                          </w:p>
                          <w:p w14:paraId="374FD7C8" w14:textId="742C616F" w:rsidR="00F400BC" w:rsidRDefault="00F400BC" w:rsidP="008D59D7">
                            <w:pPr>
                              <w:pStyle w:val="ListParagraph"/>
                              <w:numPr>
                                <w:ilvl w:val="0"/>
                                <w:numId w:val="22"/>
                              </w:numPr>
                              <w:spacing w:after="0"/>
                            </w:pPr>
                            <w:r>
                              <w:t xml:space="preserve">Government should align programs against the 17 targets and </w:t>
                            </w:r>
                            <w:r w:rsidR="00E85C56">
                              <w:t xml:space="preserve">4 </w:t>
                            </w:r>
                            <w:r>
                              <w:t>priority reforms under the Closing the Gap agreement.</w:t>
                            </w:r>
                          </w:p>
                          <w:p w14:paraId="0D15E722" w14:textId="77777777" w:rsidR="00F400BC" w:rsidRDefault="00F400BC" w:rsidP="00F400BC">
                            <w:pPr>
                              <w:spacing w:after="0"/>
                            </w:pPr>
                          </w:p>
                          <w:p w14:paraId="1C50A945" w14:textId="77777777" w:rsidR="00F400BC" w:rsidRPr="001468CC" w:rsidRDefault="00F400BC" w:rsidP="00F400BC">
                            <w:pPr>
                              <w:spacing w:after="0"/>
                            </w:pPr>
                          </w:p>
                        </w:txbxContent>
                      </wps:txbx>
                      <wps:bodyPr rot="0" vert="horz" wrap="square" lIns="91440" tIns="45720" rIns="91440" bIns="45720" anchor="t" anchorCtr="0">
                        <a:noAutofit/>
                      </wps:bodyPr>
                    </wps:wsp>
                  </a:graphicData>
                </a:graphic>
              </wp:inline>
            </w:drawing>
          </mc:Choice>
          <mc:Fallback>
            <w:pict>
              <v:shape w14:anchorId="3C91BF1E" id="Text Box 13" o:spid="_x0000_s1031" type="#_x0000_t202" style="width:447.75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f9GgIAACcEAAAOAAAAZHJzL2Uyb0RvYy54bWysU9uO2jAQfa/Uf7D8XgIo4RIRViywVaXt&#10;Rdr2AxzHIVYdj2sbEvr1HTssSy/qQ9U8WDMZ+8zMmTOru75V5CSsk6ALOhmNKRGaQyX1oaBfPj+8&#10;WVDiPNMVU6BFQc/C0bv161erzuRiCg2oSliCINrlnSlo473Jk8TxRrTMjcAIjcEabMs8uvaQVJZ1&#10;iN6qZDoez5IObGUscOEc/t0NQbqO+HUtuP9Y1054ogqKtfl42niW4UzWK5YfLDON5Jcy2D9U0TKp&#10;MekVasc8I0crf4NqJbfgoPYjDm0CdS25iD1gN5PxL908NcyI2AuS48yVJvf/YPmH05P5ZInv76HH&#10;AcYmnHkE/tURDduG6YPYWAtdI1iFiSeBsqQzLr88DVS73AWQsnsPFQ6ZHT1EoL62bWAF+ySIjgM4&#10;X0kXvSccf2azxSydZpRwjE0WyyydZzEHy5+fG+v8WwEtCUZBLU41wrPTo/OhHJY/XwnZHChZPUil&#10;omMP5VZZcmKogH223+82F/SfrilNuoIuMyzk7xDzxfI+/SNEKz1KWcm2oItx+AZxBd72uopC80yq&#10;wcaSlb4QGbgbWPR92RNZISnhbeC1hOqMzFoYlIubhkYD9jslHaq2oO7bkVlBiXqncTrLSZoGmUcn&#10;zeZTdOxtpLyNMM0RqqCeksHc+rgagQENG5xiLSO/L5VcSkY1RtovmxPkfuvHWy/7vf4BAAD//wMA&#10;UEsDBBQABgAIAAAAIQBNZ2tZ2wAAAAUBAAAPAAAAZHJzL2Rvd25yZXYueG1sTI9BS8NAEIXvgv9h&#10;GcGb3bSQksZsShEUQUFN9T7NjkkwOxuy0yb9965e9DLweI/3vim2s+vVicbQeTawXCSgiGtvO24M&#10;vO/vbzJQQZAt9p7JwJkCbMvLiwJz6yd+o1MljYolHHI00IoMudahbslhWPiBOHqffnQoUY6NtiNO&#10;sdz1epUka+2w47jQ4kB3LdVf1dEZIH56eHypXj+WuJMk20+dXz+fjbm+mne3oIRm+QvDD35EhzIy&#10;HfyRbVC9gfiI/N7oZZs0BXUwsNpkKeiy0P/py28AAAD//wMAUEsBAi0AFAAGAAgAAAAhALaDOJL+&#10;AAAA4QEAABMAAAAAAAAAAAAAAAAAAAAAAFtDb250ZW50X1R5cGVzXS54bWxQSwECLQAUAAYACAAA&#10;ACEAOP0h/9YAAACUAQAACwAAAAAAAAAAAAAAAAAvAQAAX3JlbHMvLnJlbHNQSwECLQAUAAYACAAA&#10;ACEACAG3/RoCAAAnBAAADgAAAAAAAAAAAAAAAAAuAgAAZHJzL2Uyb0RvYy54bWxQSwECLQAUAAYA&#10;CAAAACEATWdrWdsAAAAFAQAADwAAAAAAAAAAAAAAAAB0BAAAZHJzL2Rvd25yZXYueG1sUEsFBgAA&#10;AAAEAAQA8wAAAHwFAAAAAA==&#10;" fillcolor="#e5eeda" strokecolor="#789b4a">
                <v:textbox>
                  <w:txbxContent>
                    <w:p w14:paraId="22C783EE" w14:textId="23E568F5" w:rsidR="00F400BC" w:rsidRPr="001805B5" w:rsidRDefault="00F400BC" w:rsidP="00F400BC">
                      <w:pPr>
                        <w:spacing w:after="120"/>
                        <w:rPr>
                          <w:b/>
                          <w:bCs/>
                          <w:i/>
                          <w:iCs/>
                        </w:rPr>
                      </w:pPr>
                      <w:r>
                        <w:rPr>
                          <w:b/>
                          <w:bCs/>
                          <w:i/>
                          <w:iCs/>
                        </w:rPr>
                        <w:t xml:space="preserve">Key </w:t>
                      </w:r>
                      <w:r w:rsidR="00F31F13">
                        <w:rPr>
                          <w:b/>
                          <w:bCs/>
                          <w:i/>
                          <w:iCs/>
                        </w:rPr>
                        <w:t>Feedback</w:t>
                      </w:r>
                      <w:r w:rsidRPr="001805B5">
                        <w:rPr>
                          <w:b/>
                          <w:bCs/>
                          <w:i/>
                          <w:iCs/>
                        </w:rPr>
                        <w:t>:</w:t>
                      </w:r>
                    </w:p>
                    <w:p w14:paraId="5B1CF5FC" w14:textId="74BF910C" w:rsidR="00F400BC" w:rsidRDefault="00F400BC" w:rsidP="008D59D7">
                      <w:pPr>
                        <w:pStyle w:val="ListParagraph"/>
                        <w:numPr>
                          <w:ilvl w:val="0"/>
                          <w:numId w:val="22"/>
                        </w:numPr>
                        <w:spacing w:after="0"/>
                      </w:pPr>
                      <w:r>
                        <w:t>Government</w:t>
                      </w:r>
                      <w:r w:rsidR="00E13A2B">
                        <w:t>s</w:t>
                      </w:r>
                      <w:r>
                        <w:t xml:space="preserve"> need to collaborate across all tiers and portfolio</w:t>
                      </w:r>
                      <w:r w:rsidR="00DC1AC7">
                        <w:t>s</w:t>
                      </w:r>
                      <w:r>
                        <w:t xml:space="preserve"> to better target funds and avoid duplication of services. This includes a more cohesive interaction between various programs targeting the same cohorts.</w:t>
                      </w:r>
                    </w:p>
                    <w:p w14:paraId="0115AB0E" w14:textId="77777777" w:rsidR="00F400BC" w:rsidRDefault="00F400BC" w:rsidP="008D59D7">
                      <w:pPr>
                        <w:pStyle w:val="ListParagraph"/>
                        <w:numPr>
                          <w:ilvl w:val="0"/>
                          <w:numId w:val="22"/>
                        </w:numPr>
                        <w:spacing w:after="0"/>
                      </w:pPr>
                      <w:r>
                        <w:t>Government should ensure programs are not competing for the same thin market.</w:t>
                      </w:r>
                    </w:p>
                    <w:p w14:paraId="374FD7C8" w14:textId="742C616F" w:rsidR="00F400BC" w:rsidRDefault="00F400BC" w:rsidP="008D59D7">
                      <w:pPr>
                        <w:pStyle w:val="ListParagraph"/>
                        <w:numPr>
                          <w:ilvl w:val="0"/>
                          <w:numId w:val="22"/>
                        </w:numPr>
                        <w:spacing w:after="0"/>
                      </w:pPr>
                      <w:r>
                        <w:t xml:space="preserve">Government should align programs against the 17 targets and </w:t>
                      </w:r>
                      <w:r w:rsidR="00E85C56">
                        <w:t xml:space="preserve">4 </w:t>
                      </w:r>
                      <w:r>
                        <w:t>priority reforms under the Closing the Gap agreement.</w:t>
                      </w:r>
                    </w:p>
                    <w:p w14:paraId="0D15E722" w14:textId="77777777" w:rsidR="00F400BC" w:rsidRDefault="00F400BC" w:rsidP="00F400BC">
                      <w:pPr>
                        <w:spacing w:after="0"/>
                      </w:pPr>
                    </w:p>
                    <w:p w14:paraId="1C50A945" w14:textId="77777777" w:rsidR="00F400BC" w:rsidRPr="001468CC" w:rsidRDefault="00F400BC" w:rsidP="00F400BC">
                      <w:pPr>
                        <w:spacing w:after="0"/>
                      </w:pPr>
                    </w:p>
                  </w:txbxContent>
                </v:textbox>
                <w10:anchorlock/>
              </v:shape>
            </w:pict>
          </mc:Fallback>
        </mc:AlternateContent>
      </w:r>
    </w:p>
    <w:p w14:paraId="370850F7" w14:textId="741E366B" w:rsidR="00214F0E" w:rsidRDefault="006F2D44" w:rsidP="00214F0E">
      <w:r w:rsidRPr="006F2D44">
        <w:lastRenderedPageBreak/>
        <w:t xml:space="preserve">There were strong sentiments about government making a serious commitment to the role of foundation skills training in remote and First Nations communities, including adherence to and reporting against, the 17 targets and </w:t>
      </w:r>
      <w:r w:rsidR="00E85C56">
        <w:t>4</w:t>
      </w:r>
      <w:r w:rsidR="00E85C56" w:rsidRPr="006F2D44">
        <w:t xml:space="preserve"> </w:t>
      </w:r>
      <w:r w:rsidRPr="006F2D44">
        <w:t>priority reform areas of the Closing the Gap agreement. One response indicated that government need to ‘actually listen</w:t>
      </w:r>
      <w:r w:rsidR="00CA5470">
        <w:t>’</w:t>
      </w:r>
      <w:r w:rsidRPr="006F2D44">
        <w:t xml:space="preserve">, instead of paying lip service, to self-determination and self-empowerment. </w:t>
      </w:r>
      <w:r w:rsidR="00E13A2B">
        <w:t>This included getting</w:t>
      </w:r>
      <w:r w:rsidR="001C62A2">
        <w:t xml:space="preserve"> </w:t>
      </w:r>
      <w:r w:rsidRPr="006F2D44">
        <w:t>serious about providing foundation skills and stop only funding pilot programs.’</w:t>
      </w:r>
    </w:p>
    <w:p w14:paraId="514D29D6" w14:textId="6A154F20" w:rsidR="0051073E" w:rsidRDefault="039C6586" w:rsidP="00BD3C4B">
      <w:pPr>
        <w:pStyle w:val="Heading3"/>
        <w:numPr>
          <w:ilvl w:val="2"/>
          <w:numId w:val="8"/>
        </w:numPr>
        <w:ind w:left="709" w:hanging="709"/>
      </w:pPr>
      <w:bookmarkStart w:id="60" w:name="_Toc496452783"/>
      <w:bookmarkStart w:id="61" w:name="_Toc138159418"/>
      <w:r>
        <w:t>Duplication</w:t>
      </w:r>
      <w:bookmarkEnd w:id="60"/>
      <w:bookmarkEnd w:id="61"/>
    </w:p>
    <w:p w14:paraId="7A1B0C31" w14:textId="6054B1B1" w:rsidR="002F5B65" w:rsidRDefault="00881726" w:rsidP="0051073E">
      <w:r>
        <w:t>Some stakeholders raise</w:t>
      </w:r>
      <w:r w:rsidR="00BD42D6">
        <w:t>d</w:t>
      </w:r>
      <w:r>
        <w:t xml:space="preserve"> concerns about d</w:t>
      </w:r>
      <w:r w:rsidR="0051073E">
        <w:t xml:space="preserve">uplication of effort with various programs and funding sources potentially operating in one community at any given time. This creates an environment of competing demands for community members, which makes it difficult for </w:t>
      </w:r>
      <w:proofErr w:type="spellStart"/>
      <w:r w:rsidR="0051073E">
        <w:t>any</w:t>
      </w:r>
      <w:r w:rsidR="00BD42D6">
        <w:t xml:space="preserve"> </w:t>
      </w:r>
      <w:r w:rsidR="0051073E">
        <w:t>one</w:t>
      </w:r>
      <w:proofErr w:type="spellEnd"/>
      <w:r w:rsidR="0051073E">
        <w:t xml:space="preserve"> program to succeed or remain viable in a thin market. </w:t>
      </w:r>
    </w:p>
    <w:p w14:paraId="1E365A14" w14:textId="7E568BF3" w:rsidR="0051073E" w:rsidRDefault="002F5B65" w:rsidP="0051073E">
      <w:r>
        <w:t xml:space="preserve">One response highlighted that in the case of jobseekers, participants may be referred to in-house or other training programs in favour of </w:t>
      </w:r>
      <w:r w:rsidR="0094595A">
        <w:t xml:space="preserve">Commonwealth </w:t>
      </w:r>
      <w:r>
        <w:t xml:space="preserve">funded programs such as the </w:t>
      </w:r>
      <w:r w:rsidR="00341A55">
        <w:t>SEE</w:t>
      </w:r>
      <w:r>
        <w:t xml:space="preserve"> program.</w:t>
      </w:r>
      <w:r w:rsidR="0051073E">
        <w:t xml:space="preserve"> </w:t>
      </w:r>
    </w:p>
    <w:p w14:paraId="6A70BA1C" w14:textId="6E3722A8" w:rsidR="00BE0B1A" w:rsidRDefault="00BE0B1A" w:rsidP="0051073E">
      <w:r>
        <w:t>The respective levels of government should be clear about each other’s roles in the delivery of foundation skills in remote areas and to First Nations communities to ensure that investment is responsive and forward thinking in terms of community and industry needs.</w:t>
      </w:r>
      <w:r w:rsidR="00D92D20">
        <w:t xml:space="preserve"> Foundation skills development should be a shared responsibility. </w:t>
      </w:r>
    </w:p>
    <w:p w14:paraId="32F935EB" w14:textId="2A7619BC" w:rsidR="00B45F5E" w:rsidRDefault="00B45F5E" w:rsidP="0051073E">
      <w:r>
        <w:t xml:space="preserve">Respondents </w:t>
      </w:r>
      <w:r w:rsidR="00E13A2B">
        <w:t>called on</w:t>
      </w:r>
      <w:r w:rsidR="00F75931">
        <w:t xml:space="preserve"> </w:t>
      </w:r>
      <w:r w:rsidR="00320EE0">
        <w:t>g</w:t>
      </w:r>
      <w:r>
        <w:t>overnment</w:t>
      </w:r>
      <w:r w:rsidR="00E13A2B">
        <w:t>s</w:t>
      </w:r>
      <w:r>
        <w:t xml:space="preserve"> to </w:t>
      </w:r>
      <w:r w:rsidR="00E13A2B">
        <w:t>agree on a foundation skills policy</w:t>
      </w:r>
      <w:r>
        <w:t xml:space="preserve"> between the tiers of government</w:t>
      </w:r>
      <w:r w:rsidR="00E13A2B">
        <w:t xml:space="preserve">, to support better targeting and cohesion of </w:t>
      </w:r>
      <w:r>
        <w:t xml:space="preserve">initiatives. </w:t>
      </w:r>
      <w:r w:rsidR="009D348A">
        <w:t xml:space="preserve">Programs developed under this policy should have clear and defined purposes with outcomes </w:t>
      </w:r>
      <w:r w:rsidR="005128E0">
        <w:t>aligned</w:t>
      </w:r>
      <w:r w:rsidR="009D348A">
        <w:t xml:space="preserve"> to economic or societal outcomes. These should be designed and led by community in true commitment to </w:t>
      </w:r>
      <w:r w:rsidR="000959D8">
        <w:t>closing the gap to achieve equality of life outcomes for Aboriginal and Torres Strait Islander people and for all Australians.</w:t>
      </w:r>
    </w:p>
    <w:p w14:paraId="10E28A64" w14:textId="2173A9F6" w:rsidR="000264D3" w:rsidRDefault="003E1B36" w:rsidP="00BD3C4B">
      <w:pPr>
        <w:pStyle w:val="Heading3"/>
        <w:numPr>
          <w:ilvl w:val="2"/>
          <w:numId w:val="8"/>
        </w:numPr>
        <w:ind w:left="709" w:hanging="709"/>
      </w:pPr>
      <w:bookmarkStart w:id="62" w:name="_Toc138159419"/>
      <w:r>
        <w:t>Accessibility</w:t>
      </w:r>
      <w:bookmarkEnd w:id="62"/>
    </w:p>
    <w:p w14:paraId="1A07B756" w14:textId="4CD1540B" w:rsidR="007B02A9" w:rsidRDefault="00D92D20" w:rsidP="0051073E">
      <w:r>
        <w:t>Some states</w:t>
      </w:r>
      <w:r w:rsidR="00E13A2B">
        <w:t xml:space="preserve"> and territories</w:t>
      </w:r>
      <w:r>
        <w:t xml:space="preserve"> are more reliant on federal funding than others, and in these cases, unless you </w:t>
      </w:r>
      <w:proofErr w:type="gramStart"/>
      <w:r>
        <w:t>are able to</w:t>
      </w:r>
      <w:proofErr w:type="gramEnd"/>
      <w:r>
        <w:t xml:space="preserve"> access federal funds, then there is less likelihood that you are able to design a program to deliver foundation skills training (or other adult education)</w:t>
      </w:r>
      <w:r w:rsidR="00164CD3">
        <w:t>.</w:t>
      </w:r>
    </w:p>
    <w:p w14:paraId="5A3185DE" w14:textId="6D4C0B1F" w:rsidR="007B02A9" w:rsidRDefault="00300528" w:rsidP="000B2183">
      <w:r>
        <w:t>Some responses suggested funding of</w:t>
      </w:r>
      <w:r w:rsidR="00164CD3">
        <w:t xml:space="preserve"> positions such as Community Engagement Advisors to engage with communities on LLND </w:t>
      </w:r>
      <w:r w:rsidR="00E06866">
        <w:t>training needs, and a full-time Adult Educator in commun</w:t>
      </w:r>
      <w:r w:rsidR="005D15F4">
        <w:t xml:space="preserve">ities to be the ‘go to’ person for facilitation of foundation skills training and other training communities might need.  This would assist in providing stability and </w:t>
      </w:r>
      <w:r w:rsidR="004B1385">
        <w:t>long-term</w:t>
      </w:r>
      <w:r w:rsidR="005D15F4">
        <w:t xml:space="preserve"> investment into closing the gap in First Nations communities.</w:t>
      </w:r>
    </w:p>
    <w:p w14:paraId="356523EC" w14:textId="01D2198F" w:rsidR="00E26563" w:rsidRDefault="00E26563" w:rsidP="000E0E15">
      <w:r>
        <w:t xml:space="preserve">Comments also reflected that there have been two House of Representatives </w:t>
      </w:r>
      <w:r w:rsidR="000E0E15">
        <w:t xml:space="preserve">inquiries </w:t>
      </w:r>
      <w:r>
        <w:t>that included comments on First Nations and remote LLND needs</w:t>
      </w:r>
      <w:r w:rsidR="000E0E15">
        <w:t xml:space="preserve">: </w:t>
      </w:r>
      <w:r w:rsidR="000E0E15" w:rsidRPr="00225637">
        <w:rPr>
          <w:i/>
          <w:iCs/>
        </w:rPr>
        <w:t>Don't take it as read: Inquiry into adult literacy and its importance</w:t>
      </w:r>
      <w:r w:rsidR="000E0E15" w:rsidRPr="000E0E15">
        <w:rPr>
          <w:rStyle w:val="FootnoteReference"/>
        </w:rPr>
        <w:footnoteReference w:id="2"/>
      </w:r>
      <w:r w:rsidR="004D5D0A">
        <w:rPr>
          <w:i/>
          <w:iCs/>
        </w:rPr>
        <w:t xml:space="preserve"> </w:t>
      </w:r>
      <w:r w:rsidR="000E0E15">
        <w:t xml:space="preserve">and </w:t>
      </w:r>
      <w:r w:rsidR="000E0E15" w:rsidRPr="00225637">
        <w:rPr>
          <w:i/>
          <w:iCs/>
        </w:rPr>
        <w:t>Education in remote and complex environments</w:t>
      </w:r>
      <w:r w:rsidR="000E0E15">
        <w:rPr>
          <w:rStyle w:val="FootnoteReference"/>
        </w:rPr>
        <w:footnoteReference w:id="3"/>
      </w:r>
      <w:r w:rsidR="000E0E15">
        <w:t xml:space="preserve">. Some respondents to this </w:t>
      </w:r>
      <w:r w:rsidR="000E0E15">
        <w:lastRenderedPageBreak/>
        <w:t xml:space="preserve">Discussion Paper also made </w:t>
      </w:r>
      <w:r>
        <w:t>submissions</w:t>
      </w:r>
      <w:r w:rsidR="000E0E15">
        <w:t xml:space="preserve"> to these inquiries</w:t>
      </w:r>
      <w:r>
        <w:t xml:space="preserve">. </w:t>
      </w:r>
      <w:r w:rsidR="00BF35FC">
        <w:t xml:space="preserve">One submission </w:t>
      </w:r>
      <w:r w:rsidR="00807355">
        <w:t>suggested using</w:t>
      </w:r>
      <w:r w:rsidR="00BF35FC">
        <w:t xml:space="preserve"> the ‘</w:t>
      </w:r>
      <w:r w:rsidR="00BF35FC" w:rsidRPr="00973EE2">
        <w:rPr>
          <w:i/>
          <w:iCs/>
        </w:rPr>
        <w:t>Don’t take it as read’</w:t>
      </w:r>
      <w:r w:rsidR="00BF35FC">
        <w:t xml:space="preserve"> report as a base from which to develop a model.  </w:t>
      </w:r>
    </w:p>
    <w:p w14:paraId="789B4FB7" w14:textId="54F16FD8" w:rsidR="00B10415" w:rsidRDefault="00C80E8E" w:rsidP="00F75931">
      <w:r>
        <w:t>In addition to these specific points, suggestions for Government action were contained throughout the responses.</w:t>
      </w:r>
    </w:p>
    <w:p w14:paraId="4951A48E" w14:textId="6EC10E3C" w:rsidR="002B6F6D" w:rsidRDefault="002B6F6D" w:rsidP="00BD3C4B">
      <w:pPr>
        <w:pStyle w:val="Heading1"/>
        <w:numPr>
          <w:ilvl w:val="0"/>
          <w:numId w:val="8"/>
        </w:numPr>
      </w:pPr>
      <w:bookmarkStart w:id="63" w:name="_Toc138159420"/>
      <w:r>
        <w:t>General comments</w:t>
      </w:r>
      <w:bookmarkEnd w:id="63"/>
    </w:p>
    <w:p w14:paraId="7F508695" w14:textId="5FA308DA" w:rsidR="00F16576" w:rsidRDefault="00E26563" w:rsidP="00900020">
      <w:r>
        <w:t xml:space="preserve">There were </w:t>
      </w:r>
      <w:proofErr w:type="gramStart"/>
      <w:r>
        <w:t>a number of</w:t>
      </w:r>
      <w:proofErr w:type="gramEnd"/>
      <w:r>
        <w:t xml:space="preserve"> responses submitted which contained general comments and feedback, not necessarily aligned with the specific questions outlined in the Discussion Paper. These comments were incorporated as feedback against the questions where </w:t>
      </w:r>
      <w:r w:rsidR="00E13A2B">
        <w:t xml:space="preserve">the </w:t>
      </w:r>
      <w:r>
        <w:t>information</w:t>
      </w:r>
      <w:r w:rsidR="00E13A2B">
        <w:t xml:space="preserve"> was provided</w:t>
      </w:r>
      <w:r>
        <w:t xml:space="preserve">.  </w:t>
      </w:r>
    </w:p>
    <w:p w14:paraId="0D828FDB" w14:textId="07EBC776" w:rsidR="167964AF" w:rsidRDefault="677CB60D" w:rsidP="00BD3C4B">
      <w:pPr>
        <w:pStyle w:val="Heading2"/>
        <w:numPr>
          <w:ilvl w:val="1"/>
          <w:numId w:val="8"/>
        </w:numPr>
        <w:ind w:left="567" w:hanging="567"/>
        <w:rPr>
          <w:rFonts w:eastAsia="Calibri" w:cs="Calibri"/>
        </w:rPr>
      </w:pPr>
      <w:bookmarkStart w:id="64" w:name="_Toc794694303"/>
      <w:bookmarkStart w:id="65" w:name="_Toc138159421"/>
      <w:r w:rsidRPr="00F703D9">
        <w:rPr>
          <w:rFonts w:eastAsia="Calibri" w:cs="Calibri"/>
        </w:rPr>
        <w:t>Submission</w:t>
      </w:r>
      <w:bookmarkEnd w:id="64"/>
      <w:r w:rsidR="00882D55">
        <w:rPr>
          <w:rFonts w:eastAsia="Calibri" w:cs="Calibri"/>
        </w:rPr>
        <w:t xml:space="preserve"> Formats</w:t>
      </w:r>
      <w:bookmarkEnd w:id="65"/>
    </w:p>
    <w:p w14:paraId="0510A62C" w14:textId="5A5EDD7D" w:rsidR="00882D55" w:rsidRDefault="00882D55" w:rsidP="00882D55">
      <w:r>
        <w:t xml:space="preserve">Responses to the </w:t>
      </w:r>
      <w:r w:rsidR="00990242">
        <w:t>D</w:t>
      </w:r>
      <w:r>
        <w:t>iscussion</w:t>
      </w:r>
      <w:r w:rsidR="00990242">
        <w:t xml:space="preserve"> Paper</w:t>
      </w:r>
      <w:r>
        <w:t xml:space="preserve"> were received via:</w:t>
      </w:r>
    </w:p>
    <w:p w14:paraId="6AC39569" w14:textId="77777777" w:rsidR="00882D55" w:rsidRDefault="00882D55" w:rsidP="00BD3C4B">
      <w:pPr>
        <w:pStyle w:val="ListParagraph"/>
        <w:numPr>
          <w:ilvl w:val="0"/>
          <w:numId w:val="7"/>
        </w:numPr>
      </w:pPr>
      <w:r>
        <w:t>Written submissions</w:t>
      </w:r>
    </w:p>
    <w:p w14:paraId="6C47DC85" w14:textId="00D48678" w:rsidR="00882D55" w:rsidRDefault="00882D55" w:rsidP="00BD3C4B">
      <w:pPr>
        <w:pStyle w:val="ListParagraph"/>
        <w:numPr>
          <w:ilvl w:val="0"/>
          <w:numId w:val="7"/>
        </w:numPr>
      </w:pPr>
      <w:r>
        <w:t xml:space="preserve">Virtual </w:t>
      </w:r>
      <w:r w:rsidR="00CA5470">
        <w:t>w</w:t>
      </w:r>
      <w:r>
        <w:t>orkshops</w:t>
      </w:r>
    </w:p>
    <w:p w14:paraId="1322BA15" w14:textId="593FF1B5" w:rsidR="00B10415" w:rsidRDefault="00B10415" w:rsidP="00F75931">
      <w:pPr>
        <w:pStyle w:val="ListParagraph"/>
        <w:numPr>
          <w:ilvl w:val="0"/>
          <w:numId w:val="7"/>
        </w:numPr>
        <w:spacing w:after="120"/>
        <w:ind w:left="714" w:hanging="357"/>
      </w:pPr>
      <w:r>
        <w:t xml:space="preserve">Online survey (Qualtrics) </w:t>
      </w:r>
    </w:p>
    <w:p w14:paraId="444BB56C" w14:textId="44ED419F" w:rsidR="00B10415" w:rsidRDefault="00B10415" w:rsidP="00F75931">
      <w:pPr>
        <w:pStyle w:val="ListParagraph"/>
        <w:spacing w:after="0" w:line="240" w:lineRule="auto"/>
        <w:ind w:left="0"/>
        <w:contextualSpacing w:val="0"/>
      </w:pPr>
    </w:p>
    <w:p w14:paraId="29EAE899" w14:textId="6D447327" w:rsidR="00882D55" w:rsidRDefault="00882D55" w:rsidP="00F75931">
      <w:pPr>
        <w:pStyle w:val="Heading3"/>
        <w:numPr>
          <w:ilvl w:val="2"/>
          <w:numId w:val="8"/>
        </w:numPr>
        <w:spacing w:before="120"/>
        <w:ind w:left="709" w:hanging="709"/>
      </w:pPr>
      <w:bookmarkStart w:id="66" w:name="_Toc136513290"/>
      <w:bookmarkStart w:id="67" w:name="_Toc136513483"/>
      <w:bookmarkStart w:id="68" w:name="_Toc136513546"/>
      <w:bookmarkStart w:id="69" w:name="_Toc136513664"/>
      <w:bookmarkStart w:id="70" w:name="_Toc136513840"/>
      <w:bookmarkStart w:id="71" w:name="_Toc138159422"/>
      <w:bookmarkEnd w:id="66"/>
      <w:bookmarkEnd w:id="67"/>
      <w:bookmarkEnd w:id="68"/>
      <w:bookmarkEnd w:id="69"/>
      <w:bookmarkEnd w:id="70"/>
      <w:r>
        <w:t>Written Submissions</w:t>
      </w:r>
      <w:bookmarkEnd w:id="71"/>
    </w:p>
    <w:p w14:paraId="13CE6F7F" w14:textId="77777777" w:rsidR="00C46376" w:rsidRDefault="000438D9" w:rsidP="00C46376">
      <w:r>
        <w:t>Written responses were received from 10 organisations/people representing a range of stakeholder groups</w:t>
      </w:r>
      <w:r w:rsidR="00C46376">
        <w:t>.</w:t>
      </w:r>
    </w:p>
    <w:p w14:paraId="0B87A4D7" w14:textId="18E3578D" w:rsidR="00C46376" w:rsidRPr="00C46376" w:rsidRDefault="00C46376" w:rsidP="00BD3C4B">
      <w:pPr>
        <w:pStyle w:val="Heading3"/>
        <w:numPr>
          <w:ilvl w:val="2"/>
          <w:numId w:val="8"/>
        </w:numPr>
        <w:ind w:left="709" w:hanging="709"/>
      </w:pPr>
      <w:bookmarkStart w:id="72" w:name="_Toc138159423"/>
      <w:r w:rsidRPr="00C46376">
        <w:t>Online Workshops</w:t>
      </w:r>
      <w:bookmarkEnd w:id="72"/>
    </w:p>
    <w:p w14:paraId="498F5EBE" w14:textId="779E75D2" w:rsidR="00E71E1D" w:rsidRDefault="2725B063" w:rsidP="00F703D9">
      <w:pPr>
        <w:spacing w:after="160"/>
        <w:rPr>
          <w:rFonts w:ascii="Calibri" w:eastAsia="Calibri" w:hAnsi="Calibri" w:cs="Calibri"/>
        </w:rPr>
      </w:pPr>
      <w:r w:rsidRPr="7CAE1D23">
        <w:rPr>
          <w:rFonts w:ascii="Calibri" w:eastAsia="Calibri" w:hAnsi="Calibri" w:cs="Calibri"/>
        </w:rPr>
        <w:t>Online workshops</w:t>
      </w:r>
      <w:r w:rsidR="001E4519">
        <w:rPr>
          <w:rFonts w:ascii="Calibri" w:eastAsia="Calibri" w:hAnsi="Calibri" w:cs="Calibri"/>
        </w:rPr>
        <w:t xml:space="preserve"> </w:t>
      </w:r>
      <w:r w:rsidRPr="7CAE1D23">
        <w:rPr>
          <w:rFonts w:ascii="Calibri" w:eastAsia="Calibri" w:hAnsi="Calibri" w:cs="Calibri"/>
        </w:rPr>
        <w:t>were held throughout January and February 2023 with the following groups</w:t>
      </w:r>
      <w:r w:rsidR="00807355">
        <w:rPr>
          <w:rFonts w:ascii="Calibri" w:eastAsia="Calibri" w:hAnsi="Calibri" w:cs="Calibri"/>
        </w:rPr>
        <w:t xml:space="preserve"> (see Table 2)</w:t>
      </w:r>
      <w:r w:rsidRPr="7CAE1D23">
        <w:rPr>
          <w:rFonts w:ascii="Calibri" w:eastAsia="Calibri" w:hAnsi="Calibri" w:cs="Calibri"/>
        </w:rPr>
        <w:t>:</w:t>
      </w:r>
    </w:p>
    <w:p w14:paraId="0E953574" w14:textId="2E566E52" w:rsidR="00E71E1D" w:rsidRDefault="2725B063" w:rsidP="00BD3C4B">
      <w:pPr>
        <w:pStyle w:val="ListParagraph"/>
        <w:numPr>
          <w:ilvl w:val="0"/>
          <w:numId w:val="1"/>
        </w:numPr>
        <w:spacing w:after="160" w:line="259" w:lineRule="auto"/>
        <w:rPr>
          <w:rFonts w:ascii="Calibri" w:eastAsia="Calibri" w:hAnsi="Calibri" w:cs="Calibri"/>
        </w:rPr>
      </w:pPr>
      <w:r w:rsidRPr="7CAE1D23">
        <w:rPr>
          <w:rFonts w:ascii="Calibri" w:eastAsia="Calibri" w:hAnsi="Calibri" w:cs="Calibri"/>
        </w:rPr>
        <w:t>Remote Community Pilot providers</w:t>
      </w:r>
    </w:p>
    <w:p w14:paraId="42D41E8B" w14:textId="4941B2EA" w:rsidR="00E71E1D" w:rsidRDefault="2725B063" w:rsidP="00BD3C4B">
      <w:pPr>
        <w:pStyle w:val="ListParagraph"/>
        <w:numPr>
          <w:ilvl w:val="0"/>
          <w:numId w:val="1"/>
        </w:numPr>
        <w:spacing w:after="160" w:line="259" w:lineRule="auto"/>
        <w:rPr>
          <w:rFonts w:ascii="Calibri" w:eastAsia="Calibri" w:hAnsi="Calibri" w:cs="Calibri"/>
        </w:rPr>
      </w:pPr>
      <w:r w:rsidRPr="7CAE1D23">
        <w:rPr>
          <w:rFonts w:ascii="Calibri" w:eastAsia="Calibri" w:hAnsi="Calibri" w:cs="Calibri"/>
        </w:rPr>
        <w:t xml:space="preserve">SEE </w:t>
      </w:r>
      <w:proofErr w:type="gramStart"/>
      <w:r w:rsidRPr="7CAE1D23">
        <w:rPr>
          <w:rFonts w:ascii="Calibri" w:eastAsia="Calibri" w:hAnsi="Calibri" w:cs="Calibri"/>
        </w:rPr>
        <w:t>providers</w:t>
      </w:r>
      <w:proofErr w:type="gramEnd"/>
    </w:p>
    <w:p w14:paraId="7E3A96CD" w14:textId="41483E24" w:rsidR="00E71E1D" w:rsidRDefault="2725B063" w:rsidP="00BD3C4B">
      <w:pPr>
        <w:pStyle w:val="ListParagraph"/>
        <w:numPr>
          <w:ilvl w:val="0"/>
          <w:numId w:val="1"/>
        </w:numPr>
        <w:spacing w:after="160" w:line="259" w:lineRule="auto"/>
        <w:rPr>
          <w:rFonts w:ascii="Calibri" w:eastAsia="Calibri" w:hAnsi="Calibri" w:cs="Calibri"/>
        </w:rPr>
      </w:pPr>
      <w:r w:rsidRPr="7CAE1D23">
        <w:rPr>
          <w:rFonts w:ascii="Calibri" w:eastAsia="Calibri" w:hAnsi="Calibri" w:cs="Calibri"/>
        </w:rPr>
        <w:t>LLND teachers</w:t>
      </w:r>
    </w:p>
    <w:p w14:paraId="5C2DB3C2" w14:textId="28AD5F3C" w:rsidR="00E71E1D" w:rsidRDefault="2725B063" w:rsidP="00BD3C4B">
      <w:pPr>
        <w:pStyle w:val="ListParagraph"/>
        <w:numPr>
          <w:ilvl w:val="0"/>
          <w:numId w:val="1"/>
        </w:numPr>
        <w:spacing w:after="160" w:line="259" w:lineRule="auto"/>
        <w:rPr>
          <w:rFonts w:ascii="Calibri" w:eastAsia="Calibri" w:hAnsi="Calibri" w:cs="Calibri"/>
        </w:rPr>
      </w:pPr>
      <w:r w:rsidRPr="7CAE1D23">
        <w:rPr>
          <w:rFonts w:ascii="Calibri" w:eastAsia="Calibri" w:hAnsi="Calibri" w:cs="Calibri"/>
        </w:rPr>
        <w:t>Peak bodies</w:t>
      </w:r>
    </w:p>
    <w:p w14:paraId="16F85AEA" w14:textId="40696647" w:rsidR="00E71E1D" w:rsidRDefault="2725B063" w:rsidP="00BD3C4B">
      <w:pPr>
        <w:pStyle w:val="ListParagraph"/>
        <w:numPr>
          <w:ilvl w:val="0"/>
          <w:numId w:val="1"/>
        </w:numPr>
        <w:spacing w:after="160" w:line="259" w:lineRule="auto"/>
        <w:rPr>
          <w:rFonts w:ascii="Calibri" w:eastAsia="Calibri" w:hAnsi="Calibri" w:cs="Calibri"/>
        </w:rPr>
      </w:pPr>
      <w:r w:rsidRPr="7CAE1D23">
        <w:rPr>
          <w:rFonts w:ascii="Calibri" w:eastAsia="Calibri" w:hAnsi="Calibri" w:cs="Calibri"/>
        </w:rPr>
        <w:t>General stakeholders</w:t>
      </w:r>
    </w:p>
    <w:p w14:paraId="7AAC7B68" w14:textId="73EA518E" w:rsidR="00E71E1D" w:rsidRDefault="2725B063" w:rsidP="00BD3C4B">
      <w:pPr>
        <w:pStyle w:val="ListParagraph"/>
        <w:numPr>
          <w:ilvl w:val="0"/>
          <w:numId w:val="1"/>
        </w:numPr>
        <w:spacing w:after="160" w:line="259" w:lineRule="auto"/>
        <w:rPr>
          <w:rFonts w:ascii="Calibri" w:eastAsia="Calibri" w:hAnsi="Calibri" w:cs="Calibri"/>
        </w:rPr>
      </w:pPr>
      <w:r w:rsidRPr="7CAE1D23">
        <w:rPr>
          <w:rFonts w:ascii="Calibri" w:eastAsia="Calibri" w:hAnsi="Calibri" w:cs="Calibri"/>
        </w:rPr>
        <w:t>State and Territory representatives</w:t>
      </w:r>
    </w:p>
    <w:p w14:paraId="58BF6A9C" w14:textId="0DF7A039" w:rsidR="00E71E1D" w:rsidRDefault="699470AF" w:rsidP="00F703D9">
      <w:pPr>
        <w:spacing w:after="160"/>
        <w:rPr>
          <w:rFonts w:ascii="Calibri" w:eastAsia="Calibri" w:hAnsi="Calibri" w:cs="Calibri"/>
        </w:rPr>
      </w:pPr>
      <w:r w:rsidRPr="4AABCF9D">
        <w:rPr>
          <w:rFonts w:ascii="Calibri" w:eastAsia="Calibri" w:hAnsi="Calibri" w:cs="Calibri"/>
        </w:rPr>
        <w:t>Each workshop was between 60 and 90 minutes long.</w:t>
      </w:r>
    </w:p>
    <w:p w14:paraId="2D5E330E" w14:textId="5A376D15" w:rsidR="00CC34D1" w:rsidRDefault="001E4519" w:rsidP="00F703D9">
      <w:pPr>
        <w:spacing w:after="160"/>
        <w:rPr>
          <w:rFonts w:ascii="Calibri" w:eastAsia="Calibri" w:hAnsi="Calibri" w:cs="Calibri"/>
        </w:rPr>
      </w:pPr>
      <w:r>
        <w:rPr>
          <w:rFonts w:ascii="Calibri" w:eastAsia="Calibri" w:hAnsi="Calibri" w:cs="Calibri"/>
        </w:rPr>
        <w:t xml:space="preserve">A </w:t>
      </w:r>
      <w:r w:rsidR="00CC34D1">
        <w:rPr>
          <w:rFonts w:ascii="Calibri" w:eastAsia="Calibri" w:hAnsi="Calibri" w:cs="Calibri"/>
        </w:rPr>
        <w:t xml:space="preserve">number of 1:1 </w:t>
      </w:r>
      <w:proofErr w:type="gramStart"/>
      <w:r w:rsidR="00CC34D1">
        <w:rPr>
          <w:rFonts w:ascii="Calibri" w:eastAsia="Calibri" w:hAnsi="Calibri" w:cs="Calibri"/>
        </w:rPr>
        <w:t>sessions</w:t>
      </w:r>
      <w:proofErr w:type="gramEnd"/>
      <w:r w:rsidR="00CC34D1">
        <w:rPr>
          <w:rFonts w:ascii="Calibri" w:eastAsia="Calibri" w:hAnsi="Calibri" w:cs="Calibri"/>
        </w:rPr>
        <w:t xml:space="preserve"> </w:t>
      </w:r>
      <w:r w:rsidR="00046C2D">
        <w:rPr>
          <w:rFonts w:ascii="Calibri" w:eastAsia="Calibri" w:hAnsi="Calibri" w:cs="Calibri"/>
        </w:rPr>
        <w:t xml:space="preserve">with </w:t>
      </w:r>
      <w:r w:rsidR="00CC34D1">
        <w:rPr>
          <w:rFonts w:ascii="Calibri" w:eastAsia="Calibri" w:hAnsi="Calibri" w:cs="Calibri"/>
        </w:rPr>
        <w:t xml:space="preserve">adult LLND specialists </w:t>
      </w:r>
      <w:r>
        <w:rPr>
          <w:rFonts w:ascii="Calibri" w:eastAsia="Calibri" w:hAnsi="Calibri" w:cs="Calibri"/>
        </w:rPr>
        <w:t xml:space="preserve">were also conducted </w:t>
      </w:r>
      <w:r w:rsidR="00CC34D1">
        <w:rPr>
          <w:rFonts w:ascii="Calibri" w:eastAsia="Calibri" w:hAnsi="Calibri" w:cs="Calibri"/>
        </w:rPr>
        <w:t>in addition to these workshops. The purpose</w:t>
      </w:r>
      <w:r w:rsidR="00046C2D">
        <w:rPr>
          <w:rFonts w:ascii="Calibri" w:eastAsia="Calibri" w:hAnsi="Calibri" w:cs="Calibri"/>
        </w:rPr>
        <w:t xml:space="preserve"> of</w:t>
      </w:r>
      <w:r w:rsidR="00CC34D1">
        <w:rPr>
          <w:rFonts w:ascii="Calibri" w:eastAsia="Calibri" w:hAnsi="Calibri" w:cs="Calibri"/>
        </w:rPr>
        <w:t xml:space="preserve"> these were to further explore points and themes raised at the workshop</w:t>
      </w:r>
      <w:r w:rsidR="000024B9">
        <w:rPr>
          <w:rFonts w:ascii="Calibri" w:eastAsia="Calibri" w:hAnsi="Calibri" w:cs="Calibri"/>
        </w:rPr>
        <w:t>.</w:t>
      </w:r>
      <w:r w:rsidR="00CC34D1">
        <w:rPr>
          <w:rFonts w:ascii="Calibri" w:eastAsia="Calibri" w:hAnsi="Calibri" w:cs="Calibri"/>
        </w:rPr>
        <w:t xml:space="preserve"> </w:t>
      </w:r>
    </w:p>
    <w:p w14:paraId="19A08966" w14:textId="56820A52" w:rsidR="00E71E1D" w:rsidRDefault="699470AF" w:rsidP="00BD3C4B">
      <w:pPr>
        <w:pStyle w:val="Heading3"/>
        <w:numPr>
          <w:ilvl w:val="2"/>
          <w:numId w:val="8"/>
        </w:numPr>
        <w:ind w:left="709" w:hanging="709"/>
        <w:rPr>
          <w:rFonts w:eastAsia="Calibri" w:cs="Calibri"/>
        </w:rPr>
      </w:pPr>
      <w:bookmarkStart w:id="73" w:name="_Toc2116507957"/>
      <w:bookmarkStart w:id="74" w:name="_Toc138159424"/>
      <w:r w:rsidRPr="4AABCF9D">
        <w:rPr>
          <w:rFonts w:eastAsia="Calibri" w:cs="Calibri"/>
        </w:rPr>
        <w:t xml:space="preserve">Online </w:t>
      </w:r>
      <w:r w:rsidRPr="00F703D9">
        <w:t>Survey</w:t>
      </w:r>
      <w:bookmarkEnd w:id="73"/>
      <w:bookmarkEnd w:id="74"/>
    </w:p>
    <w:p w14:paraId="3A9279EF" w14:textId="12E9E512" w:rsidR="00C46376" w:rsidRDefault="00882D55">
      <w:pPr>
        <w:spacing w:after="160" w:line="259" w:lineRule="auto"/>
      </w:pPr>
      <w:r>
        <w:t xml:space="preserve">An online survey was released on </w:t>
      </w:r>
      <w:r w:rsidR="0045259D">
        <w:t>8 December 2022</w:t>
      </w:r>
      <w:r>
        <w:t xml:space="preserve"> via Qualtrics. Responses were received from 15 people/groups </w:t>
      </w:r>
      <w:r w:rsidR="000438D9">
        <w:t xml:space="preserve">representing a </w:t>
      </w:r>
      <w:r>
        <w:t>range of demographics</w:t>
      </w:r>
      <w:r w:rsidR="00C46376">
        <w:t xml:space="preserve"> including:</w:t>
      </w:r>
    </w:p>
    <w:p w14:paraId="148DB609" w14:textId="77777777" w:rsidR="00C46376" w:rsidRDefault="00C46376" w:rsidP="00BD3C4B">
      <w:pPr>
        <w:pStyle w:val="ListParagraph"/>
        <w:numPr>
          <w:ilvl w:val="0"/>
          <w:numId w:val="12"/>
        </w:numPr>
        <w:spacing w:after="160" w:line="259" w:lineRule="auto"/>
      </w:pPr>
      <w:r>
        <w:t>Community members/individuals</w:t>
      </w:r>
    </w:p>
    <w:p w14:paraId="5049D46B" w14:textId="77777777" w:rsidR="00C46376" w:rsidRDefault="00C46376" w:rsidP="00BD3C4B">
      <w:pPr>
        <w:pStyle w:val="ListParagraph"/>
        <w:numPr>
          <w:ilvl w:val="0"/>
          <w:numId w:val="12"/>
        </w:numPr>
        <w:spacing w:after="160" w:line="259" w:lineRule="auto"/>
      </w:pPr>
      <w:r>
        <w:lastRenderedPageBreak/>
        <w:t>Peak body members</w:t>
      </w:r>
    </w:p>
    <w:p w14:paraId="3B3BC9E6" w14:textId="64B71DAF" w:rsidR="00C46376" w:rsidRDefault="00CB6C95" w:rsidP="00BD3C4B">
      <w:pPr>
        <w:pStyle w:val="ListParagraph"/>
        <w:numPr>
          <w:ilvl w:val="0"/>
          <w:numId w:val="12"/>
        </w:numPr>
        <w:spacing w:after="160" w:line="259" w:lineRule="auto"/>
      </w:pPr>
      <w:r>
        <w:t>RTOs</w:t>
      </w:r>
    </w:p>
    <w:p w14:paraId="5A7B7168" w14:textId="23750D91" w:rsidR="00C46376" w:rsidRDefault="00C46376" w:rsidP="00BD3C4B">
      <w:pPr>
        <w:pStyle w:val="ListParagraph"/>
        <w:numPr>
          <w:ilvl w:val="0"/>
          <w:numId w:val="12"/>
        </w:numPr>
        <w:spacing w:after="160" w:line="259" w:lineRule="auto"/>
      </w:pPr>
      <w:r>
        <w:t>Government Department</w:t>
      </w:r>
      <w:r w:rsidR="00CB6C95">
        <w:t>s</w:t>
      </w:r>
    </w:p>
    <w:p w14:paraId="33CE9924" w14:textId="63030144" w:rsidR="00C46376" w:rsidRDefault="00C46376" w:rsidP="00BD3C4B">
      <w:pPr>
        <w:pStyle w:val="ListParagraph"/>
        <w:numPr>
          <w:ilvl w:val="0"/>
          <w:numId w:val="12"/>
        </w:numPr>
        <w:spacing w:after="160" w:line="259" w:lineRule="auto"/>
      </w:pPr>
      <w:r>
        <w:t>Community Organisation</w:t>
      </w:r>
      <w:r w:rsidR="00CB6C95">
        <w:t>s</w:t>
      </w:r>
    </w:p>
    <w:p w14:paraId="37A18198" w14:textId="77777777" w:rsidR="00C46376" w:rsidRDefault="00C46376" w:rsidP="00BD3C4B">
      <w:pPr>
        <w:pStyle w:val="ListParagraph"/>
        <w:numPr>
          <w:ilvl w:val="0"/>
          <w:numId w:val="12"/>
        </w:numPr>
        <w:spacing w:after="160" w:line="259" w:lineRule="auto"/>
      </w:pPr>
      <w:r>
        <w:t>Remote Community Pilots provider or subcontractors</w:t>
      </w:r>
    </w:p>
    <w:p w14:paraId="4A4FCCCC" w14:textId="6C5CF692" w:rsidR="002C63E9" w:rsidRPr="00EC4143" w:rsidRDefault="00C46376" w:rsidP="00BD3C4B">
      <w:pPr>
        <w:pStyle w:val="ListParagraph"/>
        <w:numPr>
          <w:ilvl w:val="0"/>
          <w:numId w:val="12"/>
        </w:numPr>
        <w:spacing w:after="160" w:line="259" w:lineRule="auto"/>
      </w:pPr>
      <w:r>
        <w:t xml:space="preserve">SEE provider or </w:t>
      </w:r>
      <w:proofErr w:type="gramStart"/>
      <w:r>
        <w:t>subcontractors</w:t>
      </w:r>
      <w:proofErr w:type="gramEnd"/>
    </w:p>
    <w:p w14:paraId="47FA9F65" w14:textId="0A94EE0A" w:rsidR="00821F77" w:rsidRPr="00F32BD3" w:rsidRDefault="00C82B68" w:rsidP="00BD3C4B">
      <w:pPr>
        <w:pStyle w:val="Heading1"/>
        <w:numPr>
          <w:ilvl w:val="0"/>
          <w:numId w:val="8"/>
        </w:numPr>
      </w:pPr>
      <w:bookmarkStart w:id="75" w:name="_Toc138159425"/>
      <w:r w:rsidRPr="00F32BD3">
        <w:t>Next Steps</w:t>
      </w:r>
      <w:bookmarkEnd w:id="75"/>
    </w:p>
    <w:p w14:paraId="69BB3D6B" w14:textId="77777777" w:rsidR="001E4519" w:rsidRDefault="00EC4143" w:rsidP="00192AC3">
      <w:r>
        <w:t xml:space="preserve">Feedback from this Discussion Paper </w:t>
      </w:r>
      <w:r w:rsidR="0035474F">
        <w:t xml:space="preserve">has been used to inform the Australian Government’s 2023-24 Budget </w:t>
      </w:r>
      <w:r w:rsidR="00F400BC">
        <w:t xml:space="preserve">measure </w:t>
      </w:r>
      <w:r w:rsidR="00F400BC" w:rsidRPr="00C54DB3">
        <w:rPr>
          <w:i/>
          <w:iCs/>
        </w:rPr>
        <w:t xml:space="preserve">Foundation Skills programs </w:t>
      </w:r>
      <w:r w:rsidR="00C54DB3" w:rsidRPr="00C54DB3">
        <w:rPr>
          <w:i/>
          <w:iCs/>
        </w:rPr>
        <w:t xml:space="preserve">- </w:t>
      </w:r>
      <w:r w:rsidR="00F400BC" w:rsidRPr="00C54DB3">
        <w:rPr>
          <w:i/>
          <w:iCs/>
        </w:rPr>
        <w:t>redesign and Pilot extension</w:t>
      </w:r>
      <w:r w:rsidR="00F400BC">
        <w:t xml:space="preserve">. </w:t>
      </w:r>
    </w:p>
    <w:p w14:paraId="73E16C54" w14:textId="3EB3A941" w:rsidR="001E4519" w:rsidRDefault="00F400BC" w:rsidP="00192AC3">
      <w:r>
        <w:t xml:space="preserve">The </w:t>
      </w:r>
      <w:r w:rsidR="00A77340">
        <w:t xml:space="preserve">feedback </w:t>
      </w:r>
      <w:r w:rsidR="00EC4143">
        <w:t xml:space="preserve">will be </w:t>
      </w:r>
      <w:r w:rsidR="001E4519">
        <w:t xml:space="preserve">further </w:t>
      </w:r>
      <w:r>
        <w:t xml:space="preserve">used to inform the </w:t>
      </w:r>
      <w:r w:rsidR="001E4519">
        <w:t xml:space="preserve">detailed design and </w:t>
      </w:r>
      <w:r>
        <w:t xml:space="preserve">implementation of this measure, in particular Stream 2 – First Nation Delivery of the </w:t>
      </w:r>
      <w:r w:rsidR="00CB6C95">
        <w:t>SEE</w:t>
      </w:r>
      <w:r>
        <w:t xml:space="preserve"> program. </w:t>
      </w:r>
    </w:p>
    <w:p w14:paraId="5EB59140" w14:textId="2953188C" w:rsidR="00C82B68" w:rsidRDefault="004234E4" w:rsidP="00192AC3">
      <w:r>
        <w:t>C</w:t>
      </w:r>
      <w:r w:rsidR="00E75CB0">
        <w:t xml:space="preserve">onsultations on </w:t>
      </w:r>
      <w:r w:rsidR="00F400BC">
        <w:t xml:space="preserve">Stream 2 </w:t>
      </w:r>
      <w:r w:rsidR="00E75CB0">
        <w:t xml:space="preserve">guidelines will </w:t>
      </w:r>
      <w:r>
        <w:t>occur in the latter half of 2023.</w:t>
      </w:r>
    </w:p>
    <w:p w14:paraId="103ABFC3" w14:textId="300CD788" w:rsidR="00E75CB0" w:rsidRDefault="00E75CB0">
      <w:pPr>
        <w:spacing w:after="160" w:line="259" w:lineRule="auto"/>
      </w:pPr>
      <w:r>
        <w:br w:type="page"/>
      </w:r>
    </w:p>
    <w:p w14:paraId="6AB1C127" w14:textId="77DCBD6A" w:rsidR="00192AC3" w:rsidRDefault="0833A279" w:rsidP="00BD3C4B">
      <w:pPr>
        <w:pStyle w:val="Heading1"/>
        <w:numPr>
          <w:ilvl w:val="0"/>
          <w:numId w:val="8"/>
        </w:numPr>
        <w:rPr>
          <w:i/>
          <w:iCs/>
        </w:rPr>
      </w:pPr>
      <w:bookmarkStart w:id="76" w:name="_Toc1471728716"/>
      <w:bookmarkStart w:id="77" w:name="_Toc138159426"/>
      <w:r>
        <w:lastRenderedPageBreak/>
        <w:t xml:space="preserve">Appendix </w:t>
      </w:r>
      <w:r w:rsidR="0083780F">
        <w:t>A</w:t>
      </w:r>
      <w:r>
        <w:t xml:space="preserve"> - Discussion Paper on </w:t>
      </w:r>
      <w:r w:rsidRPr="4AABCF9D">
        <w:rPr>
          <w:i/>
          <w:iCs/>
        </w:rPr>
        <w:t>Future delivery of foundation skills training in remote Australia</w:t>
      </w:r>
      <w:bookmarkEnd w:id="76"/>
      <w:bookmarkEnd w:id="77"/>
    </w:p>
    <w:p w14:paraId="11E9442E" w14:textId="0699285A" w:rsidR="00E073CD" w:rsidRDefault="008D59D7" w:rsidP="00FE5ED1">
      <w:pPr>
        <w:spacing w:before="480"/>
      </w:pPr>
      <w:hyperlink r:id="rId18" w:history="1">
        <w:r w:rsidR="00D24863" w:rsidRPr="00D24863">
          <w:rPr>
            <w:rStyle w:val="Hyperlink"/>
          </w:rPr>
          <w:t>Future delivery of foundation skills training in remote Australia discussion paper – December 2022 - Department of Employment and Workplace Relations, Australian Government (dewr.gov.au)</w:t>
        </w:r>
      </w:hyperlink>
    </w:p>
    <w:sectPr w:rsidR="00E073CD" w:rsidSect="00B10415">
      <w:footerReference w:type="default" r:id="rId19"/>
      <w:type w:val="continuous"/>
      <w:pgSz w:w="11906" w:h="16838"/>
      <w:pgMar w:top="1276"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DF5C" w14:textId="77777777" w:rsidR="008B05CE" w:rsidRDefault="008B05CE" w:rsidP="0051352E">
      <w:pPr>
        <w:spacing w:after="0" w:line="240" w:lineRule="auto"/>
      </w:pPr>
      <w:r>
        <w:separator/>
      </w:r>
    </w:p>
  </w:endnote>
  <w:endnote w:type="continuationSeparator" w:id="0">
    <w:p w14:paraId="160C22FB" w14:textId="77777777" w:rsidR="008B05CE" w:rsidRDefault="008B05CE" w:rsidP="0051352E">
      <w:pPr>
        <w:spacing w:after="0" w:line="240" w:lineRule="auto"/>
      </w:pPr>
      <w:r>
        <w:continuationSeparator/>
      </w:r>
    </w:p>
  </w:endnote>
  <w:endnote w:type="continuationNotice" w:id="1">
    <w:p w14:paraId="15CB9422" w14:textId="77777777" w:rsidR="008B05CE" w:rsidRDefault="008B05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D923" w14:textId="6FB9E649" w:rsidR="00EA67FC" w:rsidRDefault="004C7E1D">
    <w:pPr>
      <w:pStyle w:val="Footer"/>
      <w:jc w:val="right"/>
    </w:pPr>
    <w:r>
      <w:t xml:space="preserve">Remote </w:t>
    </w:r>
    <w:r w:rsidRPr="004C7E1D">
      <w:t>Discussion Paper - Response Summary and Analysis</w:t>
    </w:r>
    <w:r w:rsidR="00EA67FC">
      <w:t xml:space="preserve"> |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620B9A1" w14:textId="3AC139FE" w:rsidR="00EA67FC" w:rsidRDefault="005E2CD9">
    <w:pPr>
      <w:pStyle w:val="Footer"/>
    </w:pPr>
    <w:r>
      <w:rPr>
        <w:noProof/>
      </w:rPr>
      <mc:AlternateContent>
        <mc:Choice Requires="wps">
          <w:drawing>
            <wp:anchor distT="0" distB="0" distL="114300" distR="114300" simplePos="0" relativeHeight="251658242" behindDoc="0" locked="0" layoutInCell="1" allowOverlap="1" wp14:anchorId="5E28A792" wp14:editId="3BC62B65">
              <wp:simplePos x="0" y="0"/>
              <wp:positionH relativeFrom="page">
                <wp:posOffset>0</wp:posOffset>
              </wp:positionH>
              <wp:positionV relativeFrom="paragraph">
                <wp:posOffset>251460</wp:posOffset>
              </wp:positionV>
              <wp:extent cx="7559675" cy="197485"/>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3149688" id="Rectangle 1" o:spid="_x0000_s1026" alt="&quot;&quot;" style="position:absolute;margin-left:0;margin-top:19.8pt;width:595.25pt;height:15.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Sn6jAIAAHgFAAAOAAAAZHJzL2Uyb0RvYy54bWysVE1v2zAMvQ/YfxB0X+0ESdMadYqgRYcB&#10;QVu0HXpWZCk2JouapMTJfv0oyXaDrthhmA+CKD4+fpjk1fWhVWQvrGtAl3RyllMiNIeq0duSfn+5&#10;+3JBifNMV0yBFiU9Ckevl58/XXWmEFOoQVXCEiTRruhMSWvvTZFljteiZe4MjNColGBb5lG026yy&#10;rEP2VmXTPD/POrCVscCFc/h6m5R0GfmlFNw/SOmEJ6qkGJuPp43nJpzZ8ooVW8tM3fA+DPYPUbSs&#10;0eh0pLplnpGdbf6gahtuwYH0ZxzaDKRsuIg5YDaT/F02zzUzIuaCxXFmLJP7f7T8fv9sHm0I3Zk1&#10;8B8OK5J1xhWjJgiuxxykbQMWAyeHWMXjWEVx8ITj42I+vzxfzCnhqJtcLmYX81DmjBWDtbHOfxXQ&#10;knApqcW/FIvH9mvnE3SAxMBANdVdo1QU7HZzoyzZM/yjs3w2nZ337O4UpnQAawhmiTG8xMRSLjEr&#10;f1Qi4JR+EpI0FUY/jZHE/hOjH8a50H6SVDWrRHI/z/EbvIeODRYx00gYmCX6H7l7ggGZSAbuFGWP&#10;D6Yitu9onP8tsGQ8WkTPoP1o3DYa7EcECrPqPSf8UKRUmlClDVTHR0sspOFxht81+N/WzPlHZnFa&#10;cK5wA/gHPKSCrqTQ3yipwf766D3gsYlRS0mH01dS93PHrKBEfdPY3peT2SyMaxRm88UUBXuq2Zxq&#10;9K69AWyHCe4aw+M14L0artJC+4qLYhW8ooppjr5Lyr0dhBuftgKuGi5WqwjDETXMr/Wz4YE8VDX0&#10;5cvhlVnTN6/Htr+HYVJZ8a6HEzZYaljtPMgmNvhbXft643jHxulXUdgfp3JEvS3M5W8AAAD//wMA&#10;UEsDBBQABgAIAAAAIQBa6NsK3QAAAAcBAAAPAAAAZHJzL2Rvd25yZXYueG1sTI/NTsMwEITvSLyD&#10;tUjcqJ0iWhKyqQKoAnGiPweObrxNIuJ1FLtNeHvcExxHM5r5Jl9NthNnGnzrGCGZKRDElTMt1wj7&#10;3fruEYQPmo3uHBPCD3lYFddXuc6MG3lD522oRSxhn2mEJoQ+k9JXDVntZ64njt7RDVaHKIdamkGP&#10;sdx2cq7UQlrdclxodE8vDVXf25NFOFL5On//ei7lWKbJx1vfbNafE+LtzVQ+gQg0hb8wXPAjOhSR&#10;6eBObLzoEOKRgHCfLkBc3CRVDyAOCEu1BFnk8j9/8QsAAP//AwBQSwECLQAUAAYACAAAACEAtoM4&#10;kv4AAADhAQAAEwAAAAAAAAAAAAAAAAAAAAAAW0NvbnRlbnRfVHlwZXNdLnhtbFBLAQItABQABgAI&#10;AAAAIQA4/SH/1gAAAJQBAAALAAAAAAAAAAAAAAAAAC8BAABfcmVscy8ucmVsc1BLAQItABQABgAI&#10;AAAAIQBX3Sn6jAIAAHgFAAAOAAAAAAAAAAAAAAAAAC4CAABkcnMvZTJvRG9jLnhtbFBLAQItABQA&#10;BgAIAAAAIQBa6NsK3QAAAAcBAAAPAAAAAAAAAAAAAAAAAOYEAABkcnMvZG93bnJldi54bWxQSwUG&#10;AAAAAAQABADzAAAA8AU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AC207" w14:textId="77777777" w:rsidR="008B05CE" w:rsidRDefault="008B05CE" w:rsidP="0051352E">
      <w:pPr>
        <w:spacing w:after="0" w:line="240" w:lineRule="auto"/>
      </w:pPr>
      <w:r>
        <w:separator/>
      </w:r>
    </w:p>
  </w:footnote>
  <w:footnote w:type="continuationSeparator" w:id="0">
    <w:p w14:paraId="48A452BB" w14:textId="77777777" w:rsidR="008B05CE" w:rsidRDefault="008B05CE" w:rsidP="0051352E">
      <w:pPr>
        <w:spacing w:after="0" w:line="240" w:lineRule="auto"/>
      </w:pPr>
      <w:r>
        <w:continuationSeparator/>
      </w:r>
    </w:p>
  </w:footnote>
  <w:footnote w:type="continuationNotice" w:id="1">
    <w:p w14:paraId="147D6225" w14:textId="77777777" w:rsidR="008B05CE" w:rsidRDefault="008B05CE">
      <w:pPr>
        <w:spacing w:after="0" w:line="240" w:lineRule="auto"/>
      </w:pPr>
    </w:p>
  </w:footnote>
  <w:footnote w:id="2">
    <w:p w14:paraId="48257217" w14:textId="77777777" w:rsidR="000E0E15" w:rsidRDefault="000E0E15" w:rsidP="000E0E15">
      <w:pPr>
        <w:pStyle w:val="FootnoteText"/>
        <w:ind w:left="142" w:hanging="142"/>
      </w:pPr>
      <w:r>
        <w:rPr>
          <w:rStyle w:val="FootnoteReference"/>
        </w:rPr>
        <w:footnoteRef/>
      </w:r>
      <w:r>
        <w:t xml:space="preserve"> </w:t>
      </w:r>
      <w:r w:rsidRPr="00622E67">
        <w:rPr>
          <w:rFonts w:eastAsia="Verdana" w:cstheme="minorHAnsi"/>
          <w:color w:val="000000"/>
          <w:szCs w:val="16"/>
        </w:rPr>
        <w:t>House of Representatives Sta</w:t>
      </w:r>
      <w:r>
        <w:rPr>
          <w:rFonts w:eastAsia="Verdana" w:cstheme="minorHAnsi"/>
          <w:color w:val="000000"/>
          <w:szCs w:val="16"/>
        </w:rPr>
        <w:t>nd</w:t>
      </w:r>
      <w:r w:rsidRPr="00622E67">
        <w:rPr>
          <w:rFonts w:eastAsia="Verdana" w:cstheme="minorHAnsi"/>
          <w:color w:val="000000"/>
          <w:szCs w:val="16"/>
        </w:rPr>
        <w:t xml:space="preserve">ing Committee on Employment, Education and Training, </w:t>
      </w:r>
      <w:hyperlink r:id="rId1" w:history="1">
        <w:r w:rsidRPr="00622E67">
          <w:rPr>
            <w:rStyle w:val="Hyperlink"/>
            <w:rFonts w:eastAsia="Verdana" w:cstheme="minorHAnsi"/>
            <w:i/>
            <w:iCs/>
            <w:szCs w:val="16"/>
          </w:rPr>
          <w:t xml:space="preserve">Don’t </w:t>
        </w:r>
        <w:r>
          <w:rPr>
            <w:rStyle w:val="Hyperlink"/>
            <w:rFonts w:eastAsia="Verdana" w:cstheme="minorHAnsi"/>
            <w:i/>
            <w:iCs/>
            <w:szCs w:val="16"/>
          </w:rPr>
          <w:t>t</w:t>
        </w:r>
        <w:r w:rsidRPr="00622E67">
          <w:rPr>
            <w:rStyle w:val="Hyperlink"/>
            <w:rFonts w:eastAsia="Verdana" w:cstheme="minorHAnsi"/>
            <w:i/>
            <w:iCs/>
            <w:szCs w:val="16"/>
          </w:rPr>
          <w:t xml:space="preserve">ake it as </w:t>
        </w:r>
        <w:r>
          <w:rPr>
            <w:rStyle w:val="Hyperlink"/>
            <w:rFonts w:eastAsia="Verdana" w:cstheme="minorHAnsi"/>
            <w:i/>
            <w:iCs/>
            <w:szCs w:val="16"/>
          </w:rPr>
          <w:t>r</w:t>
        </w:r>
        <w:r w:rsidRPr="00622E67">
          <w:rPr>
            <w:rStyle w:val="Hyperlink"/>
            <w:rFonts w:eastAsia="Verdana" w:cstheme="minorHAnsi"/>
            <w:i/>
            <w:iCs/>
            <w:szCs w:val="16"/>
          </w:rPr>
          <w:t>ead</w:t>
        </w:r>
      </w:hyperlink>
      <w:r w:rsidRPr="00622E67">
        <w:rPr>
          <w:rFonts w:eastAsia="Verdana" w:cstheme="minorHAnsi"/>
          <w:color w:val="000000"/>
          <w:szCs w:val="16"/>
        </w:rPr>
        <w:t>, 202</w:t>
      </w:r>
      <w:r>
        <w:rPr>
          <w:rFonts w:eastAsia="Verdana" w:cstheme="minorHAnsi"/>
          <w:color w:val="000000"/>
          <w:szCs w:val="16"/>
        </w:rPr>
        <w:t>2</w:t>
      </w:r>
      <w:r w:rsidRPr="00622E67">
        <w:rPr>
          <w:rFonts w:eastAsia="Verdana" w:cstheme="minorHAnsi"/>
          <w:color w:val="000000"/>
          <w:szCs w:val="16"/>
        </w:rPr>
        <w:t>.</w:t>
      </w:r>
    </w:p>
  </w:footnote>
  <w:footnote w:id="3">
    <w:p w14:paraId="5162BF75" w14:textId="79E8C3AA" w:rsidR="000E0E15" w:rsidRDefault="000E0E15" w:rsidP="00807355">
      <w:pPr>
        <w:pStyle w:val="FootnoteText"/>
        <w:ind w:left="142" w:hanging="142"/>
      </w:pPr>
      <w:r>
        <w:rPr>
          <w:rStyle w:val="FootnoteReference"/>
        </w:rPr>
        <w:footnoteRef/>
      </w:r>
      <w:r>
        <w:t xml:space="preserve"> </w:t>
      </w:r>
      <w:r w:rsidRPr="00622E67">
        <w:rPr>
          <w:rFonts w:eastAsia="Verdana" w:cstheme="minorHAnsi"/>
          <w:color w:val="000000"/>
          <w:szCs w:val="16"/>
        </w:rPr>
        <w:t xml:space="preserve">House of Representatives Standing Committee on Employment, Education and Training, </w:t>
      </w:r>
      <w:hyperlink r:id="rId2" w:history="1">
        <w:r w:rsidRPr="00622E67">
          <w:rPr>
            <w:rStyle w:val="Hyperlink"/>
            <w:rFonts w:eastAsia="Verdana" w:cstheme="minorHAnsi"/>
            <w:i/>
            <w:szCs w:val="16"/>
          </w:rPr>
          <w:t>Education in remote and complex environments</w:t>
        </w:r>
      </w:hyperlink>
      <w:r w:rsidRPr="00622E67">
        <w:rPr>
          <w:rFonts w:eastAsia="Verdana" w:cstheme="minorHAnsi"/>
          <w:color w:val="000000"/>
          <w:szCs w:val="16"/>
        </w:rPr>
        <w:t>, 2020</w:t>
      </w:r>
      <w:r>
        <w:rPr>
          <w:rFonts w:eastAsia="Verdana" w:cstheme="minorHAnsi"/>
          <w:color w:val="000000"/>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87C"/>
    <w:multiLevelType w:val="hybridMultilevel"/>
    <w:tmpl w:val="E8A6DB0C"/>
    <w:lvl w:ilvl="0" w:tplc="FFFFFFF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FF1C47"/>
    <w:multiLevelType w:val="hybridMultilevel"/>
    <w:tmpl w:val="18B89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33D86"/>
    <w:multiLevelType w:val="hybridMultilevel"/>
    <w:tmpl w:val="683897AE"/>
    <w:lvl w:ilvl="0" w:tplc="FFFFFFFF">
      <w:start w:val="24"/>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324EEB"/>
    <w:multiLevelType w:val="hybridMultilevel"/>
    <w:tmpl w:val="159092FC"/>
    <w:lvl w:ilvl="0" w:tplc="0C09000F">
      <w:start w:val="1"/>
      <w:numFmt w:val="decimal"/>
      <w:lvlText w:val="%1."/>
      <w:lvlJc w:val="left"/>
      <w:pPr>
        <w:ind w:left="720" w:hanging="360"/>
      </w:pPr>
    </w:lvl>
    <w:lvl w:ilvl="1" w:tplc="76921C82">
      <w:numFmt w:val="bullet"/>
      <w:lvlText w:val="•"/>
      <w:lvlJc w:val="left"/>
      <w:pPr>
        <w:ind w:left="1800" w:hanging="720"/>
      </w:pPr>
      <w:rPr>
        <w:rFonts w:ascii="Calibri" w:eastAsiaTheme="minorHAnsi" w:hAnsi="Calibri" w:cs="Calibri" w:hint="default"/>
      </w:rPr>
    </w:lvl>
    <w:lvl w:ilvl="2" w:tplc="0C090003">
      <w:start w:val="1"/>
      <w:numFmt w:val="bullet"/>
      <w:lvlText w:val="o"/>
      <w:lvlJc w:val="left"/>
      <w:pPr>
        <w:ind w:left="2160" w:hanging="180"/>
      </w:pPr>
      <w:rPr>
        <w:rFonts w:ascii="Courier New" w:hAnsi="Courier New" w:cs="Courier New"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91282F"/>
    <w:multiLevelType w:val="hybridMultilevel"/>
    <w:tmpl w:val="A3EC01D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28256C"/>
    <w:multiLevelType w:val="hybridMultilevel"/>
    <w:tmpl w:val="1DC0D13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8" w15:restartNumberingAfterBreak="0">
    <w:nsid w:val="1AD220CD"/>
    <w:multiLevelType w:val="hybridMultilevel"/>
    <w:tmpl w:val="03E24F0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15:restartNumberingAfterBreak="0">
    <w:nsid w:val="290B27D8"/>
    <w:multiLevelType w:val="hybridMultilevel"/>
    <w:tmpl w:val="FFFFFFFF"/>
    <w:lvl w:ilvl="0" w:tplc="89A0278E">
      <w:start w:val="1"/>
      <w:numFmt w:val="bullet"/>
      <w:lvlText w:val="·"/>
      <w:lvlJc w:val="left"/>
      <w:pPr>
        <w:ind w:left="720" w:hanging="360"/>
      </w:pPr>
      <w:rPr>
        <w:rFonts w:ascii="Symbol" w:hAnsi="Symbol" w:hint="default"/>
      </w:rPr>
    </w:lvl>
    <w:lvl w:ilvl="1" w:tplc="CAF480F6">
      <w:start w:val="1"/>
      <w:numFmt w:val="bullet"/>
      <w:lvlText w:val="o"/>
      <w:lvlJc w:val="left"/>
      <w:pPr>
        <w:ind w:left="1440" w:hanging="360"/>
      </w:pPr>
      <w:rPr>
        <w:rFonts w:ascii="Courier New" w:hAnsi="Courier New" w:hint="default"/>
      </w:rPr>
    </w:lvl>
    <w:lvl w:ilvl="2" w:tplc="BCBAAE0C">
      <w:start w:val="1"/>
      <w:numFmt w:val="bullet"/>
      <w:lvlText w:val=""/>
      <w:lvlJc w:val="left"/>
      <w:pPr>
        <w:ind w:left="2160" w:hanging="360"/>
      </w:pPr>
      <w:rPr>
        <w:rFonts w:ascii="Wingdings" w:hAnsi="Wingdings" w:hint="default"/>
      </w:rPr>
    </w:lvl>
    <w:lvl w:ilvl="3" w:tplc="74F2E4BE">
      <w:start w:val="1"/>
      <w:numFmt w:val="bullet"/>
      <w:lvlText w:val=""/>
      <w:lvlJc w:val="left"/>
      <w:pPr>
        <w:ind w:left="2880" w:hanging="360"/>
      </w:pPr>
      <w:rPr>
        <w:rFonts w:ascii="Symbol" w:hAnsi="Symbol" w:hint="default"/>
      </w:rPr>
    </w:lvl>
    <w:lvl w:ilvl="4" w:tplc="CF267844">
      <w:start w:val="1"/>
      <w:numFmt w:val="bullet"/>
      <w:lvlText w:val="o"/>
      <w:lvlJc w:val="left"/>
      <w:pPr>
        <w:ind w:left="3600" w:hanging="360"/>
      </w:pPr>
      <w:rPr>
        <w:rFonts w:ascii="Courier New" w:hAnsi="Courier New" w:hint="default"/>
      </w:rPr>
    </w:lvl>
    <w:lvl w:ilvl="5" w:tplc="5CF24DA8">
      <w:start w:val="1"/>
      <w:numFmt w:val="bullet"/>
      <w:lvlText w:val=""/>
      <w:lvlJc w:val="left"/>
      <w:pPr>
        <w:ind w:left="4320" w:hanging="360"/>
      </w:pPr>
      <w:rPr>
        <w:rFonts w:ascii="Wingdings" w:hAnsi="Wingdings" w:hint="default"/>
      </w:rPr>
    </w:lvl>
    <w:lvl w:ilvl="6" w:tplc="B55617E4">
      <w:start w:val="1"/>
      <w:numFmt w:val="bullet"/>
      <w:lvlText w:val=""/>
      <w:lvlJc w:val="left"/>
      <w:pPr>
        <w:ind w:left="5040" w:hanging="360"/>
      </w:pPr>
      <w:rPr>
        <w:rFonts w:ascii="Symbol" w:hAnsi="Symbol" w:hint="default"/>
      </w:rPr>
    </w:lvl>
    <w:lvl w:ilvl="7" w:tplc="F0C41490">
      <w:start w:val="1"/>
      <w:numFmt w:val="bullet"/>
      <w:lvlText w:val="o"/>
      <w:lvlJc w:val="left"/>
      <w:pPr>
        <w:ind w:left="5760" w:hanging="360"/>
      </w:pPr>
      <w:rPr>
        <w:rFonts w:ascii="Courier New" w:hAnsi="Courier New" w:hint="default"/>
      </w:rPr>
    </w:lvl>
    <w:lvl w:ilvl="8" w:tplc="387ECB78">
      <w:start w:val="1"/>
      <w:numFmt w:val="bullet"/>
      <w:lvlText w:val=""/>
      <w:lvlJc w:val="left"/>
      <w:pPr>
        <w:ind w:left="6480" w:hanging="360"/>
      </w:pPr>
      <w:rPr>
        <w:rFonts w:ascii="Wingdings" w:hAnsi="Wingdings" w:hint="default"/>
      </w:rPr>
    </w:lvl>
  </w:abstractNum>
  <w:abstractNum w:abstractNumId="10" w15:restartNumberingAfterBreak="0">
    <w:nsid w:val="2EA53E4C"/>
    <w:multiLevelType w:val="multilevel"/>
    <w:tmpl w:val="F1481754"/>
    <w:name w:val="List number2"/>
    <w:lvl w:ilvl="0">
      <w:start w:val="1"/>
      <w:numFmt w:val="bullet"/>
      <w:pStyle w:val="ListBullet"/>
      <w:lvlText w:val=""/>
      <w:lvlJc w:val="left"/>
      <w:pPr>
        <w:ind w:left="714" w:hanging="357"/>
      </w:pPr>
      <w:rPr>
        <w:rFonts w:ascii="Symbol" w:hAnsi="Symbol" w:cs="Times New Roman" w:hint="default"/>
        <w:color w:val="auto"/>
      </w:rPr>
    </w:lvl>
    <w:lvl w:ilvl="1">
      <w:start w:val="1"/>
      <w:numFmt w:val="bullet"/>
      <w:lvlText w:val="○"/>
      <w:lvlJc w:val="left"/>
      <w:pPr>
        <w:ind w:left="1208" w:hanging="494"/>
      </w:pPr>
      <w:rPr>
        <w:rFonts w:ascii="Courier New" w:hAnsi="Courier New" w:cs="Times New Roman" w:hint="default"/>
        <w:color w:val="auto"/>
      </w:rPr>
    </w:lvl>
    <w:lvl w:ilvl="2">
      <w:start w:val="1"/>
      <w:numFmt w:val="bullet"/>
      <w:lvlText w:val="–"/>
      <w:lvlJc w:val="left"/>
      <w:pPr>
        <w:tabs>
          <w:tab w:val="num" w:pos="2342"/>
        </w:tabs>
        <w:ind w:left="1775" w:hanging="567"/>
      </w:pPr>
      <w:rPr>
        <w:rFonts w:ascii="Calibri" w:hAnsi="Calibri" w:cs="Times New Roman" w:hint="default"/>
        <w:color w:val="auto"/>
      </w:rPr>
    </w:lvl>
    <w:lvl w:ilvl="3">
      <w:start w:val="1"/>
      <w:numFmt w:val="bullet"/>
      <w:lvlText w:val=""/>
      <w:lvlJc w:val="left"/>
      <w:pPr>
        <w:tabs>
          <w:tab w:val="num" w:pos="2909"/>
        </w:tabs>
        <w:ind w:left="2483" w:hanging="567"/>
      </w:pPr>
      <w:rPr>
        <w:rFonts w:ascii="Wingdings" w:hAnsi="Wingdings" w:cs="Times New Roman" w:hint="default"/>
        <w:color w:val="auto"/>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11"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ADA79E9"/>
    <w:multiLevelType w:val="hybridMultilevel"/>
    <w:tmpl w:val="685020AE"/>
    <w:lvl w:ilvl="0" w:tplc="FFFFFFFF">
      <w:start w:val="18"/>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F044F29"/>
    <w:multiLevelType w:val="hybridMultilevel"/>
    <w:tmpl w:val="227406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E7E7ED1"/>
    <w:multiLevelType w:val="hybridMultilevel"/>
    <w:tmpl w:val="E9063FF6"/>
    <w:lvl w:ilvl="0" w:tplc="8A4C1FB6">
      <w:start w:val="9"/>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53941C03"/>
    <w:multiLevelType w:val="hybridMultilevel"/>
    <w:tmpl w:val="82D6E87E"/>
    <w:lvl w:ilvl="0" w:tplc="315E2CEC">
      <w:start w:val="8"/>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446513C"/>
    <w:multiLevelType w:val="hybridMultilevel"/>
    <w:tmpl w:val="E67CA23E"/>
    <w:lvl w:ilvl="0" w:tplc="0C09000F">
      <w:start w:val="1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5E6D33CE"/>
    <w:multiLevelType w:val="multilevel"/>
    <w:tmpl w:val="102CAACE"/>
    <w:lvl w:ilvl="0">
      <w:start w:val="1"/>
      <w:numFmt w:val="decimal"/>
      <w:lvlText w:val="%1.0"/>
      <w:lvlJc w:val="left"/>
      <w:pPr>
        <w:ind w:left="555" w:hanging="555"/>
      </w:pPr>
      <w:rPr>
        <w:rFonts w:hint="default"/>
        <w:i w:val="0"/>
        <w:iCs w:val="0"/>
      </w:rPr>
    </w:lvl>
    <w:lvl w:ilvl="1">
      <w:start w:val="1"/>
      <w:numFmt w:val="decimal"/>
      <w:lvlText w:val="%1.%2"/>
      <w:lvlJc w:val="left"/>
      <w:pPr>
        <w:ind w:left="1275" w:hanging="55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EC04440"/>
    <w:multiLevelType w:val="hybridMultilevel"/>
    <w:tmpl w:val="EC2A8A04"/>
    <w:lvl w:ilvl="0" w:tplc="2BB63CBE">
      <w:start w:val="4"/>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E921C2A"/>
    <w:multiLevelType w:val="hybridMultilevel"/>
    <w:tmpl w:val="7BF4B5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F781A60"/>
    <w:multiLevelType w:val="hybridMultilevel"/>
    <w:tmpl w:val="65E475A0"/>
    <w:lvl w:ilvl="0" w:tplc="9728854A">
      <w:start w:val="1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1BD37FC"/>
    <w:multiLevelType w:val="hybridMultilevel"/>
    <w:tmpl w:val="F2AAEE0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16cid:durableId="1977762276">
    <w:abstractNumId w:val="9"/>
  </w:num>
  <w:num w:numId="2" w16cid:durableId="161939666">
    <w:abstractNumId w:val="3"/>
  </w:num>
  <w:num w:numId="3" w16cid:durableId="1360862476">
    <w:abstractNumId w:val="10"/>
  </w:num>
  <w:num w:numId="4" w16cid:durableId="1251427151">
    <w:abstractNumId w:val="11"/>
  </w:num>
  <w:num w:numId="5" w16cid:durableId="20779757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3671490">
    <w:abstractNumId w:val="4"/>
  </w:num>
  <w:num w:numId="7" w16cid:durableId="1454594811">
    <w:abstractNumId w:val="5"/>
  </w:num>
  <w:num w:numId="8" w16cid:durableId="901793080">
    <w:abstractNumId w:val="17"/>
  </w:num>
  <w:num w:numId="9" w16cid:durableId="805851189">
    <w:abstractNumId w:val="13"/>
  </w:num>
  <w:num w:numId="10" w16cid:durableId="1925798467">
    <w:abstractNumId w:val="14"/>
  </w:num>
  <w:num w:numId="11" w16cid:durableId="512957150">
    <w:abstractNumId w:val="19"/>
  </w:num>
  <w:num w:numId="12" w16cid:durableId="798456427">
    <w:abstractNumId w:val="8"/>
  </w:num>
  <w:num w:numId="13" w16cid:durableId="1402094820">
    <w:abstractNumId w:val="6"/>
  </w:num>
  <w:num w:numId="14" w16cid:durableId="1507087062">
    <w:abstractNumId w:val="15"/>
  </w:num>
  <w:num w:numId="15" w16cid:durableId="199054028">
    <w:abstractNumId w:val="20"/>
  </w:num>
  <w:num w:numId="16" w16cid:durableId="715159286">
    <w:abstractNumId w:val="12"/>
  </w:num>
  <w:num w:numId="17" w16cid:durableId="20518633">
    <w:abstractNumId w:val="2"/>
  </w:num>
  <w:num w:numId="18" w16cid:durableId="410008542">
    <w:abstractNumId w:val="0"/>
  </w:num>
  <w:num w:numId="19" w16cid:durableId="1622296496">
    <w:abstractNumId w:val="18"/>
  </w:num>
  <w:num w:numId="20" w16cid:durableId="1716734096">
    <w:abstractNumId w:val="1"/>
  </w:num>
  <w:num w:numId="21" w16cid:durableId="901714373">
    <w:abstractNumId w:val="21"/>
  </w:num>
  <w:num w:numId="22" w16cid:durableId="468980416">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B4575C1-5539-4AEB-863C-EEED11C829E1}"/>
    <w:docVar w:name="dgnword-eventsink" w:val="2141005727888"/>
  </w:docVars>
  <w:rsids>
    <w:rsidRoot w:val="00BE737E"/>
    <w:rsid w:val="00001B60"/>
    <w:rsid w:val="000024B9"/>
    <w:rsid w:val="0000560A"/>
    <w:rsid w:val="00006753"/>
    <w:rsid w:val="000174B5"/>
    <w:rsid w:val="0002224D"/>
    <w:rsid w:val="00023194"/>
    <w:rsid w:val="000245A0"/>
    <w:rsid w:val="0002630E"/>
    <w:rsid w:val="000263E9"/>
    <w:rsid w:val="000264D3"/>
    <w:rsid w:val="00027567"/>
    <w:rsid w:val="00030437"/>
    <w:rsid w:val="00031673"/>
    <w:rsid w:val="000333A8"/>
    <w:rsid w:val="00034A23"/>
    <w:rsid w:val="00035226"/>
    <w:rsid w:val="000438D9"/>
    <w:rsid w:val="000467B6"/>
    <w:rsid w:val="00046974"/>
    <w:rsid w:val="00046C2D"/>
    <w:rsid w:val="00047895"/>
    <w:rsid w:val="000507B1"/>
    <w:rsid w:val="00050CB1"/>
    <w:rsid w:val="00052BBC"/>
    <w:rsid w:val="00053554"/>
    <w:rsid w:val="00056CC4"/>
    <w:rsid w:val="0005787C"/>
    <w:rsid w:val="00061623"/>
    <w:rsid w:val="00065B48"/>
    <w:rsid w:val="000719A5"/>
    <w:rsid w:val="0007637A"/>
    <w:rsid w:val="00083DFA"/>
    <w:rsid w:val="00087E2A"/>
    <w:rsid w:val="00094FE5"/>
    <w:rsid w:val="000959D8"/>
    <w:rsid w:val="0009690A"/>
    <w:rsid w:val="000A0978"/>
    <w:rsid w:val="000A1B94"/>
    <w:rsid w:val="000A2AA7"/>
    <w:rsid w:val="000A453D"/>
    <w:rsid w:val="000A6086"/>
    <w:rsid w:val="000B2183"/>
    <w:rsid w:val="000B4238"/>
    <w:rsid w:val="000C641E"/>
    <w:rsid w:val="000C715D"/>
    <w:rsid w:val="000E06E2"/>
    <w:rsid w:val="000E0E15"/>
    <w:rsid w:val="000E13BE"/>
    <w:rsid w:val="000E29DD"/>
    <w:rsid w:val="000E34A6"/>
    <w:rsid w:val="000E3D80"/>
    <w:rsid w:val="000E5E7D"/>
    <w:rsid w:val="000E6D25"/>
    <w:rsid w:val="000E71AB"/>
    <w:rsid w:val="000F1091"/>
    <w:rsid w:val="000F203E"/>
    <w:rsid w:val="000F20C4"/>
    <w:rsid w:val="00103AB3"/>
    <w:rsid w:val="0010582B"/>
    <w:rsid w:val="00107D80"/>
    <w:rsid w:val="00110BD3"/>
    <w:rsid w:val="00112058"/>
    <w:rsid w:val="00112183"/>
    <w:rsid w:val="00112448"/>
    <w:rsid w:val="0011485B"/>
    <w:rsid w:val="00120D50"/>
    <w:rsid w:val="001212BA"/>
    <w:rsid w:val="00121F6A"/>
    <w:rsid w:val="00123DAA"/>
    <w:rsid w:val="00124B48"/>
    <w:rsid w:val="00126BEE"/>
    <w:rsid w:val="001272D5"/>
    <w:rsid w:val="00132DEC"/>
    <w:rsid w:val="001331A5"/>
    <w:rsid w:val="00133874"/>
    <w:rsid w:val="001414BF"/>
    <w:rsid w:val="00143167"/>
    <w:rsid w:val="001438A9"/>
    <w:rsid w:val="00144226"/>
    <w:rsid w:val="00145947"/>
    <w:rsid w:val="001468CC"/>
    <w:rsid w:val="00147F14"/>
    <w:rsid w:val="001508AC"/>
    <w:rsid w:val="00153657"/>
    <w:rsid w:val="001546F5"/>
    <w:rsid w:val="00155047"/>
    <w:rsid w:val="00157F35"/>
    <w:rsid w:val="00160234"/>
    <w:rsid w:val="00160956"/>
    <w:rsid w:val="00161E1C"/>
    <w:rsid w:val="00164CD3"/>
    <w:rsid w:val="00171D8B"/>
    <w:rsid w:val="00171F88"/>
    <w:rsid w:val="00173E77"/>
    <w:rsid w:val="001758F5"/>
    <w:rsid w:val="001805B5"/>
    <w:rsid w:val="00180E25"/>
    <w:rsid w:val="001831BB"/>
    <w:rsid w:val="00186B9C"/>
    <w:rsid w:val="00186D6D"/>
    <w:rsid w:val="00187E44"/>
    <w:rsid w:val="00190CEE"/>
    <w:rsid w:val="00191990"/>
    <w:rsid w:val="00192AC3"/>
    <w:rsid w:val="00196995"/>
    <w:rsid w:val="00196D1D"/>
    <w:rsid w:val="001A4F09"/>
    <w:rsid w:val="001A5B8D"/>
    <w:rsid w:val="001A7AD6"/>
    <w:rsid w:val="001B1559"/>
    <w:rsid w:val="001B2F56"/>
    <w:rsid w:val="001B6710"/>
    <w:rsid w:val="001C07BB"/>
    <w:rsid w:val="001C3D97"/>
    <w:rsid w:val="001C62A2"/>
    <w:rsid w:val="001D3AED"/>
    <w:rsid w:val="001D53BE"/>
    <w:rsid w:val="001E0C62"/>
    <w:rsid w:val="001E33E7"/>
    <w:rsid w:val="001E3AF3"/>
    <w:rsid w:val="001E4519"/>
    <w:rsid w:val="001E610D"/>
    <w:rsid w:val="001E7B66"/>
    <w:rsid w:val="001F6796"/>
    <w:rsid w:val="001F7BE4"/>
    <w:rsid w:val="00214F0E"/>
    <w:rsid w:val="00215C37"/>
    <w:rsid w:val="002172F8"/>
    <w:rsid w:val="00217EAB"/>
    <w:rsid w:val="00220A4A"/>
    <w:rsid w:val="0022498C"/>
    <w:rsid w:val="00225637"/>
    <w:rsid w:val="00226960"/>
    <w:rsid w:val="0023612C"/>
    <w:rsid w:val="00244D35"/>
    <w:rsid w:val="00245D5C"/>
    <w:rsid w:val="00245F5C"/>
    <w:rsid w:val="00246A39"/>
    <w:rsid w:val="00247146"/>
    <w:rsid w:val="00250F69"/>
    <w:rsid w:val="00252883"/>
    <w:rsid w:val="00253D03"/>
    <w:rsid w:val="002547B8"/>
    <w:rsid w:val="00261C75"/>
    <w:rsid w:val="00262341"/>
    <w:rsid w:val="002645E5"/>
    <w:rsid w:val="00265694"/>
    <w:rsid w:val="002724D0"/>
    <w:rsid w:val="00272BB8"/>
    <w:rsid w:val="00272E46"/>
    <w:rsid w:val="00274591"/>
    <w:rsid w:val="002802FB"/>
    <w:rsid w:val="0028104E"/>
    <w:rsid w:val="00281205"/>
    <w:rsid w:val="002828EE"/>
    <w:rsid w:val="00284685"/>
    <w:rsid w:val="0028610F"/>
    <w:rsid w:val="00290B01"/>
    <w:rsid w:val="00290F18"/>
    <w:rsid w:val="00291E96"/>
    <w:rsid w:val="00293E60"/>
    <w:rsid w:val="00294A73"/>
    <w:rsid w:val="002A36E4"/>
    <w:rsid w:val="002A3C61"/>
    <w:rsid w:val="002A3DF5"/>
    <w:rsid w:val="002B1CE5"/>
    <w:rsid w:val="002B202F"/>
    <w:rsid w:val="002B642C"/>
    <w:rsid w:val="002B6F6D"/>
    <w:rsid w:val="002C0D99"/>
    <w:rsid w:val="002C2719"/>
    <w:rsid w:val="002C63E9"/>
    <w:rsid w:val="002C6543"/>
    <w:rsid w:val="002C6B88"/>
    <w:rsid w:val="002D0106"/>
    <w:rsid w:val="002D1CF9"/>
    <w:rsid w:val="002D48ED"/>
    <w:rsid w:val="002D58C4"/>
    <w:rsid w:val="002D6F90"/>
    <w:rsid w:val="002E0CC9"/>
    <w:rsid w:val="002E136D"/>
    <w:rsid w:val="002E4570"/>
    <w:rsid w:val="002F11B7"/>
    <w:rsid w:val="002F13D3"/>
    <w:rsid w:val="002F2B34"/>
    <w:rsid w:val="002F3412"/>
    <w:rsid w:val="002F4DB3"/>
    <w:rsid w:val="002F5480"/>
    <w:rsid w:val="002F5B65"/>
    <w:rsid w:val="00300528"/>
    <w:rsid w:val="0030179E"/>
    <w:rsid w:val="003018C2"/>
    <w:rsid w:val="00301E9D"/>
    <w:rsid w:val="00303347"/>
    <w:rsid w:val="00305BA4"/>
    <w:rsid w:val="003078B0"/>
    <w:rsid w:val="0031038F"/>
    <w:rsid w:val="00311EC2"/>
    <w:rsid w:val="00320EE0"/>
    <w:rsid w:val="0032625C"/>
    <w:rsid w:val="00332FB0"/>
    <w:rsid w:val="003338F3"/>
    <w:rsid w:val="00337956"/>
    <w:rsid w:val="00337D19"/>
    <w:rsid w:val="003415D5"/>
    <w:rsid w:val="00341A55"/>
    <w:rsid w:val="00344F5F"/>
    <w:rsid w:val="00347C35"/>
    <w:rsid w:val="00350D1F"/>
    <w:rsid w:val="00350FFA"/>
    <w:rsid w:val="00352C33"/>
    <w:rsid w:val="0035474F"/>
    <w:rsid w:val="00356679"/>
    <w:rsid w:val="003573DC"/>
    <w:rsid w:val="003629C8"/>
    <w:rsid w:val="003638D1"/>
    <w:rsid w:val="0036395A"/>
    <w:rsid w:val="00367B31"/>
    <w:rsid w:val="0037406B"/>
    <w:rsid w:val="00382F07"/>
    <w:rsid w:val="00384DFE"/>
    <w:rsid w:val="003866AD"/>
    <w:rsid w:val="0039402A"/>
    <w:rsid w:val="00397989"/>
    <w:rsid w:val="003A276B"/>
    <w:rsid w:val="003A3104"/>
    <w:rsid w:val="003A48F7"/>
    <w:rsid w:val="003B4485"/>
    <w:rsid w:val="003C05AA"/>
    <w:rsid w:val="003C1A64"/>
    <w:rsid w:val="003C5BBA"/>
    <w:rsid w:val="003D0E60"/>
    <w:rsid w:val="003D1E9E"/>
    <w:rsid w:val="003D28F4"/>
    <w:rsid w:val="003D5816"/>
    <w:rsid w:val="003E1B36"/>
    <w:rsid w:val="003E455C"/>
    <w:rsid w:val="003E4D41"/>
    <w:rsid w:val="003E6758"/>
    <w:rsid w:val="003E6CE1"/>
    <w:rsid w:val="003F246F"/>
    <w:rsid w:val="003F425D"/>
    <w:rsid w:val="0040128C"/>
    <w:rsid w:val="0040162D"/>
    <w:rsid w:val="00401AF9"/>
    <w:rsid w:val="004029AA"/>
    <w:rsid w:val="00413C26"/>
    <w:rsid w:val="00413E86"/>
    <w:rsid w:val="00415261"/>
    <w:rsid w:val="00420E03"/>
    <w:rsid w:val="004234E4"/>
    <w:rsid w:val="00430B6E"/>
    <w:rsid w:val="00436361"/>
    <w:rsid w:val="00441619"/>
    <w:rsid w:val="0044290D"/>
    <w:rsid w:val="004435AB"/>
    <w:rsid w:val="00444995"/>
    <w:rsid w:val="00444B60"/>
    <w:rsid w:val="00447AC5"/>
    <w:rsid w:val="0045259D"/>
    <w:rsid w:val="00453C04"/>
    <w:rsid w:val="00457F56"/>
    <w:rsid w:val="0046175D"/>
    <w:rsid w:val="00462F75"/>
    <w:rsid w:val="00464D20"/>
    <w:rsid w:val="0046543D"/>
    <w:rsid w:val="00467257"/>
    <w:rsid w:val="004722E3"/>
    <w:rsid w:val="00473094"/>
    <w:rsid w:val="00473136"/>
    <w:rsid w:val="00477ED3"/>
    <w:rsid w:val="00480BDF"/>
    <w:rsid w:val="004820D0"/>
    <w:rsid w:val="00484672"/>
    <w:rsid w:val="00485643"/>
    <w:rsid w:val="00486CAF"/>
    <w:rsid w:val="004872C9"/>
    <w:rsid w:val="00491060"/>
    <w:rsid w:val="00491FDD"/>
    <w:rsid w:val="0049395F"/>
    <w:rsid w:val="004940ED"/>
    <w:rsid w:val="00497442"/>
    <w:rsid w:val="00497764"/>
    <w:rsid w:val="004A0DDF"/>
    <w:rsid w:val="004A3770"/>
    <w:rsid w:val="004A4DEA"/>
    <w:rsid w:val="004A5867"/>
    <w:rsid w:val="004A6BA2"/>
    <w:rsid w:val="004B1385"/>
    <w:rsid w:val="004B1AF5"/>
    <w:rsid w:val="004B1BE2"/>
    <w:rsid w:val="004B3671"/>
    <w:rsid w:val="004B5280"/>
    <w:rsid w:val="004B6D29"/>
    <w:rsid w:val="004B7D6C"/>
    <w:rsid w:val="004C17F8"/>
    <w:rsid w:val="004C7E1D"/>
    <w:rsid w:val="004D2651"/>
    <w:rsid w:val="004D3F89"/>
    <w:rsid w:val="004D4678"/>
    <w:rsid w:val="004D5D0A"/>
    <w:rsid w:val="004D6C33"/>
    <w:rsid w:val="004D76AE"/>
    <w:rsid w:val="004D7A4E"/>
    <w:rsid w:val="004E0BBE"/>
    <w:rsid w:val="004E187B"/>
    <w:rsid w:val="004E20A8"/>
    <w:rsid w:val="004E2DDE"/>
    <w:rsid w:val="004F0058"/>
    <w:rsid w:val="004F05FA"/>
    <w:rsid w:val="004F4BB2"/>
    <w:rsid w:val="004F6472"/>
    <w:rsid w:val="00502115"/>
    <w:rsid w:val="00502E2B"/>
    <w:rsid w:val="00507646"/>
    <w:rsid w:val="00510237"/>
    <w:rsid w:val="0051073E"/>
    <w:rsid w:val="00512253"/>
    <w:rsid w:val="005128E0"/>
    <w:rsid w:val="0051352E"/>
    <w:rsid w:val="005136D9"/>
    <w:rsid w:val="00517436"/>
    <w:rsid w:val="00517843"/>
    <w:rsid w:val="00517DA7"/>
    <w:rsid w:val="0052012B"/>
    <w:rsid w:val="00520A33"/>
    <w:rsid w:val="00522112"/>
    <w:rsid w:val="005242E0"/>
    <w:rsid w:val="0052719D"/>
    <w:rsid w:val="00527749"/>
    <w:rsid w:val="00527AE4"/>
    <w:rsid w:val="00536995"/>
    <w:rsid w:val="00544584"/>
    <w:rsid w:val="005450C2"/>
    <w:rsid w:val="005466FD"/>
    <w:rsid w:val="005471A2"/>
    <w:rsid w:val="00550A44"/>
    <w:rsid w:val="00551495"/>
    <w:rsid w:val="00552BCB"/>
    <w:rsid w:val="0055361A"/>
    <w:rsid w:val="005546EE"/>
    <w:rsid w:val="005562FD"/>
    <w:rsid w:val="00556FD4"/>
    <w:rsid w:val="005573EB"/>
    <w:rsid w:val="005615F6"/>
    <w:rsid w:val="00561FED"/>
    <w:rsid w:val="00566FA0"/>
    <w:rsid w:val="005742A4"/>
    <w:rsid w:val="00574F04"/>
    <w:rsid w:val="00575DDE"/>
    <w:rsid w:val="005829F6"/>
    <w:rsid w:val="00582CFB"/>
    <w:rsid w:val="0058535E"/>
    <w:rsid w:val="00585B47"/>
    <w:rsid w:val="00592603"/>
    <w:rsid w:val="00593E70"/>
    <w:rsid w:val="00595375"/>
    <w:rsid w:val="005963EA"/>
    <w:rsid w:val="005A3030"/>
    <w:rsid w:val="005B1472"/>
    <w:rsid w:val="005B4CAD"/>
    <w:rsid w:val="005C18E6"/>
    <w:rsid w:val="005C2551"/>
    <w:rsid w:val="005C257B"/>
    <w:rsid w:val="005C2702"/>
    <w:rsid w:val="005C2E81"/>
    <w:rsid w:val="005C7545"/>
    <w:rsid w:val="005D04C7"/>
    <w:rsid w:val="005D06FD"/>
    <w:rsid w:val="005D0E6B"/>
    <w:rsid w:val="005D15F4"/>
    <w:rsid w:val="005D1813"/>
    <w:rsid w:val="005D5556"/>
    <w:rsid w:val="005D70C6"/>
    <w:rsid w:val="005E24E2"/>
    <w:rsid w:val="005E2CD9"/>
    <w:rsid w:val="005E310E"/>
    <w:rsid w:val="005E340E"/>
    <w:rsid w:val="005E4398"/>
    <w:rsid w:val="005E4A66"/>
    <w:rsid w:val="005E524B"/>
    <w:rsid w:val="005E5494"/>
    <w:rsid w:val="005E5A11"/>
    <w:rsid w:val="005F6DE4"/>
    <w:rsid w:val="006012B5"/>
    <w:rsid w:val="0060221C"/>
    <w:rsid w:val="00603552"/>
    <w:rsid w:val="00610B88"/>
    <w:rsid w:val="00610CCD"/>
    <w:rsid w:val="00614071"/>
    <w:rsid w:val="00616690"/>
    <w:rsid w:val="006172F9"/>
    <w:rsid w:val="00617BAC"/>
    <w:rsid w:val="006204F3"/>
    <w:rsid w:val="00621FCC"/>
    <w:rsid w:val="006232CB"/>
    <w:rsid w:val="00623329"/>
    <w:rsid w:val="00624E3D"/>
    <w:rsid w:val="00625BFB"/>
    <w:rsid w:val="00626ED1"/>
    <w:rsid w:val="00627008"/>
    <w:rsid w:val="00630DDF"/>
    <w:rsid w:val="0063502C"/>
    <w:rsid w:val="006357B0"/>
    <w:rsid w:val="00642837"/>
    <w:rsid w:val="006472C5"/>
    <w:rsid w:val="00651720"/>
    <w:rsid w:val="00654423"/>
    <w:rsid w:val="00654D43"/>
    <w:rsid w:val="00655182"/>
    <w:rsid w:val="00657FAD"/>
    <w:rsid w:val="006671A7"/>
    <w:rsid w:val="006800D1"/>
    <w:rsid w:val="006810D4"/>
    <w:rsid w:val="006868A5"/>
    <w:rsid w:val="0068736D"/>
    <w:rsid w:val="00692093"/>
    <w:rsid w:val="0069497F"/>
    <w:rsid w:val="00694AB6"/>
    <w:rsid w:val="00694E10"/>
    <w:rsid w:val="006A0E37"/>
    <w:rsid w:val="006A1EE6"/>
    <w:rsid w:val="006A45DF"/>
    <w:rsid w:val="006A6170"/>
    <w:rsid w:val="006B429B"/>
    <w:rsid w:val="006C010D"/>
    <w:rsid w:val="006C058F"/>
    <w:rsid w:val="006C2B7F"/>
    <w:rsid w:val="006C53E2"/>
    <w:rsid w:val="006C5B47"/>
    <w:rsid w:val="006D1D7C"/>
    <w:rsid w:val="006D2006"/>
    <w:rsid w:val="006D286E"/>
    <w:rsid w:val="006D5DB9"/>
    <w:rsid w:val="006D7194"/>
    <w:rsid w:val="006D7839"/>
    <w:rsid w:val="006D7C29"/>
    <w:rsid w:val="006E57FB"/>
    <w:rsid w:val="006E5D6E"/>
    <w:rsid w:val="006E737A"/>
    <w:rsid w:val="006F0FA4"/>
    <w:rsid w:val="006F2057"/>
    <w:rsid w:val="006F2793"/>
    <w:rsid w:val="006F2D44"/>
    <w:rsid w:val="006F346D"/>
    <w:rsid w:val="006F3676"/>
    <w:rsid w:val="006F49FA"/>
    <w:rsid w:val="006F586D"/>
    <w:rsid w:val="006F6073"/>
    <w:rsid w:val="006F7676"/>
    <w:rsid w:val="00700F52"/>
    <w:rsid w:val="007011A1"/>
    <w:rsid w:val="00701CBB"/>
    <w:rsid w:val="0070279D"/>
    <w:rsid w:val="007061AC"/>
    <w:rsid w:val="0071128D"/>
    <w:rsid w:val="00720274"/>
    <w:rsid w:val="00721B03"/>
    <w:rsid w:val="00722809"/>
    <w:rsid w:val="00730098"/>
    <w:rsid w:val="0073263A"/>
    <w:rsid w:val="0073391D"/>
    <w:rsid w:val="007361CF"/>
    <w:rsid w:val="00736C5C"/>
    <w:rsid w:val="0073779E"/>
    <w:rsid w:val="00746BA9"/>
    <w:rsid w:val="00747848"/>
    <w:rsid w:val="00752A66"/>
    <w:rsid w:val="0075363C"/>
    <w:rsid w:val="00753E2A"/>
    <w:rsid w:val="00757CC4"/>
    <w:rsid w:val="0076369D"/>
    <w:rsid w:val="00771013"/>
    <w:rsid w:val="0077251D"/>
    <w:rsid w:val="00773F44"/>
    <w:rsid w:val="00783DDD"/>
    <w:rsid w:val="007855CC"/>
    <w:rsid w:val="00786000"/>
    <w:rsid w:val="0078787D"/>
    <w:rsid w:val="00792945"/>
    <w:rsid w:val="007951DF"/>
    <w:rsid w:val="007A0485"/>
    <w:rsid w:val="007A12F0"/>
    <w:rsid w:val="007A308D"/>
    <w:rsid w:val="007B02A9"/>
    <w:rsid w:val="007B17AE"/>
    <w:rsid w:val="007B1ABA"/>
    <w:rsid w:val="007B35B9"/>
    <w:rsid w:val="007B74C5"/>
    <w:rsid w:val="007C570B"/>
    <w:rsid w:val="007D0D66"/>
    <w:rsid w:val="007D678A"/>
    <w:rsid w:val="007D7C8A"/>
    <w:rsid w:val="007E7835"/>
    <w:rsid w:val="007F090C"/>
    <w:rsid w:val="007F13A8"/>
    <w:rsid w:val="007F1EC9"/>
    <w:rsid w:val="007F2798"/>
    <w:rsid w:val="007F3BCD"/>
    <w:rsid w:val="007F4B32"/>
    <w:rsid w:val="007F50E3"/>
    <w:rsid w:val="00801683"/>
    <w:rsid w:val="00803079"/>
    <w:rsid w:val="008067D7"/>
    <w:rsid w:val="00807355"/>
    <w:rsid w:val="0081119B"/>
    <w:rsid w:val="00816123"/>
    <w:rsid w:val="00816B5C"/>
    <w:rsid w:val="008170F7"/>
    <w:rsid w:val="00817283"/>
    <w:rsid w:val="00820AD7"/>
    <w:rsid w:val="00821F77"/>
    <w:rsid w:val="0082550C"/>
    <w:rsid w:val="00831041"/>
    <w:rsid w:val="008311F1"/>
    <w:rsid w:val="0083378E"/>
    <w:rsid w:val="00834736"/>
    <w:rsid w:val="0083780F"/>
    <w:rsid w:val="008409C9"/>
    <w:rsid w:val="00841B06"/>
    <w:rsid w:val="00841D78"/>
    <w:rsid w:val="0084366F"/>
    <w:rsid w:val="00844F0B"/>
    <w:rsid w:val="00845E2A"/>
    <w:rsid w:val="008463A8"/>
    <w:rsid w:val="008507C1"/>
    <w:rsid w:val="00850B4E"/>
    <w:rsid w:val="00851F4A"/>
    <w:rsid w:val="00852213"/>
    <w:rsid w:val="00855F67"/>
    <w:rsid w:val="00856973"/>
    <w:rsid w:val="00857365"/>
    <w:rsid w:val="00857550"/>
    <w:rsid w:val="008613E9"/>
    <w:rsid w:val="008616B8"/>
    <w:rsid w:val="00861934"/>
    <w:rsid w:val="008619B4"/>
    <w:rsid w:val="00866AB1"/>
    <w:rsid w:val="008712F1"/>
    <w:rsid w:val="00872DB3"/>
    <w:rsid w:val="00872E6C"/>
    <w:rsid w:val="0087303B"/>
    <w:rsid w:val="008734C2"/>
    <w:rsid w:val="00874F80"/>
    <w:rsid w:val="008765E5"/>
    <w:rsid w:val="00881726"/>
    <w:rsid w:val="00882D55"/>
    <w:rsid w:val="00884580"/>
    <w:rsid w:val="00886929"/>
    <w:rsid w:val="00887A0C"/>
    <w:rsid w:val="0089444D"/>
    <w:rsid w:val="00894A30"/>
    <w:rsid w:val="00894E30"/>
    <w:rsid w:val="00896059"/>
    <w:rsid w:val="008A014E"/>
    <w:rsid w:val="008A0576"/>
    <w:rsid w:val="008A14A3"/>
    <w:rsid w:val="008A1B9A"/>
    <w:rsid w:val="008A2921"/>
    <w:rsid w:val="008A3129"/>
    <w:rsid w:val="008A3324"/>
    <w:rsid w:val="008A351F"/>
    <w:rsid w:val="008A43D7"/>
    <w:rsid w:val="008A50B7"/>
    <w:rsid w:val="008A7F42"/>
    <w:rsid w:val="008B05CE"/>
    <w:rsid w:val="008B7AF4"/>
    <w:rsid w:val="008C1C97"/>
    <w:rsid w:val="008C43F1"/>
    <w:rsid w:val="008C712E"/>
    <w:rsid w:val="008D0166"/>
    <w:rsid w:val="008D351A"/>
    <w:rsid w:val="008D3D50"/>
    <w:rsid w:val="008D55B2"/>
    <w:rsid w:val="008D59D7"/>
    <w:rsid w:val="008D7521"/>
    <w:rsid w:val="008D7DA9"/>
    <w:rsid w:val="008E1328"/>
    <w:rsid w:val="008E2854"/>
    <w:rsid w:val="008E2C7D"/>
    <w:rsid w:val="008E2D44"/>
    <w:rsid w:val="008E5FE6"/>
    <w:rsid w:val="008F0AC9"/>
    <w:rsid w:val="008F15C3"/>
    <w:rsid w:val="00900020"/>
    <w:rsid w:val="00903150"/>
    <w:rsid w:val="00904085"/>
    <w:rsid w:val="00906509"/>
    <w:rsid w:val="00916F62"/>
    <w:rsid w:val="009263A5"/>
    <w:rsid w:val="00926E7E"/>
    <w:rsid w:val="009308F9"/>
    <w:rsid w:val="00930CDA"/>
    <w:rsid w:val="00932D08"/>
    <w:rsid w:val="0093473D"/>
    <w:rsid w:val="009370AF"/>
    <w:rsid w:val="00943C51"/>
    <w:rsid w:val="0094595A"/>
    <w:rsid w:val="00945B0C"/>
    <w:rsid w:val="00955CA2"/>
    <w:rsid w:val="0095636C"/>
    <w:rsid w:val="00956699"/>
    <w:rsid w:val="00957591"/>
    <w:rsid w:val="009626F7"/>
    <w:rsid w:val="0096308E"/>
    <w:rsid w:val="00966852"/>
    <w:rsid w:val="009700CD"/>
    <w:rsid w:val="00972F57"/>
    <w:rsid w:val="00973EE2"/>
    <w:rsid w:val="00976A32"/>
    <w:rsid w:val="00977BFB"/>
    <w:rsid w:val="009849EE"/>
    <w:rsid w:val="00984FB8"/>
    <w:rsid w:val="00990242"/>
    <w:rsid w:val="00991A55"/>
    <w:rsid w:val="009921F9"/>
    <w:rsid w:val="00995280"/>
    <w:rsid w:val="009958AC"/>
    <w:rsid w:val="009A051A"/>
    <w:rsid w:val="009A1E7F"/>
    <w:rsid w:val="009A555F"/>
    <w:rsid w:val="009A5F4D"/>
    <w:rsid w:val="009A698F"/>
    <w:rsid w:val="009A7DE4"/>
    <w:rsid w:val="009B4987"/>
    <w:rsid w:val="009B6F4A"/>
    <w:rsid w:val="009C06B4"/>
    <w:rsid w:val="009C4E81"/>
    <w:rsid w:val="009C58E2"/>
    <w:rsid w:val="009D1239"/>
    <w:rsid w:val="009D20FD"/>
    <w:rsid w:val="009D348A"/>
    <w:rsid w:val="009D3DB2"/>
    <w:rsid w:val="009D5877"/>
    <w:rsid w:val="009D65BD"/>
    <w:rsid w:val="009D7A44"/>
    <w:rsid w:val="009E3BDB"/>
    <w:rsid w:val="009E3DB1"/>
    <w:rsid w:val="009E66C4"/>
    <w:rsid w:val="009F056C"/>
    <w:rsid w:val="009F35A6"/>
    <w:rsid w:val="009F5592"/>
    <w:rsid w:val="00A00449"/>
    <w:rsid w:val="00A03EC4"/>
    <w:rsid w:val="00A1363D"/>
    <w:rsid w:val="00A14CAE"/>
    <w:rsid w:val="00A1688D"/>
    <w:rsid w:val="00A17735"/>
    <w:rsid w:val="00A17E2A"/>
    <w:rsid w:val="00A220A8"/>
    <w:rsid w:val="00A22849"/>
    <w:rsid w:val="00A24BC1"/>
    <w:rsid w:val="00A24E6E"/>
    <w:rsid w:val="00A2792B"/>
    <w:rsid w:val="00A30E29"/>
    <w:rsid w:val="00A35128"/>
    <w:rsid w:val="00A36064"/>
    <w:rsid w:val="00A36B42"/>
    <w:rsid w:val="00A36CCC"/>
    <w:rsid w:val="00A43694"/>
    <w:rsid w:val="00A5234A"/>
    <w:rsid w:val="00A523C5"/>
    <w:rsid w:val="00A56FC7"/>
    <w:rsid w:val="00A57717"/>
    <w:rsid w:val="00A63FB0"/>
    <w:rsid w:val="00A6482D"/>
    <w:rsid w:val="00A656A9"/>
    <w:rsid w:val="00A72575"/>
    <w:rsid w:val="00A72C79"/>
    <w:rsid w:val="00A73008"/>
    <w:rsid w:val="00A74071"/>
    <w:rsid w:val="00A77340"/>
    <w:rsid w:val="00A84DA9"/>
    <w:rsid w:val="00A853D2"/>
    <w:rsid w:val="00A87442"/>
    <w:rsid w:val="00A90098"/>
    <w:rsid w:val="00A9068E"/>
    <w:rsid w:val="00A910EC"/>
    <w:rsid w:val="00A92513"/>
    <w:rsid w:val="00AA124A"/>
    <w:rsid w:val="00AA2A96"/>
    <w:rsid w:val="00AA5291"/>
    <w:rsid w:val="00AA6776"/>
    <w:rsid w:val="00AB08CD"/>
    <w:rsid w:val="00AB179D"/>
    <w:rsid w:val="00AB21B5"/>
    <w:rsid w:val="00AB2958"/>
    <w:rsid w:val="00AB534E"/>
    <w:rsid w:val="00AB7603"/>
    <w:rsid w:val="00AC0BFA"/>
    <w:rsid w:val="00AC0C27"/>
    <w:rsid w:val="00AE4DD4"/>
    <w:rsid w:val="00AE76F8"/>
    <w:rsid w:val="00B00621"/>
    <w:rsid w:val="00B0129E"/>
    <w:rsid w:val="00B02912"/>
    <w:rsid w:val="00B0360E"/>
    <w:rsid w:val="00B04B1A"/>
    <w:rsid w:val="00B065DE"/>
    <w:rsid w:val="00B06DF7"/>
    <w:rsid w:val="00B07931"/>
    <w:rsid w:val="00B100CC"/>
    <w:rsid w:val="00B10415"/>
    <w:rsid w:val="00B14B2B"/>
    <w:rsid w:val="00B15E2B"/>
    <w:rsid w:val="00B176E0"/>
    <w:rsid w:val="00B2190A"/>
    <w:rsid w:val="00B309D3"/>
    <w:rsid w:val="00B36606"/>
    <w:rsid w:val="00B403E0"/>
    <w:rsid w:val="00B40A79"/>
    <w:rsid w:val="00B41CA9"/>
    <w:rsid w:val="00B45F5E"/>
    <w:rsid w:val="00B462E9"/>
    <w:rsid w:val="00B47831"/>
    <w:rsid w:val="00B50571"/>
    <w:rsid w:val="00B50B78"/>
    <w:rsid w:val="00B5246C"/>
    <w:rsid w:val="00B524DE"/>
    <w:rsid w:val="00B600CB"/>
    <w:rsid w:val="00B6093A"/>
    <w:rsid w:val="00B630F0"/>
    <w:rsid w:val="00B6689D"/>
    <w:rsid w:val="00B72278"/>
    <w:rsid w:val="00B72368"/>
    <w:rsid w:val="00B814D9"/>
    <w:rsid w:val="00B828B3"/>
    <w:rsid w:val="00B849C3"/>
    <w:rsid w:val="00B867C8"/>
    <w:rsid w:val="00B9007A"/>
    <w:rsid w:val="00B968F4"/>
    <w:rsid w:val="00BA39CB"/>
    <w:rsid w:val="00BA5E23"/>
    <w:rsid w:val="00BA6DC9"/>
    <w:rsid w:val="00BB1756"/>
    <w:rsid w:val="00BB51C0"/>
    <w:rsid w:val="00BB52E3"/>
    <w:rsid w:val="00BC081A"/>
    <w:rsid w:val="00BC3A75"/>
    <w:rsid w:val="00BC6B42"/>
    <w:rsid w:val="00BD097F"/>
    <w:rsid w:val="00BD12E0"/>
    <w:rsid w:val="00BD3C4B"/>
    <w:rsid w:val="00BD42D6"/>
    <w:rsid w:val="00BE0B1A"/>
    <w:rsid w:val="00BE1337"/>
    <w:rsid w:val="00BE14FB"/>
    <w:rsid w:val="00BE4E4B"/>
    <w:rsid w:val="00BE737E"/>
    <w:rsid w:val="00BF04E5"/>
    <w:rsid w:val="00BF1BDF"/>
    <w:rsid w:val="00BF357D"/>
    <w:rsid w:val="00BF35FC"/>
    <w:rsid w:val="00BF5796"/>
    <w:rsid w:val="00C01999"/>
    <w:rsid w:val="00C01A69"/>
    <w:rsid w:val="00C02833"/>
    <w:rsid w:val="00C058F1"/>
    <w:rsid w:val="00C06205"/>
    <w:rsid w:val="00C2184E"/>
    <w:rsid w:val="00C22098"/>
    <w:rsid w:val="00C23CEA"/>
    <w:rsid w:val="00C24C17"/>
    <w:rsid w:val="00C26950"/>
    <w:rsid w:val="00C271D7"/>
    <w:rsid w:val="00C400F4"/>
    <w:rsid w:val="00C448D2"/>
    <w:rsid w:val="00C4551A"/>
    <w:rsid w:val="00C46376"/>
    <w:rsid w:val="00C535E5"/>
    <w:rsid w:val="00C542DC"/>
    <w:rsid w:val="00C54D58"/>
    <w:rsid w:val="00C54DB3"/>
    <w:rsid w:val="00C56CCE"/>
    <w:rsid w:val="00C570D3"/>
    <w:rsid w:val="00C573E1"/>
    <w:rsid w:val="00C601E3"/>
    <w:rsid w:val="00C60FEA"/>
    <w:rsid w:val="00C66374"/>
    <w:rsid w:val="00C66530"/>
    <w:rsid w:val="00C673C6"/>
    <w:rsid w:val="00C67E78"/>
    <w:rsid w:val="00C76A76"/>
    <w:rsid w:val="00C80E8E"/>
    <w:rsid w:val="00C816C1"/>
    <w:rsid w:val="00C81E97"/>
    <w:rsid w:val="00C82A9E"/>
    <w:rsid w:val="00C82B68"/>
    <w:rsid w:val="00C85BC2"/>
    <w:rsid w:val="00C85EB9"/>
    <w:rsid w:val="00C86ACD"/>
    <w:rsid w:val="00C90260"/>
    <w:rsid w:val="00C95DF6"/>
    <w:rsid w:val="00CA0EBA"/>
    <w:rsid w:val="00CA49C5"/>
    <w:rsid w:val="00CA5470"/>
    <w:rsid w:val="00CA56AE"/>
    <w:rsid w:val="00CB03AF"/>
    <w:rsid w:val="00CB0BE5"/>
    <w:rsid w:val="00CB3A74"/>
    <w:rsid w:val="00CB5D07"/>
    <w:rsid w:val="00CB68EC"/>
    <w:rsid w:val="00CB6C95"/>
    <w:rsid w:val="00CC34D1"/>
    <w:rsid w:val="00CC5F31"/>
    <w:rsid w:val="00CC622D"/>
    <w:rsid w:val="00CC7040"/>
    <w:rsid w:val="00CC7732"/>
    <w:rsid w:val="00CD195D"/>
    <w:rsid w:val="00CE0811"/>
    <w:rsid w:val="00CE0B58"/>
    <w:rsid w:val="00CE2B9A"/>
    <w:rsid w:val="00CE3285"/>
    <w:rsid w:val="00CF4139"/>
    <w:rsid w:val="00CF47AA"/>
    <w:rsid w:val="00D01AA8"/>
    <w:rsid w:val="00D02774"/>
    <w:rsid w:val="00D04FCC"/>
    <w:rsid w:val="00D06195"/>
    <w:rsid w:val="00D12632"/>
    <w:rsid w:val="00D14CD5"/>
    <w:rsid w:val="00D15FE9"/>
    <w:rsid w:val="00D16F85"/>
    <w:rsid w:val="00D177C1"/>
    <w:rsid w:val="00D242AC"/>
    <w:rsid w:val="00D24863"/>
    <w:rsid w:val="00D25206"/>
    <w:rsid w:val="00D30D12"/>
    <w:rsid w:val="00D36D03"/>
    <w:rsid w:val="00D478D9"/>
    <w:rsid w:val="00D51640"/>
    <w:rsid w:val="00D51D76"/>
    <w:rsid w:val="00D530A4"/>
    <w:rsid w:val="00D5424B"/>
    <w:rsid w:val="00D55973"/>
    <w:rsid w:val="00D5613E"/>
    <w:rsid w:val="00D56303"/>
    <w:rsid w:val="00D60A3B"/>
    <w:rsid w:val="00D630B7"/>
    <w:rsid w:val="00D66F33"/>
    <w:rsid w:val="00D6727C"/>
    <w:rsid w:val="00D675E4"/>
    <w:rsid w:val="00D679D2"/>
    <w:rsid w:val="00D67EFC"/>
    <w:rsid w:val="00D70A31"/>
    <w:rsid w:val="00D742C3"/>
    <w:rsid w:val="00D7543B"/>
    <w:rsid w:val="00D755E8"/>
    <w:rsid w:val="00D92B12"/>
    <w:rsid w:val="00D92D20"/>
    <w:rsid w:val="00D93190"/>
    <w:rsid w:val="00D97366"/>
    <w:rsid w:val="00DA1B7B"/>
    <w:rsid w:val="00DA3E56"/>
    <w:rsid w:val="00DA4720"/>
    <w:rsid w:val="00DA5EF7"/>
    <w:rsid w:val="00DA6D40"/>
    <w:rsid w:val="00DB6222"/>
    <w:rsid w:val="00DB79DF"/>
    <w:rsid w:val="00DBA1D4"/>
    <w:rsid w:val="00DC1AC7"/>
    <w:rsid w:val="00DC1E28"/>
    <w:rsid w:val="00DC3F66"/>
    <w:rsid w:val="00DD000C"/>
    <w:rsid w:val="00DD0BEF"/>
    <w:rsid w:val="00DD148F"/>
    <w:rsid w:val="00DD1987"/>
    <w:rsid w:val="00DD413E"/>
    <w:rsid w:val="00DD649B"/>
    <w:rsid w:val="00DD7D8D"/>
    <w:rsid w:val="00DE1A32"/>
    <w:rsid w:val="00DE2423"/>
    <w:rsid w:val="00DE34EB"/>
    <w:rsid w:val="00DE4697"/>
    <w:rsid w:val="00DE6335"/>
    <w:rsid w:val="00DE697F"/>
    <w:rsid w:val="00DF0B36"/>
    <w:rsid w:val="00DF12B3"/>
    <w:rsid w:val="00DF153F"/>
    <w:rsid w:val="00DF1C9A"/>
    <w:rsid w:val="00DF4CE6"/>
    <w:rsid w:val="00DF56C5"/>
    <w:rsid w:val="00E018B3"/>
    <w:rsid w:val="00E0420F"/>
    <w:rsid w:val="00E046DF"/>
    <w:rsid w:val="00E05B3E"/>
    <w:rsid w:val="00E06866"/>
    <w:rsid w:val="00E06D10"/>
    <w:rsid w:val="00E073CD"/>
    <w:rsid w:val="00E077FC"/>
    <w:rsid w:val="00E11B8D"/>
    <w:rsid w:val="00E13A2B"/>
    <w:rsid w:val="00E175EB"/>
    <w:rsid w:val="00E17D0C"/>
    <w:rsid w:val="00E26563"/>
    <w:rsid w:val="00E32B26"/>
    <w:rsid w:val="00E40844"/>
    <w:rsid w:val="00E41EC4"/>
    <w:rsid w:val="00E42C05"/>
    <w:rsid w:val="00E443E0"/>
    <w:rsid w:val="00E45658"/>
    <w:rsid w:val="00E52D50"/>
    <w:rsid w:val="00E5360A"/>
    <w:rsid w:val="00E561B2"/>
    <w:rsid w:val="00E57189"/>
    <w:rsid w:val="00E6634C"/>
    <w:rsid w:val="00E70C9A"/>
    <w:rsid w:val="00E71351"/>
    <w:rsid w:val="00E71E1D"/>
    <w:rsid w:val="00E73D88"/>
    <w:rsid w:val="00E7455A"/>
    <w:rsid w:val="00E757A9"/>
    <w:rsid w:val="00E75CB0"/>
    <w:rsid w:val="00E8088D"/>
    <w:rsid w:val="00E85C56"/>
    <w:rsid w:val="00E866AC"/>
    <w:rsid w:val="00E870A0"/>
    <w:rsid w:val="00E90831"/>
    <w:rsid w:val="00E95693"/>
    <w:rsid w:val="00EA32F7"/>
    <w:rsid w:val="00EA5421"/>
    <w:rsid w:val="00EA67FC"/>
    <w:rsid w:val="00EA68CB"/>
    <w:rsid w:val="00EB03B2"/>
    <w:rsid w:val="00EB316B"/>
    <w:rsid w:val="00EB6822"/>
    <w:rsid w:val="00EB73F5"/>
    <w:rsid w:val="00EC08FC"/>
    <w:rsid w:val="00EC3468"/>
    <w:rsid w:val="00EC380B"/>
    <w:rsid w:val="00EC4143"/>
    <w:rsid w:val="00EC4678"/>
    <w:rsid w:val="00EC5A85"/>
    <w:rsid w:val="00EC7D77"/>
    <w:rsid w:val="00ED31B7"/>
    <w:rsid w:val="00ED3309"/>
    <w:rsid w:val="00EE1C1B"/>
    <w:rsid w:val="00EE3679"/>
    <w:rsid w:val="00EE5214"/>
    <w:rsid w:val="00EE631B"/>
    <w:rsid w:val="00EE749E"/>
    <w:rsid w:val="00EF1D7C"/>
    <w:rsid w:val="00F001D1"/>
    <w:rsid w:val="00F032CA"/>
    <w:rsid w:val="00F04CE5"/>
    <w:rsid w:val="00F068E5"/>
    <w:rsid w:val="00F07E8A"/>
    <w:rsid w:val="00F1105B"/>
    <w:rsid w:val="00F13FC4"/>
    <w:rsid w:val="00F14DB2"/>
    <w:rsid w:val="00F16576"/>
    <w:rsid w:val="00F17DBC"/>
    <w:rsid w:val="00F21F26"/>
    <w:rsid w:val="00F224B9"/>
    <w:rsid w:val="00F227F1"/>
    <w:rsid w:val="00F230CD"/>
    <w:rsid w:val="00F23A65"/>
    <w:rsid w:val="00F260A0"/>
    <w:rsid w:val="00F31F13"/>
    <w:rsid w:val="00F32611"/>
    <w:rsid w:val="00F32BD3"/>
    <w:rsid w:val="00F3483E"/>
    <w:rsid w:val="00F37691"/>
    <w:rsid w:val="00F400BC"/>
    <w:rsid w:val="00F507D9"/>
    <w:rsid w:val="00F51C18"/>
    <w:rsid w:val="00F5340E"/>
    <w:rsid w:val="00F5479B"/>
    <w:rsid w:val="00F628D5"/>
    <w:rsid w:val="00F63BF2"/>
    <w:rsid w:val="00F703D9"/>
    <w:rsid w:val="00F708A4"/>
    <w:rsid w:val="00F72AE6"/>
    <w:rsid w:val="00F755F4"/>
    <w:rsid w:val="00F75931"/>
    <w:rsid w:val="00F764BB"/>
    <w:rsid w:val="00F8357F"/>
    <w:rsid w:val="00F848AA"/>
    <w:rsid w:val="00F92098"/>
    <w:rsid w:val="00F9354D"/>
    <w:rsid w:val="00F9372F"/>
    <w:rsid w:val="00FA31E2"/>
    <w:rsid w:val="00FA7966"/>
    <w:rsid w:val="00FB6DE3"/>
    <w:rsid w:val="00FB725A"/>
    <w:rsid w:val="00FB746D"/>
    <w:rsid w:val="00FD31C3"/>
    <w:rsid w:val="00FD4F64"/>
    <w:rsid w:val="00FD56EF"/>
    <w:rsid w:val="00FE04A2"/>
    <w:rsid w:val="00FE1A9A"/>
    <w:rsid w:val="00FE366C"/>
    <w:rsid w:val="00FE5699"/>
    <w:rsid w:val="00FE5ED1"/>
    <w:rsid w:val="00FF2281"/>
    <w:rsid w:val="00FF5B70"/>
    <w:rsid w:val="00FF5BB9"/>
    <w:rsid w:val="00FF61BE"/>
    <w:rsid w:val="01522E2A"/>
    <w:rsid w:val="0175C968"/>
    <w:rsid w:val="0190E638"/>
    <w:rsid w:val="01E552DB"/>
    <w:rsid w:val="02B0A239"/>
    <w:rsid w:val="02BE619A"/>
    <w:rsid w:val="02D5403D"/>
    <w:rsid w:val="03116662"/>
    <w:rsid w:val="03615768"/>
    <w:rsid w:val="038B5625"/>
    <w:rsid w:val="039C6586"/>
    <w:rsid w:val="0407C257"/>
    <w:rsid w:val="04490626"/>
    <w:rsid w:val="047D730D"/>
    <w:rsid w:val="04931485"/>
    <w:rsid w:val="059D35F8"/>
    <w:rsid w:val="059F04A2"/>
    <w:rsid w:val="05B77880"/>
    <w:rsid w:val="05F5C415"/>
    <w:rsid w:val="062125CC"/>
    <w:rsid w:val="06CB0462"/>
    <w:rsid w:val="0717246F"/>
    <w:rsid w:val="077AB12D"/>
    <w:rsid w:val="077B846C"/>
    <w:rsid w:val="08310988"/>
    <w:rsid w:val="0833A279"/>
    <w:rsid w:val="0871505F"/>
    <w:rsid w:val="0871FE02"/>
    <w:rsid w:val="0876144F"/>
    <w:rsid w:val="08B1D318"/>
    <w:rsid w:val="09032798"/>
    <w:rsid w:val="09281B05"/>
    <w:rsid w:val="09D8FB77"/>
    <w:rsid w:val="0A0CDAA0"/>
    <w:rsid w:val="0A36F4E7"/>
    <w:rsid w:val="0A41D9C1"/>
    <w:rsid w:val="0A86EFCB"/>
    <w:rsid w:val="0AB355CB"/>
    <w:rsid w:val="0AC9CD51"/>
    <w:rsid w:val="0B762922"/>
    <w:rsid w:val="0B83304F"/>
    <w:rsid w:val="0C038A44"/>
    <w:rsid w:val="0D2EEA91"/>
    <w:rsid w:val="0D88E638"/>
    <w:rsid w:val="0D90B7B3"/>
    <w:rsid w:val="0DEDEF9F"/>
    <w:rsid w:val="0E08B9AD"/>
    <w:rsid w:val="0E0CF56E"/>
    <w:rsid w:val="0E25C833"/>
    <w:rsid w:val="0ECC6D7A"/>
    <w:rsid w:val="0EF18AFF"/>
    <w:rsid w:val="0FBC159B"/>
    <w:rsid w:val="10556D8B"/>
    <w:rsid w:val="1075DD43"/>
    <w:rsid w:val="1079DA71"/>
    <w:rsid w:val="108AB23C"/>
    <w:rsid w:val="10C56F66"/>
    <w:rsid w:val="1120CA92"/>
    <w:rsid w:val="112B916D"/>
    <w:rsid w:val="11399CCD"/>
    <w:rsid w:val="13438265"/>
    <w:rsid w:val="13757439"/>
    <w:rsid w:val="13972B61"/>
    <w:rsid w:val="14847AC9"/>
    <w:rsid w:val="14C7B699"/>
    <w:rsid w:val="14D0E1F3"/>
    <w:rsid w:val="15831754"/>
    <w:rsid w:val="15AFE0B5"/>
    <w:rsid w:val="1661A932"/>
    <w:rsid w:val="167964AF"/>
    <w:rsid w:val="16C6C267"/>
    <w:rsid w:val="16FF1E66"/>
    <w:rsid w:val="1740A079"/>
    <w:rsid w:val="174DE338"/>
    <w:rsid w:val="18048263"/>
    <w:rsid w:val="180DC13B"/>
    <w:rsid w:val="1876DB7D"/>
    <w:rsid w:val="18A7FEC7"/>
    <w:rsid w:val="18B520CD"/>
    <w:rsid w:val="18C9E5E1"/>
    <w:rsid w:val="18CA46B4"/>
    <w:rsid w:val="195F213F"/>
    <w:rsid w:val="19CCA602"/>
    <w:rsid w:val="1AA5DF9C"/>
    <w:rsid w:val="1AE1E1EF"/>
    <w:rsid w:val="1AF4E4F6"/>
    <w:rsid w:val="1AFD4FE9"/>
    <w:rsid w:val="1B0069AE"/>
    <w:rsid w:val="1B136843"/>
    <w:rsid w:val="1B5A451E"/>
    <w:rsid w:val="1BAE8542"/>
    <w:rsid w:val="1BB0B155"/>
    <w:rsid w:val="1C3FAF30"/>
    <w:rsid w:val="1C8C6E0B"/>
    <w:rsid w:val="1CBCA85A"/>
    <w:rsid w:val="1CCC0086"/>
    <w:rsid w:val="1D09F338"/>
    <w:rsid w:val="1D19A77C"/>
    <w:rsid w:val="1D209118"/>
    <w:rsid w:val="1D2A91E2"/>
    <w:rsid w:val="1DB21D32"/>
    <w:rsid w:val="1DC7E8F3"/>
    <w:rsid w:val="1E7B4D9B"/>
    <w:rsid w:val="1EA55713"/>
    <w:rsid w:val="1EC9166F"/>
    <w:rsid w:val="1EDC9711"/>
    <w:rsid w:val="1F40090F"/>
    <w:rsid w:val="1F5AF5A1"/>
    <w:rsid w:val="2077AAC9"/>
    <w:rsid w:val="20A75DE2"/>
    <w:rsid w:val="20BCDF58"/>
    <w:rsid w:val="20EB932E"/>
    <w:rsid w:val="21343371"/>
    <w:rsid w:val="21A1D50F"/>
    <w:rsid w:val="21BBED1E"/>
    <w:rsid w:val="22443ECC"/>
    <w:rsid w:val="2310E317"/>
    <w:rsid w:val="231A2048"/>
    <w:rsid w:val="233F23FE"/>
    <w:rsid w:val="234A5D40"/>
    <w:rsid w:val="235796D2"/>
    <w:rsid w:val="237097CD"/>
    <w:rsid w:val="24890C29"/>
    <w:rsid w:val="25566753"/>
    <w:rsid w:val="25881701"/>
    <w:rsid w:val="25882F66"/>
    <w:rsid w:val="25B79458"/>
    <w:rsid w:val="25C77CEE"/>
    <w:rsid w:val="25E8812B"/>
    <w:rsid w:val="25F27202"/>
    <w:rsid w:val="26648208"/>
    <w:rsid w:val="2670AE84"/>
    <w:rsid w:val="26C2F914"/>
    <w:rsid w:val="26C803EB"/>
    <w:rsid w:val="2725B063"/>
    <w:rsid w:val="2733B912"/>
    <w:rsid w:val="27D42A2F"/>
    <w:rsid w:val="27E66949"/>
    <w:rsid w:val="282413AC"/>
    <w:rsid w:val="2840D012"/>
    <w:rsid w:val="28ADC231"/>
    <w:rsid w:val="28E9C668"/>
    <w:rsid w:val="292FDF90"/>
    <w:rsid w:val="29326D60"/>
    <w:rsid w:val="295062B4"/>
    <w:rsid w:val="2A10EA24"/>
    <w:rsid w:val="2A253964"/>
    <w:rsid w:val="2A9C09F3"/>
    <w:rsid w:val="2B1EFF3F"/>
    <w:rsid w:val="2B6C6752"/>
    <w:rsid w:val="2BF81C55"/>
    <w:rsid w:val="2C1B9243"/>
    <w:rsid w:val="2C2FA851"/>
    <w:rsid w:val="2C6B44B8"/>
    <w:rsid w:val="2C6FE685"/>
    <w:rsid w:val="2CC107B4"/>
    <w:rsid w:val="2CC4171A"/>
    <w:rsid w:val="2CD5DB9D"/>
    <w:rsid w:val="2CF0E2E7"/>
    <w:rsid w:val="2D0F6B90"/>
    <w:rsid w:val="2D439F78"/>
    <w:rsid w:val="2D8822C5"/>
    <w:rsid w:val="2D8DF280"/>
    <w:rsid w:val="2DCCBDB8"/>
    <w:rsid w:val="2DDE0084"/>
    <w:rsid w:val="2E38675B"/>
    <w:rsid w:val="2E4ADD81"/>
    <w:rsid w:val="2EA35229"/>
    <w:rsid w:val="2F2BE801"/>
    <w:rsid w:val="2F691D1C"/>
    <w:rsid w:val="2F74C45D"/>
    <w:rsid w:val="30D751C7"/>
    <w:rsid w:val="30E3A216"/>
    <w:rsid w:val="30FDA044"/>
    <w:rsid w:val="3160CBDC"/>
    <w:rsid w:val="31670E55"/>
    <w:rsid w:val="31795CCE"/>
    <w:rsid w:val="31CC7EEB"/>
    <w:rsid w:val="31EA499B"/>
    <w:rsid w:val="31EF4A1C"/>
    <w:rsid w:val="3220A451"/>
    <w:rsid w:val="32676B08"/>
    <w:rsid w:val="32912FE9"/>
    <w:rsid w:val="32CD8A5C"/>
    <w:rsid w:val="33886270"/>
    <w:rsid w:val="339FD9F3"/>
    <w:rsid w:val="33B6335C"/>
    <w:rsid w:val="33C60558"/>
    <w:rsid w:val="341E7FE8"/>
    <w:rsid w:val="34397369"/>
    <w:rsid w:val="3477D4E7"/>
    <w:rsid w:val="353ED495"/>
    <w:rsid w:val="35AE8526"/>
    <w:rsid w:val="35F27439"/>
    <w:rsid w:val="36890ED6"/>
    <w:rsid w:val="373CFF19"/>
    <w:rsid w:val="37438C41"/>
    <w:rsid w:val="3768FDEC"/>
    <w:rsid w:val="37F8D20B"/>
    <w:rsid w:val="38093071"/>
    <w:rsid w:val="3826E20B"/>
    <w:rsid w:val="38AF6D1B"/>
    <w:rsid w:val="38B6E676"/>
    <w:rsid w:val="38FDCEED"/>
    <w:rsid w:val="3A52F419"/>
    <w:rsid w:val="3A7E85C9"/>
    <w:rsid w:val="3ABA6E95"/>
    <w:rsid w:val="3AD9C2A1"/>
    <w:rsid w:val="3B1631EF"/>
    <w:rsid w:val="3B5A22E1"/>
    <w:rsid w:val="3B73BBCA"/>
    <w:rsid w:val="3BE9D898"/>
    <w:rsid w:val="3C97C5A0"/>
    <w:rsid w:val="3D05FC9F"/>
    <w:rsid w:val="3D367012"/>
    <w:rsid w:val="3D819E01"/>
    <w:rsid w:val="3D92A0F7"/>
    <w:rsid w:val="3D9A1DCC"/>
    <w:rsid w:val="3DCCC967"/>
    <w:rsid w:val="3ED51332"/>
    <w:rsid w:val="3F2ED7AA"/>
    <w:rsid w:val="3F3A81DA"/>
    <w:rsid w:val="3F943A60"/>
    <w:rsid w:val="3FA500DE"/>
    <w:rsid w:val="3FF8DE90"/>
    <w:rsid w:val="403D256E"/>
    <w:rsid w:val="41911C1D"/>
    <w:rsid w:val="41B5ADFC"/>
    <w:rsid w:val="41BA8E03"/>
    <w:rsid w:val="41DF1677"/>
    <w:rsid w:val="41E0E8C6"/>
    <w:rsid w:val="41FD3E50"/>
    <w:rsid w:val="4279D324"/>
    <w:rsid w:val="4280C656"/>
    <w:rsid w:val="42FEFEDE"/>
    <w:rsid w:val="43CB7340"/>
    <w:rsid w:val="4463C9AB"/>
    <w:rsid w:val="44F9B59F"/>
    <w:rsid w:val="4596E4F6"/>
    <w:rsid w:val="45DF442B"/>
    <w:rsid w:val="45F028B1"/>
    <w:rsid w:val="46290200"/>
    <w:rsid w:val="46309AB9"/>
    <w:rsid w:val="46BE5FF5"/>
    <w:rsid w:val="46C1C333"/>
    <w:rsid w:val="477950D1"/>
    <w:rsid w:val="47D26629"/>
    <w:rsid w:val="47E56DF1"/>
    <w:rsid w:val="47E943E0"/>
    <w:rsid w:val="47EAAF18"/>
    <w:rsid w:val="48132452"/>
    <w:rsid w:val="48D982DF"/>
    <w:rsid w:val="490D1F64"/>
    <w:rsid w:val="4912AA76"/>
    <w:rsid w:val="492D73F0"/>
    <w:rsid w:val="4933AEC4"/>
    <w:rsid w:val="49E000CA"/>
    <w:rsid w:val="4A04077B"/>
    <w:rsid w:val="4A4342AF"/>
    <w:rsid w:val="4AABCF9D"/>
    <w:rsid w:val="4AAE04A7"/>
    <w:rsid w:val="4AD89D76"/>
    <w:rsid w:val="4AE3D4B9"/>
    <w:rsid w:val="4B7FC590"/>
    <w:rsid w:val="4BCE3E28"/>
    <w:rsid w:val="4C3D7142"/>
    <w:rsid w:val="4C449023"/>
    <w:rsid w:val="4C5BE086"/>
    <w:rsid w:val="4C7F9864"/>
    <w:rsid w:val="4CBF04E9"/>
    <w:rsid w:val="4D2CF5B4"/>
    <w:rsid w:val="4D47F396"/>
    <w:rsid w:val="4D615F4D"/>
    <w:rsid w:val="4D6E5BE2"/>
    <w:rsid w:val="4DA6D1AE"/>
    <w:rsid w:val="4DDF816B"/>
    <w:rsid w:val="4E0DD93A"/>
    <w:rsid w:val="4E0FDB1C"/>
    <w:rsid w:val="4E694FB6"/>
    <w:rsid w:val="4EB39E14"/>
    <w:rsid w:val="4ED879B5"/>
    <w:rsid w:val="4F3E9434"/>
    <w:rsid w:val="4F782801"/>
    <w:rsid w:val="50767064"/>
    <w:rsid w:val="50900781"/>
    <w:rsid w:val="5164EA15"/>
    <w:rsid w:val="52570ECE"/>
    <w:rsid w:val="52833D64"/>
    <w:rsid w:val="52AA733D"/>
    <w:rsid w:val="52B6891C"/>
    <w:rsid w:val="53016D52"/>
    <w:rsid w:val="532B65C1"/>
    <w:rsid w:val="532C04E7"/>
    <w:rsid w:val="5338A579"/>
    <w:rsid w:val="5348CC7D"/>
    <w:rsid w:val="53943AA6"/>
    <w:rsid w:val="53DDA48A"/>
    <w:rsid w:val="53EB0D29"/>
    <w:rsid w:val="549CD8E1"/>
    <w:rsid w:val="56202EFA"/>
    <w:rsid w:val="5650824E"/>
    <w:rsid w:val="568B6691"/>
    <w:rsid w:val="5695A8E1"/>
    <w:rsid w:val="56AE8784"/>
    <w:rsid w:val="56F0A57B"/>
    <w:rsid w:val="56FD575C"/>
    <w:rsid w:val="57186041"/>
    <w:rsid w:val="586F8075"/>
    <w:rsid w:val="58F03F81"/>
    <w:rsid w:val="599B0E36"/>
    <w:rsid w:val="5A54D350"/>
    <w:rsid w:val="5A99F37C"/>
    <w:rsid w:val="5AEAEB7A"/>
    <w:rsid w:val="5B190297"/>
    <w:rsid w:val="5B1F0819"/>
    <w:rsid w:val="5B6A13AB"/>
    <w:rsid w:val="5BD50DAD"/>
    <w:rsid w:val="5C2E7535"/>
    <w:rsid w:val="5C6AFFC5"/>
    <w:rsid w:val="5CBA6A5C"/>
    <w:rsid w:val="5CBEF198"/>
    <w:rsid w:val="5CE223DE"/>
    <w:rsid w:val="5D0A1709"/>
    <w:rsid w:val="5DD8E40B"/>
    <w:rsid w:val="5E5AF7DB"/>
    <w:rsid w:val="5E87244C"/>
    <w:rsid w:val="5E983110"/>
    <w:rsid w:val="5EE3DE57"/>
    <w:rsid w:val="5EEDDCC9"/>
    <w:rsid w:val="5F25E10F"/>
    <w:rsid w:val="5F556B9F"/>
    <w:rsid w:val="5FA0F810"/>
    <w:rsid w:val="5FE4E6BD"/>
    <w:rsid w:val="5FFC557A"/>
    <w:rsid w:val="60CC6F05"/>
    <w:rsid w:val="627D7868"/>
    <w:rsid w:val="62A014A5"/>
    <w:rsid w:val="62C58C77"/>
    <w:rsid w:val="62CAE79F"/>
    <w:rsid w:val="63761A03"/>
    <w:rsid w:val="638460C7"/>
    <w:rsid w:val="645248C0"/>
    <w:rsid w:val="651E7CBD"/>
    <w:rsid w:val="65202670"/>
    <w:rsid w:val="65202A62"/>
    <w:rsid w:val="659AE42A"/>
    <w:rsid w:val="65D11566"/>
    <w:rsid w:val="661D84B3"/>
    <w:rsid w:val="6640125D"/>
    <w:rsid w:val="6684BD98"/>
    <w:rsid w:val="66C65F91"/>
    <w:rsid w:val="66C6A946"/>
    <w:rsid w:val="677CB60D"/>
    <w:rsid w:val="67880B07"/>
    <w:rsid w:val="67A0ABEB"/>
    <w:rsid w:val="67C0CAB2"/>
    <w:rsid w:val="67DCD0E2"/>
    <w:rsid w:val="67DDAD73"/>
    <w:rsid w:val="6849E9D8"/>
    <w:rsid w:val="688EC746"/>
    <w:rsid w:val="68B5BAB8"/>
    <w:rsid w:val="68C15411"/>
    <w:rsid w:val="68FBDBCF"/>
    <w:rsid w:val="6906507E"/>
    <w:rsid w:val="6924C52C"/>
    <w:rsid w:val="695178BF"/>
    <w:rsid w:val="699470AF"/>
    <w:rsid w:val="69CEE8F6"/>
    <w:rsid w:val="6AA26BE6"/>
    <w:rsid w:val="6AA72527"/>
    <w:rsid w:val="6AC3F3DC"/>
    <w:rsid w:val="6ADC904A"/>
    <w:rsid w:val="6AF55A66"/>
    <w:rsid w:val="6B3C75B8"/>
    <w:rsid w:val="6B8B7EC8"/>
    <w:rsid w:val="6B978926"/>
    <w:rsid w:val="6BB3BFF5"/>
    <w:rsid w:val="6BBC0DF6"/>
    <w:rsid w:val="6BED83B6"/>
    <w:rsid w:val="6C78EC37"/>
    <w:rsid w:val="6CF0D3C5"/>
    <w:rsid w:val="6D1E8F8A"/>
    <w:rsid w:val="6D8F5862"/>
    <w:rsid w:val="6DB6394B"/>
    <w:rsid w:val="6E30F8C3"/>
    <w:rsid w:val="6E3CA382"/>
    <w:rsid w:val="6E99F441"/>
    <w:rsid w:val="6E9EFE70"/>
    <w:rsid w:val="6F25BA2E"/>
    <w:rsid w:val="6F8EED63"/>
    <w:rsid w:val="704B5F8C"/>
    <w:rsid w:val="70DFD2A8"/>
    <w:rsid w:val="710B41DE"/>
    <w:rsid w:val="7162D177"/>
    <w:rsid w:val="71C1ED09"/>
    <w:rsid w:val="71F263FB"/>
    <w:rsid w:val="725DD1B6"/>
    <w:rsid w:val="729DAF22"/>
    <w:rsid w:val="72A69EB1"/>
    <w:rsid w:val="72B481C5"/>
    <w:rsid w:val="72C65732"/>
    <w:rsid w:val="732B1638"/>
    <w:rsid w:val="736F1E5C"/>
    <w:rsid w:val="742EE108"/>
    <w:rsid w:val="74415D93"/>
    <w:rsid w:val="744DEB0F"/>
    <w:rsid w:val="747BACA8"/>
    <w:rsid w:val="74EBA1A9"/>
    <w:rsid w:val="752C235B"/>
    <w:rsid w:val="7666B3EA"/>
    <w:rsid w:val="7704EFDE"/>
    <w:rsid w:val="776B66DC"/>
    <w:rsid w:val="77B386CE"/>
    <w:rsid w:val="785FC7BF"/>
    <w:rsid w:val="794D4A0C"/>
    <w:rsid w:val="794F7E58"/>
    <w:rsid w:val="798874B6"/>
    <w:rsid w:val="79A59CDF"/>
    <w:rsid w:val="79C75602"/>
    <w:rsid w:val="79C9B0A7"/>
    <w:rsid w:val="79D679FF"/>
    <w:rsid w:val="7AE061BA"/>
    <w:rsid w:val="7B3E36A6"/>
    <w:rsid w:val="7B4C063A"/>
    <w:rsid w:val="7B782391"/>
    <w:rsid w:val="7B87992C"/>
    <w:rsid w:val="7B98514D"/>
    <w:rsid w:val="7BC396F7"/>
    <w:rsid w:val="7BF1E195"/>
    <w:rsid w:val="7C1B329F"/>
    <w:rsid w:val="7C1C9748"/>
    <w:rsid w:val="7C8B633A"/>
    <w:rsid w:val="7C979D5D"/>
    <w:rsid w:val="7CAE1D23"/>
    <w:rsid w:val="7CEDB650"/>
    <w:rsid w:val="7D86AE17"/>
    <w:rsid w:val="7E2EF3B6"/>
    <w:rsid w:val="7E3EA7FB"/>
    <w:rsid w:val="7E5049D6"/>
    <w:rsid w:val="7E83F8ED"/>
    <w:rsid w:val="7F343D33"/>
    <w:rsid w:val="7FE50C7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B10415"/>
    <w:pPr>
      <w:keepNext/>
      <w:keepLines/>
      <w:spacing w:before="36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4B1AF5"/>
    <w:pPr>
      <w:keepNext/>
      <w:keepLines/>
      <w:spacing w:before="24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4B1AF5"/>
    <w:pPr>
      <w:keepNext/>
      <w:keepLines/>
      <w:spacing w:before="24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593E70"/>
    <w:pPr>
      <w:keepNext/>
      <w:keepLines/>
      <w:spacing w:before="24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C90260"/>
    <w:pPr>
      <w:spacing w:before="324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C90260"/>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05BA4"/>
    <w:pPr>
      <w:numPr>
        <w:ilvl w:val="1"/>
      </w:numPr>
      <w:spacing w:after="0"/>
    </w:pPr>
    <w:rPr>
      <w:rFonts w:ascii="Calibri" w:eastAsiaTheme="minorEastAsia" w:hAnsi="Calibri"/>
      <w:color w:val="789B4A"/>
      <w:spacing w:val="15"/>
      <w:sz w:val="40"/>
    </w:rPr>
  </w:style>
  <w:style w:type="character" w:customStyle="1" w:styleId="SubtitleChar">
    <w:name w:val="Subtitle Char"/>
    <w:basedOn w:val="DefaultParagraphFont"/>
    <w:link w:val="Subtitle"/>
    <w:uiPriority w:val="8"/>
    <w:rsid w:val="00305BA4"/>
    <w:rPr>
      <w:rFonts w:ascii="Calibri" w:eastAsiaTheme="minorEastAsia" w:hAnsi="Calibri"/>
      <w:color w:val="789B4A"/>
      <w:spacing w:val="15"/>
      <w:sz w:val="40"/>
    </w:rPr>
  </w:style>
  <w:style w:type="character" w:customStyle="1" w:styleId="Heading1Char">
    <w:name w:val="Heading 1 Char"/>
    <w:basedOn w:val="DefaultParagraphFont"/>
    <w:link w:val="Heading1"/>
    <w:uiPriority w:val="9"/>
    <w:rsid w:val="00B10415"/>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4B1AF5"/>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4B1AF5"/>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593E70"/>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305BA4"/>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2"/>
      </w:numPr>
    </w:pPr>
  </w:style>
  <w:style w:type="paragraph" w:styleId="ListBullet">
    <w:name w:val="List Bullet"/>
    <w:basedOn w:val="ListParagraph"/>
    <w:uiPriority w:val="99"/>
    <w:unhideWhenUsed/>
    <w:qFormat/>
    <w:rsid w:val="00A56FC7"/>
    <w:pPr>
      <w:numPr>
        <w:numId w:val="3"/>
      </w:numPr>
    </w:pPr>
  </w:style>
  <w:style w:type="paragraph" w:styleId="List">
    <w:name w:val="List"/>
    <w:basedOn w:val="ListBullet"/>
    <w:uiPriority w:val="99"/>
    <w:unhideWhenUsed/>
    <w:qFormat/>
    <w:rsid w:val="00A56FC7"/>
    <w:pPr>
      <w:numPr>
        <w:numId w:val="4"/>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9E66C4"/>
    <w:pPr>
      <w:tabs>
        <w:tab w:val="left" w:pos="660"/>
        <w:tab w:val="right" w:leader="dot" w:pos="9060"/>
      </w:tabs>
      <w:spacing w:after="120" w:line="240" w:lineRule="auto"/>
    </w:pPr>
    <w:rPr>
      <w:b/>
    </w:rPr>
  </w:style>
  <w:style w:type="paragraph" w:styleId="TOC2">
    <w:name w:val="toc 2"/>
    <w:basedOn w:val="Normal"/>
    <w:next w:val="Normal"/>
    <w:autoRedefine/>
    <w:uiPriority w:val="39"/>
    <w:unhideWhenUsed/>
    <w:rsid w:val="00F5479B"/>
    <w:pPr>
      <w:tabs>
        <w:tab w:val="left" w:pos="880"/>
        <w:tab w:val="right" w:leader="dot" w:pos="9060"/>
      </w:tabs>
      <w:spacing w:after="100"/>
      <w:ind w:left="220"/>
    </w:pPr>
  </w:style>
  <w:style w:type="paragraph" w:styleId="TOC3">
    <w:name w:val="toc 3"/>
    <w:basedOn w:val="Normal"/>
    <w:next w:val="Normal"/>
    <w:autoRedefine/>
    <w:uiPriority w:val="39"/>
    <w:unhideWhenUsed/>
    <w:rsid w:val="00350D1F"/>
    <w:pPr>
      <w:tabs>
        <w:tab w:val="left" w:pos="1320"/>
        <w:tab w:val="right" w:leader="dot" w:pos="9060"/>
      </w:tabs>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5"/>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styleId="CommentReference">
    <w:name w:val="annotation reference"/>
    <w:basedOn w:val="DefaultParagraphFont"/>
    <w:uiPriority w:val="99"/>
    <w:semiHidden/>
    <w:unhideWhenUsed/>
    <w:rsid w:val="00192AC3"/>
    <w:rPr>
      <w:sz w:val="16"/>
      <w:szCs w:val="16"/>
    </w:rPr>
  </w:style>
  <w:style w:type="paragraph" w:styleId="CommentText">
    <w:name w:val="annotation text"/>
    <w:basedOn w:val="Normal"/>
    <w:link w:val="CommentTextChar"/>
    <w:uiPriority w:val="99"/>
    <w:unhideWhenUsed/>
    <w:rsid w:val="00192AC3"/>
    <w:pPr>
      <w:spacing w:line="240" w:lineRule="auto"/>
    </w:pPr>
    <w:rPr>
      <w:sz w:val="20"/>
      <w:szCs w:val="20"/>
    </w:rPr>
  </w:style>
  <w:style w:type="character" w:customStyle="1" w:styleId="CommentTextChar">
    <w:name w:val="Comment Text Char"/>
    <w:basedOn w:val="DefaultParagraphFont"/>
    <w:link w:val="CommentText"/>
    <w:uiPriority w:val="99"/>
    <w:rsid w:val="00192AC3"/>
    <w:rPr>
      <w:sz w:val="20"/>
      <w:szCs w:val="20"/>
    </w:rPr>
  </w:style>
  <w:style w:type="paragraph" w:styleId="CommentSubject">
    <w:name w:val="annotation subject"/>
    <w:basedOn w:val="CommentText"/>
    <w:next w:val="CommentText"/>
    <w:link w:val="CommentSubjectChar"/>
    <w:uiPriority w:val="99"/>
    <w:semiHidden/>
    <w:unhideWhenUsed/>
    <w:rsid w:val="00192AC3"/>
    <w:rPr>
      <w:b/>
      <w:bCs/>
    </w:rPr>
  </w:style>
  <w:style w:type="character" w:customStyle="1" w:styleId="CommentSubjectChar">
    <w:name w:val="Comment Subject Char"/>
    <w:basedOn w:val="CommentTextChar"/>
    <w:link w:val="CommentSubject"/>
    <w:uiPriority w:val="99"/>
    <w:semiHidden/>
    <w:rsid w:val="00192AC3"/>
    <w:rPr>
      <w:b/>
      <w:bCs/>
      <w:sz w:val="20"/>
      <w:szCs w:val="20"/>
    </w:rPr>
  </w:style>
  <w:style w:type="character" w:styleId="UnresolvedMention">
    <w:name w:val="Unresolved Mention"/>
    <w:basedOn w:val="DefaultParagraphFont"/>
    <w:uiPriority w:val="99"/>
    <w:semiHidden/>
    <w:unhideWhenUsed/>
    <w:rsid w:val="000719A5"/>
    <w:rPr>
      <w:color w:val="605E5C"/>
      <w:shd w:val="clear" w:color="auto" w:fill="E1DFDD"/>
    </w:rPr>
  </w:style>
  <w:style w:type="paragraph" w:customStyle="1" w:styleId="Default">
    <w:name w:val="Default"/>
    <w:rsid w:val="00926E7E"/>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qFormat/>
    <w:rsid w:val="00133874"/>
    <w:pPr>
      <w:spacing w:after="0" w:line="240" w:lineRule="auto"/>
    </w:pPr>
    <w:rPr>
      <w:rFonts w:ascii="Verdana" w:eastAsia="Calibri" w:hAnsi="Verdana" w:cs="Calibri"/>
      <w:sz w:val="16"/>
      <w:szCs w:val="20"/>
      <w:lang w:eastAsia="en-AU"/>
    </w:rPr>
  </w:style>
  <w:style w:type="character" w:customStyle="1" w:styleId="FootnoteTextChar">
    <w:name w:val="Footnote Text Char"/>
    <w:basedOn w:val="DefaultParagraphFont"/>
    <w:link w:val="FootnoteText"/>
    <w:uiPriority w:val="99"/>
    <w:semiHidden/>
    <w:rsid w:val="00133874"/>
    <w:rPr>
      <w:rFonts w:ascii="Verdana" w:eastAsia="Calibri" w:hAnsi="Verdana" w:cs="Calibri"/>
      <w:sz w:val="16"/>
      <w:szCs w:val="20"/>
      <w:lang w:eastAsia="en-AU"/>
    </w:rPr>
  </w:style>
  <w:style w:type="character" w:styleId="FootnoteReference">
    <w:name w:val="footnote reference"/>
    <w:aliases w:val="4_G,4_G Char Char Char Char,Footnotes refss Char Char Char Char,ftref Char Char Char Char,BVI fnr Char Char Char Char,BVI fnr Car Car Char Char Char Char,BVI fnr Car Char Char Char Char,BVI fnr Car Car Car Car Char Char1 Char Char"/>
    <w:basedOn w:val="DefaultParagraphFont"/>
    <w:link w:val="4GCharCharChar"/>
    <w:uiPriority w:val="99"/>
    <w:unhideWhenUsed/>
    <w:rsid w:val="00133874"/>
    <w:rPr>
      <w:vertAlign w:val="superscript"/>
    </w:rPr>
  </w:style>
  <w:style w:type="paragraph" w:customStyle="1" w:styleId="4GCharCharChar">
    <w:name w:val="4_G Char Char Char"/>
    <w:aliases w:val="Footnotes refss Char Char Char,ftref Char Char Char,BVI fnr Char Char Char,BVI fnr Car Car Char Char Char,BVI fnr Car Char Char Char,BVI fnr Car Car Car Car Char Char1 Char,BVI fnr Char Car Car Car Char Char Char"/>
    <w:basedOn w:val="Normal"/>
    <w:link w:val="FootnoteReference"/>
    <w:uiPriority w:val="99"/>
    <w:rsid w:val="00133874"/>
    <w:pPr>
      <w:spacing w:after="160" w:line="240" w:lineRule="exact"/>
      <w:jc w:val="both"/>
    </w:pPr>
    <w:rPr>
      <w:vertAlign w:val="superscript"/>
    </w:rPr>
  </w:style>
  <w:style w:type="paragraph" w:styleId="Revision">
    <w:name w:val="Revision"/>
    <w:hidden/>
    <w:uiPriority w:val="99"/>
    <w:semiHidden/>
    <w:rsid w:val="008A2921"/>
    <w:pPr>
      <w:spacing w:after="0" w:line="240" w:lineRule="auto"/>
    </w:pPr>
  </w:style>
  <w:style w:type="table" w:styleId="GridTable1Light">
    <w:name w:val="Grid Table 1 Light"/>
    <w:basedOn w:val="TableNormal"/>
    <w:uiPriority w:val="46"/>
    <w:rsid w:val="006C53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11218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4133">
      <w:bodyDiv w:val="1"/>
      <w:marLeft w:val="0"/>
      <w:marRight w:val="0"/>
      <w:marTop w:val="0"/>
      <w:marBottom w:val="0"/>
      <w:divBdr>
        <w:top w:val="none" w:sz="0" w:space="0" w:color="auto"/>
        <w:left w:val="none" w:sz="0" w:space="0" w:color="auto"/>
        <w:bottom w:val="none" w:sz="0" w:space="0" w:color="auto"/>
        <w:right w:val="none" w:sz="0" w:space="0" w:color="auto"/>
      </w:divBdr>
    </w:div>
    <w:div w:id="1459759147">
      <w:bodyDiv w:val="1"/>
      <w:marLeft w:val="0"/>
      <w:marRight w:val="0"/>
      <w:marTop w:val="0"/>
      <w:marBottom w:val="0"/>
      <w:divBdr>
        <w:top w:val="none" w:sz="0" w:space="0" w:color="auto"/>
        <w:left w:val="none" w:sz="0" w:space="0" w:color="auto"/>
        <w:bottom w:val="none" w:sz="0" w:space="0" w:color="auto"/>
        <w:right w:val="none" w:sz="0" w:space="0" w:color="auto"/>
      </w:divBdr>
    </w:div>
    <w:div w:id="1492675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 TargetMode="External"/><Relationship Id="rId18" Type="http://schemas.openxmlformats.org/officeDocument/2006/relationships/hyperlink" Target="https://www.dewr.gov.au/future-delivery-foundation-skills-training-remote-australia/resources/discussion-paper-december-202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cid:image001.png@01CC5B5E.C6C84990" TargetMode="External"/><Relationship Id="rId17" Type="http://schemas.openxmlformats.org/officeDocument/2006/relationships/hyperlink" Target="https://cdn.minderoo.org/content/uploads/2022/05/22105150/Woort-Koorliny-Australian-Indigenous-Employment-Index-2022.pdf" TargetMode="External"/><Relationship Id="rId2" Type="http://schemas.openxmlformats.org/officeDocument/2006/relationships/numbering" Target="numbering.xml"/><Relationship Id="rId16" Type="http://schemas.openxmlformats.org/officeDocument/2006/relationships/hyperlink" Target="https://www.pc.gov.au/inquiries/completed/indigenous-evaluation/strategy/indigenous-evaluation-guid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closingthegap.gov.au/national-agreement/priority-reforms" TargetMode="External"/><Relationship Id="rId23" Type="http://schemas.openxmlformats.org/officeDocument/2006/relationships/customXml" Target="../customXml/item3.xml"/><Relationship Id="rId10" Type="http://schemas.openxmlformats.org/officeDocument/2006/relationships/image" Target="media/image3.sv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ativecommons.org/licenses/by/4.0/legalcode" TargetMode="External"/><Relationship Id="rId22"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2" Type="http://schemas.openxmlformats.org/officeDocument/2006/relationships/hyperlink" Target="https://www.aph.gov.au/Parliamentary_Business/Committees/House/Employment_Education_and_Training/~/link.aspx?_id=AF67CBDA228A432FB1905AF393E311E0&amp;_z=z" TargetMode="External"/><Relationship Id="rId1" Type="http://schemas.openxmlformats.org/officeDocument/2006/relationships/hyperlink" Target="https://www.aph.gov.au/Parliamentary_Business/Committees/House/Employment_Education_and_Training/Adultliteracy/Report"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2.xml><?xml version="1.0" encoding="utf-8"?>
<ds:datastoreItem xmlns:ds="http://schemas.openxmlformats.org/officeDocument/2006/customXml" ds:itemID="{8C85671A-E0A3-4A58-BAE2-6B6282565B29}"/>
</file>

<file path=customXml/itemProps3.xml><?xml version="1.0" encoding="utf-8"?>
<ds:datastoreItem xmlns:ds="http://schemas.openxmlformats.org/officeDocument/2006/customXml" ds:itemID="{25A55FB9-F122-45C2-93B2-1E8C01A42CBB}"/>
</file>

<file path=customXml/itemProps4.xml><?xml version="1.0" encoding="utf-8"?>
<ds:datastoreItem xmlns:ds="http://schemas.openxmlformats.org/officeDocument/2006/customXml" ds:itemID="{79D29186-8159-40F2-A6C5-C7E343CF1DF7}"/>
</file>

<file path=docProps/app.xml><?xml version="1.0" encoding="utf-8"?>
<Properties xmlns="http://schemas.openxmlformats.org/officeDocument/2006/extended-properties" xmlns:vt="http://schemas.openxmlformats.org/officeDocument/2006/docPropsVTypes">
  <Template>Normal.dotm</Template>
  <TotalTime>0</TotalTime>
  <Pages>23</Pages>
  <Words>7320</Words>
  <Characters>41728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delivery of foundation skills training in remote Australia – Discussion Paper Response Summary and Analysis</dc:title>
  <dc:subject/>
  <dc:creator/>
  <cp:keywords/>
  <dc:description/>
  <cp:lastModifiedBy/>
  <cp:revision>1</cp:revision>
  <dcterms:created xsi:type="dcterms:W3CDTF">2023-08-16T05:39:00Z</dcterms:created>
  <dcterms:modified xsi:type="dcterms:W3CDTF">2023-08-16T05:44:00Z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2023-08-16T05:38:38Z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43e9fa8d-20df-48d1-b20e-c184e32315a2</vt:lpwstr>
  </property>
  <property fmtid="{D5CDD505-2E9C-101B-9397-08002B2CF9AE}" pid="8" name="MSIP_Label_79d889eb-932f-4752-8739-64d25806ef64_ContentBits">
    <vt:lpwstr>0</vt:lpwstr>
  </property>
</Properties>
</file>