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1E2" w:rsidRPr="005F7E37" w:rsidRDefault="00A561E2" w:rsidP="00A457FC">
      <w:pPr>
        <w:pStyle w:val="Title"/>
        <w:spacing w:before="3000"/>
      </w:pPr>
      <w:bookmarkStart w:id="0" w:name="_GoBack"/>
      <w:bookmarkEnd w:id="0"/>
      <w:r w:rsidRPr="005F7E37">
        <w:t>Employment Plan 2017</w:t>
      </w:r>
    </w:p>
    <w:p w:rsidR="00A561E2" w:rsidRPr="005F7E37" w:rsidRDefault="00A561E2" w:rsidP="009923A7">
      <w:pPr>
        <w:pStyle w:val="Title"/>
        <w:jc w:val="center"/>
        <w:rPr>
          <w:sz w:val="60"/>
          <w:szCs w:val="60"/>
        </w:rPr>
      </w:pPr>
      <w:r w:rsidRPr="005F7E37">
        <w:t>Australia</w:t>
      </w:r>
    </w:p>
    <w:p w:rsidR="00FB5A1C" w:rsidRDefault="00A561E2" w:rsidP="00A457FC">
      <w:pPr>
        <w:rPr>
          <w:lang w:val="en-AU"/>
        </w:rPr>
      </w:pPr>
      <w:r w:rsidRPr="005F7E37">
        <w:rPr>
          <w:lang w:val="en-AU"/>
        </w:rPr>
        <w:br w:type="page"/>
      </w:r>
    </w:p>
    <w:p w:rsidR="009846A3" w:rsidRPr="009846A3" w:rsidRDefault="009846A3" w:rsidP="009846A3">
      <w:pPr>
        <w:pStyle w:val="TOCHeading"/>
        <w:numPr>
          <w:ilvl w:val="0"/>
          <w:numId w:val="0"/>
        </w:numPr>
        <w:rPr>
          <w:rFonts w:ascii="Calibri" w:hAnsi="Calibri" w:cs="Calibri"/>
          <w:color w:val="auto"/>
        </w:rPr>
      </w:pPr>
      <w:r w:rsidRPr="009846A3">
        <w:rPr>
          <w:rFonts w:ascii="Calibri" w:hAnsi="Calibri" w:cs="Calibri"/>
          <w:color w:val="auto"/>
          <w:lang w:val="en-AU"/>
        </w:rPr>
        <w:lastRenderedPageBreak/>
        <w:t>Contents</w:t>
      </w:r>
    </w:p>
    <w:p w:rsidR="009846A3" w:rsidRDefault="009846A3" w:rsidP="00DD462C">
      <w:pPr>
        <w:pStyle w:val="TOC1"/>
        <w:tabs>
          <w:tab w:val="left" w:pos="420"/>
          <w:tab w:val="right" w:pos="9572"/>
        </w:tabs>
        <w:rPr>
          <w:rFonts w:eastAsiaTheme="minorEastAsia" w:cstheme="minorBidi"/>
          <w:b w:val="0"/>
          <w:bCs w:val="0"/>
          <w:caps w:val="0"/>
          <w:noProof/>
          <w:kern w:val="0"/>
          <w:sz w:val="22"/>
          <w:szCs w:val="22"/>
          <w:lang w:val="en-AU" w:eastAsia="en-AU"/>
        </w:rPr>
      </w:pPr>
      <w:r>
        <w:rPr>
          <w:lang w:val="en-AU"/>
        </w:rPr>
        <w:fldChar w:fldCharType="begin"/>
      </w:r>
      <w:r>
        <w:rPr>
          <w:lang w:val="en-AU"/>
        </w:rPr>
        <w:instrText xml:space="preserve"> TOC \o "1-3" \h \z \u </w:instrText>
      </w:r>
      <w:r>
        <w:rPr>
          <w:lang w:val="en-AU"/>
        </w:rPr>
        <w:fldChar w:fldCharType="separate"/>
      </w:r>
      <w:hyperlink w:anchor="_Toc487110295" w:history="1">
        <w:r w:rsidRPr="00976304">
          <w:rPr>
            <w:rStyle w:val="Hyperlink"/>
            <w:noProof/>
            <w:lang w:val="en-AU"/>
          </w:rPr>
          <w:t>1.</w:t>
        </w:r>
        <w:r>
          <w:rPr>
            <w:rFonts w:eastAsiaTheme="minorEastAsia" w:cstheme="minorBidi"/>
            <w:b w:val="0"/>
            <w:bCs w:val="0"/>
            <w:caps w:val="0"/>
            <w:noProof/>
            <w:kern w:val="0"/>
            <w:sz w:val="22"/>
            <w:szCs w:val="22"/>
            <w:lang w:val="en-AU" w:eastAsia="en-AU"/>
          </w:rPr>
          <w:tab/>
        </w:r>
        <w:r w:rsidRPr="00976304">
          <w:rPr>
            <w:rStyle w:val="Hyperlink"/>
            <w:noProof/>
            <w:lang w:val="en-AU"/>
          </w:rPr>
          <w:t>Employment and labour market outlook</w:t>
        </w:r>
        <w:r>
          <w:rPr>
            <w:noProof/>
            <w:webHidden/>
          </w:rPr>
          <w:tab/>
        </w:r>
        <w:r>
          <w:rPr>
            <w:noProof/>
            <w:webHidden/>
          </w:rPr>
          <w:fldChar w:fldCharType="begin"/>
        </w:r>
        <w:r>
          <w:rPr>
            <w:noProof/>
            <w:webHidden/>
          </w:rPr>
          <w:instrText xml:space="preserve"> PAGEREF _Toc487110295 \h </w:instrText>
        </w:r>
        <w:r>
          <w:rPr>
            <w:noProof/>
            <w:webHidden/>
          </w:rPr>
        </w:r>
        <w:r>
          <w:rPr>
            <w:noProof/>
            <w:webHidden/>
          </w:rPr>
          <w:fldChar w:fldCharType="separate"/>
        </w:r>
        <w:r w:rsidR="00D17470">
          <w:rPr>
            <w:noProof/>
            <w:webHidden/>
          </w:rPr>
          <w:t>3</w:t>
        </w:r>
        <w:r>
          <w:rPr>
            <w:noProof/>
            <w:webHidden/>
          </w:rPr>
          <w:fldChar w:fldCharType="end"/>
        </w:r>
      </w:hyperlink>
    </w:p>
    <w:p w:rsidR="009846A3" w:rsidRDefault="00D17470" w:rsidP="00DD462C">
      <w:pPr>
        <w:pStyle w:val="TOC1"/>
        <w:tabs>
          <w:tab w:val="left" w:pos="420"/>
          <w:tab w:val="right" w:pos="9572"/>
        </w:tabs>
        <w:rPr>
          <w:rFonts w:eastAsiaTheme="minorEastAsia" w:cstheme="minorBidi"/>
          <w:b w:val="0"/>
          <w:bCs w:val="0"/>
          <w:caps w:val="0"/>
          <w:noProof/>
          <w:kern w:val="0"/>
          <w:sz w:val="22"/>
          <w:szCs w:val="22"/>
          <w:lang w:val="en-AU" w:eastAsia="en-AU"/>
        </w:rPr>
      </w:pPr>
      <w:hyperlink w:anchor="_Toc487110298" w:history="1">
        <w:r w:rsidR="009846A3" w:rsidRPr="00976304">
          <w:rPr>
            <w:rStyle w:val="Hyperlink"/>
            <w:noProof/>
            <w:lang w:val="en-AU"/>
          </w:rPr>
          <w:t>2.</w:t>
        </w:r>
        <w:r w:rsidR="009846A3">
          <w:rPr>
            <w:rFonts w:eastAsiaTheme="minorEastAsia" w:cstheme="minorBidi"/>
            <w:b w:val="0"/>
            <w:bCs w:val="0"/>
            <w:caps w:val="0"/>
            <w:noProof/>
            <w:kern w:val="0"/>
            <w:sz w:val="22"/>
            <w:szCs w:val="22"/>
            <w:lang w:val="en-AU" w:eastAsia="en-AU"/>
          </w:rPr>
          <w:tab/>
        </w:r>
        <w:r w:rsidR="009846A3" w:rsidRPr="00976304">
          <w:rPr>
            <w:rStyle w:val="Hyperlink"/>
            <w:noProof/>
            <w:lang w:val="en-AU"/>
          </w:rPr>
          <w:t>Employment challenges for Australia</w:t>
        </w:r>
        <w:r w:rsidR="009846A3">
          <w:rPr>
            <w:noProof/>
            <w:webHidden/>
          </w:rPr>
          <w:tab/>
        </w:r>
        <w:r w:rsidR="009846A3">
          <w:rPr>
            <w:noProof/>
            <w:webHidden/>
          </w:rPr>
          <w:fldChar w:fldCharType="begin"/>
        </w:r>
        <w:r w:rsidR="009846A3">
          <w:rPr>
            <w:noProof/>
            <w:webHidden/>
          </w:rPr>
          <w:instrText xml:space="preserve"> PAGEREF _Toc487110298 \h </w:instrText>
        </w:r>
        <w:r w:rsidR="009846A3">
          <w:rPr>
            <w:noProof/>
            <w:webHidden/>
          </w:rPr>
        </w:r>
        <w:r w:rsidR="009846A3">
          <w:rPr>
            <w:noProof/>
            <w:webHidden/>
          </w:rPr>
          <w:fldChar w:fldCharType="separate"/>
        </w:r>
        <w:r>
          <w:rPr>
            <w:noProof/>
            <w:webHidden/>
          </w:rPr>
          <w:t>4</w:t>
        </w:r>
        <w:r w:rsidR="009846A3">
          <w:rPr>
            <w:noProof/>
            <w:webHidden/>
          </w:rPr>
          <w:fldChar w:fldCharType="end"/>
        </w:r>
      </w:hyperlink>
    </w:p>
    <w:p w:rsidR="009846A3" w:rsidRDefault="00D17470" w:rsidP="00DD462C">
      <w:pPr>
        <w:pStyle w:val="TOC1"/>
        <w:tabs>
          <w:tab w:val="left" w:pos="420"/>
          <w:tab w:val="right" w:pos="9572"/>
        </w:tabs>
        <w:rPr>
          <w:rFonts w:eastAsiaTheme="minorEastAsia" w:cstheme="minorBidi"/>
          <w:b w:val="0"/>
          <w:bCs w:val="0"/>
          <w:caps w:val="0"/>
          <w:noProof/>
          <w:kern w:val="0"/>
          <w:sz w:val="22"/>
          <w:szCs w:val="22"/>
          <w:lang w:val="en-AU" w:eastAsia="en-AU"/>
        </w:rPr>
      </w:pPr>
      <w:hyperlink w:anchor="_Toc487110304" w:history="1">
        <w:r w:rsidR="009846A3" w:rsidRPr="00976304">
          <w:rPr>
            <w:rStyle w:val="Hyperlink"/>
            <w:noProof/>
            <w:lang w:val="en-AU"/>
          </w:rPr>
          <w:t>3.</w:t>
        </w:r>
        <w:r w:rsidR="009846A3">
          <w:rPr>
            <w:rFonts w:eastAsiaTheme="minorEastAsia" w:cstheme="minorBidi"/>
            <w:b w:val="0"/>
            <w:bCs w:val="0"/>
            <w:caps w:val="0"/>
            <w:noProof/>
            <w:kern w:val="0"/>
            <w:sz w:val="22"/>
            <w:szCs w:val="22"/>
            <w:lang w:val="en-AU" w:eastAsia="en-AU"/>
          </w:rPr>
          <w:tab/>
        </w:r>
        <w:r w:rsidR="009846A3" w:rsidRPr="00976304">
          <w:rPr>
            <w:rStyle w:val="Hyperlink"/>
            <w:noProof/>
            <w:lang w:val="en-AU"/>
          </w:rPr>
          <w:t>Current policy settings and new commitments</w:t>
        </w:r>
        <w:r w:rsidR="009846A3">
          <w:rPr>
            <w:noProof/>
            <w:webHidden/>
          </w:rPr>
          <w:tab/>
        </w:r>
        <w:r w:rsidR="009846A3">
          <w:rPr>
            <w:noProof/>
            <w:webHidden/>
          </w:rPr>
          <w:fldChar w:fldCharType="begin"/>
        </w:r>
        <w:r w:rsidR="009846A3">
          <w:rPr>
            <w:noProof/>
            <w:webHidden/>
          </w:rPr>
          <w:instrText xml:space="preserve"> PAGEREF _Toc487110304 \h </w:instrText>
        </w:r>
        <w:r w:rsidR="009846A3">
          <w:rPr>
            <w:noProof/>
            <w:webHidden/>
          </w:rPr>
        </w:r>
        <w:r w:rsidR="009846A3">
          <w:rPr>
            <w:noProof/>
            <w:webHidden/>
          </w:rPr>
          <w:fldChar w:fldCharType="separate"/>
        </w:r>
        <w:r>
          <w:rPr>
            <w:noProof/>
            <w:webHidden/>
          </w:rPr>
          <w:t>5</w:t>
        </w:r>
        <w:r w:rsidR="009846A3">
          <w:rPr>
            <w:noProof/>
            <w:webHidden/>
          </w:rPr>
          <w:fldChar w:fldCharType="end"/>
        </w:r>
      </w:hyperlink>
    </w:p>
    <w:p w:rsidR="009846A3" w:rsidRDefault="00D17470" w:rsidP="00DD462C">
      <w:pPr>
        <w:pStyle w:val="TOC2"/>
        <w:tabs>
          <w:tab w:val="right" w:pos="9572"/>
        </w:tabs>
        <w:spacing w:before="120"/>
        <w:rPr>
          <w:rFonts w:eastAsiaTheme="minorEastAsia" w:cstheme="minorBidi"/>
          <w:smallCaps w:val="0"/>
          <w:noProof/>
          <w:kern w:val="0"/>
          <w:sz w:val="22"/>
          <w:szCs w:val="22"/>
          <w:lang w:val="en-AU" w:eastAsia="en-AU"/>
        </w:rPr>
      </w:pPr>
      <w:hyperlink w:anchor="_Toc487110305" w:history="1">
        <w:r w:rsidR="009846A3" w:rsidRPr="00976304">
          <w:rPr>
            <w:rStyle w:val="Hyperlink"/>
            <w:noProof/>
          </w:rPr>
          <w:t>Broad economic settings</w:t>
        </w:r>
        <w:r w:rsidR="009846A3">
          <w:rPr>
            <w:noProof/>
            <w:webHidden/>
          </w:rPr>
          <w:tab/>
        </w:r>
        <w:r w:rsidR="009846A3">
          <w:rPr>
            <w:noProof/>
            <w:webHidden/>
          </w:rPr>
          <w:fldChar w:fldCharType="begin"/>
        </w:r>
        <w:r w:rsidR="009846A3">
          <w:rPr>
            <w:noProof/>
            <w:webHidden/>
          </w:rPr>
          <w:instrText xml:space="preserve"> PAGEREF _Toc487110305 \h </w:instrText>
        </w:r>
        <w:r w:rsidR="009846A3">
          <w:rPr>
            <w:noProof/>
            <w:webHidden/>
          </w:rPr>
        </w:r>
        <w:r w:rsidR="009846A3">
          <w:rPr>
            <w:noProof/>
            <w:webHidden/>
          </w:rPr>
          <w:fldChar w:fldCharType="separate"/>
        </w:r>
        <w:r>
          <w:rPr>
            <w:noProof/>
            <w:webHidden/>
          </w:rPr>
          <w:t>5</w:t>
        </w:r>
        <w:r w:rsidR="009846A3">
          <w:rPr>
            <w:noProof/>
            <w:webHidden/>
          </w:rPr>
          <w:fldChar w:fldCharType="end"/>
        </w:r>
      </w:hyperlink>
    </w:p>
    <w:p w:rsidR="009846A3" w:rsidRDefault="00D17470" w:rsidP="00DD462C">
      <w:pPr>
        <w:pStyle w:val="TOC2"/>
        <w:tabs>
          <w:tab w:val="right" w:pos="9572"/>
        </w:tabs>
        <w:spacing w:before="120"/>
        <w:rPr>
          <w:rFonts w:eastAsiaTheme="minorEastAsia" w:cstheme="minorBidi"/>
          <w:smallCaps w:val="0"/>
          <w:noProof/>
          <w:kern w:val="0"/>
          <w:sz w:val="22"/>
          <w:szCs w:val="22"/>
          <w:lang w:val="en-AU" w:eastAsia="en-AU"/>
        </w:rPr>
      </w:pPr>
      <w:hyperlink w:anchor="_Toc487110307" w:history="1">
        <w:r w:rsidR="009846A3" w:rsidRPr="00976304">
          <w:rPr>
            <w:rStyle w:val="Hyperlink"/>
            <w:noProof/>
          </w:rPr>
          <w:t>Labour markets and social protection</w:t>
        </w:r>
        <w:r w:rsidR="009846A3">
          <w:rPr>
            <w:noProof/>
            <w:webHidden/>
          </w:rPr>
          <w:tab/>
        </w:r>
        <w:r w:rsidR="009846A3">
          <w:rPr>
            <w:noProof/>
            <w:webHidden/>
          </w:rPr>
          <w:fldChar w:fldCharType="begin"/>
        </w:r>
        <w:r w:rsidR="009846A3">
          <w:rPr>
            <w:noProof/>
            <w:webHidden/>
          </w:rPr>
          <w:instrText xml:space="preserve"> PAGEREF _Toc487110307 \h </w:instrText>
        </w:r>
        <w:r w:rsidR="009846A3">
          <w:rPr>
            <w:noProof/>
            <w:webHidden/>
          </w:rPr>
        </w:r>
        <w:r w:rsidR="009846A3">
          <w:rPr>
            <w:noProof/>
            <w:webHidden/>
          </w:rPr>
          <w:fldChar w:fldCharType="separate"/>
        </w:r>
        <w:r>
          <w:rPr>
            <w:noProof/>
            <w:webHidden/>
          </w:rPr>
          <w:t>5</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08" w:history="1">
        <w:r w:rsidR="009846A3" w:rsidRPr="00976304">
          <w:rPr>
            <w:rStyle w:val="Hyperlink"/>
            <w:noProof/>
          </w:rPr>
          <w:t>Labour market regulation</w:t>
        </w:r>
        <w:r w:rsidR="009846A3">
          <w:rPr>
            <w:noProof/>
            <w:webHidden/>
          </w:rPr>
          <w:tab/>
        </w:r>
        <w:r w:rsidR="009846A3">
          <w:rPr>
            <w:noProof/>
            <w:webHidden/>
          </w:rPr>
          <w:fldChar w:fldCharType="begin"/>
        </w:r>
        <w:r w:rsidR="009846A3">
          <w:rPr>
            <w:noProof/>
            <w:webHidden/>
          </w:rPr>
          <w:instrText xml:space="preserve"> PAGEREF _Toc487110308 \h </w:instrText>
        </w:r>
        <w:r w:rsidR="009846A3">
          <w:rPr>
            <w:noProof/>
            <w:webHidden/>
          </w:rPr>
        </w:r>
        <w:r w:rsidR="009846A3">
          <w:rPr>
            <w:noProof/>
            <w:webHidden/>
          </w:rPr>
          <w:fldChar w:fldCharType="separate"/>
        </w:r>
        <w:r>
          <w:rPr>
            <w:noProof/>
            <w:webHidden/>
          </w:rPr>
          <w:t>5</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09" w:history="1">
        <w:r w:rsidR="009846A3" w:rsidRPr="00976304">
          <w:rPr>
            <w:rStyle w:val="Hyperlink"/>
            <w:noProof/>
          </w:rPr>
          <w:t>Workplace safety</w:t>
        </w:r>
        <w:r w:rsidR="009846A3">
          <w:rPr>
            <w:noProof/>
            <w:webHidden/>
          </w:rPr>
          <w:tab/>
        </w:r>
        <w:r w:rsidR="009846A3">
          <w:rPr>
            <w:noProof/>
            <w:webHidden/>
          </w:rPr>
          <w:fldChar w:fldCharType="begin"/>
        </w:r>
        <w:r w:rsidR="009846A3">
          <w:rPr>
            <w:noProof/>
            <w:webHidden/>
          </w:rPr>
          <w:instrText xml:space="preserve"> PAGEREF _Toc487110309 \h </w:instrText>
        </w:r>
        <w:r w:rsidR="009846A3">
          <w:rPr>
            <w:noProof/>
            <w:webHidden/>
          </w:rPr>
        </w:r>
        <w:r w:rsidR="009846A3">
          <w:rPr>
            <w:noProof/>
            <w:webHidden/>
          </w:rPr>
          <w:fldChar w:fldCharType="separate"/>
        </w:r>
        <w:r>
          <w:rPr>
            <w:noProof/>
            <w:webHidden/>
          </w:rPr>
          <w:t>6</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0" w:history="1">
        <w:r w:rsidR="009846A3" w:rsidRPr="00976304">
          <w:rPr>
            <w:rStyle w:val="Hyperlink"/>
            <w:noProof/>
          </w:rPr>
          <w:t>Social protection</w:t>
        </w:r>
        <w:r w:rsidR="009846A3">
          <w:rPr>
            <w:noProof/>
            <w:webHidden/>
          </w:rPr>
          <w:tab/>
        </w:r>
        <w:r w:rsidR="009846A3">
          <w:rPr>
            <w:noProof/>
            <w:webHidden/>
          </w:rPr>
          <w:fldChar w:fldCharType="begin"/>
        </w:r>
        <w:r w:rsidR="009846A3">
          <w:rPr>
            <w:noProof/>
            <w:webHidden/>
          </w:rPr>
          <w:instrText xml:space="preserve"> PAGEREF _Toc487110310 \h </w:instrText>
        </w:r>
        <w:r w:rsidR="009846A3">
          <w:rPr>
            <w:noProof/>
            <w:webHidden/>
          </w:rPr>
        </w:r>
        <w:r w:rsidR="009846A3">
          <w:rPr>
            <w:noProof/>
            <w:webHidden/>
          </w:rPr>
          <w:fldChar w:fldCharType="separate"/>
        </w:r>
        <w:r>
          <w:rPr>
            <w:noProof/>
            <w:webHidden/>
          </w:rPr>
          <w:t>6</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1" w:history="1">
        <w:r w:rsidR="009846A3" w:rsidRPr="00976304">
          <w:rPr>
            <w:rStyle w:val="Hyperlink"/>
            <w:noProof/>
          </w:rPr>
          <w:t>Active labour market programs</w:t>
        </w:r>
        <w:r w:rsidR="009846A3">
          <w:rPr>
            <w:noProof/>
            <w:webHidden/>
          </w:rPr>
          <w:tab/>
        </w:r>
        <w:r w:rsidR="009846A3">
          <w:rPr>
            <w:noProof/>
            <w:webHidden/>
          </w:rPr>
          <w:fldChar w:fldCharType="begin"/>
        </w:r>
        <w:r w:rsidR="009846A3">
          <w:rPr>
            <w:noProof/>
            <w:webHidden/>
          </w:rPr>
          <w:instrText xml:space="preserve"> PAGEREF _Toc487110311 \h </w:instrText>
        </w:r>
        <w:r w:rsidR="009846A3">
          <w:rPr>
            <w:noProof/>
            <w:webHidden/>
          </w:rPr>
        </w:r>
        <w:r w:rsidR="009846A3">
          <w:rPr>
            <w:noProof/>
            <w:webHidden/>
          </w:rPr>
          <w:fldChar w:fldCharType="separate"/>
        </w:r>
        <w:r>
          <w:rPr>
            <w:noProof/>
            <w:webHidden/>
          </w:rPr>
          <w:t>6</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2" w:history="1">
        <w:r w:rsidR="009846A3" w:rsidRPr="00976304">
          <w:rPr>
            <w:rStyle w:val="Hyperlink"/>
            <w:noProof/>
          </w:rPr>
          <w:t>Policy measures targeting labour market disadvantage</w:t>
        </w:r>
        <w:r w:rsidR="009846A3">
          <w:rPr>
            <w:noProof/>
            <w:webHidden/>
          </w:rPr>
          <w:tab/>
        </w:r>
        <w:r w:rsidR="009846A3">
          <w:rPr>
            <w:noProof/>
            <w:webHidden/>
          </w:rPr>
          <w:fldChar w:fldCharType="begin"/>
        </w:r>
        <w:r w:rsidR="009846A3">
          <w:rPr>
            <w:noProof/>
            <w:webHidden/>
          </w:rPr>
          <w:instrText xml:space="preserve"> PAGEREF _Toc487110312 \h </w:instrText>
        </w:r>
        <w:r w:rsidR="009846A3">
          <w:rPr>
            <w:noProof/>
            <w:webHidden/>
          </w:rPr>
        </w:r>
        <w:r w:rsidR="009846A3">
          <w:rPr>
            <w:noProof/>
            <w:webHidden/>
          </w:rPr>
          <w:fldChar w:fldCharType="separate"/>
        </w:r>
        <w:r>
          <w:rPr>
            <w:noProof/>
            <w:webHidden/>
          </w:rPr>
          <w:t>6</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3" w:history="1">
        <w:r w:rsidR="009846A3" w:rsidRPr="00976304">
          <w:rPr>
            <w:rStyle w:val="Hyperlink"/>
            <w:noProof/>
          </w:rPr>
          <w:t>Women</w:t>
        </w:r>
        <w:r w:rsidR="009846A3">
          <w:rPr>
            <w:noProof/>
            <w:webHidden/>
          </w:rPr>
          <w:tab/>
        </w:r>
        <w:r w:rsidR="009846A3">
          <w:rPr>
            <w:noProof/>
            <w:webHidden/>
          </w:rPr>
          <w:fldChar w:fldCharType="begin"/>
        </w:r>
        <w:r w:rsidR="009846A3">
          <w:rPr>
            <w:noProof/>
            <w:webHidden/>
          </w:rPr>
          <w:instrText xml:space="preserve"> PAGEREF _Toc487110313 \h </w:instrText>
        </w:r>
        <w:r w:rsidR="009846A3">
          <w:rPr>
            <w:noProof/>
            <w:webHidden/>
          </w:rPr>
        </w:r>
        <w:r w:rsidR="009846A3">
          <w:rPr>
            <w:noProof/>
            <w:webHidden/>
          </w:rPr>
          <w:fldChar w:fldCharType="separate"/>
        </w:r>
        <w:r>
          <w:rPr>
            <w:noProof/>
            <w:webHidden/>
          </w:rPr>
          <w:t>6</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4" w:history="1">
        <w:r w:rsidR="009846A3" w:rsidRPr="00976304">
          <w:rPr>
            <w:rStyle w:val="Hyperlink"/>
            <w:noProof/>
          </w:rPr>
          <w:t>Youth</w:t>
        </w:r>
        <w:r w:rsidR="009846A3">
          <w:rPr>
            <w:noProof/>
            <w:webHidden/>
          </w:rPr>
          <w:tab/>
        </w:r>
        <w:r w:rsidR="009846A3">
          <w:rPr>
            <w:noProof/>
            <w:webHidden/>
          </w:rPr>
          <w:fldChar w:fldCharType="begin"/>
        </w:r>
        <w:r w:rsidR="009846A3">
          <w:rPr>
            <w:noProof/>
            <w:webHidden/>
          </w:rPr>
          <w:instrText xml:space="preserve"> PAGEREF _Toc487110314 \h </w:instrText>
        </w:r>
        <w:r w:rsidR="009846A3">
          <w:rPr>
            <w:noProof/>
            <w:webHidden/>
          </w:rPr>
        </w:r>
        <w:r w:rsidR="009846A3">
          <w:rPr>
            <w:noProof/>
            <w:webHidden/>
          </w:rPr>
          <w:fldChar w:fldCharType="separate"/>
        </w:r>
        <w:r>
          <w:rPr>
            <w:noProof/>
            <w:webHidden/>
          </w:rPr>
          <w:t>7</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5" w:history="1">
        <w:r w:rsidR="009846A3" w:rsidRPr="00976304">
          <w:rPr>
            <w:rStyle w:val="Hyperlink"/>
            <w:noProof/>
          </w:rPr>
          <w:t>Indigenous Australians</w:t>
        </w:r>
        <w:r w:rsidR="009846A3">
          <w:rPr>
            <w:noProof/>
            <w:webHidden/>
          </w:rPr>
          <w:tab/>
        </w:r>
        <w:r w:rsidR="009846A3">
          <w:rPr>
            <w:noProof/>
            <w:webHidden/>
          </w:rPr>
          <w:fldChar w:fldCharType="begin"/>
        </w:r>
        <w:r w:rsidR="009846A3">
          <w:rPr>
            <w:noProof/>
            <w:webHidden/>
          </w:rPr>
          <w:instrText xml:space="preserve"> PAGEREF _Toc487110315 \h </w:instrText>
        </w:r>
        <w:r w:rsidR="009846A3">
          <w:rPr>
            <w:noProof/>
            <w:webHidden/>
          </w:rPr>
        </w:r>
        <w:r w:rsidR="009846A3">
          <w:rPr>
            <w:noProof/>
            <w:webHidden/>
          </w:rPr>
          <w:fldChar w:fldCharType="separate"/>
        </w:r>
        <w:r>
          <w:rPr>
            <w:noProof/>
            <w:webHidden/>
          </w:rPr>
          <w:t>8</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6" w:history="1">
        <w:r w:rsidR="009846A3" w:rsidRPr="00976304">
          <w:rPr>
            <w:rStyle w:val="Hyperlink"/>
            <w:noProof/>
          </w:rPr>
          <w:t>Mature age</w:t>
        </w:r>
        <w:r w:rsidR="009846A3">
          <w:rPr>
            <w:noProof/>
            <w:webHidden/>
          </w:rPr>
          <w:tab/>
        </w:r>
        <w:r w:rsidR="009846A3">
          <w:rPr>
            <w:noProof/>
            <w:webHidden/>
          </w:rPr>
          <w:fldChar w:fldCharType="begin"/>
        </w:r>
        <w:r w:rsidR="009846A3">
          <w:rPr>
            <w:noProof/>
            <w:webHidden/>
          </w:rPr>
          <w:instrText xml:space="preserve"> PAGEREF _Toc487110316 \h </w:instrText>
        </w:r>
        <w:r w:rsidR="009846A3">
          <w:rPr>
            <w:noProof/>
            <w:webHidden/>
          </w:rPr>
        </w:r>
        <w:r w:rsidR="009846A3">
          <w:rPr>
            <w:noProof/>
            <w:webHidden/>
          </w:rPr>
          <w:fldChar w:fldCharType="separate"/>
        </w:r>
        <w:r>
          <w:rPr>
            <w:noProof/>
            <w:webHidden/>
          </w:rPr>
          <w:t>9</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7" w:history="1">
        <w:r w:rsidR="009846A3" w:rsidRPr="00976304">
          <w:rPr>
            <w:rStyle w:val="Hyperlink"/>
            <w:noProof/>
          </w:rPr>
          <w:t>People with Disability</w:t>
        </w:r>
        <w:r w:rsidR="009846A3">
          <w:rPr>
            <w:noProof/>
            <w:webHidden/>
          </w:rPr>
          <w:tab/>
        </w:r>
        <w:r w:rsidR="009846A3">
          <w:rPr>
            <w:noProof/>
            <w:webHidden/>
          </w:rPr>
          <w:fldChar w:fldCharType="begin"/>
        </w:r>
        <w:r w:rsidR="009846A3">
          <w:rPr>
            <w:noProof/>
            <w:webHidden/>
          </w:rPr>
          <w:instrText xml:space="preserve"> PAGEREF _Toc487110317 \h </w:instrText>
        </w:r>
        <w:r w:rsidR="009846A3">
          <w:rPr>
            <w:noProof/>
            <w:webHidden/>
          </w:rPr>
        </w:r>
        <w:r w:rsidR="009846A3">
          <w:rPr>
            <w:noProof/>
            <w:webHidden/>
          </w:rPr>
          <w:fldChar w:fldCharType="separate"/>
        </w:r>
        <w:r>
          <w:rPr>
            <w:noProof/>
            <w:webHidden/>
          </w:rPr>
          <w:t>9</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8" w:history="1">
        <w:r w:rsidR="009846A3" w:rsidRPr="00976304">
          <w:rPr>
            <w:rStyle w:val="Hyperlink"/>
            <w:noProof/>
          </w:rPr>
          <w:t>Regional areas</w:t>
        </w:r>
        <w:r w:rsidR="009846A3">
          <w:rPr>
            <w:noProof/>
            <w:webHidden/>
          </w:rPr>
          <w:tab/>
        </w:r>
        <w:r w:rsidR="009846A3">
          <w:rPr>
            <w:noProof/>
            <w:webHidden/>
          </w:rPr>
          <w:fldChar w:fldCharType="begin"/>
        </w:r>
        <w:r w:rsidR="009846A3">
          <w:rPr>
            <w:noProof/>
            <w:webHidden/>
          </w:rPr>
          <w:instrText xml:space="preserve"> PAGEREF _Toc487110318 \h </w:instrText>
        </w:r>
        <w:r w:rsidR="009846A3">
          <w:rPr>
            <w:noProof/>
            <w:webHidden/>
          </w:rPr>
        </w:r>
        <w:r w:rsidR="009846A3">
          <w:rPr>
            <w:noProof/>
            <w:webHidden/>
          </w:rPr>
          <w:fldChar w:fldCharType="separate"/>
        </w:r>
        <w:r>
          <w:rPr>
            <w:noProof/>
            <w:webHidden/>
          </w:rPr>
          <w:t>10</w:t>
        </w:r>
        <w:r w:rsidR="009846A3">
          <w:rPr>
            <w:noProof/>
            <w:webHidden/>
          </w:rPr>
          <w:fldChar w:fldCharType="end"/>
        </w:r>
      </w:hyperlink>
    </w:p>
    <w:p w:rsidR="009846A3" w:rsidRDefault="00D17470" w:rsidP="00DD462C">
      <w:pPr>
        <w:pStyle w:val="TOC3"/>
        <w:tabs>
          <w:tab w:val="right" w:pos="9572"/>
        </w:tabs>
        <w:spacing w:before="120"/>
        <w:rPr>
          <w:rFonts w:eastAsiaTheme="minorEastAsia" w:cstheme="minorBidi"/>
          <w:iCs w:val="0"/>
          <w:noProof/>
          <w:kern w:val="0"/>
          <w:sz w:val="22"/>
          <w:szCs w:val="22"/>
          <w:lang w:val="en-AU" w:eastAsia="en-AU"/>
        </w:rPr>
      </w:pPr>
      <w:hyperlink w:anchor="_Toc487110319" w:history="1">
        <w:r w:rsidR="009846A3" w:rsidRPr="00976304">
          <w:rPr>
            <w:rStyle w:val="Hyperlink"/>
            <w:noProof/>
          </w:rPr>
          <w:t>Workers in industries facing major structural change</w:t>
        </w:r>
        <w:r w:rsidR="009846A3">
          <w:rPr>
            <w:noProof/>
            <w:webHidden/>
          </w:rPr>
          <w:tab/>
        </w:r>
        <w:r w:rsidR="009846A3">
          <w:rPr>
            <w:noProof/>
            <w:webHidden/>
          </w:rPr>
          <w:fldChar w:fldCharType="begin"/>
        </w:r>
        <w:r w:rsidR="009846A3">
          <w:rPr>
            <w:noProof/>
            <w:webHidden/>
          </w:rPr>
          <w:instrText xml:space="preserve"> PAGEREF _Toc487110319 \h </w:instrText>
        </w:r>
        <w:r w:rsidR="009846A3">
          <w:rPr>
            <w:noProof/>
            <w:webHidden/>
          </w:rPr>
        </w:r>
        <w:r w:rsidR="009846A3">
          <w:rPr>
            <w:noProof/>
            <w:webHidden/>
          </w:rPr>
          <w:fldChar w:fldCharType="separate"/>
        </w:r>
        <w:r>
          <w:rPr>
            <w:noProof/>
            <w:webHidden/>
          </w:rPr>
          <w:t>10</w:t>
        </w:r>
        <w:r w:rsidR="009846A3">
          <w:rPr>
            <w:noProof/>
            <w:webHidden/>
          </w:rPr>
          <w:fldChar w:fldCharType="end"/>
        </w:r>
      </w:hyperlink>
    </w:p>
    <w:p w:rsidR="009846A3" w:rsidRDefault="00D17470" w:rsidP="00DD462C">
      <w:pPr>
        <w:pStyle w:val="TOC2"/>
        <w:tabs>
          <w:tab w:val="right" w:pos="9572"/>
        </w:tabs>
        <w:spacing w:before="120"/>
        <w:rPr>
          <w:rFonts w:eastAsiaTheme="minorEastAsia" w:cstheme="minorBidi"/>
          <w:smallCaps w:val="0"/>
          <w:noProof/>
          <w:kern w:val="0"/>
          <w:sz w:val="22"/>
          <w:szCs w:val="22"/>
          <w:lang w:val="en-AU" w:eastAsia="en-AU"/>
        </w:rPr>
      </w:pPr>
      <w:hyperlink w:anchor="_Toc487110320" w:history="1">
        <w:r w:rsidR="009846A3" w:rsidRPr="00976304">
          <w:rPr>
            <w:rStyle w:val="Hyperlink"/>
            <w:noProof/>
          </w:rPr>
          <w:t>Skills development</w:t>
        </w:r>
        <w:r w:rsidR="009846A3">
          <w:rPr>
            <w:noProof/>
            <w:webHidden/>
          </w:rPr>
          <w:tab/>
        </w:r>
        <w:r w:rsidR="009846A3">
          <w:rPr>
            <w:noProof/>
            <w:webHidden/>
          </w:rPr>
          <w:fldChar w:fldCharType="begin"/>
        </w:r>
        <w:r w:rsidR="009846A3">
          <w:rPr>
            <w:noProof/>
            <w:webHidden/>
          </w:rPr>
          <w:instrText xml:space="preserve"> PAGEREF _Toc487110320 \h </w:instrText>
        </w:r>
        <w:r w:rsidR="009846A3">
          <w:rPr>
            <w:noProof/>
            <w:webHidden/>
          </w:rPr>
        </w:r>
        <w:r w:rsidR="009846A3">
          <w:rPr>
            <w:noProof/>
            <w:webHidden/>
          </w:rPr>
          <w:fldChar w:fldCharType="separate"/>
        </w:r>
        <w:r>
          <w:rPr>
            <w:noProof/>
            <w:webHidden/>
          </w:rPr>
          <w:t>11</w:t>
        </w:r>
        <w:r w:rsidR="009846A3">
          <w:rPr>
            <w:noProof/>
            <w:webHidden/>
          </w:rPr>
          <w:fldChar w:fldCharType="end"/>
        </w:r>
      </w:hyperlink>
    </w:p>
    <w:p w:rsidR="009846A3" w:rsidRDefault="00D17470" w:rsidP="00DD462C">
      <w:pPr>
        <w:pStyle w:val="TOC1"/>
        <w:tabs>
          <w:tab w:val="left" w:pos="420"/>
          <w:tab w:val="right" w:pos="9572"/>
        </w:tabs>
        <w:rPr>
          <w:rFonts w:eastAsiaTheme="minorEastAsia" w:cstheme="minorBidi"/>
          <w:b w:val="0"/>
          <w:bCs w:val="0"/>
          <w:caps w:val="0"/>
          <w:noProof/>
          <w:kern w:val="0"/>
          <w:sz w:val="22"/>
          <w:szCs w:val="22"/>
          <w:lang w:val="en-AU" w:eastAsia="en-AU"/>
        </w:rPr>
      </w:pPr>
      <w:hyperlink w:anchor="_Toc487110323" w:history="1">
        <w:r w:rsidR="009846A3" w:rsidRPr="00976304">
          <w:rPr>
            <w:rStyle w:val="Hyperlink"/>
            <w:noProof/>
            <w:lang w:val="en-AU"/>
          </w:rPr>
          <w:t>4.</w:t>
        </w:r>
        <w:r w:rsidR="009846A3">
          <w:rPr>
            <w:rFonts w:eastAsiaTheme="minorEastAsia" w:cstheme="minorBidi"/>
            <w:b w:val="0"/>
            <w:bCs w:val="0"/>
            <w:caps w:val="0"/>
            <w:noProof/>
            <w:kern w:val="0"/>
            <w:sz w:val="22"/>
            <w:szCs w:val="22"/>
            <w:lang w:val="en-AU" w:eastAsia="en-AU"/>
          </w:rPr>
          <w:tab/>
        </w:r>
        <w:r w:rsidR="009846A3" w:rsidRPr="00976304">
          <w:rPr>
            <w:rStyle w:val="Hyperlink"/>
            <w:noProof/>
            <w:lang w:val="en-AU"/>
          </w:rPr>
          <w:t>Monitoring and reporting</w:t>
        </w:r>
        <w:r w:rsidR="009846A3">
          <w:rPr>
            <w:noProof/>
            <w:webHidden/>
          </w:rPr>
          <w:tab/>
        </w:r>
        <w:r w:rsidR="009846A3">
          <w:rPr>
            <w:noProof/>
            <w:webHidden/>
          </w:rPr>
          <w:fldChar w:fldCharType="begin"/>
        </w:r>
        <w:r w:rsidR="009846A3">
          <w:rPr>
            <w:noProof/>
            <w:webHidden/>
          </w:rPr>
          <w:instrText xml:space="preserve"> PAGEREF _Toc487110323 \h </w:instrText>
        </w:r>
        <w:r w:rsidR="009846A3">
          <w:rPr>
            <w:noProof/>
            <w:webHidden/>
          </w:rPr>
        </w:r>
        <w:r w:rsidR="009846A3">
          <w:rPr>
            <w:noProof/>
            <w:webHidden/>
          </w:rPr>
          <w:fldChar w:fldCharType="separate"/>
        </w:r>
        <w:r>
          <w:rPr>
            <w:noProof/>
            <w:webHidden/>
          </w:rPr>
          <w:t>13</w:t>
        </w:r>
        <w:r w:rsidR="009846A3">
          <w:rPr>
            <w:noProof/>
            <w:webHidden/>
          </w:rPr>
          <w:fldChar w:fldCharType="end"/>
        </w:r>
      </w:hyperlink>
    </w:p>
    <w:p w:rsidR="009846A3" w:rsidRDefault="00D17470" w:rsidP="00DD462C">
      <w:pPr>
        <w:pStyle w:val="TOC2"/>
        <w:tabs>
          <w:tab w:val="right" w:pos="9572"/>
        </w:tabs>
        <w:spacing w:before="120"/>
        <w:ind w:left="426"/>
        <w:rPr>
          <w:rFonts w:eastAsiaTheme="minorEastAsia" w:cstheme="minorBidi"/>
          <w:smallCaps w:val="0"/>
          <w:noProof/>
          <w:kern w:val="0"/>
          <w:sz w:val="22"/>
          <w:szCs w:val="22"/>
          <w:lang w:val="en-AU" w:eastAsia="en-AU"/>
        </w:rPr>
      </w:pPr>
      <w:hyperlink w:anchor="_Toc487110324" w:history="1">
        <w:r w:rsidR="009846A3" w:rsidRPr="00976304">
          <w:rPr>
            <w:rStyle w:val="Hyperlink"/>
            <w:noProof/>
          </w:rPr>
          <w:t>Key economic and labour market indicators</w:t>
        </w:r>
        <w:r w:rsidR="009846A3">
          <w:rPr>
            <w:noProof/>
            <w:webHidden/>
          </w:rPr>
          <w:tab/>
        </w:r>
        <w:r w:rsidR="009846A3">
          <w:rPr>
            <w:noProof/>
            <w:webHidden/>
          </w:rPr>
          <w:fldChar w:fldCharType="begin"/>
        </w:r>
        <w:r w:rsidR="009846A3">
          <w:rPr>
            <w:noProof/>
            <w:webHidden/>
          </w:rPr>
          <w:instrText xml:space="preserve"> PAGEREF _Toc487110324 \h </w:instrText>
        </w:r>
        <w:r w:rsidR="009846A3">
          <w:rPr>
            <w:noProof/>
            <w:webHidden/>
          </w:rPr>
        </w:r>
        <w:r w:rsidR="009846A3">
          <w:rPr>
            <w:noProof/>
            <w:webHidden/>
          </w:rPr>
          <w:fldChar w:fldCharType="separate"/>
        </w:r>
        <w:r>
          <w:rPr>
            <w:noProof/>
            <w:webHidden/>
          </w:rPr>
          <w:t>13</w:t>
        </w:r>
        <w:r w:rsidR="009846A3">
          <w:rPr>
            <w:noProof/>
            <w:webHidden/>
          </w:rPr>
          <w:fldChar w:fldCharType="end"/>
        </w:r>
      </w:hyperlink>
    </w:p>
    <w:p w:rsidR="009846A3" w:rsidRDefault="00D17470" w:rsidP="00DD462C">
      <w:pPr>
        <w:pStyle w:val="TOC2"/>
        <w:tabs>
          <w:tab w:val="right" w:pos="9572"/>
        </w:tabs>
        <w:spacing w:before="120"/>
        <w:ind w:left="426"/>
        <w:rPr>
          <w:rFonts w:eastAsiaTheme="minorEastAsia" w:cstheme="minorBidi"/>
          <w:smallCaps w:val="0"/>
          <w:noProof/>
          <w:kern w:val="0"/>
          <w:sz w:val="22"/>
          <w:szCs w:val="22"/>
          <w:lang w:val="en-AU" w:eastAsia="en-AU"/>
        </w:rPr>
      </w:pPr>
      <w:hyperlink w:anchor="_Toc487110326" w:history="1">
        <w:r w:rsidR="009846A3" w:rsidRPr="00976304">
          <w:rPr>
            <w:rStyle w:val="Hyperlink"/>
            <w:noProof/>
          </w:rPr>
          <w:t>Key policy indicators</w:t>
        </w:r>
        <w:r w:rsidR="009846A3">
          <w:rPr>
            <w:noProof/>
            <w:webHidden/>
          </w:rPr>
          <w:tab/>
        </w:r>
        <w:r w:rsidR="009846A3">
          <w:rPr>
            <w:noProof/>
            <w:webHidden/>
          </w:rPr>
          <w:fldChar w:fldCharType="begin"/>
        </w:r>
        <w:r w:rsidR="009846A3">
          <w:rPr>
            <w:noProof/>
            <w:webHidden/>
          </w:rPr>
          <w:instrText xml:space="preserve"> PAGEREF _Toc487110326 \h </w:instrText>
        </w:r>
        <w:r w:rsidR="009846A3">
          <w:rPr>
            <w:noProof/>
            <w:webHidden/>
          </w:rPr>
        </w:r>
        <w:r w:rsidR="009846A3">
          <w:rPr>
            <w:noProof/>
            <w:webHidden/>
          </w:rPr>
          <w:fldChar w:fldCharType="separate"/>
        </w:r>
        <w:r>
          <w:rPr>
            <w:noProof/>
            <w:webHidden/>
          </w:rPr>
          <w:t>13</w:t>
        </w:r>
        <w:r w:rsidR="009846A3">
          <w:rPr>
            <w:noProof/>
            <w:webHidden/>
          </w:rPr>
          <w:fldChar w:fldCharType="end"/>
        </w:r>
      </w:hyperlink>
    </w:p>
    <w:p w:rsidR="009846A3" w:rsidRDefault="00D17470" w:rsidP="00DD462C">
      <w:pPr>
        <w:pStyle w:val="TOC1"/>
        <w:tabs>
          <w:tab w:val="left" w:pos="420"/>
          <w:tab w:val="right" w:pos="9572"/>
        </w:tabs>
        <w:rPr>
          <w:rFonts w:eastAsiaTheme="minorEastAsia" w:cstheme="minorBidi"/>
          <w:b w:val="0"/>
          <w:bCs w:val="0"/>
          <w:caps w:val="0"/>
          <w:noProof/>
          <w:kern w:val="0"/>
          <w:sz w:val="22"/>
          <w:szCs w:val="22"/>
          <w:lang w:val="en-AU" w:eastAsia="en-AU"/>
        </w:rPr>
      </w:pPr>
      <w:hyperlink w:anchor="_Toc487110328" w:history="1">
        <w:r w:rsidR="009846A3" w:rsidRPr="00976304">
          <w:rPr>
            <w:rStyle w:val="Hyperlink"/>
            <w:noProof/>
            <w:lang w:val="en-AU"/>
          </w:rPr>
          <w:t>5.</w:t>
        </w:r>
        <w:r w:rsidR="009846A3">
          <w:rPr>
            <w:rFonts w:eastAsiaTheme="minorEastAsia" w:cstheme="minorBidi"/>
            <w:b w:val="0"/>
            <w:bCs w:val="0"/>
            <w:caps w:val="0"/>
            <w:noProof/>
            <w:kern w:val="0"/>
            <w:sz w:val="22"/>
            <w:szCs w:val="22"/>
            <w:lang w:val="en-AU" w:eastAsia="en-AU"/>
          </w:rPr>
          <w:tab/>
        </w:r>
        <w:r w:rsidR="009846A3" w:rsidRPr="00976304">
          <w:rPr>
            <w:rStyle w:val="Hyperlink"/>
            <w:noProof/>
            <w:lang w:val="en-AU"/>
          </w:rPr>
          <w:t>Key policy commitments in the Employment Plan</w:t>
        </w:r>
        <w:r w:rsidR="009846A3">
          <w:rPr>
            <w:noProof/>
            <w:webHidden/>
          </w:rPr>
          <w:tab/>
        </w:r>
        <w:r w:rsidR="009846A3">
          <w:rPr>
            <w:noProof/>
            <w:webHidden/>
          </w:rPr>
          <w:fldChar w:fldCharType="begin"/>
        </w:r>
        <w:r w:rsidR="009846A3">
          <w:rPr>
            <w:noProof/>
            <w:webHidden/>
          </w:rPr>
          <w:instrText xml:space="preserve"> PAGEREF _Toc487110328 \h </w:instrText>
        </w:r>
        <w:r w:rsidR="009846A3">
          <w:rPr>
            <w:noProof/>
            <w:webHidden/>
          </w:rPr>
        </w:r>
        <w:r w:rsidR="009846A3">
          <w:rPr>
            <w:noProof/>
            <w:webHidden/>
          </w:rPr>
          <w:fldChar w:fldCharType="separate"/>
        </w:r>
        <w:r>
          <w:rPr>
            <w:noProof/>
            <w:webHidden/>
          </w:rPr>
          <w:t>14</w:t>
        </w:r>
        <w:r w:rsidR="009846A3">
          <w:rPr>
            <w:noProof/>
            <w:webHidden/>
          </w:rPr>
          <w:fldChar w:fldCharType="end"/>
        </w:r>
      </w:hyperlink>
    </w:p>
    <w:p w:rsidR="009846A3" w:rsidRDefault="00D17470" w:rsidP="00DD462C">
      <w:pPr>
        <w:pStyle w:val="TOC1"/>
        <w:tabs>
          <w:tab w:val="left" w:pos="420"/>
          <w:tab w:val="right" w:pos="9572"/>
        </w:tabs>
        <w:rPr>
          <w:rFonts w:eastAsiaTheme="minorEastAsia" w:cstheme="minorBidi"/>
          <w:b w:val="0"/>
          <w:bCs w:val="0"/>
          <w:caps w:val="0"/>
          <w:noProof/>
          <w:kern w:val="0"/>
          <w:sz w:val="22"/>
          <w:szCs w:val="22"/>
          <w:lang w:val="en-AU" w:eastAsia="en-AU"/>
        </w:rPr>
      </w:pPr>
      <w:hyperlink w:anchor="_Toc487110331" w:history="1">
        <w:r w:rsidR="009846A3" w:rsidRPr="00976304">
          <w:rPr>
            <w:rStyle w:val="Hyperlink"/>
            <w:noProof/>
          </w:rPr>
          <w:t>6.</w:t>
        </w:r>
        <w:r w:rsidR="009846A3">
          <w:rPr>
            <w:rFonts w:eastAsiaTheme="minorEastAsia" w:cstheme="minorBidi"/>
            <w:b w:val="0"/>
            <w:bCs w:val="0"/>
            <w:caps w:val="0"/>
            <w:noProof/>
            <w:kern w:val="0"/>
            <w:sz w:val="22"/>
            <w:szCs w:val="22"/>
            <w:lang w:val="en-AU" w:eastAsia="en-AU"/>
          </w:rPr>
          <w:tab/>
        </w:r>
        <w:r w:rsidR="009846A3" w:rsidRPr="00976304">
          <w:rPr>
            <w:rStyle w:val="Hyperlink"/>
            <w:noProof/>
          </w:rPr>
          <w:t>Multi-year collective commitments</w:t>
        </w:r>
        <w:r w:rsidR="009846A3">
          <w:rPr>
            <w:noProof/>
            <w:webHidden/>
          </w:rPr>
          <w:tab/>
        </w:r>
        <w:r w:rsidR="009846A3">
          <w:rPr>
            <w:noProof/>
            <w:webHidden/>
          </w:rPr>
          <w:fldChar w:fldCharType="begin"/>
        </w:r>
        <w:r w:rsidR="009846A3">
          <w:rPr>
            <w:noProof/>
            <w:webHidden/>
          </w:rPr>
          <w:instrText xml:space="preserve"> PAGEREF _Toc487110331 \h </w:instrText>
        </w:r>
        <w:r w:rsidR="009846A3">
          <w:rPr>
            <w:noProof/>
            <w:webHidden/>
          </w:rPr>
        </w:r>
        <w:r w:rsidR="009846A3">
          <w:rPr>
            <w:noProof/>
            <w:webHidden/>
          </w:rPr>
          <w:fldChar w:fldCharType="separate"/>
        </w:r>
        <w:r>
          <w:rPr>
            <w:noProof/>
            <w:webHidden/>
          </w:rPr>
          <w:t>21</w:t>
        </w:r>
        <w:r w:rsidR="009846A3">
          <w:rPr>
            <w:noProof/>
            <w:webHidden/>
          </w:rPr>
          <w:fldChar w:fldCharType="end"/>
        </w:r>
      </w:hyperlink>
    </w:p>
    <w:p w:rsidR="00BA00DE" w:rsidRDefault="009846A3" w:rsidP="009022D4">
      <w:pPr>
        <w:tabs>
          <w:tab w:val="left" w:pos="1725"/>
        </w:tabs>
        <w:spacing w:before="2880" w:after="240"/>
        <w:rPr>
          <w:rFonts w:asciiTheme="minorHAnsi" w:hAnsiTheme="minorHAnsi" w:cstheme="minorHAnsi"/>
          <w:color w:val="000000"/>
          <w:sz w:val="22"/>
          <w:lang w:val="en-AU"/>
        </w:rPr>
      </w:pPr>
      <w:r>
        <w:rPr>
          <w:rFonts w:asciiTheme="minorHAnsi" w:hAnsiTheme="minorHAnsi" w:cstheme="minorHAnsi"/>
          <w:sz w:val="20"/>
          <w:szCs w:val="20"/>
          <w:lang w:val="en-AU"/>
        </w:rPr>
        <w:fldChar w:fldCharType="end"/>
      </w:r>
      <w:proofErr w:type="gramStart"/>
      <w:r w:rsidR="00FB5A1C" w:rsidRPr="005F7E37">
        <w:rPr>
          <w:rFonts w:asciiTheme="minorHAnsi" w:hAnsiTheme="minorHAnsi" w:cstheme="minorHAnsi"/>
          <w:sz w:val="20"/>
          <w:szCs w:val="20"/>
          <w:lang w:val="en-AU"/>
        </w:rPr>
        <w:t>Prepared by the Australian Government Depa</w:t>
      </w:r>
      <w:r w:rsidR="00FB5A1C" w:rsidRPr="00D45576">
        <w:rPr>
          <w:rFonts w:asciiTheme="minorHAnsi" w:hAnsiTheme="minorHAnsi" w:cstheme="minorHAnsi"/>
          <w:sz w:val="20"/>
          <w:szCs w:val="20"/>
          <w:lang w:val="en-AU"/>
        </w:rPr>
        <w:t>rtment of Employment</w:t>
      </w:r>
      <w:r w:rsidR="00BE2F81" w:rsidRPr="00D45576">
        <w:rPr>
          <w:rFonts w:asciiTheme="minorHAnsi" w:hAnsiTheme="minorHAnsi" w:cstheme="minorHAnsi"/>
          <w:sz w:val="20"/>
          <w:szCs w:val="20"/>
          <w:lang w:val="en-AU"/>
        </w:rPr>
        <w:t>,</w:t>
      </w:r>
      <w:r w:rsidR="00FB5A1C" w:rsidRPr="00D45576">
        <w:rPr>
          <w:rFonts w:asciiTheme="minorHAnsi" w:hAnsiTheme="minorHAnsi" w:cstheme="minorHAnsi"/>
          <w:sz w:val="20"/>
          <w:szCs w:val="20"/>
          <w:lang w:val="en-AU"/>
        </w:rPr>
        <w:t xml:space="preserve"> with </w:t>
      </w:r>
      <w:r w:rsidR="00BE2F81" w:rsidRPr="00D45576">
        <w:rPr>
          <w:rFonts w:asciiTheme="minorHAnsi" w:hAnsiTheme="minorHAnsi" w:cstheme="minorHAnsi"/>
          <w:sz w:val="20"/>
          <w:szCs w:val="20"/>
          <w:lang w:val="en-AU"/>
        </w:rPr>
        <w:t xml:space="preserve">input from </w:t>
      </w:r>
      <w:r w:rsidR="00FB5A1C" w:rsidRPr="00D45576">
        <w:rPr>
          <w:rFonts w:asciiTheme="minorHAnsi" w:hAnsiTheme="minorHAnsi" w:cstheme="minorHAnsi"/>
          <w:sz w:val="20"/>
          <w:szCs w:val="20"/>
          <w:lang w:val="en-AU"/>
        </w:rPr>
        <w:t>Australian Public Service colleagues</w:t>
      </w:r>
      <w:r w:rsidR="00BE2F81" w:rsidRPr="00D45576">
        <w:rPr>
          <w:rFonts w:asciiTheme="minorHAnsi" w:hAnsiTheme="minorHAnsi" w:cstheme="minorHAnsi"/>
          <w:sz w:val="20"/>
          <w:szCs w:val="20"/>
          <w:lang w:val="en-AU"/>
        </w:rPr>
        <w:t>,</w:t>
      </w:r>
      <w:r w:rsidR="00FB5A1C" w:rsidRPr="00D45576">
        <w:rPr>
          <w:rFonts w:asciiTheme="minorHAnsi" w:hAnsiTheme="minorHAnsi" w:cstheme="minorHAnsi"/>
          <w:sz w:val="20"/>
          <w:szCs w:val="20"/>
          <w:lang w:val="en-AU"/>
        </w:rPr>
        <w:t xml:space="preserve"> in </w:t>
      </w:r>
      <w:r w:rsidR="005865C3" w:rsidRPr="00D45576">
        <w:rPr>
          <w:rFonts w:asciiTheme="minorHAnsi" w:hAnsiTheme="minorHAnsi" w:cstheme="minorHAnsi"/>
          <w:sz w:val="20"/>
          <w:szCs w:val="20"/>
          <w:lang w:val="en-AU"/>
        </w:rPr>
        <w:t>June</w:t>
      </w:r>
      <w:r w:rsidR="006812FC" w:rsidRPr="00D45576">
        <w:rPr>
          <w:rFonts w:asciiTheme="minorHAnsi" w:hAnsiTheme="minorHAnsi" w:cstheme="minorHAnsi"/>
          <w:sz w:val="20"/>
          <w:szCs w:val="20"/>
          <w:lang w:val="en-AU"/>
        </w:rPr>
        <w:t xml:space="preserve"> 2017</w:t>
      </w:r>
      <w:r w:rsidR="00FB5A1C" w:rsidRPr="00D45576">
        <w:rPr>
          <w:rFonts w:asciiTheme="minorHAnsi" w:hAnsiTheme="minorHAnsi" w:cstheme="minorHAnsi"/>
          <w:sz w:val="20"/>
          <w:szCs w:val="20"/>
          <w:lang w:val="en-AU"/>
        </w:rPr>
        <w:t>.</w:t>
      </w:r>
      <w:proofErr w:type="gramEnd"/>
      <w:r w:rsidR="000A3CB9">
        <w:rPr>
          <w:rFonts w:asciiTheme="minorHAnsi" w:hAnsiTheme="minorHAnsi" w:cstheme="minorHAnsi"/>
          <w:sz w:val="20"/>
          <w:szCs w:val="20"/>
          <w:lang w:val="en-AU"/>
        </w:rPr>
        <w:t xml:space="preserve"> Australian Labour Force Data are at April 2017, and international data are the most recent available.</w:t>
      </w:r>
      <w:r w:rsidR="000A3CB9" w:rsidRPr="00D45576">
        <w:rPr>
          <w:rFonts w:asciiTheme="minorHAnsi" w:hAnsiTheme="minorHAnsi" w:cstheme="minorHAnsi"/>
          <w:sz w:val="20"/>
          <w:szCs w:val="20"/>
          <w:lang w:val="en-AU"/>
        </w:rPr>
        <w:t xml:space="preserve"> </w:t>
      </w:r>
      <w:r w:rsidR="00FB5A1C" w:rsidRPr="00D45576">
        <w:rPr>
          <w:rFonts w:asciiTheme="minorHAnsi" w:hAnsiTheme="minorHAnsi" w:cstheme="minorHAnsi"/>
          <w:sz w:val="20"/>
          <w:szCs w:val="20"/>
          <w:lang w:val="en-AU"/>
        </w:rPr>
        <w:t xml:space="preserve">For any enquiries, please contact: </w:t>
      </w:r>
      <w:hyperlink r:id="rId9" w:history="1">
        <w:r w:rsidR="00D45576" w:rsidRPr="00D45576">
          <w:rPr>
            <w:rStyle w:val="Hyperlink"/>
            <w:rFonts w:asciiTheme="minorHAnsi" w:hAnsiTheme="minorHAnsi" w:cstheme="minorHAnsi"/>
            <w:color w:val="auto"/>
            <w:sz w:val="20"/>
            <w:szCs w:val="20"/>
            <w:lang w:val="en-AU"/>
          </w:rPr>
          <w:t>G20EmploymentAust@employment.gov.au</w:t>
        </w:r>
      </w:hyperlink>
      <w:r w:rsidR="00200B76">
        <w:rPr>
          <w:rStyle w:val="Hyperlink"/>
          <w:rFonts w:asciiTheme="minorHAnsi" w:hAnsiTheme="minorHAnsi" w:cstheme="minorHAnsi"/>
          <w:color w:val="auto"/>
          <w:sz w:val="20"/>
          <w:szCs w:val="20"/>
          <w:lang w:val="en-AU"/>
        </w:rPr>
        <w:t>.</w:t>
      </w:r>
      <w:r w:rsidR="00BA00DE">
        <w:rPr>
          <w:rFonts w:asciiTheme="minorHAnsi" w:hAnsiTheme="minorHAnsi" w:cstheme="minorHAnsi"/>
          <w:color w:val="000000"/>
          <w:sz w:val="22"/>
          <w:lang w:val="en-AU"/>
        </w:rPr>
        <w:br w:type="page"/>
      </w:r>
    </w:p>
    <w:p w:rsidR="00A561E2" w:rsidRPr="005F7E37" w:rsidRDefault="00A561E2" w:rsidP="009E2A2D">
      <w:pPr>
        <w:tabs>
          <w:tab w:val="left" w:pos="1725"/>
        </w:tabs>
        <w:spacing w:before="120" w:after="200"/>
        <w:rPr>
          <w:rFonts w:asciiTheme="minorHAnsi" w:hAnsiTheme="minorHAnsi" w:cstheme="minorHAnsi"/>
          <w:color w:val="000000"/>
          <w:sz w:val="22"/>
          <w:lang w:val="en-AU"/>
        </w:rPr>
      </w:pPr>
      <w:r w:rsidRPr="005F7E37">
        <w:rPr>
          <w:rFonts w:asciiTheme="minorHAnsi" w:hAnsiTheme="minorHAnsi" w:cstheme="minorHAnsi"/>
          <w:color w:val="000000"/>
          <w:sz w:val="22"/>
          <w:lang w:val="en-AU"/>
        </w:rPr>
        <w:lastRenderedPageBreak/>
        <w:t xml:space="preserve">Australia’s Employment Plan </w:t>
      </w:r>
      <w:r w:rsidR="0042731A">
        <w:rPr>
          <w:rFonts w:asciiTheme="minorHAnsi" w:hAnsiTheme="minorHAnsi" w:cstheme="minorHAnsi"/>
          <w:color w:val="000000"/>
          <w:sz w:val="22"/>
          <w:lang w:val="en-AU"/>
        </w:rPr>
        <w:t xml:space="preserve">sets out measures which will </w:t>
      </w:r>
      <w:r w:rsidRPr="005F7E37">
        <w:rPr>
          <w:rFonts w:asciiTheme="minorHAnsi" w:hAnsiTheme="minorHAnsi" w:cstheme="minorHAnsi"/>
          <w:color w:val="000000"/>
          <w:sz w:val="22"/>
          <w:lang w:val="en-AU"/>
        </w:rPr>
        <w:t xml:space="preserve">create more jobs, lift participation in the workforce, and promote safe and productive workplaces, </w:t>
      </w:r>
      <w:r w:rsidR="00FE1EC1">
        <w:rPr>
          <w:rFonts w:asciiTheme="minorHAnsi" w:hAnsiTheme="minorHAnsi" w:cstheme="minorHAnsi"/>
          <w:color w:val="000000"/>
          <w:sz w:val="22"/>
          <w:lang w:val="en-AU"/>
        </w:rPr>
        <w:t>in line with</w:t>
      </w:r>
      <w:r w:rsidR="00FE1EC1" w:rsidRPr="005F7E37">
        <w:rPr>
          <w:rFonts w:asciiTheme="minorHAnsi" w:hAnsiTheme="minorHAnsi" w:cstheme="minorHAnsi"/>
          <w:color w:val="000000"/>
          <w:sz w:val="22"/>
          <w:lang w:val="en-AU"/>
        </w:rPr>
        <w:t xml:space="preserve"> </w:t>
      </w:r>
      <w:r w:rsidRPr="005F7E37">
        <w:rPr>
          <w:rFonts w:asciiTheme="minorHAnsi" w:hAnsiTheme="minorHAnsi" w:cstheme="minorHAnsi"/>
          <w:color w:val="000000"/>
          <w:sz w:val="22"/>
          <w:lang w:val="en-AU"/>
        </w:rPr>
        <w:t>our G20 commitments.</w:t>
      </w:r>
    </w:p>
    <w:p w:rsidR="00A561E2" w:rsidRPr="005F7E37" w:rsidRDefault="00A561E2" w:rsidP="003E10F8">
      <w:pPr>
        <w:pStyle w:val="Heading1"/>
        <w:numPr>
          <w:ilvl w:val="0"/>
          <w:numId w:val="12"/>
        </w:numPr>
        <w:spacing w:before="120"/>
        <w:ind w:left="357" w:hanging="357"/>
        <w:rPr>
          <w:rFonts w:asciiTheme="minorHAnsi" w:hAnsiTheme="minorHAnsi" w:cstheme="minorHAnsi"/>
          <w:color w:val="000000"/>
          <w:lang w:val="en-AU"/>
        </w:rPr>
      </w:pPr>
      <w:bookmarkStart w:id="1" w:name="_Toc452105461"/>
      <w:bookmarkStart w:id="2" w:name="_Toc452625204"/>
      <w:bookmarkStart w:id="3" w:name="_Toc458449903"/>
      <w:bookmarkStart w:id="4" w:name="_Toc484691708"/>
      <w:bookmarkStart w:id="5" w:name="_Toc487107007"/>
      <w:bookmarkStart w:id="6" w:name="_Toc487110295"/>
      <w:r w:rsidRPr="005F7E37">
        <w:rPr>
          <w:rFonts w:asciiTheme="minorHAnsi" w:hAnsiTheme="minorHAnsi" w:cstheme="minorHAnsi"/>
          <w:color w:val="000000"/>
          <w:lang w:val="en-AU"/>
        </w:rPr>
        <w:t>Employment and labour market outlook</w:t>
      </w:r>
      <w:bookmarkEnd w:id="1"/>
      <w:bookmarkEnd w:id="2"/>
      <w:bookmarkEnd w:id="3"/>
      <w:bookmarkEnd w:id="4"/>
      <w:bookmarkEnd w:id="5"/>
      <w:bookmarkEnd w:id="6"/>
    </w:p>
    <w:p w:rsidR="002A3FB0" w:rsidRPr="005F7E37" w:rsidRDefault="002A3FB0" w:rsidP="009E2A2D">
      <w:pPr>
        <w:autoSpaceDE w:val="0"/>
        <w:autoSpaceDN w:val="0"/>
        <w:adjustRightInd w:val="0"/>
        <w:spacing w:before="120" w:after="200"/>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Australian economy is </w:t>
      </w:r>
      <w:r w:rsidR="00E835AD">
        <w:rPr>
          <w:rFonts w:asciiTheme="minorHAnsi" w:hAnsiTheme="minorHAnsi" w:cstheme="minorHAnsi"/>
          <w:color w:val="000000"/>
          <w:sz w:val="22"/>
          <w:lang w:val="en-AU"/>
        </w:rPr>
        <w:t>in</w:t>
      </w:r>
      <w:r w:rsidR="00E835AD" w:rsidRPr="005F7E37">
        <w:rPr>
          <w:rFonts w:asciiTheme="minorHAnsi" w:hAnsiTheme="minorHAnsi" w:cstheme="minorHAnsi"/>
          <w:color w:val="000000"/>
          <w:sz w:val="22"/>
          <w:lang w:val="en-AU"/>
        </w:rPr>
        <w:t xml:space="preserve"> </w:t>
      </w:r>
      <w:r w:rsidRPr="005F7E37">
        <w:rPr>
          <w:rFonts w:asciiTheme="minorHAnsi" w:hAnsiTheme="minorHAnsi" w:cstheme="minorHAnsi"/>
          <w:color w:val="000000"/>
          <w:sz w:val="22"/>
          <w:lang w:val="en-AU"/>
        </w:rPr>
        <w:t>its 26th year of continued expansion, with the Government forecasting the economy to grow by 2</w:t>
      </w:r>
      <w:r w:rsidR="0093779D" w:rsidRPr="005F7E37">
        <w:rPr>
          <w:rFonts w:asciiTheme="minorHAnsi" w:hAnsiTheme="minorHAnsi" w:cstheme="minorHAnsi"/>
          <w:color w:val="000000"/>
          <w:sz w:val="22"/>
          <w:lang w:val="en-AU"/>
        </w:rPr>
        <w:t>.75</w:t>
      </w:r>
      <w:r w:rsidRPr="005F7E37">
        <w:rPr>
          <w:rFonts w:asciiTheme="minorHAnsi" w:hAnsiTheme="minorHAnsi" w:cstheme="minorHAnsi"/>
          <w:color w:val="000000"/>
          <w:sz w:val="22"/>
          <w:lang w:val="en-AU"/>
        </w:rPr>
        <w:t xml:space="preserve"> per cent in 2017-18 before strengthening to 3 per cent in 2018-19. Employment has increased by 1.6 per cent over the year to April 2017, </w:t>
      </w:r>
      <w:r w:rsidR="0093779D" w:rsidRPr="005F7E37">
        <w:rPr>
          <w:rFonts w:asciiTheme="minorHAnsi" w:hAnsiTheme="minorHAnsi" w:cstheme="minorHAnsi"/>
          <w:color w:val="000000"/>
          <w:sz w:val="22"/>
          <w:lang w:val="en-AU"/>
        </w:rPr>
        <w:t xml:space="preserve">equal </w:t>
      </w:r>
      <w:r w:rsidRPr="005F7E37">
        <w:rPr>
          <w:rFonts w:asciiTheme="minorHAnsi" w:hAnsiTheme="minorHAnsi" w:cstheme="minorHAnsi"/>
          <w:color w:val="000000"/>
          <w:sz w:val="22"/>
          <w:lang w:val="en-AU"/>
        </w:rPr>
        <w:t xml:space="preserve">to the decade average </w:t>
      </w:r>
      <w:r w:rsidR="00F43A65" w:rsidRPr="005F7E37">
        <w:rPr>
          <w:rFonts w:asciiTheme="minorHAnsi" w:hAnsiTheme="minorHAnsi" w:cstheme="minorHAnsi"/>
          <w:color w:val="000000"/>
          <w:sz w:val="22"/>
          <w:lang w:val="en-AU"/>
        </w:rPr>
        <w:t xml:space="preserve">growth </w:t>
      </w:r>
      <w:r w:rsidRPr="005F7E37">
        <w:rPr>
          <w:rFonts w:asciiTheme="minorHAnsi" w:hAnsiTheme="minorHAnsi" w:cstheme="minorHAnsi"/>
          <w:color w:val="000000"/>
          <w:sz w:val="22"/>
          <w:lang w:val="en-AU"/>
        </w:rPr>
        <w:t xml:space="preserve">rate of </w:t>
      </w:r>
      <w:r w:rsidR="00A3361B">
        <w:rPr>
          <w:rFonts w:asciiTheme="minorHAnsi" w:hAnsiTheme="minorHAnsi" w:cstheme="minorHAnsi"/>
          <w:color w:val="000000"/>
          <w:sz w:val="22"/>
          <w:lang w:val="en-AU"/>
        </w:rPr>
        <w:br/>
      </w:r>
      <w:r w:rsidRPr="005F7E37">
        <w:rPr>
          <w:rFonts w:asciiTheme="minorHAnsi" w:hAnsiTheme="minorHAnsi" w:cstheme="minorHAnsi"/>
          <w:color w:val="000000"/>
          <w:sz w:val="22"/>
          <w:lang w:val="en-AU"/>
        </w:rPr>
        <w:t>1.6 per cent. The unemployment</w:t>
      </w:r>
      <w:r w:rsidR="0093779D" w:rsidRPr="005F7E37">
        <w:rPr>
          <w:rFonts w:asciiTheme="minorHAnsi" w:hAnsiTheme="minorHAnsi" w:cstheme="minorHAnsi"/>
          <w:color w:val="000000"/>
          <w:sz w:val="22"/>
          <w:lang w:val="en-AU"/>
        </w:rPr>
        <w:t xml:space="preserve"> rate</w:t>
      </w:r>
      <w:r w:rsidR="002A16AD">
        <w:rPr>
          <w:rFonts w:asciiTheme="minorHAnsi" w:hAnsiTheme="minorHAnsi" w:cstheme="minorHAnsi"/>
          <w:color w:val="000000"/>
          <w:sz w:val="22"/>
          <w:lang w:val="en-AU"/>
        </w:rPr>
        <w:t xml:space="preserve"> for persons aged 15 years and over</w:t>
      </w:r>
      <w:r w:rsidRPr="005F7E37">
        <w:rPr>
          <w:rFonts w:asciiTheme="minorHAnsi" w:hAnsiTheme="minorHAnsi" w:cstheme="minorHAnsi"/>
          <w:color w:val="000000"/>
          <w:sz w:val="22"/>
          <w:lang w:val="en-AU"/>
        </w:rPr>
        <w:t xml:space="preserve"> stood at 5.7 per cent in </w:t>
      </w:r>
      <w:r w:rsidR="002A16AD">
        <w:rPr>
          <w:rFonts w:asciiTheme="minorHAnsi" w:hAnsiTheme="minorHAnsi" w:cstheme="minorHAnsi"/>
          <w:color w:val="000000"/>
          <w:sz w:val="22"/>
          <w:lang w:val="en-AU"/>
        </w:rPr>
        <w:br/>
      </w:r>
      <w:r w:rsidRPr="005F7E37">
        <w:rPr>
          <w:rFonts w:asciiTheme="minorHAnsi" w:hAnsiTheme="minorHAnsi" w:cstheme="minorHAnsi"/>
          <w:color w:val="000000"/>
          <w:sz w:val="22"/>
          <w:lang w:val="en-AU"/>
        </w:rPr>
        <w:t xml:space="preserve">April 2017, </w:t>
      </w:r>
      <w:r w:rsidR="0093779D" w:rsidRPr="005F7E37">
        <w:rPr>
          <w:rFonts w:asciiTheme="minorHAnsi" w:hAnsiTheme="minorHAnsi" w:cstheme="minorHAnsi"/>
          <w:color w:val="000000"/>
          <w:sz w:val="22"/>
          <w:lang w:val="en-AU"/>
        </w:rPr>
        <w:t xml:space="preserve">equal </w:t>
      </w:r>
      <w:r w:rsidRPr="005F7E37">
        <w:rPr>
          <w:rFonts w:asciiTheme="minorHAnsi" w:hAnsiTheme="minorHAnsi" w:cstheme="minorHAnsi"/>
          <w:color w:val="000000"/>
          <w:sz w:val="22"/>
          <w:lang w:val="en-AU"/>
        </w:rPr>
        <w:t>to the rate recorded 12 months ago, and is forecast to remain around 5</w:t>
      </w:r>
      <w:r w:rsidR="0093779D" w:rsidRPr="005F7E37">
        <w:rPr>
          <w:rFonts w:asciiTheme="minorHAnsi" w:hAnsiTheme="minorHAnsi" w:cstheme="minorHAnsi"/>
          <w:color w:val="000000"/>
          <w:sz w:val="22"/>
          <w:lang w:val="en-AU"/>
        </w:rPr>
        <w:t xml:space="preserve">.75 </w:t>
      </w:r>
      <w:r w:rsidRPr="005F7E37">
        <w:rPr>
          <w:rFonts w:asciiTheme="minorHAnsi" w:hAnsiTheme="minorHAnsi" w:cstheme="minorHAnsi"/>
          <w:color w:val="000000"/>
          <w:sz w:val="22"/>
          <w:lang w:val="en-AU"/>
        </w:rPr>
        <w:t>per cent in the June quarter of 2018, before declining slightly to 5</w:t>
      </w:r>
      <w:r w:rsidR="0093779D" w:rsidRPr="005F7E37">
        <w:rPr>
          <w:rFonts w:asciiTheme="minorHAnsi" w:hAnsiTheme="minorHAnsi" w:cstheme="minorHAnsi"/>
          <w:color w:val="000000"/>
          <w:sz w:val="22"/>
          <w:lang w:val="en-AU"/>
        </w:rPr>
        <w:t>.5</w:t>
      </w:r>
      <w:r w:rsidRPr="005F7E37">
        <w:rPr>
          <w:rFonts w:asciiTheme="minorHAnsi" w:hAnsiTheme="minorHAnsi" w:cstheme="minorHAnsi"/>
          <w:color w:val="000000"/>
          <w:sz w:val="22"/>
          <w:lang w:val="en-AU"/>
        </w:rPr>
        <w:t xml:space="preserve"> per cent in the June quarter 2019. </w:t>
      </w:r>
    </w:p>
    <w:p w:rsidR="00FB2B8E" w:rsidRDefault="004650E4" w:rsidP="000664C6">
      <w:pPr>
        <w:pStyle w:val="TableheadingH2"/>
      </w:pPr>
      <w:bookmarkStart w:id="7" w:name="_Toc487107008"/>
      <w:bookmarkStart w:id="8" w:name="_Toc487110296"/>
      <w:r w:rsidRPr="005F7E37">
        <w:t>Table 1</w:t>
      </w:r>
      <w:r w:rsidR="00FB2B8E" w:rsidRPr="005F7E37">
        <w:t>: Economic and labour market condi</w:t>
      </w:r>
      <w:r w:rsidR="008B6876">
        <w:t>tions, 2008</w:t>
      </w:r>
      <w:r w:rsidR="00FB2B8E" w:rsidRPr="005F7E37">
        <w:t xml:space="preserve"> and 2016</w:t>
      </w:r>
      <w:bookmarkEnd w:id="7"/>
      <w:bookmarkEnd w:id="8"/>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418"/>
        <w:gridCol w:w="1558"/>
        <w:gridCol w:w="1701"/>
        <w:gridCol w:w="1701"/>
      </w:tblGrid>
      <w:tr w:rsidR="00F33B4B" w:rsidRPr="00DE7AF3" w:rsidTr="00D26A78">
        <w:trPr>
          <w:tblHeader/>
        </w:trPr>
        <w:tc>
          <w:tcPr>
            <w:tcW w:w="1775" w:type="pct"/>
            <w:tcBorders>
              <w:bottom w:val="single" w:sz="4" w:space="0" w:color="auto"/>
            </w:tcBorders>
            <w:shd w:val="clear" w:color="auto" w:fill="EEECE1" w:themeFill="background2"/>
            <w:vAlign w:val="center"/>
          </w:tcPr>
          <w:p w:rsidR="00F33B4B" w:rsidRPr="00DE7AF3" w:rsidRDefault="00F33B4B" w:rsidP="00D26A78">
            <w:pPr>
              <w:spacing w:before="120" w:after="120"/>
              <w:jc w:val="left"/>
              <w:rPr>
                <w:rFonts w:asciiTheme="minorHAnsi" w:hAnsiTheme="minorHAnsi" w:cstheme="minorHAnsi"/>
                <w:b/>
                <w:color w:val="000000"/>
                <w:sz w:val="18"/>
                <w:szCs w:val="18"/>
              </w:rPr>
            </w:pPr>
            <w:r w:rsidRPr="00DE7AF3">
              <w:rPr>
                <w:rFonts w:asciiTheme="minorHAnsi" w:hAnsiTheme="minorHAnsi" w:cstheme="minorHAnsi"/>
                <w:b/>
                <w:color w:val="000000"/>
                <w:sz w:val="18"/>
                <w:szCs w:val="18"/>
              </w:rPr>
              <w:t xml:space="preserve">Economic and </w:t>
            </w:r>
            <w:proofErr w:type="spellStart"/>
            <w:r w:rsidRPr="00DE7AF3">
              <w:rPr>
                <w:rFonts w:asciiTheme="minorHAnsi" w:hAnsiTheme="minorHAnsi" w:cstheme="minorHAnsi"/>
                <w:b/>
                <w:color w:val="000000"/>
                <w:sz w:val="18"/>
                <w:szCs w:val="18"/>
              </w:rPr>
              <w:t>labour</w:t>
            </w:r>
            <w:proofErr w:type="spellEnd"/>
            <w:r w:rsidRPr="00DE7AF3">
              <w:rPr>
                <w:rFonts w:asciiTheme="minorHAnsi" w:hAnsiTheme="minorHAnsi" w:cstheme="minorHAnsi"/>
                <w:b/>
                <w:color w:val="000000"/>
                <w:sz w:val="18"/>
                <w:szCs w:val="18"/>
              </w:rPr>
              <w:t xml:space="preserve"> market conditions</w:t>
            </w:r>
          </w:p>
        </w:tc>
        <w:tc>
          <w:tcPr>
            <w:tcW w:w="717" w:type="pct"/>
            <w:tcBorders>
              <w:bottom w:val="single" w:sz="4" w:space="0" w:color="auto"/>
            </w:tcBorders>
            <w:shd w:val="clear" w:color="auto" w:fill="EEECE1" w:themeFill="background2"/>
            <w:vAlign w:val="center"/>
          </w:tcPr>
          <w:p w:rsidR="00F33B4B" w:rsidRPr="00DE7AF3" w:rsidRDefault="00F33B4B" w:rsidP="00D26A78">
            <w:pPr>
              <w:spacing w:before="120" w:after="120"/>
              <w:jc w:val="center"/>
              <w:rPr>
                <w:rFonts w:asciiTheme="minorHAnsi" w:hAnsiTheme="minorHAnsi" w:cstheme="minorHAnsi"/>
                <w:b/>
                <w:color w:val="000000"/>
                <w:sz w:val="18"/>
                <w:szCs w:val="18"/>
              </w:rPr>
            </w:pPr>
            <w:r w:rsidRPr="00DE7AF3">
              <w:rPr>
                <w:rFonts w:asciiTheme="minorHAnsi" w:hAnsiTheme="minorHAnsi" w:cstheme="minorHAnsi"/>
                <w:b/>
                <w:color w:val="000000"/>
                <w:sz w:val="18"/>
                <w:szCs w:val="18"/>
              </w:rPr>
              <w:t>Australia (2008)</w:t>
            </w:r>
          </w:p>
        </w:tc>
        <w:tc>
          <w:tcPr>
            <w:tcW w:w="788" w:type="pct"/>
            <w:tcBorders>
              <w:bottom w:val="single" w:sz="4" w:space="0" w:color="auto"/>
            </w:tcBorders>
            <w:shd w:val="clear" w:color="auto" w:fill="EEECE1" w:themeFill="background2"/>
            <w:vAlign w:val="center"/>
          </w:tcPr>
          <w:p w:rsidR="00F33B4B" w:rsidRPr="00DE7AF3" w:rsidRDefault="00F33B4B" w:rsidP="00D26A78">
            <w:pPr>
              <w:spacing w:before="120" w:after="120"/>
              <w:jc w:val="center"/>
              <w:rPr>
                <w:rFonts w:asciiTheme="minorHAnsi" w:hAnsiTheme="minorHAnsi" w:cstheme="minorHAnsi"/>
                <w:b/>
                <w:color w:val="000000"/>
                <w:sz w:val="18"/>
                <w:szCs w:val="18"/>
              </w:rPr>
            </w:pPr>
            <w:r w:rsidRPr="00DE7AF3">
              <w:rPr>
                <w:rFonts w:asciiTheme="minorHAnsi" w:hAnsiTheme="minorHAnsi" w:cstheme="minorHAnsi"/>
                <w:b/>
                <w:color w:val="000000"/>
                <w:sz w:val="18"/>
                <w:szCs w:val="18"/>
              </w:rPr>
              <w:t>Australia (2016)</w:t>
            </w:r>
          </w:p>
        </w:tc>
        <w:tc>
          <w:tcPr>
            <w:tcW w:w="860" w:type="pct"/>
            <w:tcBorders>
              <w:bottom w:val="single" w:sz="4" w:space="0" w:color="auto"/>
            </w:tcBorders>
            <w:shd w:val="clear" w:color="auto" w:fill="EEECE1" w:themeFill="background2"/>
            <w:vAlign w:val="center"/>
          </w:tcPr>
          <w:p w:rsidR="00F33B4B" w:rsidRPr="00DE7AF3" w:rsidRDefault="00F33B4B" w:rsidP="00D26A78">
            <w:pPr>
              <w:spacing w:before="120" w:after="120"/>
              <w:jc w:val="center"/>
              <w:rPr>
                <w:rFonts w:asciiTheme="minorHAnsi" w:hAnsiTheme="minorHAnsi" w:cstheme="minorHAnsi"/>
                <w:b/>
                <w:color w:val="000000"/>
                <w:sz w:val="18"/>
                <w:szCs w:val="18"/>
              </w:rPr>
            </w:pPr>
            <w:r w:rsidRPr="00DE7AF3">
              <w:rPr>
                <w:rFonts w:asciiTheme="minorHAnsi" w:hAnsiTheme="minorHAnsi" w:cstheme="minorHAnsi"/>
                <w:b/>
                <w:color w:val="000000"/>
                <w:sz w:val="18"/>
                <w:szCs w:val="18"/>
              </w:rPr>
              <w:t>G20 median (2008)</w:t>
            </w:r>
          </w:p>
        </w:tc>
        <w:tc>
          <w:tcPr>
            <w:tcW w:w="860" w:type="pct"/>
            <w:tcBorders>
              <w:bottom w:val="single" w:sz="4" w:space="0" w:color="auto"/>
            </w:tcBorders>
            <w:shd w:val="clear" w:color="auto" w:fill="EEECE1" w:themeFill="background2"/>
            <w:vAlign w:val="center"/>
          </w:tcPr>
          <w:p w:rsidR="00F33B4B" w:rsidRPr="00DE7AF3" w:rsidRDefault="00F33B4B" w:rsidP="00D26A78">
            <w:pPr>
              <w:spacing w:before="120" w:after="120"/>
              <w:jc w:val="center"/>
              <w:rPr>
                <w:rFonts w:asciiTheme="minorHAnsi" w:hAnsiTheme="minorHAnsi" w:cstheme="minorHAnsi"/>
                <w:b/>
                <w:color w:val="000000"/>
                <w:sz w:val="18"/>
                <w:szCs w:val="18"/>
              </w:rPr>
            </w:pPr>
            <w:r w:rsidRPr="00DE7AF3">
              <w:rPr>
                <w:rFonts w:asciiTheme="minorHAnsi" w:hAnsiTheme="minorHAnsi" w:cstheme="minorHAnsi"/>
                <w:b/>
                <w:color w:val="000000"/>
                <w:sz w:val="18"/>
                <w:szCs w:val="18"/>
              </w:rPr>
              <w:t>G20 median (2016)</w:t>
            </w:r>
          </w:p>
        </w:tc>
      </w:tr>
      <w:tr w:rsidR="00F33B4B" w:rsidRPr="005F7E37" w:rsidTr="00D26A78">
        <w:tc>
          <w:tcPr>
            <w:tcW w:w="1775" w:type="pct"/>
            <w:tcBorders>
              <w:bottom w:val="single" w:sz="4" w:space="0" w:color="auto"/>
            </w:tcBorders>
            <w:shd w:val="clear" w:color="auto" w:fill="auto"/>
            <w:vAlign w:val="center"/>
          </w:tcPr>
          <w:p w:rsidR="00F33B4B" w:rsidRPr="005F7E37" w:rsidRDefault="00F33B4B" w:rsidP="00D26A78">
            <w:pPr>
              <w:spacing w:before="120" w:after="120"/>
              <w:jc w:val="left"/>
              <w:rPr>
                <w:rFonts w:asciiTheme="minorHAnsi" w:hAnsiTheme="minorHAnsi" w:cstheme="minorHAnsi"/>
                <w:color w:val="000000"/>
                <w:sz w:val="18"/>
                <w:szCs w:val="18"/>
              </w:rPr>
            </w:pPr>
            <w:r w:rsidRPr="00DE7AF3">
              <w:rPr>
                <w:rFonts w:asciiTheme="minorHAnsi" w:hAnsiTheme="minorHAnsi" w:cstheme="minorHAnsi"/>
                <w:color w:val="000000"/>
                <w:sz w:val="18"/>
                <w:szCs w:val="18"/>
              </w:rPr>
              <w:t>GDP per capita (USD terms)</w:t>
            </w:r>
          </w:p>
        </w:tc>
        <w:tc>
          <w:tcPr>
            <w:tcW w:w="717" w:type="pct"/>
            <w:tcBorders>
              <w:bottom w:val="single" w:sz="4" w:space="0" w:color="auto"/>
            </w:tcBorders>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$40,871</w:t>
            </w:r>
          </w:p>
        </w:tc>
        <w:tc>
          <w:tcPr>
            <w:tcW w:w="788" w:type="pct"/>
            <w:tcBorders>
              <w:bottom w:val="single" w:sz="4" w:space="0" w:color="auto"/>
            </w:tcBorders>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$43,917</w:t>
            </w:r>
          </w:p>
        </w:tc>
        <w:tc>
          <w:tcPr>
            <w:tcW w:w="860" w:type="pct"/>
            <w:tcBorders>
              <w:bottom w:val="single" w:sz="4" w:space="0" w:color="auto"/>
            </w:tcBorders>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$33,593</w:t>
            </w:r>
          </w:p>
        </w:tc>
        <w:tc>
          <w:tcPr>
            <w:tcW w:w="860" w:type="pct"/>
            <w:tcBorders>
              <w:bottom w:val="single" w:sz="4" w:space="0" w:color="auto"/>
            </w:tcBorders>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$34,384</w:t>
            </w:r>
          </w:p>
        </w:tc>
      </w:tr>
      <w:tr w:rsidR="00F33B4B" w:rsidRPr="005F7E37" w:rsidTr="00D26A78">
        <w:tc>
          <w:tcPr>
            <w:tcW w:w="1775" w:type="pct"/>
            <w:shd w:val="clear" w:color="auto" w:fill="auto"/>
            <w:vAlign w:val="center"/>
          </w:tcPr>
          <w:p w:rsidR="00F33B4B" w:rsidRPr="005F7E37" w:rsidRDefault="00F33B4B" w:rsidP="00D26A78">
            <w:pPr>
              <w:spacing w:before="120" w:after="120"/>
              <w:jc w:val="left"/>
              <w:rPr>
                <w:rFonts w:asciiTheme="minorHAnsi" w:hAnsiTheme="minorHAnsi" w:cstheme="minorHAnsi"/>
                <w:color w:val="000000"/>
                <w:sz w:val="18"/>
                <w:szCs w:val="18"/>
              </w:rPr>
            </w:pPr>
            <w:r w:rsidRPr="00DE7AF3">
              <w:rPr>
                <w:rFonts w:asciiTheme="minorHAnsi" w:hAnsiTheme="minorHAnsi" w:cstheme="minorHAnsi"/>
                <w:color w:val="000000"/>
                <w:sz w:val="18"/>
                <w:szCs w:val="18"/>
              </w:rPr>
              <w:t>Employment growth (%)</w:t>
            </w:r>
          </w:p>
        </w:tc>
        <w:tc>
          <w:tcPr>
            <w:tcW w:w="717"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2.8</w:t>
            </w:r>
          </w:p>
        </w:tc>
        <w:tc>
          <w:tcPr>
            <w:tcW w:w="788"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1.6</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13.9</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1.3</w:t>
            </w:r>
          </w:p>
        </w:tc>
      </w:tr>
      <w:tr w:rsidR="00D26A78" w:rsidRPr="005F7E37" w:rsidTr="00D26A78">
        <w:tc>
          <w:tcPr>
            <w:tcW w:w="1775" w:type="pct"/>
            <w:shd w:val="clear" w:color="auto" w:fill="auto"/>
            <w:vAlign w:val="center"/>
          </w:tcPr>
          <w:p w:rsidR="00F33B4B" w:rsidRPr="00DE7AF3" w:rsidRDefault="00F33B4B" w:rsidP="00D26A78">
            <w:pPr>
              <w:spacing w:before="120" w:after="120"/>
              <w:jc w:val="left"/>
              <w:rPr>
                <w:rFonts w:asciiTheme="minorHAnsi" w:hAnsiTheme="minorHAnsi" w:cstheme="minorHAnsi"/>
                <w:color w:val="000000"/>
                <w:sz w:val="18"/>
                <w:szCs w:val="18"/>
              </w:rPr>
            </w:pPr>
            <w:r w:rsidRPr="00DE7AF3">
              <w:rPr>
                <w:rFonts w:asciiTheme="minorHAnsi" w:hAnsiTheme="minorHAnsi" w:cstheme="minorHAnsi"/>
                <w:color w:val="000000"/>
                <w:sz w:val="18"/>
                <w:szCs w:val="18"/>
              </w:rPr>
              <w:t>Unemployment rate</w:t>
            </w:r>
          </w:p>
        </w:tc>
        <w:tc>
          <w:tcPr>
            <w:tcW w:w="717"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4.2</w:t>
            </w:r>
          </w:p>
        </w:tc>
        <w:tc>
          <w:tcPr>
            <w:tcW w:w="788"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5.7</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6.2</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5.7</w:t>
            </w:r>
          </w:p>
        </w:tc>
      </w:tr>
      <w:tr w:rsidR="00D26A78" w:rsidRPr="005F7E37" w:rsidTr="00D26A78">
        <w:tc>
          <w:tcPr>
            <w:tcW w:w="1775" w:type="pct"/>
            <w:shd w:val="clear" w:color="auto" w:fill="auto"/>
            <w:vAlign w:val="center"/>
          </w:tcPr>
          <w:p w:rsidR="00F33B4B" w:rsidRPr="00DE7AF3" w:rsidRDefault="00F33B4B" w:rsidP="00D26A78">
            <w:pPr>
              <w:spacing w:before="120" w:after="120"/>
              <w:jc w:val="left"/>
              <w:rPr>
                <w:rFonts w:asciiTheme="minorHAnsi" w:hAnsiTheme="minorHAnsi" w:cstheme="minorHAnsi"/>
                <w:color w:val="000000"/>
                <w:sz w:val="18"/>
                <w:szCs w:val="18"/>
              </w:rPr>
            </w:pPr>
            <w:r w:rsidRPr="00DE7AF3">
              <w:rPr>
                <w:rFonts w:asciiTheme="minorHAnsi" w:hAnsiTheme="minorHAnsi" w:cstheme="minorHAnsi"/>
                <w:color w:val="000000"/>
                <w:sz w:val="18"/>
                <w:szCs w:val="18"/>
              </w:rPr>
              <w:t>Youth unemployment rate</w:t>
            </w:r>
          </w:p>
        </w:tc>
        <w:tc>
          <w:tcPr>
            <w:tcW w:w="717"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8.8</w:t>
            </w:r>
          </w:p>
        </w:tc>
        <w:tc>
          <w:tcPr>
            <w:tcW w:w="788"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12.8</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13.9</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13.9 (2015)</w:t>
            </w:r>
          </w:p>
        </w:tc>
      </w:tr>
      <w:tr w:rsidR="00D26A78" w:rsidRPr="005F7E37" w:rsidTr="00D26A78">
        <w:tc>
          <w:tcPr>
            <w:tcW w:w="1775" w:type="pct"/>
            <w:shd w:val="clear" w:color="auto" w:fill="auto"/>
            <w:vAlign w:val="center"/>
          </w:tcPr>
          <w:p w:rsidR="00F33B4B" w:rsidRPr="00DE7AF3" w:rsidRDefault="00F33B4B" w:rsidP="00D26A78">
            <w:pPr>
              <w:spacing w:before="120" w:after="120"/>
              <w:jc w:val="left"/>
              <w:rPr>
                <w:rFonts w:asciiTheme="minorHAnsi" w:hAnsiTheme="minorHAnsi" w:cstheme="minorHAnsi"/>
                <w:color w:val="000000"/>
                <w:sz w:val="18"/>
                <w:szCs w:val="18"/>
              </w:rPr>
            </w:pPr>
            <w:r w:rsidRPr="00DE7AF3">
              <w:rPr>
                <w:rFonts w:asciiTheme="minorHAnsi" w:hAnsiTheme="minorHAnsi" w:cstheme="minorHAnsi"/>
                <w:color w:val="000000"/>
                <w:sz w:val="18"/>
                <w:szCs w:val="18"/>
              </w:rPr>
              <w:t>Participation rate (15+) (%)</w:t>
            </w:r>
          </w:p>
        </w:tc>
        <w:tc>
          <w:tcPr>
            <w:tcW w:w="717"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65.5</w:t>
            </w:r>
          </w:p>
        </w:tc>
        <w:tc>
          <w:tcPr>
            <w:tcW w:w="788"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64.8</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Pr>
                <w:rFonts w:asciiTheme="minorHAnsi" w:hAnsiTheme="minorHAnsi" w:cstheme="minorHAnsi"/>
                <w:color w:val="000000"/>
                <w:sz w:val="18"/>
                <w:szCs w:val="18"/>
              </w:rPr>
              <w:t>60.3</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742F43">
              <w:rPr>
                <w:rFonts w:asciiTheme="minorHAnsi" w:hAnsiTheme="minorHAnsi" w:cstheme="minorHAnsi"/>
                <w:color w:val="000000"/>
                <w:sz w:val="18"/>
                <w:szCs w:val="18"/>
              </w:rPr>
              <w:t>61.3 (2015)</w:t>
            </w:r>
          </w:p>
        </w:tc>
      </w:tr>
      <w:tr w:rsidR="00D26A78" w:rsidRPr="005F7E37" w:rsidTr="00D26A78">
        <w:tc>
          <w:tcPr>
            <w:tcW w:w="1775" w:type="pct"/>
            <w:shd w:val="clear" w:color="auto" w:fill="auto"/>
            <w:vAlign w:val="center"/>
          </w:tcPr>
          <w:p w:rsidR="00F33B4B" w:rsidRPr="00DE7AF3" w:rsidRDefault="00F33B4B" w:rsidP="00D26A78">
            <w:pPr>
              <w:spacing w:before="120" w:after="120"/>
              <w:jc w:val="left"/>
              <w:rPr>
                <w:rFonts w:asciiTheme="minorHAnsi" w:hAnsiTheme="minorHAnsi" w:cstheme="minorHAnsi"/>
                <w:color w:val="000000"/>
                <w:sz w:val="18"/>
                <w:szCs w:val="18"/>
              </w:rPr>
            </w:pPr>
            <w:r w:rsidRPr="00DE7AF3">
              <w:rPr>
                <w:rFonts w:asciiTheme="minorHAnsi" w:hAnsiTheme="minorHAnsi" w:cstheme="minorHAnsi"/>
                <w:color w:val="000000"/>
                <w:sz w:val="18"/>
                <w:szCs w:val="18"/>
              </w:rPr>
              <w:t>Female participation rate (15+) (%)</w:t>
            </w:r>
          </w:p>
        </w:tc>
        <w:tc>
          <w:tcPr>
            <w:tcW w:w="717"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742F43">
              <w:rPr>
                <w:rFonts w:asciiTheme="minorHAnsi" w:hAnsiTheme="minorHAnsi" w:cstheme="minorHAnsi"/>
                <w:color w:val="000000"/>
                <w:sz w:val="18"/>
                <w:szCs w:val="18"/>
              </w:rPr>
              <w:t>58.6</w:t>
            </w:r>
          </w:p>
        </w:tc>
        <w:tc>
          <w:tcPr>
            <w:tcW w:w="788" w:type="pct"/>
            <w:shd w:val="clear" w:color="auto" w:fill="auto"/>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742F43">
              <w:rPr>
                <w:rFonts w:asciiTheme="minorHAnsi" w:hAnsiTheme="minorHAnsi" w:cstheme="minorHAnsi"/>
                <w:color w:val="000000"/>
                <w:sz w:val="18"/>
                <w:szCs w:val="18"/>
              </w:rPr>
              <w:t>59.2</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742F43">
              <w:rPr>
                <w:rFonts w:asciiTheme="minorHAnsi" w:hAnsiTheme="minorHAnsi" w:cstheme="minorHAnsi"/>
                <w:color w:val="000000"/>
                <w:sz w:val="18"/>
                <w:szCs w:val="18"/>
              </w:rPr>
              <w:t>50.4</w:t>
            </w:r>
          </w:p>
        </w:tc>
        <w:tc>
          <w:tcPr>
            <w:tcW w:w="860" w:type="pct"/>
            <w:vAlign w:val="center"/>
          </w:tcPr>
          <w:p w:rsidR="00F33B4B" w:rsidRPr="005F7E37" w:rsidRDefault="00F33B4B" w:rsidP="00D26A78">
            <w:pPr>
              <w:spacing w:before="120" w:after="120"/>
              <w:jc w:val="center"/>
              <w:rPr>
                <w:rFonts w:asciiTheme="minorHAnsi" w:hAnsiTheme="minorHAnsi" w:cstheme="minorHAnsi"/>
                <w:color w:val="000000"/>
                <w:sz w:val="18"/>
                <w:szCs w:val="18"/>
              </w:rPr>
            </w:pPr>
            <w:r w:rsidRPr="00742F43">
              <w:rPr>
                <w:rFonts w:asciiTheme="minorHAnsi" w:hAnsiTheme="minorHAnsi" w:cstheme="minorHAnsi"/>
                <w:color w:val="000000"/>
                <w:sz w:val="18"/>
                <w:szCs w:val="18"/>
              </w:rPr>
              <w:t>52.4 (2015)</w:t>
            </w:r>
          </w:p>
        </w:tc>
      </w:tr>
      <w:tr w:rsidR="00D26A78" w:rsidRPr="005F7E37" w:rsidTr="00D26A78">
        <w:tc>
          <w:tcPr>
            <w:tcW w:w="1775" w:type="pct"/>
            <w:shd w:val="clear" w:color="auto" w:fill="auto"/>
            <w:vAlign w:val="center"/>
          </w:tcPr>
          <w:p w:rsidR="00F33B4B" w:rsidRPr="00DE7AF3" w:rsidRDefault="00F33B4B" w:rsidP="00D26A78">
            <w:pPr>
              <w:spacing w:before="120" w:after="120"/>
              <w:jc w:val="left"/>
              <w:rPr>
                <w:rFonts w:asciiTheme="minorHAnsi" w:hAnsiTheme="minorHAnsi" w:cstheme="minorHAnsi"/>
                <w:color w:val="000000"/>
                <w:sz w:val="18"/>
                <w:szCs w:val="18"/>
              </w:rPr>
            </w:pPr>
            <w:r w:rsidRPr="00DE7AF3">
              <w:rPr>
                <w:rFonts w:asciiTheme="minorHAnsi" w:hAnsiTheme="minorHAnsi" w:cstheme="minorHAnsi"/>
                <w:color w:val="000000"/>
                <w:sz w:val="18"/>
                <w:szCs w:val="18"/>
              </w:rPr>
              <w:t>Working age (15 to 64) participation rate (%)</w:t>
            </w:r>
          </w:p>
        </w:tc>
        <w:tc>
          <w:tcPr>
            <w:tcW w:w="717" w:type="pct"/>
            <w:shd w:val="clear" w:color="auto" w:fill="auto"/>
            <w:vAlign w:val="center"/>
          </w:tcPr>
          <w:p w:rsidR="00F33B4B" w:rsidRPr="00430FCE" w:rsidRDefault="00F33B4B" w:rsidP="00D26A78">
            <w:pPr>
              <w:spacing w:before="120" w:after="120"/>
              <w:jc w:val="center"/>
              <w:rPr>
                <w:rFonts w:asciiTheme="minorHAnsi" w:hAnsiTheme="minorHAnsi" w:cstheme="minorHAnsi"/>
                <w:color w:val="000000"/>
                <w:sz w:val="18"/>
                <w:szCs w:val="18"/>
              </w:rPr>
            </w:pPr>
            <w:r w:rsidRPr="00430FCE">
              <w:rPr>
                <w:rFonts w:asciiTheme="minorHAnsi" w:hAnsiTheme="minorHAnsi" w:cstheme="minorHAnsi"/>
                <w:color w:val="000000"/>
                <w:sz w:val="18"/>
                <w:szCs w:val="18"/>
              </w:rPr>
              <w:t>76.5</w:t>
            </w:r>
          </w:p>
        </w:tc>
        <w:tc>
          <w:tcPr>
            <w:tcW w:w="788" w:type="pct"/>
            <w:shd w:val="clear" w:color="auto" w:fill="auto"/>
            <w:vAlign w:val="center"/>
          </w:tcPr>
          <w:p w:rsidR="00F33B4B" w:rsidRPr="009559CD" w:rsidRDefault="00F33B4B" w:rsidP="00D26A78">
            <w:pPr>
              <w:spacing w:before="120" w:after="120"/>
              <w:jc w:val="center"/>
              <w:rPr>
                <w:rFonts w:asciiTheme="minorHAnsi" w:hAnsiTheme="minorHAnsi" w:cstheme="minorHAnsi"/>
                <w:color w:val="000000"/>
                <w:sz w:val="18"/>
                <w:szCs w:val="18"/>
              </w:rPr>
            </w:pPr>
            <w:r w:rsidRPr="00430FCE">
              <w:rPr>
                <w:rFonts w:asciiTheme="minorHAnsi" w:hAnsiTheme="minorHAnsi" w:cstheme="minorHAnsi"/>
                <w:color w:val="000000"/>
                <w:sz w:val="18"/>
                <w:szCs w:val="18"/>
              </w:rPr>
              <w:t>76.9</w:t>
            </w:r>
          </w:p>
        </w:tc>
        <w:tc>
          <w:tcPr>
            <w:tcW w:w="860" w:type="pct"/>
            <w:vAlign w:val="center"/>
          </w:tcPr>
          <w:p w:rsidR="00F33B4B" w:rsidRPr="00430FCE" w:rsidRDefault="00F33B4B" w:rsidP="00D26A78">
            <w:pPr>
              <w:spacing w:before="120" w:after="120"/>
              <w:jc w:val="center"/>
              <w:rPr>
                <w:rFonts w:asciiTheme="minorHAnsi" w:hAnsiTheme="minorHAnsi" w:cstheme="minorHAnsi"/>
                <w:color w:val="000000"/>
                <w:sz w:val="18"/>
                <w:szCs w:val="18"/>
              </w:rPr>
            </w:pPr>
            <w:r w:rsidRPr="00430FCE">
              <w:rPr>
                <w:rFonts w:asciiTheme="minorHAnsi" w:hAnsiTheme="minorHAnsi" w:cstheme="minorHAnsi"/>
                <w:color w:val="000000"/>
                <w:sz w:val="18"/>
                <w:szCs w:val="18"/>
              </w:rPr>
              <w:t>70.3</w:t>
            </w:r>
          </w:p>
        </w:tc>
        <w:tc>
          <w:tcPr>
            <w:tcW w:w="860" w:type="pct"/>
            <w:vAlign w:val="center"/>
          </w:tcPr>
          <w:p w:rsidR="00F33B4B" w:rsidRPr="00430FCE" w:rsidRDefault="00F33B4B" w:rsidP="00D26A78">
            <w:pPr>
              <w:spacing w:before="120" w:after="120"/>
              <w:jc w:val="center"/>
              <w:rPr>
                <w:rFonts w:asciiTheme="minorHAnsi" w:hAnsiTheme="minorHAnsi" w:cstheme="minorHAnsi"/>
                <w:color w:val="000000"/>
                <w:sz w:val="18"/>
                <w:szCs w:val="18"/>
              </w:rPr>
            </w:pPr>
            <w:r w:rsidRPr="00430FCE">
              <w:rPr>
                <w:rFonts w:asciiTheme="minorHAnsi" w:hAnsiTheme="minorHAnsi" w:cstheme="minorHAnsi"/>
                <w:color w:val="000000"/>
                <w:sz w:val="18"/>
                <w:szCs w:val="18"/>
              </w:rPr>
              <w:t>72.9</w:t>
            </w:r>
          </w:p>
        </w:tc>
      </w:tr>
    </w:tbl>
    <w:p w:rsidR="00B8024B" w:rsidRPr="00F33B4B" w:rsidRDefault="00B8024B" w:rsidP="008B6876">
      <w:pPr>
        <w:spacing w:before="120"/>
        <w:rPr>
          <w:rFonts w:asciiTheme="minorHAnsi" w:hAnsiTheme="minorHAnsi"/>
          <w:sz w:val="18"/>
          <w:szCs w:val="18"/>
        </w:rPr>
      </w:pPr>
      <w:r w:rsidRPr="00FB2B8E">
        <w:rPr>
          <w:rFonts w:asciiTheme="minorHAnsi" w:hAnsiTheme="minorHAnsi"/>
          <w:sz w:val="18"/>
          <w:szCs w:val="18"/>
        </w:rPr>
        <w:t xml:space="preserve">Source: </w:t>
      </w:r>
      <w:proofErr w:type="spellStart"/>
      <w:r w:rsidRPr="00FB2B8E">
        <w:rPr>
          <w:rFonts w:asciiTheme="minorHAnsi" w:hAnsiTheme="minorHAnsi"/>
          <w:sz w:val="18"/>
          <w:szCs w:val="18"/>
        </w:rPr>
        <w:t>ILOSTAT</w:t>
      </w:r>
      <w:proofErr w:type="spellEnd"/>
      <w:r w:rsidRPr="00FB2B8E">
        <w:rPr>
          <w:rFonts w:asciiTheme="minorHAnsi" w:hAnsiTheme="minorHAnsi"/>
          <w:sz w:val="18"/>
          <w:szCs w:val="18"/>
        </w:rPr>
        <w:t xml:space="preserve">, </w:t>
      </w:r>
      <w:proofErr w:type="spellStart"/>
      <w:r w:rsidRPr="00FB2B8E">
        <w:rPr>
          <w:rFonts w:asciiTheme="minorHAnsi" w:hAnsiTheme="minorHAnsi"/>
          <w:sz w:val="18"/>
          <w:szCs w:val="18"/>
        </w:rPr>
        <w:t>OECD.Stat</w:t>
      </w:r>
      <w:proofErr w:type="spellEnd"/>
      <w:r w:rsidRPr="00FB2B8E">
        <w:rPr>
          <w:rFonts w:asciiTheme="minorHAnsi" w:hAnsiTheme="minorHAnsi"/>
          <w:sz w:val="18"/>
          <w:szCs w:val="18"/>
        </w:rPr>
        <w:t xml:space="preserve"> and data provided by the ILO and OECD to the G20 Employment Working Group in April 2017. </w:t>
      </w:r>
    </w:p>
    <w:p w:rsidR="00BB5091" w:rsidRPr="009E2A2D" w:rsidRDefault="00B8024B" w:rsidP="00F44E48">
      <w:pPr>
        <w:keepNext/>
        <w:jc w:val="left"/>
        <w:rPr>
          <w:rFonts w:asciiTheme="minorHAnsi" w:hAnsiTheme="minorHAnsi"/>
          <w:sz w:val="18"/>
          <w:szCs w:val="18"/>
        </w:rPr>
      </w:pPr>
      <w:r w:rsidRPr="00FB2B8E">
        <w:rPr>
          <w:rFonts w:asciiTheme="minorHAnsi" w:hAnsiTheme="minorHAnsi"/>
          <w:color w:val="000000"/>
          <w:sz w:val="18"/>
          <w:szCs w:val="18"/>
          <w:lang w:val="en-AU"/>
        </w:rPr>
        <w:t xml:space="preserve">Department of Employment calculations based on </w:t>
      </w:r>
      <w:proofErr w:type="spellStart"/>
      <w:r w:rsidRPr="00FB2B8E">
        <w:rPr>
          <w:rFonts w:asciiTheme="minorHAnsi" w:hAnsiTheme="minorHAnsi"/>
          <w:color w:val="000000"/>
          <w:sz w:val="18"/>
          <w:szCs w:val="18"/>
          <w:lang w:val="en-AU"/>
        </w:rPr>
        <w:t>OECD.Stat</w:t>
      </w:r>
      <w:proofErr w:type="spellEnd"/>
      <w:r w:rsidRPr="00FB2B8E">
        <w:rPr>
          <w:rFonts w:asciiTheme="minorHAnsi" w:hAnsiTheme="minorHAnsi"/>
          <w:color w:val="000000"/>
          <w:sz w:val="18"/>
          <w:szCs w:val="18"/>
          <w:lang w:val="en-AU"/>
        </w:rPr>
        <w:t xml:space="preserve"> short-term labour market statistics.</w:t>
      </w:r>
    </w:p>
    <w:p w:rsidR="002A3FB0" w:rsidRPr="005F7E37" w:rsidRDefault="002A3FB0" w:rsidP="000664C6">
      <w:pPr>
        <w:pStyle w:val="TableheadingH2"/>
      </w:pPr>
      <w:bookmarkStart w:id="9" w:name="_Toc487107009"/>
      <w:bookmarkStart w:id="10" w:name="_Toc487110297"/>
      <w:r w:rsidRPr="005F7E37">
        <w:t>Table 2: Labour market forecasts for 2017-18</w:t>
      </w:r>
      <w:bookmarkEnd w:id="9"/>
      <w:bookmarkEnd w:id="10"/>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6"/>
        <w:gridCol w:w="3296"/>
        <w:gridCol w:w="3297"/>
      </w:tblGrid>
      <w:tr w:rsidR="002A3FB0" w:rsidRPr="005F7E37" w:rsidTr="00D26A78">
        <w:trPr>
          <w:tblHeader/>
        </w:trPr>
        <w:tc>
          <w:tcPr>
            <w:tcW w:w="3296" w:type="dxa"/>
            <w:shd w:val="clear" w:color="auto" w:fill="EEECE1" w:themeFill="background2"/>
            <w:vAlign w:val="center"/>
          </w:tcPr>
          <w:p w:rsidR="002A3FB0" w:rsidRPr="005F7E37" w:rsidRDefault="002A3FB0" w:rsidP="00CC21EC">
            <w:pPr>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Employment growth</w:t>
            </w:r>
          </w:p>
        </w:tc>
        <w:tc>
          <w:tcPr>
            <w:tcW w:w="3296" w:type="dxa"/>
            <w:tcBorders>
              <w:bottom w:val="single" w:sz="4" w:space="0" w:color="auto"/>
            </w:tcBorders>
            <w:shd w:val="clear" w:color="auto" w:fill="EEECE1" w:themeFill="background2"/>
            <w:vAlign w:val="center"/>
          </w:tcPr>
          <w:p w:rsidR="002A3FB0" w:rsidRPr="005F7E37" w:rsidRDefault="002A3FB0" w:rsidP="00CC21EC">
            <w:pPr>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Unemployment rate</w:t>
            </w:r>
          </w:p>
        </w:tc>
        <w:tc>
          <w:tcPr>
            <w:tcW w:w="3297" w:type="dxa"/>
            <w:tcBorders>
              <w:bottom w:val="single" w:sz="4" w:space="0" w:color="auto"/>
            </w:tcBorders>
            <w:shd w:val="clear" w:color="auto" w:fill="EEECE1" w:themeFill="background2"/>
            <w:vAlign w:val="center"/>
          </w:tcPr>
          <w:p w:rsidR="002A3FB0" w:rsidRPr="005F7E37" w:rsidRDefault="002A3FB0" w:rsidP="00CC21EC">
            <w:pPr>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Participation rate</w:t>
            </w:r>
          </w:p>
        </w:tc>
      </w:tr>
      <w:tr w:rsidR="0093779D" w:rsidRPr="005F7E37" w:rsidTr="00EC72D7">
        <w:tc>
          <w:tcPr>
            <w:tcW w:w="3296" w:type="dxa"/>
            <w:shd w:val="clear" w:color="auto" w:fill="auto"/>
            <w:vAlign w:val="center"/>
          </w:tcPr>
          <w:p w:rsidR="0093779D" w:rsidRPr="005F7E37" w:rsidRDefault="0093779D" w:rsidP="00F13A8E">
            <w:pPr>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1</w:t>
            </w:r>
            <w:r w:rsidR="00F13A8E">
              <w:rPr>
                <w:rFonts w:asciiTheme="minorHAnsi" w:hAnsiTheme="minorHAnsi" w:cstheme="minorHAnsi"/>
                <w:color w:val="000000"/>
                <w:sz w:val="18"/>
                <w:szCs w:val="18"/>
              </w:rPr>
              <w:t xml:space="preserve"> ½ </w:t>
            </w:r>
            <w:r w:rsidRPr="005F7E37">
              <w:rPr>
                <w:rFonts w:asciiTheme="minorHAnsi" w:hAnsiTheme="minorHAnsi" w:cstheme="minorHAnsi"/>
                <w:color w:val="000000"/>
                <w:sz w:val="18"/>
                <w:szCs w:val="18"/>
              </w:rPr>
              <w:t xml:space="preserve"> per cent</w:t>
            </w:r>
          </w:p>
        </w:tc>
        <w:tc>
          <w:tcPr>
            <w:tcW w:w="3296" w:type="dxa"/>
            <w:tcBorders>
              <w:bottom w:val="single" w:sz="4" w:space="0" w:color="auto"/>
            </w:tcBorders>
            <w:shd w:val="clear" w:color="auto" w:fill="auto"/>
            <w:vAlign w:val="center"/>
          </w:tcPr>
          <w:p w:rsidR="0093779D" w:rsidRPr="005F7E37" w:rsidRDefault="0093779D" w:rsidP="00CC21EC">
            <w:pPr>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5</w:t>
            </w:r>
            <w:r w:rsidR="00F13A8E">
              <w:rPr>
                <w:rFonts w:ascii="Book Antiqua" w:eastAsiaTheme="minorHAnsi" w:hAnsi="Book Antiqua" w:cs="Book Antiqua"/>
                <w:color w:val="000000"/>
                <w:kern w:val="0"/>
                <w:sz w:val="20"/>
                <w:szCs w:val="20"/>
                <w:lang w:val="en-AU" w:eastAsia="en-US"/>
              </w:rPr>
              <w:t xml:space="preserve"> </w:t>
            </w:r>
            <w:r w:rsidR="00F13A8E" w:rsidRPr="00F13A8E">
              <w:rPr>
                <w:rFonts w:asciiTheme="minorHAnsi" w:hAnsiTheme="minorHAnsi" w:cstheme="minorHAnsi"/>
                <w:color w:val="000000"/>
                <w:sz w:val="18"/>
                <w:szCs w:val="18"/>
                <w:lang w:val="en-AU"/>
              </w:rPr>
              <w:t xml:space="preserve">¾ </w:t>
            </w:r>
            <w:r w:rsidRPr="005F7E37">
              <w:rPr>
                <w:rFonts w:asciiTheme="minorHAnsi" w:hAnsiTheme="minorHAnsi" w:cstheme="minorHAnsi"/>
                <w:color w:val="000000"/>
                <w:sz w:val="18"/>
                <w:szCs w:val="18"/>
              </w:rPr>
              <w:t>per cent</w:t>
            </w:r>
          </w:p>
        </w:tc>
        <w:tc>
          <w:tcPr>
            <w:tcW w:w="3297" w:type="dxa"/>
            <w:tcBorders>
              <w:bottom w:val="single" w:sz="4" w:space="0" w:color="auto"/>
            </w:tcBorders>
            <w:shd w:val="clear" w:color="auto" w:fill="auto"/>
            <w:vAlign w:val="center"/>
          </w:tcPr>
          <w:p w:rsidR="0093779D" w:rsidRPr="005F7E37" w:rsidRDefault="0093779D" w:rsidP="00F13A8E">
            <w:pPr>
              <w:jc w:val="center"/>
              <w:rPr>
                <w:rFonts w:asciiTheme="minorHAnsi" w:hAnsiTheme="minorHAnsi" w:cstheme="minorHAnsi"/>
                <w:color w:val="000000"/>
                <w:sz w:val="18"/>
                <w:szCs w:val="18"/>
              </w:rPr>
            </w:pPr>
            <w:r w:rsidRPr="005F7E37">
              <w:rPr>
                <w:rFonts w:asciiTheme="minorHAnsi" w:hAnsiTheme="minorHAnsi" w:cstheme="minorHAnsi"/>
                <w:color w:val="000000"/>
                <w:sz w:val="18"/>
                <w:szCs w:val="18"/>
              </w:rPr>
              <w:t>64</w:t>
            </w:r>
            <w:r w:rsidR="00F13A8E">
              <w:rPr>
                <w:rFonts w:asciiTheme="minorHAnsi" w:hAnsiTheme="minorHAnsi" w:cstheme="minorHAnsi"/>
                <w:color w:val="000000"/>
                <w:sz w:val="18"/>
                <w:szCs w:val="18"/>
              </w:rPr>
              <w:t xml:space="preserve"> ½ </w:t>
            </w:r>
            <w:r w:rsidRPr="005F7E37">
              <w:rPr>
                <w:rFonts w:asciiTheme="minorHAnsi" w:hAnsiTheme="minorHAnsi" w:cstheme="minorHAnsi"/>
                <w:color w:val="000000"/>
                <w:sz w:val="18"/>
                <w:szCs w:val="18"/>
              </w:rPr>
              <w:t xml:space="preserve"> per cent</w:t>
            </w:r>
          </w:p>
        </w:tc>
      </w:tr>
    </w:tbl>
    <w:p w:rsidR="00B8024B" w:rsidRDefault="00B8024B" w:rsidP="00B8024B">
      <w:pPr>
        <w:spacing w:before="120"/>
        <w:jc w:val="left"/>
        <w:rPr>
          <w:i/>
          <w:color w:val="000000"/>
          <w:sz w:val="18"/>
          <w:szCs w:val="18"/>
        </w:rPr>
      </w:pPr>
      <w:r w:rsidRPr="00EC72D7">
        <w:rPr>
          <w:color w:val="000000"/>
          <w:sz w:val="18"/>
          <w:szCs w:val="18"/>
        </w:rPr>
        <w:t xml:space="preserve">Source: Australian Government, </w:t>
      </w:r>
      <w:r w:rsidRPr="00EC72D7">
        <w:rPr>
          <w:i/>
          <w:color w:val="000000"/>
          <w:sz w:val="18"/>
          <w:szCs w:val="18"/>
        </w:rPr>
        <w:t>Budget Strategy and Outlook: Budget Paper No. 1, 2017-18</w:t>
      </w:r>
    </w:p>
    <w:p w:rsidR="00BB5091" w:rsidRPr="008B6876" w:rsidRDefault="00BB5091" w:rsidP="008B6876">
      <w:bookmarkStart w:id="11" w:name="_Toc452105462"/>
      <w:bookmarkStart w:id="12" w:name="_Toc452625205"/>
      <w:bookmarkStart w:id="13" w:name="_Toc458449904"/>
      <w:bookmarkStart w:id="14" w:name="_Toc484691709"/>
      <w:r>
        <w:rPr>
          <w:lang w:val="en-AU"/>
        </w:rPr>
        <w:br w:type="page"/>
      </w:r>
    </w:p>
    <w:p w:rsidR="00A561E2" w:rsidRPr="005F7E37" w:rsidRDefault="00A561E2" w:rsidP="00AD08D5">
      <w:pPr>
        <w:pStyle w:val="Heading1"/>
        <w:rPr>
          <w:rFonts w:asciiTheme="minorHAnsi" w:hAnsiTheme="minorHAnsi" w:cstheme="minorHAnsi"/>
          <w:lang w:val="en-AU"/>
        </w:rPr>
      </w:pPr>
      <w:bookmarkStart w:id="15" w:name="_Toc487107010"/>
      <w:bookmarkStart w:id="16" w:name="_Toc487110298"/>
      <w:r w:rsidRPr="005F7E37">
        <w:rPr>
          <w:rFonts w:asciiTheme="minorHAnsi" w:hAnsiTheme="minorHAnsi" w:cstheme="minorHAnsi"/>
          <w:lang w:val="en-AU"/>
        </w:rPr>
        <w:lastRenderedPageBreak/>
        <w:t>Employment challenges for Australia</w:t>
      </w:r>
      <w:bookmarkEnd w:id="11"/>
      <w:bookmarkEnd w:id="12"/>
      <w:bookmarkEnd w:id="13"/>
      <w:bookmarkEnd w:id="14"/>
      <w:bookmarkEnd w:id="15"/>
      <w:bookmarkEnd w:id="16"/>
    </w:p>
    <w:p w:rsidR="00A561E2" w:rsidRPr="005F7E37" w:rsidRDefault="00A561E2" w:rsidP="00D26A78">
      <w:pPr>
        <w:pStyle w:val="Heading3"/>
      </w:pPr>
      <w:bookmarkStart w:id="17" w:name="_Toc458449905"/>
      <w:bookmarkStart w:id="18" w:name="_Toc487107011"/>
      <w:bookmarkStart w:id="19" w:name="_Toc487110299"/>
      <w:r w:rsidRPr="005F7E37">
        <w:t>Challenge: Boosting labour force participation</w:t>
      </w:r>
      <w:bookmarkEnd w:id="17"/>
      <w:bookmarkEnd w:id="18"/>
      <w:bookmarkEnd w:id="19"/>
    </w:p>
    <w:p w:rsidR="00584027" w:rsidRPr="005F7E37" w:rsidRDefault="00DE311E" w:rsidP="008E57AB">
      <w:pPr>
        <w:spacing w:after="120"/>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Population ageing poses a challenge to many advanced countries, including Australia. The labour force participation rate for people aged 15 years and over is projected to fall to less than 63 per cent by 2054–55, compared with around 65 per cent today. This is expected to generate fiscal pressures through a smaller labour force and income tax base, as well as increased demand for age-related payments and services. Improving workforce participation rates for groups with potential for higher participation is not only a pathway to boost Australia’s productive capacity, but can improve equity and opportunity for all Australians. For example, </w:t>
      </w:r>
      <w:r w:rsidR="00584027" w:rsidRPr="005F7E37">
        <w:rPr>
          <w:rFonts w:asciiTheme="minorHAnsi" w:hAnsiTheme="minorHAnsi" w:cstheme="minorHAnsi"/>
          <w:color w:val="000000"/>
          <w:sz w:val="22"/>
          <w:lang w:val="en-AU"/>
        </w:rPr>
        <w:t>women,</w:t>
      </w:r>
      <w:r w:rsidRPr="005F7E37">
        <w:rPr>
          <w:rFonts w:asciiTheme="minorHAnsi" w:hAnsiTheme="minorHAnsi" w:cstheme="minorHAnsi"/>
          <w:color w:val="000000"/>
          <w:sz w:val="22"/>
          <w:lang w:val="en-AU"/>
        </w:rPr>
        <w:t xml:space="preserve"> Indigenous Australians, humanitarian entrants and people with disability have much lower participation rates than the general population. </w:t>
      </w:r>
    </w:p>
    <w:p w:rsidR="002A3FB0" w:rsidRPr="005F7E37" w:rsidRDefault="002A3FB0" w:rsidP="00D26A78">
      <w:pPr>
        <w:pStyle w:val="Heading3"/>
      </w:pPr>
      <w:bookmarkStart w:id="20" w:name="_Toc487107012"/>
      <w:bookmarkStart w:id="21" w:name="_Toc487110300"/>
      <w:r w:rsidRPr="005F7E37">
        <w:t>Challenge: Addressing long-term unemployment</w:t>
      </w:r>
      <w:bookmarkEnd w:id="20"/>
      <w:bookmarkEnd w:id="21"/>
    </w:p>
    <w:p w:rsidR="00BA00DE" w:rsidRDefault="00691C21" w:rsidP="008E57AB">
      <w:pPr>
        <w:spacing w:after="120"/>
        <w:rPr>
          <w:rFonts w:asciiTheme="minorHAnsi" w:hAnsiTheme="minorHAnsi" w:cstheme="minorHAnsi"/>
          <w:color w:val="000000"/>
          <w:sz w:val="22"/>
        </w:rPr>
      </w:pPr>
      <w:r w:rsidRPr="005F7E37">
        <w:rPr>
          <w:rFonts w:asciiTheme="minorHAnsi" w:hAnsiTheme="minorHAnsi" w:cstheme="minorHAnsi"/>
          <w:color w:val="000000"/>
          <w:sz w:val="22"/>
        </w:rPr>
        <w:t>Australia achieved a substantial decline in long-term unemployment by the time of the Global Financial Crisis</w:t>
      </w:r>
      <w:r w:rsidRPr="00BA00DE">
        <w:rPr>
          <w:color w:val="000000"/>
          <w:sz w:val="22"/>
        </w:rPr>
        <w:t xml:space="preserve">. </w:t>
      </w:r>
      <w:r w:rsidRPr="005F7E37">
        <w:rPr>
          <w:rFonts w:asciiTheme="minorHAnsi" w:hAnsiTheme="minorHAnsi" w:cstheme="minorHAnsi"/>
          <w:color w:val="000000"/>
          <w:sz w:val="22"/>
        </w:rPr>
        <w:t>Addressing this problem is important; both to ensure thousands of Australians do not face long-term exclusion from work, and to improve the long term economic outlook by avoiding the erosion of skills and job readiness caused by prolonged absence from the workforce.</w:t>
      </w:r>
    </w:p>
    <w:p w:rsidR="002A3FB0" w:rsidRPr="005F7E37" w:rsidRDefault="002A3FB0" w:rsidP="00D26A78">
      <w:pPr>
        <w:pStyle w:val="Heading3"/>
      </w:pPr>
      <w:bookmarkStart w:id="22" w:name="_Toc487107013"/>
      <w:bookmarkStart w:id="23" w:name="_Toc487110301"/>
      <w:r w:rsidRPr="005F7E37">
        <w:t>Challenge: Youth unemployment</w:t>
      </w:r>
      <w:bookmarkEnd w:id="22"/>
      <w:bookmarkEnd w:id="23"/>
      <w:r w:rsidRPr="005F7E37">
        <w:t xml:space="preserve"> </w:t>
      </w:r>
    </w:p>
    <w:p w:rsidR="00BA00DE" w:rsidRDefault="00691C21" w:rsidP="008E57AB">
      <w:pPr>
        <w:spacing w:after="120"/>
        <w:rPr>
          <w:rFonts w:asciiTheme="minorHAnsi" w:hAnsiTheme="minorHAnsi" w:cstheme="minorHAnsi"/>
          <w:color w:val="000000"/>
          <w:sz w:val="22"/>
        </w:rPr>
      </w:pPr>
      <w:r w:rsidRPr="005F7E37">
        <w:rPr>
          <w:rFonts w:asciiTheme="minorHAnsi" w:hAnsiTheme="minorHAnsi" w:cstheme="minorHAnsi"/>
          <w:color w:val="000000"/>
          <w:sz w:val="22"/>
        </w:rPr>
        <w:t xml:space="preserve">Young people are particularly vulnerable to unemployment during periods of economic and </w:t>
      </w:r>
      <w:proofErr w:type="spellStart"/>
      <w:r w:rsidRPr="005F7E37">
        <w:rPr>
          <w:rFonts w:asciiTheme="minorHAnsi" w:hAnsiTheme="minorHAnsi" w:cstheme="minorHAnsi"/>
          <w:color w:val="000000"/>
          <w:sz w:val="22"/>
        </w:rPr>
        <w:t>labour</w:t>
      </w:r>
      <w:proofErr w:type="spellEnd"/>
      <w:r w:rsidRPr="005F7E37">
        <w:rPr>
          <w:rFonts w:asciiTheme="minorHAnsi" w:hAnsiTheme="minorHAnsi" w:cstheme="minorHAnsi"/>
          <w:color w:val="000000"/>
          <w:sz w:val="22"/>
        </w:rPr>
        <w:t xml:space="preserve"> market softness, as they tend to have less education, skills and experience than older members of the population. The youth unemployment rate was 12.8 per cent</w:t>
      </w:r>
      <w:r>
        <w:rPr>
          <w:rFonts w:asciiTheme="minorHAnsi" w:hAnsiTheme="minorHAnsi" w:cstheme="minorHAnsi"/>
          <w:color w:val="000000"/>
          <w:sz w:val="22"/>
        </w:rPr>
        <w:t xml:space="preserve"> in April 2017</w:t>
      </w:r>
      <w:r w:rsidRPr="005F7E37">
        <w:rPr>
          <w:rFonts w:asciiTheme="minorHAnsi" w:hAnsiTheme="minorHAnsi" w:cstheme="minorHAnsi"/>
          <w:color w:val="000000"/>
          <w:sz w:val="22"/>
        </w:rPr>
        <w:t xml:space="preserve">, more than double the national rate. Improving youth participation in employment, education or training is therefore a priority for the Australian Government. </w:t>
      </w:r>
      <w:bookmarkStart w:id="24" w:name="_Toc452625209"/>
    </w:p>
    <w:p w:rsidR="00A561E2" w:rsidRPr="005F7E37" w:rsidRDefault="00A561E2" w:rsidP="00D26A78">
      <w:pPr>
        <w:pStyle w:val="Heading3"/>
      </w:pPr>
      <w:bookmarkStart w:id="25" w:name="_Toc487107014"/>
      <w:bookmarkStart w:id="26" w:name="_Toc487110302"/>
      <w:r w:rsidRPr="005F7E37">
        <w:t>Challenge: Boosting Indigenous employment</w:t>
      </w:r>
      <w:bookmarkEnd w:id="24"/>
      <w:bookmarkEnd w:id="25"/>
      <w:bookmarkEnd w:id="26"/>
    </w:p>
    <w:p w:rsidR="00034284" w:rsidRPr="005F7E37" w:rsidRDefault="00964539" w:rsidP="008E57AB">
      <w:pPr>
        <w:spacing w:after="120"/>
        <w:rPr>
          <w:rFonts w:asciiTheme="minorHAnsi" w:hAnsiTheme="minorHAnsi" w:cstheme="minorHAnsi"/>
          <w:color w:val="000000"/>
          <w:sz w:val="22"/>
          <w:lang w:val="en-AU"/>
        </w:rPr>
      </w:pPr>
      <w:bookmarkStart w:id="27" w:name="_Toc452625210"/>
      <w:r w:rsidRPr="005F7E37">
        <w:rPr>
          <w:rFonts w:asciiTheme="minorHAnsi" w:hAnsiTheme="minorHAnsi" w:cstheme="minorHAnsi"/>
          <w:color w:val="000000"/>
          <w:sz w:val="22"/>
          <w:lang w:val="en-AU"/>
        </w:rPr>
        <w:t xml:space="preserve">Australia’s Indigenous population face more barriers to employment on average relative to the rest of the population. While gains in employment outcomes for Indigenous Australians have been hard won, concerted effort must still be made across government and big business to bring </w:t>
      </w:r>
      <w:r w:rsidR="00DA0252" w:rsidRPr="005F7E37">
        <w:rPr>
          <w:rFonts w:asciiTheme="minorHAnsi" w:hAnsiTheme="minorHAnsi" w:cstheme="minorHAnsi"/>
          <w:color w:val="000000"/>
          <w:sz w:val="22"/>
          <w:lang w:val="en-AU"/>
        </w:rPr>
        <w:t>the Indigenous populat</w:t>
      </w:r>
      <w:r w:rsidR="001A35CE" w:rsidRPr="005F7E37">
        <w:rPr>
          <w:rFonts w:asciiTheme="minorHAnsi" w:hAnsiTheme="minorHAnsi" w:cstheme="minorHAnsi"/>
          <w:color w:val="000000"/>
          <w:sz w:val="22"/>
          <w:lang w:val="en-AU"/>
        </w:rPr>
        <w:t>ion</w:t>
      </w:r>
      <w:r w:rsidR="005D0823" w:rsidRPr="005F7E37">
        <w:rPr>
          <w:rFonts w:asciiTheme="minorHAnsi" w:hAnsiTheme="minorHAnsi" w:cstheme="minorHAnsi"/>
          <w:color w:val="000000"/>
          <w:sz w:val="22"/>
          <w:lang w:val="en-AU"/>
        </w:rPr>
        <w:t xml:space="preserve"> into employment</w:t>
      </w:r>
      <w:r w:rsidR="001A35CE" w:rsidRPr="005F7E37">
        <w:rPr>
          <w:rFonts w:asciiTheme="minorHAnsi" w:hAnsiTheme="minorHAnsi" w:cstheme="minorHAnsi"/>
          <w:color w:val="000000"/>
          <w:sz w:val="22"/>
          <w:lang w:val="en-AU"/>
        </w:rPr>
        <w:t xml:space="preserve">. </w:t>
      </w:r>
      <w:r w:rsidRPr="005F7E37">
        <w:rPr>
          <w:rFonts w:asciiTheme="minorHAnsi" w:hAnsiTheme="minorHAnsi" w:cstheme="minorHAnsi"/>
          <w:color w:val="000000"/>
          <w:sz w:val="22"/>
          <w:lang w:val="en-AU"/>
        </w:rPr>
        <w:t>Indigenous Australians</w:t>
      </w:r>
      <w:r w:rsidR="001A35CE" w:rsidRPr="005F7E37">
        <w:rPr>
          <w:rFonts w:asciiTheme="minorHAnsi" w:hAnsiTheme="minorHAnsi" w:cstheme="minorHAnsi"/>
          <w:color w:val="000000"/>
          <w:sz w:val="22"/>
          <w:lang w:val="en-AU"/>
        </w:rPr>
        <w:t xml:space="preserve"> experience much low</w:t>
      </w:r>
      <w:r w:rsidR="00CC21EC">
        <w:rPr>
          <w:rFonts w:asciiTheme="minorHAnsi" w:hAnsiTheme="minorHAnsi" w:cstheme="minorHAnsi"/>
          <w:color w:val="000000"/>
          <w:sz w:val="22"/>
          <w:lang w:val="en-AU"/>
        </w:rPr>
        <w:t>er</w:t>
      </w:r>
      <w:r w:rsidR="001A35CE" w:rsidRPr="005F7E37">
        <w:rPr>
          <w:rFonts w:asciiTheme="minorHAnsi" w:hAnsiTheme="minorHAnsi" w:cstheme="minorHAnsi"/>
          <w:color w:val="000000"/>
          <w:sz w:val="22"/>
          <w:lang w:val="en-AU"/>
        </w:rPr>
        <w:t xml:space="preserve"> labour force participation and higher unemployment rates, particularly youth and women</w:t>
      </w:r>
      <w:r w:rsidRPr="005F7E37">
        <w:rPr>
          <w:rFonts w:asciiTheme="minorHAnsi" w:hAnsiTheme="minorHAnsi" w:cstheme="minorHAnsi"/>
          <w:color w:val="000000"/>
          <w:sz w:val="22"/>
          <w:lang w:val="en-AU"/>
        </w:rPr>
        <w:t>.</w:t>
      </w:r>
      <w:r w:rsidR="001A35CE" w:rsidRPr="005F7E37">
        <w:rPr>
          <w:rFonts w:asciiTheme="minorHAnsi" w:hAnsiTheme="minorHAnsi" w:cstheme="minorHAnsi"/>
          <w:color w:val="000000"/>
          <w:sz w:val="22"/>
          <w:lang w:val="en-AU"/>
        </w:rPr>
        <w:t xml:space="preserve"> Improving education and labour market outcomes for Indigenous Australians is a significant priority for the Australian Government. </w:t>
      </w:r>
    </w:p>
    <w:p w:rsidR="00A561E2" w:rsidRPr="005F7E37" w:rsidRDefault="00A561E2" w:rsidP="00D26A78">
      <w:pPr>
        <w:pStyle w:val="Heading3"/>
      </w:pPr>
      <w:bookmarkStart w:id="28" w:name="_Toc487107015"/>
      <w:bookmarkStart w:id="29" w:name="_Toc487110303"/>
      <w:r w:rsidRPr="005F7E37">
        <w:t>Challenge: Supporting job creation</w:t>
      </w:r>
      <w:bookmarkEnd w:id="27"/>
      <w:bookmarkEnd w:id="28"/>
      <w:bookmarkEnd w:id="29"/>
    </w:p>
    <w:p w:rsidR="00D45576" w:rsidRPr="00D45576" w:rsidRDefault="00D45576" w:rsidP="008E57AB">
      <w:pPr>
        <w:spacing w:after="120"/>
        <w:rPr>
          <w:rFonts w:asciiTheme="minorHAnsi" w:hAnsiTheme="minorHAnsi" w:cstheme="minorHAnsi"/>
          <w:color w:val="000000"/>
          <w:sz w:val="22"/>
        </w:rPr>
      </w:pPr>
      <w:bookmarkStart w:id="30" w:name="_Toc452105463"/>
      <w:bookmarkStart w:id="31" w:name="_Toc452625211"/>
      <w:bookmarkStart w:id="32" w:name="_Toc458449906"/>
      <w:r w:rsidRPr="00D45576">
        <w:rPr>
          <w:rFonts w:asciiTheme="minorHAnsi" w:hAnsiTheme="minorHAnsi" w:cstheme="minorHAnsi"/>
          <w:color w:val="000000"/>
          <w:sz w:val="22"/>
        </w:rPr>
        <w:t xml:space="preserve">Job creation was slow following the Global Financial Crisis, with Australia’s unemployment rate reaching almost 6 per cent. This partly reflected the challenge of managing structural change between industries with varying </w:t>
      </w:r>
      <w:proofErr w:type="spellStart"/>
      <w:r w:rsidRPr="00D45576">
        <w:rPr>
          <w:rFonts w:asciiTheme="minorHAnsi" w:hAnsiTheme="minorHAnsi" w:cstheme="minorHAnsi"/>
          <w:color w:val="000000"/>
          <w:sz w:val="22"/>
        </w:rPr>
        <w:t>labour</w:t>
      </w:r>
      <w:proofErr w:type="spellEnd"/>
      <w:r w:rsidRPr="00D45576">
        <w:rPr>
          <w:rFonts w:asciiTheme="minorHAnsi" w:hAnsiTheme="minorHAnsi" w:cstheme="minorHAnsi"/>
          <w:color w:val="000000"/>
          <w:sz w:val="22"/>
        </w:rPr>
        <w:t xml:space="preserve"> requirements. Strengthening job creation will require a strong commitment to boosting economic growth and opening up employment opportunities through innovation and new forms of work. Investment in education, skills and training are essential to ensure existing and new entrants to the workforce are able to quickly adjust to changing </w:t>
      </w:r>
      <w:proofErr w:type="spellStart"/>
      <w:r w:rsidRPr="00D45576">
        <w:rPr>
          <w:rFonts w:asciiTheme="minorHAnsi" w:hAnsiTheme="minorHAnsi" w:cstheme="minorHAnsi"/>
          <w:color w:val="000000"/>
          <w:sz w:val="22"/>
        </w:rPr>
        <w:t>labour</w:t>
      </w:r>
      <w:proofErr w:type="spellEnd"/>
      <w:r w:rsidRPr="00D45576">
        <w:rPr>
          <w:rFonts w:asciiTheme="minorHAnsi" w:hAnsiTheme="minorHAnsi" w:cstheme="minorHAnsi"/>
          <w:color w:val="000000"/>
          <w:sz w:val="22"/>
        </w:rPr>
        <w:t xml:space="preserve"> market demands</w:t>
      </w:r>
      <w:r w:rsidR="00BA00DE">
        <w:rPr>
          <w:rFonts w:asciiTheme="minorHAnsi" w:hAnsiTheme="minorHAnsi" w:cstheme="minorHAnsi"/>
          <w:color w:val="000000"/>
          <w:sz w:val="22"/>
        </w:rPr>
        <w:t xml:space="preserve"> -</w:t>
      </w:r>
      <w:r w:rsidR="002728D3">
        <w:rPr>
          <w:rFonts w:asciiTheme="minorHAnsi" w:hAnsiTheme="minorHAnsi" w:cstheme="minorHAnsi"/>
          <w:color w:val="000000"/>
          <w:sz w:val="22"/>
        </w:rPr>
        <w:t xml:space="preserve"> including rapid advances in digital technologies and disruption to existing industries. </w:t>
      </w:r>
    </w:p>
    <w:p w:rsidR="00A561E2" w:rsidRPr="005F7E37" w:rsidRDefault="00A561E2" w:rsidP="009E2A2D">
      <w:pPr>
        <w:pStyle w:val="Heading1"/>
        <w:spacing w:before="120" w:after="200"/>
        <w:rPr>
          <w:rFonts w:asciiTheme="minorHAnsi" w:hAnsiTheme="minorHAnsi" w:cstheme="minorHAnsi"/>
          <w:lang w:val="en-AU"/>
        </w:rPr>
      </w:pPr>
      <w:bookmarkStart w:id="33" w:name="_Toc484691710"/>
      <w:bookmarkStart w:id="34" w:name="_Toc487107016"/>
      <w:bookmarkStart w:id="35" w:name="_Toc487110304"/>
      <w:bookmarkEnd w:id="30"/>
      <w:bookmarkEnd w:id="31"/>
      <w:bookmarkEnd w:id="32"/>
      <w:r w:rsidRPr="005F7E37">
        <w:rPr>
          <w:rFonts w:asciiTheme="minorHAnsi" w:hAnsiTheme="minorHAnsi" w:cstheme="minorHAnsi"/>
          <w:lang w:val="en-AU"/>
        </w:rPr>
        <w:lastRenderedPageBreak/>
        <w:t>Current policy settings and new commitments</w:t>
      </w:r>
      <w:bookmarkEnd w:id="33"/>
      <w:bookmarkEnd w:id="34"/>
      <w:bookmarkEnd w:id="35"/>
    </w:p>
    <w:p w:rsidR="00016FCF" w:rsidRPr="00A77989" w:rsidRDefault="00FF5CDB" w:rsidP="000664C6">
      <w:pPr>
        <w:pStyle w:val="Heading2"/>
      </w:pPr>
      <w:bookmarkStart w:id="36" w:name="_Toc484691711"/>
      <w:bookmarkStart w:id="37" w:name="_Toc487107017"/>
      <w:bookmarkStart w:id="38" w:name="_Toc487110305"/>
      <w:r w:rsidRPr="00A77989">
        <w:t>B</w:t>
      </w:r>
      <w:r w:rsidR="00016FCF" w:rsidRPr="00A77989">
        <w:t>road economic settings</w:t>
      </w:r>
      <w:bookmarkEnd w:id="36"/>
      <w:bookmarkEnd w:id="37"/>
      <w:bookmarkEnd w:id="38"/>
    </w:p>
    <w:p w:rsidR="009E2A2D" w:rsidRDefault="003651D2" w:rsidP="00821E50">
      <w:pPr>
        <w:spacing w:before="120" w:after="200"/>
        <w:rPr>
          <w:rFonts w:asciiTheme="minorHAnsi" w:hAnsiTheme="minorHAnsi" w:cstheme="minorHAnsi"/>
          <w:color w:val="000000"/>
          <w:sz w:val="22"/>
        </w:rPr>
      </w:pPr>
      <w:r w:rsidRPr="005F7E37">
        <w:rPr>
          <w:rFonts w:asciiTheme="minorHAnsi" w:hAnsiTheme="minorHAnsi" w:cstheme="minorHAnsi"/>
          <w:color w:val="000000"/>
          <w:sz w:val="22"/>
        </w:rPr>
        <w:t xml:space="preserve">Australia’s policy framework has played an important role in fostering macroeconomic stability. The main pillars of this framework are a flexible exchange rate, an open capital account, an inflation-targeting independent central bank and fiscal policy focused on transparency and medium-term sustainability. </w:t>
      </w:r>
    </w:p>
    <w:p w:rsidR="00C37BEE" w:rsidRDefault="003651D2" w:rsidP="00821E50">
      <w:pPr>
        <w:spacing w:before="120" w:after="200"/>
        <w:rPr>
          <w:rFonts w:asciiTheme="minorHAnsi" w:hAnsiTheme="minorHAnsi" w:cstheme="minorHAnsi"/>
          <w:color w:val="000000"/>
          <w:sz w:val="22"/>
        </w:rPr>
      </w:pPr>
      <w:r w:rsidRPr="00CC21EC">
        <w:rPr>
          <w:rFonts w:asciiTheme="minorHAnsi" w:hAnsiTheme="minorHAnsi" w:cstheme="minorHAnsi"/>
          <w:color w:val="000000"/>
          <w:sz w:val="22"/>
        </w:rPr>
        <w:t>Australia’s G20 Growth Strategy provides a more detailed overview of Australia’s macroeconomic policy framework and recent commitments.</w:t>
      </w:r>
    </w:p>
    <w:p w:rsidR="00A561E2" w:rsidRPr="008174DB" w:rsidRDefault="00A561E2" w:rsidP="0029104D">
      <w:pPr>
        <w:pStyle w:val="Heading3"/>
      </w:pPr>
      <w:bookmarkStart w:id="39" w:name="_Toc484691712"/>
      <w:bookmarkStart w:id="40" w:name="_Toc485740288"/>
      <w:bookmarkStart w:id="41" w:name="_Toc485740392"/>
      <w:bookmarkStart w:id="42" w:name="_Toc487107018"/>
      <w:bookmarkStart w:id="43" w:name="_Toc487110306"/>
      <w:r w:rsidRPr="008174DB">
        <w:t>Regulation, finance, incentives, investment, innovation and entrepreneurship</w:t>
      </w:r>
      <w:bookmarkEnd w:id="39"/>
      <w:bookmarkEnd w:id="40"/>
      <w:bookmarkEnd w:id="41"/>
      <w:bookmarkEnd w:id="42"/>
      <w:bookmarkEnd w:id="43"/>
    </w:p>
    <w:p w:rsidR="00A561E2" w:rsidRDefault="00A561E2" w:rsidP="00821E50">
      <w:pPr>
        <w:spacing w:before="120" w:after="240"/>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Australian Government believes that private enterprise and private investment are key drivers of economic growth and national prosperity. </w:t>
      </w:r>
      <w:r w:rsidR="00CC21EC">
        <w:rPr>
          <w:rFonts w:asciiTheme="minorHAnsi" w:hAnsiTheme="minorHAnsi" w:cstheme="minorHAnsi"/>
          <w:color w:val="000000"/>
          <w:sz w:val="22"/>
          <w:lang w:val="en-AU"/>
        </w:rPr>
        <w:t>E</w:t>
      </w:r>
      <w:r w:rsidRPr="005F7E37">
        <w:rPr>
          <w:rFonts w:asciiTheme="minorHAnsi" w:hAnsiTheme="minorHAnsi" w:cstheme="minorHAnsi"/>
          <w:color w:val="000000"/>
          <w:sz w:val="22"/>
          <w:lang w:val="en-AU"/>
        </w:rPr>
        <w:t>xcessive regulation has the effect of discouraging business investment and entrepreneurialism, as well as distorting investment decisions and damaging productivity and jobs growth.</w:t>
      </w:r>
    </w:p>
    <w:p w:rsidR="00D26A78" w:rsidRPr="006B7642" w:rsidRDefault="00D26A78" w:rsidP="006B7642">
      <w:pPr>
        <w:pBdr>
          <w:top w:val="single" w:sz="4" w:space="10" w:color="auto"/>
          <w:left w:val="single" w:sz="4" w:space="10" w:color="auto"/>
          <w:bottom w:val="single" w:sz="4" w:space="10" w:color="auto"/>
          <w:right w:val="single" w:sz="4" w:space="10" w:color="auto"/>
        </w:pBdr>
        <w:shd w:val="clear" w:color="auto" w:fill="EEECE1" w:themeFill="background2"/>
      </w:pPr>
      <w:r w:rsidRPr="006B7642">
        <w:t>The Australian Government has made the following policy commitments to increase competitiveness, strengthen incentives and support investment, innovation and entrepreneurship:</w:t>
      </w:r>
    </w:p>
    <w:p w:rsidR="00D26A78" w:rsidRPr="006B7642" w:rsidRDefault="00D26A78" w:rsidP="006B7642">
      <w:pPr>
        <w:pStyle w:val="ListParagraph"/>
        <w:numPr>
          <w:ilvl w:val="0"/>
          <w:numId w:val="28"/>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57" w:hanging="357"/>
        <w:contextualSpacing w:val="0"/>
        <w:rPr>
          <w:sz w:val="21"/>
          <w:szCs w:val="21"/>
        </w:rPr>
      </w:pPr>
      <w:r w:rsidRPr="006B7642">
        <w:rPr>
          <w:sz w:val="21"/>
          <w:szCs w:val="21"/>
        </w:rPr>
        <w:t xml:space="preserve">A ten-year enterprise tax plan will be delivered to boost new investment, create and support jobs and increase real wages. </w:t>
      </w:r>
    </w:p>
    <w:p w:rsidR="00D26A78" w:rsidRPr="006B7642" w:rsidRDefault="00D26A78" w:rsidP="006B7642">
      <w:pPr>
        <w:pStyle w:val="ListParagraph"/>
        <w:numPr>
          <w:ilvl w:val="0"/>
          <w:numId w:val="28"/>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57" w:hanging="357"/>
        <w:contextualSpacing w:val="0"/>
        <w:rPr>
          <w:sz w:val="21"/>
          <w:szCs w:val="21"/>
        </w:rPr>
      </w:pPr>
      <w:r w:rsidRPr="006B7642">
        <w:rPr>
          <w:sz w:val="21"/>
          <w:szCs w:val="21"/>
        </w:rPr>
        <w:t xml:space="preserve">$70 billion has been committed from 2013-14 to 2020-21 to transport infrastructure better connecting Australian products to domestic and international markets, improving productivity as well as improving safety. </w:t>
      </w:r>
    </w:p>
    <w:p w:rsidR="00D26A78" w:rsidRPr="006B7642" w:rsidRDefault="00D26A78" w:rsidP="006B7642">
      <w:pPr>
        <w:pStyle w:val="ListParagraph"/>
        <w:numPr>
          <w:ilvl w:val="0"/>
          <w:numId w:val="28"/>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57" w:hanging="357"/>
        <w:contextualSpacing w:val="0"/>
        <w:rPr>
          <w:sz w:val="21"/>
          <w:szCs w:val="21"/>
        </w:rPr>
      </w:pPr>
      <w:r w:rsidRPr="006B7642">
        <w:rPr>
          <w:sz w:val="21"/>
          <w:szCs w:val="21"/>
        </w:rPr>
        <w:t>The National Business Simplification Initiative, launched in November 2016 is saving businesses time, freeing them up to focus on growing their business, creating jobs, and innovating.</w:t>
      </w:r>
    </w:p>
    <w:p w:rsidR="00A561E2" w:rsidRPr="002F524C" w:rsidRDefault="00A561E2" w:rsidP="000664C6">
      <w:pPr>
        <w:pStyle w:val="Heading2"/>
      </w:pPr>
      <w:bookmarkStart w:id="44" w:name="_Toc452625217"/>
      <w:bookmarkStart w:id="45" w:name="_Toc458449912"/>
      <w:bookmarkStart w:id="46" w:name="_Toc484691713"/>
      <w:bookmarkStart w:id="47" w:name="_Toc487107019"/>
      <w:bookmarkStart w:id="48" w:name="_Toc487110307"/>
      <w:r w:rsidRPr="00A77989">
        <w:t>Labour markets and social protection</w:t>
      </w:r>
      <w:bookmarkEnd w:id="44"/>
      <w:bookmarkEnd w:id="45"/>
      <w:bookmarkEnd w:id="46"/>
      <w:bookmarkEnd w:id="47"/>
      <w:bookmarkEnd w:id="48"/>
    </w:p>
    <w:p w:rsidR="00154F60" w:rsidRPr="005F7E37" w:rsidRDefault="00A561E2" w:rsidP="000664C6">
      <w:pPr>
        <w:spacing w:before="120" w:after="360"/>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 Australian Government is continually assessing labour market policy and social protection measures based on the current economic climate. Currently, Australia’s social security system is being strengthened through revised activation mechanisms and incentives to work, to ensure</w:t>
      </w:r>
      <w:r w:rsidR="004407A1" w:rsidRPr="005F7E37">
        <w:rPr>
          <w:rFonts w:asciiTheme="minorHAnsi" w:hAnsiTheme="minorHAnsi" w:cstheme="minorHAnsi"/>
          <w:color w:val="000000"/>
          <w:sz w:val="22"/>
          <w:lang w:val="en-AU"/>
        </w:rPr>
        <w:t xml:space="preserve"> that</w:t>
      </w:r>
      <w:r w:rsidRPr="005F7E37">
        <w:rPr>
          <w:rFonts w:asciiTheme="minorHAnsi" w:hAnsiTheme="minorHAnsi" w:cstheme="minorHAnsi"/>
          <w:color w:val="000000"/>
          <w:sz w:val="22"/>
          <w:lang w:val="en-AU"/>
        </w:rPr>
        <w:t xml:space="preserve"> everyone who can participate in work is required and encouraged to seek employment.</w:t>
      </w:r>
      <w:bookmarkStart w:id="49" w:name="_Toc452625218"/>
      <w:bookmarkStart w:id="50" w:name="_Toc458449913"/>
    </w:p>
    <w:p w:rsidR="00A561E2" w:rsidRPr="002F524C" w:rsidRDefault="00A561E2" w:rsidP="0029104D">
      <w:pPr>
        <w:pStyle w:val="Heading3"/>
      </w:pPr>
      <w:bookmarkStart w:id="51" w:name="_Toc487107020"/>
      <w:bookmarkStart w:id="52" w:name="_Toc487110308"/>
      <w:r w:rsidRPr="002F524C">
        <w:t>Labour market regulation</w:t>
      </w:r>
      <w:bookmarkEnd w:id="49"/>
      <w:bookmarkEnd w:id="50"/>
      <w:bookmarkEnd w:id="51"/>
      <w:bookmarkEnd w:id="52"/>
    </w:p>
    <w:p w:rsidR="00835556" w:rsidRDefault="00F57560" w:rsidP="00237F0C">
      <w:pPr>
        <w:spacing w:before="120" w:after="240"/>
        <w:rPr>
          <w:rFonts w:asciiTheme="minorHAnsi" w:hAnsiTheme="minorHAnsi" w:cstheme="minorHAnsi"/>
          <w:color w:val="000000"/>
          <w:sz w:val="22"/>
        </w:rPr>
      </w:pPr>
      <w:r>
        <w:rPr>
          <w:rFonts w:asciiTheme="minorHAnsi" w:hAnsiTheme="minorHAnsi" w:cstheme="minorHAnsi"/>
          <w:color w:val="000000"/>
          <w:sz w:val="22"/>
        </w:rPr>
        <w:t>T</w:t>
      </w:r>
      <w:r w:rsidR="00835556" w:rsidRPr="005F7E37">
        <w:rPr>
          <w:rFonts w:asciiTheme="minorHAnsi" w:hAnsiTheme="minorHAnsi" w:cstheme="minorHAnsi"/>
          <w:color w:val="000000"/>
          <w:sz w:val="22"/>
        </w:rPr>
        <w:t xml:space="preserve">here is a safety net of ten National Employment Standards set out in the </w:t>
      </w:r>
      <w:r w:rsidR="00835556" w:rsidRPr="005F7E37">
        <w:rPr>
          <w:rFonts w:asciiTheme="minorHAnsi" w:hAnsiTheme="minorHAnsi" w:cstheme="minorHAnsi"/>
          <w:i/>
          <w:color w:val="000000"/>
          <w:sz w:val="22"/>
        </w:rPr>
        <w:t>Fair Work Act 2009</w:t>
      </w:r>
      <w:r w:rsidR="00835556" w:rsidRPr="005F7E37">
        <w:rPr>
          <w:rFonts w:asciiTheme="minorHAnsi" w:hAnsiTheme="minorHAnsi" w:cstheme="minorHAnsi"/>
          <w:color w:val="000000"/>
          <w:sz w:val="22"/>
        </w:rPr>
        <w:t xml:space="preserve"> and awards providing for </w:t>
      </w:r>
      <w:r w:rsidR="00835556">
        <w:rPr>
          <w:rFonts w:asciiTheme="minorHAnsi" w:hAnsiTheme="minorHAnsi" w:cstheme="minorHAnsi"/>
          <w:color w:val="000000"/>
          <w:sz w:val="22"/>
        </w:rPr>
        <w:t xml:space="preserve">minimum </w:t>
      </w:r>
      <w:r w:rsidR="00835556" w:rsidRPr="005F7E37">
        <w:rPr>
          <w:rFonts w:asciiTheme="minorHAnsi" w:hAnsiTheme="minorHAnsi" w:cstheme="minorHAnsi"/>
          <w:color w:val="000000"/>
          <w:sz w:val="22"/>
        </w:rPr>
        <w:t xml:space="preserve">pay and conditions in all industries. The system is overseen by an independent body – the Fair Work Commission – which sets the minimum wages and working conditions in awards, and can act as an arbiter in industrial disputes. The approach of </w:t>
      </w:r>
      <w:proofErr w:type="spellStart"/>
      <w:r w:rsidR="00835556" w:rsidRPr="005F7E37">
        <w:rPr>
          <w:rFonts w:asciiTheme="minorHAnsi" w:hAnsiTheme="minorHAnsi" w:cstheme="minorHAnsi"/>
          <w:color w:val="000000"/>
          <w:sz w:val="22"/>
        </w:rPr>
        <w:t>decentralised</w:t>
      </w:r>
      <w:proofErr w:type="spellEnd"/>
      <w:r w:rsidR="00835556" w:rsidRPr="005F7E37">
        <w:rPr>
          <w:rFonts w:asciiTheme="minorHAnsi" w:hAnsiTheme="minorHAnsi" w:cstheme="minorHAnsi"/>
          <w:color w:val="000000"/>
          <w:sz w:val="22"/>
        </w:rPr>
        <w:t xml:space="preserve"> bargaining between employers and employees</w:t>
      </w:r>
      <w:r w:rsidR="00736DF6">
        <w:rPr>
          <w:rFonts w:asciiTheme="minorHAnsi" w:hAnsiTheme="minorHAnsi" w:cstheme="minorHAnsi"/>
          <w:color w:val="000000"/>
          <w:sz w:val="22"/>
        </w:rPr>
        <w:t>,</w:t>
      </w:r>
      <w:r w:rsidR="00835556" w:rsidRPr="005F7E37">
        <w:rPr>
          <w:rFonts w:asciiTheme="minorHAnsi" w:hAnsiTheme="minorHAnsi" w:cstheme="minorHAnsi"/>
          <w:color w:val="000000"/>
          <w:sz w:val="22"/>
        </w:rPr>
        <w:t xml:space="preserve"> </w:t>
      </w:r>
      <w:r w:rsidR="00736DF6">
        <w:rPr>
          <w:rFonts w:asciiTheme="minorHAnsi" w:hAnsiTheme="minorHAnsi" w:cstheme="minorHAnsi"/>
          <w:color w:val="000000"/>
          <w:sz w:val="22"/>
        </w:rPr>
        <w:t xml:space="preserve">is </w:t>
      </w:r>
      <w:r w:rsidR="00835556" w:rsidRPr="005F7E37">
        <w:rPr>
          <w:rFonts w:asciiTheme="minorHAnsi" w:hAnsiTheme="minorHAnsi" w:cstheme="minorHAnsi"/>
          <w:color w:val="000000"/>
          <w:sz w:val="22"/>
        </w:rPr>
        <w:t>underpinned by a safety net and an independent umpire</w:t>
      </w:r>
      <w:r w:rsidR="00736DF6">
        <w:rPr>
          <w:rFonts w:asciiTheme="minorHAnsi" w:hAnsiTheme="minorHAnsi" w:cstheme="minorHAnsi"/>
          <w:color w:val="000000"/>
          <w:sz w:val="22"/>
        </w:rPr>
        <w:t>,</w:t>
      </w:r>
      <w:r w:rsidR="00835556" w:rsidRPr="005F7E37">
        <w:rPr>
          <w:rFonts w:asciiTheme="minorHAnsi" w:hAnsiTheme="minorHAnsi" w:cstheme="minorHAnsi"/>
          <w:color w:val="000000"/>
          <w:sz w:val="22"/>
        </w:rPr>
        <w:t xml:space="preserve"> has the benefit of allowing individual businesses to establish agreements that suit their specific circumstances, while providing employees with security in the </w:t>
      </w:r>
      <w:proofErr w:type="spellStart"/>
      <w:r w:rsidR="00835556" w:rsidRPr="005F7E37">
        <w:rPr>
          <w:rFonts w:asciiTheme="minorHAnsi" w:hAnsiTheme="minorHAnsi" w:cstheme="minorHAnsi"/>
          <w:color w:val="000000"/>
          <w:sz w:val="22"/>
        </w:rPr>
        <w:t>labour</w:t>
      </w:r>
      <w:proofErr w:type="spellEnd"/>
      <w:r w:rsidR="00835556" w:rsidRPr="005F7E37">
        <w:rPr>
          <w:rFonts w:asciiTheme="minorHAnsi" w:hAnsiTheme="minorHAnsi" w:cstheme="minorHAnsi"/>
          <w:color w:val="000000"/>
          <w:sz w:val="22"/>
        </w:rPr>
        <w:t xml:space="preserve"> market</w:t>
      </w:r>
      <w:r w:rsidR="00237F0C">
        <w:rPr>
          <w:rFonts w:asciiTheme="minorHAnsi" w:hAnsiTheme="minorHAnsi" w:cstheme="minorHAnsi"/>
          <w:color w:val="000000"/>
          <w:sz w:val="22"/>
        </w:rPr>
        <w:t>.</w:t>
      </w:r>
    </w:p>
    <w:p w:rsidR="003361B0" w:rsidRPr="00261CB4" w:rsidRDefault="003361B0" w:rsidP="000664C6">
      <w:pPr>
        <w:pStyle w:val="Heading3"/>
        <w:spacing w:before="120"/>
      </w:pPr>
      <w:bookmarkStart w:id="53" w:name="_Toc487107021"/>
      <w:bookmarkStart w:id="54" w:name="_Toc487110309"/>
      <w:r w:rsidRPr="00261CB4">
        <w:lastRenderedPageBreak/>
        <w:t>Workplace safety</w:t>
      </w:r>
      <w:bookmarkEnd w:id="53"/>
      <w:bookmarkEnd w:id="54"/>
    </w:p>
    <w:p w:rsidR="003361B0" w:rsidRDefault="003361B0" w:rsidP="003361B0">
      <w:pPr>
        <w:spacing w:before="240" w:after="360"/>
        <w:rPr>
          <w:rFonts w:asciiTheme="minorHAnsi" w:hAnsiTheme="minorHAnsi" w:cstheme="minorHAnsi"/>
          <w:color w:val="000000"/>
          <w:sz w:val="28"/>
          <w:szCs w:val="28"/>
          <w:lang w:val="en-AU"/>
        </w:rPr>
      </w:pPr>
      <w:r w:rsidRPr="005F7E37">
        <w:rPr>
          <w:rFonts w:asciiTheme="minorHAnsi" w:hAnsiTheme="minorHAnsi" w:cstheme="minorHAnsi"/>
          <w:color w:val="000000"/>
          <w:sz w:val="22"/>
          <w:lang w:val="en-AU"/>
        </w:rPr>
        <w:t xml:space="preserve">WHS laws operate within a nationally harmonised framework, and generally apply to workers in all industries and to all areas of employment. Businesses in Australia have a broad duty of care under model WHS laws to protect the health and safety of all workers. </w:t>
      </w:r>
      <w:r>
        <w:rPr>
          <w:rFonts w:asciiTheme="minorHAnsi" w:hAnsiTheme="minorHAnsi" w:cstheme="minorHAnsi"/>
          <w:color w:val="000000"/>
          <w:sz w:val="22"/>
          <w:lang w:val="en-AU"/>
        </w:rPr>
        <w:t>These laws are underpinned by t</w:t>
      </w:r>
      <w:r w:rsidRPr="005F7E37">
        <w:rPr>
          <w:rFonts w:asciiTheme="minorHAnsi" w:hAnsiTheme="minorHAnsi" w:cstheme="minorHAnsi"/>
          <w:color w:val="000000"/>
          <w:sz w:val="22"/>
          <w:lang w:val="en-AU"/>
        </w:rPr>
        <w:t xml:space="preserve">he </w:t>
      </w:r>
      <w:r w:rsidRPr="005F7E37">
        <w:rPr>
          <w:rFonts w:asciiTheme="minorHAnsi" w:hAnsiTheme="minorHAnsi" w:cstheme="minorHAnsi"/>
          <w:i/>
          <w:color w:val="000000"/>
          <w:sz w:val="22"/>
          <w:lang w:val="en-AU"/>
        </w:rPr>
        <w:t>Australian Work Health and Safety Strategy 2012-2022</w:t>
      </w:r>
      <w:r>
        <w:rPr>
          <w:rFonts w:asciiTheme="minorHAnsi" w:hAnsiTheme="minorHAnsi" w:cstheme="minorHAnsi"/>
          <w:i/>
          <w:color w:val="000000"/>
          <w:sz w:val="22"/>
          <w:lang w:val="en-AU"/>
        </w:rPr>
        <w:t xml:space="preserve"> </w:t>
      </w:r>
      <w:r w:rsidRPr="005800AF">
        <w:rPr>
          <w:rFonts w:asciiTheme="minorHAnsi" w:hAnsiTheme="minorHAnsi" w:cstheme="minorHAnsi"/>
          <w:color w:val="000000"/>
          <w:sz w:val="22"/>
          <w:lang w:val="en-AU"/>
        </w:rPr>
        <w:t>which is consistent with priorities</w:t>
      </w:r>
      <w:r>
        <w:rPr>
          <w:rFonts w:asciiTheme="minorHAnsi" w:hAnsiTheme="minorHAnsi" w:cstheme="minorHAnsi"/>
          <w:i/>
          <w:color w:val="000000"/>
          <w:sz w:val="22"/>
          <w:lang w:val="en-AU"/>
        </w:rPr>
        <w:t xml:space="preserve"> </w:t>
      </w:r>
      <w:r w:rsidRPr="005F7E37">
        <w:rPr>
          <w:rFonts w:asciiTheme="minorHAnsi" w:hAnsiTheme="minorHAnsi" w:cstheme="minorHAnsi"/>
          <w:color w:val="000000"/>
          <w:sz w:val="22"/>
          <w:lang w:val="en-AU"/>
        </w:rPr>
        <w:t xml:space="preserve">set out in the </w:t>
      </w:r>
      <w:r w:rsidRPr="005F7E37">
        <w:rPr>
          <w:rFonts w:asciiTheme="minorHAnsi" w:hAnsiTheme="minorHAnsi" w:cstheme="minorHAnsi"/>
          <w:i/>
          <w:color w:val="000000"/>
          <w:sz w:val="22"/>
          <w:lang w:val="en-AU"/>
        </w:rPr>
        <w:t>G20 Statement on Safer and Healthier Workplaces</w:t>
      </w:r>
      <w:r w:rsidRPr="005F7E37">
        <w:rPr>
          <w:rFonts w:asciiTheme="minorHAnsi" w:hAnsiTheme="minorHAnsi" w:cstheme="minorHAnsi"/>
          <w:color w:val="000000"/>
          <w:sz w:val="22"/>
          <w:lang w:val="en-AU"/>
        </w:rPr>
        <w:t xml:space="preserve"> adopted by G20 Labour and Employment Ministers in 2014.</w:t>
      </w:r>
      <w:r w:rsidRPr="008174DB">
        <w:rPr>
          <w:rFonts w:asciiTheme="minorHAnsi" w:hAnsiTheme="minorHAnsi" w:cstheme="minorHAnsi"/>
          <w:color w:val="000000"/>
          <w:sz w:val="22"/>
        </w:rPr>
        <w:t xml:space="preserve"> More detailed information addressing the G20 </w:t>
      </w:r>
      <w:r w:rsidR="0042731A">
        <w:rPr>
          <w:rFonts w:asciiTheme="minorHAnsi" w:hAnsiTheme="minorHAnsi" w:cstheme="minorHAnsi"/>
          <w:color w:val="000000"/>
          <w:sz w:val="22"/>
        </w:rPr>
        <w:t>commitment</w:t>
      </w:r>
      <w:r w:rsidRPr="008174DB">
        <w:rPr>
          <w:rFonts w:asciiTheme="minorHAnsi" w:hAnsiTheme="minorHAnsi" w:cstheme="minorHAnsi"/>
          <w:color w:val="000000"/>
          <w:sz w:val="22"/>
        </w:rPr>
        <w:t xml:space="preserve"> is provided in the section of this </w:t>
      </w:r>
      <w:r>
        <w:rPr>
          <w:rFonts w:asciiTheme="minorHAnsi" w:hAnsiTheme="minorHAnsi" w:cstheme="minorHAnsi"/>
          <w:color w:val="000000"/>
          <w:sz w:val="22"/>
        </w:rPr>
        <w:t>d</w:t>
      </w:r>
      <w:r w:rsidRPr="008174DB">
        <w:rPr>
          <w:rFonts w:asciiTheme="minorHAnsi" w:hAnsiTheme="minorHAnsi" w:cstheme="minorHAnsi"/>
          <w:color w:val="000000"/>
          <w:sz w:val="22"/>
        </w:rPr>
        <w:t>ocument addressing progress towards multi-year G20 collective commitments</w:t>
      </w:r>
      <w:r w:rsidR="006A2CF4">
        <w:rPr>
          <w:rFonts w:asciiTheme="minorHAnsi" w:hAnsiTheme="minorHAnsi" w:cstheme="minorHAnsi"/>
          <w:color w:val="000000"/>
          <w:sz w:val="22"/>
        </w:rPr>
        <w:t>.</w:t>
      </w:r>
    </w:p>
    <w:p w:rsidR="004F57D8" w:rsidRPr="00D45576" w:rsidRDefault="00A561E2" w:rsidP="00D26A78">
      <w:pPr>
        <w:pStyle w:val="Heading3"/>
      </w:pPr>
      <w:bookmarkStart w:id="55" w:name="_Toc452625220"/>
      <w:bookmarkStart w:id="56" w:name="_Toc458449915"/>
      <w:bookmarkStart w:id="57" w:name="_Toc487107022"/>
      <w:bookmarkStart w:id="58" w:name="_Toc487110310"/>
      <w:r w:rsidRPr="00D45576">
        <w:t>Social protection</w:t>
      </w:r>
      <w:bookmarkEnd w:id="55"/>
      <w:bookmarkEnd w:id="56"/>
      <w:bookmarkEnd w:id="57"/>
      <w:bookmarkEnd w:id="58"/>
      <w:r w:rsidR="004F57D8" w:rsidRPr="00D45576">
        <w:t xml:space="preserve"> </w:t>
      </w:r>
    </w:p>
    <w:p w:rsidR="00F3656D" w:rsidRPr="005F7E37" w:rsidRDefault="00A561E2" w:rsidP="00111576">
      <w:pPr>
        <w:spacing w:before="120" w:after="200"/>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Australia’s social security system and labour market programs are closely aligned, and have a strong focus on assisting people with the capacity to work to enter employment. </w:t>
      </w:r>
      <w:r w:rsidR="00F3656D" w:rsidRPr="005F7E37">
        <w:rPr>
          <w:rFonts w:asciiTheme="minorHAnsi" w:hAnsiTheme="minorHAnsi" w:cstheme="minorHAnsi"/>
          <w:color w:val="000000"/>
          <w:sz w:val="22"/>
          <w:lang w:val="en-AU"/>
        </w:rPr>
        <w:t xml:space="preserve">The purpose of the system is to protect basic living standards of all Australians </w:t>
      </w:r>
      <w:r w:rsidR="00475375" w:rsidRPr="005F7E37">
        <w:rPr>
          <w:rFonts w:asciiTheme="minorHAnsi" w:hAnsiTheme="minorHAnsi" w:cstheme="minorHAnsi"/>
          <w:color w:val="000000"/>
          <w:sz w:val="22"/>
          <w:lang w:val="en-AU"/>
        </w:rPr>
        <w:t>(</w:t>
      </w:r>
      <w:r w:rsidR="00F3656D" w:rsidRPr="005F7E37">
        <w:rPr>
          <w:rFonts w:asciiTheme="minorHAnsi" w:hAnsiTheme="minorHAnsi" w:cstheme="minorHAnsi"/>
          <w:color w:val="000000"/>
          <w:sz w:val="22"/>
          <w:lang w:val="en-AU"/>
        </w:rPr>
        <w:t>individuals, families and communities</w:t>
      </w:r>
      <w:r w:rsidR="00461F12" w:rsidRPr="005F7E37">
        <w:rPr>
          <w:rFonts w:asciiTheme="minorHAnsi" w:hAnsiTheme="minorHAnsi" w:cstheme="minorHAnsi"/>
          <w:color w:val="000000"/>
          <w:sz w:val="22"/>
          <w:lang w:val="en-AU"/>
        </w:rPr>
        <w:t>)</w:t>
      </w:r>
      <w:r w:rsidR="00F3656D" w:rsidRPr="005F7E37">
        <w:rPr>
          <w:rFonts w:asciiTheme="minorHAnsi" w:hAnsiTheme="minorHAnsi" w:cstheme="minorHAnsi"/>
          <w:color w:val="000000"/>
          <w:sz w:val="22"/>
          <w:lang w:val="en-AU"/>
        </w:rPr>
        <w:t>, and increase their social and economic participation.</w:t>
      </w:r>
      <w:r w:rsidR="00710DE3">
        <w:rPr>
          <w:rFonts w:asciiTheme="minorHAnsi" w:hAnsiTheme="minorHAnsi" w:cstheme="minorHAnsi"/>
          <w:color w:val="000000"/>
          <w:sz w:val="22"/>
          <w:lang w:val="en-AU"/>
        </w:rPr>
        <w:t xml:space="preserve"> </w:t>
      </w:r>
      <w:r w:rsidR="00F3656D" w:rsidRPr="005F7E37">
        <w:rPr>
          <w:rFonts w:asciiTheme="minorHAnsi" w:hAnsiTheme="minorHAnsi" w:cstheme="minorHAnsi"/>
          <w:color w:val="000000"/>
          <w:sz w:val="22"/>
          <w:lang w:val="en-AU"/>
        </w:rPr>
        <w:t>The coverage and targeting of these measures is consistent with the policy recommendations adopted by G20 Labour and Employment Ministers in 2016.</w:t>
      </w:r>
    </w:p>
    <w:p w:rsidR="00A561E2" w:rsidRPr="002F524C" w:rsidRDefault="00A561E2" w:rsidP="00D26A78">
      <w:pPr>
        <w:pStyle w:val="Heading3"/>
      </w:pPr>
      <w:bookmarkStart w:id="59" w:name="_Toc452625221"/>
      <w:bookmarkStart w:id="60" w:name="_Toc458449916"/>
      <w:bookmarkStart w:id="61" w:name="_Toc487107023"/>
      <w:bookmarkStart w:id="62" w:name="_Toc487110311"/>
      <w:r w:rsidRPr="002F524C">
        <w:t>Active labour market programs</w:t>
      </w:r>
      <w:bookmarkEnd w:id="59"/>
      <w:bookmarkEnd w:id="60"/>
      <w:bookmarkEnd w:id="61"/>
      <w:bookmarkEnd w:id="62"/>
    </w:p>
    <w:p w:rsidR="001E50CA" w:rsidRPr="00BA00DE" w:rsidRDefault="001E50CA" w:rsidP="00111576">
      <w:pPr>
        <w:pStyle w:val="FootnoteText"/>
        <w:spacing w:before="120" w:after="220"/>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Australian Government provides employment services through a network of </w:t>
      </w:r>
      <w:r w:rsidRPr="00BA00DE">
        <w:rPr>
          <w:rFonts w:asciiTheme="minorHAnsi" w:hAnsiTheme="minorHAnsi" w:cstheme="minorHAnsi"/>
          <w:color w:val="000000"/>
          <w:sz w:val="22"/>
          <w:lang w:val="en-AU"/>
        </w:rPr>
        <w:t>private and community sector entities. There are three main employment programs: jobactive for mainstream job seekers, Disability Employment Services for people with disability, injury or health condition, and the Community Development Programme</w:t>
      </w:r>
      <w:r w:rsidR="00EC017B" w:rsidRPr="00BA00DE">
        <w:rPr>
          <w:rFonts w:asciiTheme="minorHAnsi" w:hAnsiTheme="minorHAnsi" w:cstheme="minorHAnsi"/>
          <w:color w:val="000000"/>
          <w:sz w:val="22"/>
          <w:lang w:val="en-AU"/>
        </w:rPr>
        <w:t xml:space="preserve"> </w:t>
      </w:r>
      <w:r w:rsidRPr="00BA00DE">
        <w:rPr>
          <w:rFonts w:asciiTheme="minorHAnsi" w:hAnsiTheme="minorHAnsi" w:cstheme="minorHAnsi"/>
          <w:color w:val="000000"/>
          <w:sz w:val="22"/>
          <w:lang w:val="en-AU"/>
        </w:rPr>
        <w:t>for job seekers living in remote areas.</w:t>
      </w:r>
    </w:p>
    <w:p w:rsidR="00A561E2" w:rsidRPr="001A2901" w:rsidRDefault="00A561E2" w:rsidP="0029104D">
      <w:pPr>
        <w:pStyle w:val="Heading3"/>
      </w:pPr>
      <w:bookmarkStart w:id="63" w:name="_Toc452625222"/>
      <w:bookmarkStart w:id="64" w:name="_Toc458449917"/>
      <w:bookmarkStart w:id="65" w:name="_Toc484691714"/>
      <w:bookmarkStart w:id="66" w:name="_Toc487107024"/>
      <w:bookmarkStart w:id="67" w:name="_Toc487110312"/>
      <w:r w:rsidRPr="001A2901">
        <w:t>Policy measures targeting labour market disadvantage</w:t>
      </w:r>
      <w:bookmarkEnd w:id="63"/>
      <w:bookmarkEnd w:id="64"/>
      <w:bookmarkEnd w:id="65"/>
      <w:bookmarkEnd w:id="66"/>
      <w:bookmarkEnd w:id="67"/>
    </w:p>
    <w:p w:rsidR="00A561E2" w:rsidRPr="00A77989" w:rsidRDefault="002D25C9" w:rsidP="00111576">
      <w:pPr>
        <w:spacing w:before="120" w:after="240"/>
        <w:rPr>
          <w:rFonts w:asciiTheme="minorHAnsi" w:hAnsiTheme="minorHAnsi" w:cstheme="minorHAnsi"/>
          <w:color w:val="000000"/>
          <w:sz w:val="22"/>
          <w:lang w:val="en-AU"/>
        </w:rPr>
      </w:pPr>
      <w:r>
        <w:rPr>
          <w:rFonts w:asciiTheme="minorHAnsi" w:hAnsiTheme="minorHAnsi" w:cstheme="minorHAnsi"/>
          <w:color w:val="000000"/>
          <w:sz w:val="22"/>
          <w:lang w:val="en-AU"/>
        </w:rPr>
        <w:t>Australia works to address labour market disadvantage by addressing issues as they arise</w:t>
      </w:r>
      <w:r w:rsidR="00F8242E">
        <w:rPr>
          <w:rFonts w:asciiTheme="minorHAnsi" w:hAnsiTheme="minorHAnsi" w:cstheme="minorHAnsi"/>
          <w:color w:val="000000"/>
          <w:sz w:val="22"/>
          <w:lang w:val="en-AU"/>
        </w:rPr>
        <w:t xml:space="preserve"> </w:t>
      </w:r>
      <w:r w:rsidR="00A561E2" w:rsidRPr="00A77989">
        <w:rPr>
          <w:rFonts w:asciiTheme="minorHAnsi" w:hAnsiTheme="minorHAnsi" w:cstheme="minorHAnsi"/>
          <w:color w:val="000000"/>
          <w:sz w:val="22"/>
          <w:lang w:val="en-AU"/>
        </w:rPr>
        <w:t>through policies, programs and anti-discrimination regulations.</w:t>
      </w:r>
    </w:p>
    <w:p w:rsidR="006C6818" w:rsidRPr="00237F0C" w:rsidRDefault="00A561E2" w:rsidP="0029104D">
      <w:pPr>
        <w:pStyle w:val="Heading3"/>
      </w:pPr>
      <w:bookmarkStart w:id="68" w:name="_Toc452625223"/>
      <w:bookmarkStart w:id="69" w:name="_Toc458449918"/>
      <w:bookmarkStart w:id="70" w:name="_Toc484691715"/>
      <w:bookmarkStart w:id="71" w:name="_Toc487107025"/>
      <w:bookmarkStart w:id="72" w:name="_Toc487110313"/>
      <w:r w:rsidRPr="00237F0C">
        <w:t>Women</w:t>
      </w:r>
      <w:bookmarkEnd w:id="68"/>
      <w:bookmarkEnd w:id="69"/>
      <w:bookmarkEnd w:id="70"/>
      <w:bookmarkEnd w:id="71"/>
      <w:bookmarkEnd w:id="72"/>
    </w:p>
    <w:p w:rsidR="008174DB" w:rsidRDefault="00835556" w:rsidP="00237F0C">
      <w:pPr>
        <w:spacing w:after="240"/>
        <w:rPr>
          <w:rFonts w:asciiTheme="minorHAnsi" w:hAnsiTheme="minorHAnsi" w:cstheme="minorHAnsi"/>
          <w:color w:val="000000"/>
          <w:sz w:val="22"/>
        </w:rPr>
      </w:pPr>
      <w:r w:rsidRPr="00D45576">
        <w:rPr>
          <w:rFonts w:asciiTheme="minorHAnsi" w:hAnsiTheme="minorHAnsi" w:cstheme="minorHAnsi"/>
          <w:color w:val="000000"/>
          <w:sz w:val="22"/>
          <w:lang w:val="en-AU"/>
        </w:rPr>
        <w:t>The Australian Government’s approach to increasing</w:t>
      </w:r>
      <w:r w:rsidR="008174DB">
        <w:rPr>
          <w:rFonts w:asciiTheme="minorHAnsi" w:hAnsiTheme="minorHAnsi" w:cstheme="minorHAnsi"/>
          <w:color w:val="000000"/>
          <w:sz w:val="22"/>
          <w:lang w:val="en-AU"/>
        </w:rPr>
        <w:t xml:space="preserve"> female participation includes a </w:t>
      </w:r>
      <w:r w:rsidRPr="00430FCE">
        <w:rPr>
          <w:rFonts w:asciiTheme="minorHAnsi" w:hAnsiTheme="minorHAnsi" w:cstheme="minorHAnsi"/>
          <w:color w:val="000000"/>
          <w:sz w:val="22"/>
        </w:rPr>
        <w:t xml:space="preserve">flexible, affordable and accessible child care system; </w:t>
      </w:r>
      <w:r w:rsidR="008174DB">
        <w:rPr>
          <w:rFonts w:asciiTheme="minorHAnsi" w:hAnsiTheme="minorHAnsi" w:cstheme="minorHAnsi"/>
          <w:color w:val="000000"/>
          <w:sz w:val="22"/>
        </w:rPr>
        <w:t>i</w:t>
      </w:r>
      <w:r w:rsidRPr="00430FCE">
        <w:rPr>
          <w:rFonts w:asciiTheme="minorHAnsi" w:hAnsiTheme="minorHAnsi" w:cstheme="minorHAnsi"/>
          <w:color w:val="000000"/>
          <w:sz w:val="22"/>
        </w:rPr>
        <w:t xml:space="preserve">mproving workplace diversity and flexibility; </w:t>
      </w:r>
      <w:r w:rsidR="008174DB">
        <w:rPr>
          <w:rFonts w:asciiTheme="minorHAnsi" w:hAnsiTheme="minorHAnsi" w:cstheme="minorHAnsi"/>
          <w:color w:val="000000"/>
          <w:sz w:val="22"/>
        </w:rPr>
        <w:t>w</w:t>
      </w:r>
      <w:r w:rsidRPr="00430FCE">
        <w:rPr>
          <w:rFonts w:asciiTheme="minorHAnsi" w:hAnsiTheme="minorHAnsi" w:cstheme="minorHAnsi"/>
          <w:color w:val="000000"/>
          <w:sz w:val="22"/>
        </w:rPr>
        <w:t>orkplace support</w:t>
      </w:r>
      <w:r w:rsidR="00F8242E">
        <w:rPr>
          <w:rFonts w:asciiTheme="minorHAnsi" w:hAnsiTheme="minorHAnsi" w:cstheme="minorHAnsi"/>
          <w:color w:val="000000"/>
          <w:sz w:val="22"/>
        </w:rPr>
        <w:t xml:space="preserve">; </w:t>
      </w:r>
      <w:r w:rsidRPr="00430FCE">
        <w:rPr>
          <w:rFonts w:asciiTheme="minorHAnsi" w:hAnsiTheme="minorHAnsi" w:cstheme="minorHAnsi"/>
          <w:color w:val="000000"/>
          <w:sz w:val="22"/>
        </w:rPr>
        <w:t xml:space="preserve">and </w:t>
      </w:r>
      <w:r w:rsidR="008174DB">
        <w:rPr>
          <w:rFonts w:asciiTheme="minorHAnsi" w:hAnsiTheme="minorHAnsi" w:cstheme="minorHAnsi"/>
          <w:color w:val="000000"/>
          <w:sz w:val="22"/>
        </w:rPr>
        <w:t>p</w:t>
      </w:r>
      <w:r w:rsidRPr="00430FCE">
        <w:rPr>
          <w:rFonts w:asciiTheme="minorHAnsi" w:hAnsiTheme="minorHAnsi" w:cstheme="minorHAnsi"/>
          <w:color w:val="000000"/>
          <w:sz w:val="22"/>
        </w:rPr>
        <w:t xml:space="preserve">rotection through our </w:t>
      </w:r>
      <w:proofErr w:type="spellStart"/>
      <w:r w:rsidRPr="00430FCE">
        <w:rPr>
          <w:rFonts w:asciiTheme="minorHAnsi" w:hAnsiTheme="minorHAnsi" w:cstheme="minorHAnsi"/>
          <w:color w:val="000000"/>
          <w:sz w:val="22"/>
        </w:rPr>
        <w:t>labour</w:t>
      </w:r>
      <w:proofErr w:type="spellEnd"/>
      <w:r w:rsidRPr="00430FCE">
        <w:rPr>
          <w:rFonts w:asciiTheme="minorHAnsi" w:hAnsiTheme="minorHAnsi" w:cstheme="minorHAnsi"/>
          <w:color w:val="000000"/>
          <w:sz w:val="22"/>
        </w:rPr>
        <w:t xml:space="preserve"> laws.</w:t>
      </w:r>
      <w:r w:rsidR="00C87E09">
        <w:rPr>
          <w:rFonts w:asciiTheme="minorHAnsi" w:hAnsiTheme="minorHAnsi" w:cstheme="minorHAnsi"/>
          <w:color w:val="000000"/>
          <w:sz w:val="22"/>
        </w:rPr>
        <w:t xml:space="preserve"> </w:t>
      </w:r>
      <w:r w:rsidR="008174DB" w:rsidRPr="008174DB">
        <w:rPr>
          <w:rFonts w:asciiTheme="minorHAnsi" w:hAnsiTheme="minorHAnsi" w:cstheme="minorHAnsi"/>
          <w:color w:val="000000"/>
          <w:sz w:val="22"/>
        </w:rPr>
        <w:t xml:space="preserve">Policy measures are underway to ensure Australia is on track to meet the G20 goal to reduce the gender gap in </w:t>
      </w:r>
      <w:proofErr w:type="spellStart"/>
      <w:r w:rsidR="008174DB" w:rsidRPr="008174DB">
        <w:rPr>
          <w:rFonts w:asciiTheme="minorHAnsi" w:hAnsiTheme="minorHAnsi" w:cstheme="minorHAnsi"/>
          <w:color w:val="000000"/>
          <w:sz w:val="22"/>
        </w:rPr>
        <w:t>labour</w:t>
      </w:r>
      <w:proofErr w:type="spellEnd"/>
      <w:r w:rsidR="008174DB" w:rsidRPr="008174DB">
        <w:rPr>
          <w:rFonts w:asciiTheme="minorHAnsi" w:hAnsiTheme="minorHAnsi" w:cstheme="minorHAnsi"/>
          <w:color w:val="000000"/>
          <w:sz w:val="22"/>
        </w:rPr>
        <w:t xml:space="preserve"> force participation rates by 25 per cent by 2025, agreed by Leaders under the Australian G20 </w:t>
      </w:r>
      <w:r w:rsidR="00A3361B">
        <w:rPr>
          <w:rFonts w:asciiTheme="minorHAnsi" w:hAnsiTheme="minorHAnsi" w:cstheme="minorHAnsi"/>
          <w:color w:val="000000"/>
          <w:sz w:val="22"/>
        </w:rPr>
        <w:t>P</w:t>
      </w:r>
      <w:r w:rsidR="008174DB" w:rsidRPr="008174DB">
        <w:rPr>
          <w:rFonts w:asciiTheme="minorHAnsi" w:hAnsiTheme="minorHAnsi" w:cstheme="minorHAnsi"/>
          <w:color w:val="000000"/>
          <w:sz w:val="22"/>
        </w:rPr>
        <w:t xml:space="preserve">residency in 2014.  More detailed information addressing the G20 goal is provided in the section of this </w:t>
      </w:r>
      <w:r w:rsidR="008174DB">
        <w:rPr>
          <w:rFonts w:asciiTheme="minorHAnsi" w:hAnsiTheme="minorHAnsi" w:cstheme="minorHAnsi"/>
          <w:color w:val="000000"/>
          <w:sz w:val="22"/>
        </w:rPr>
        <w:t>d</w:t>
      </w:r>
      <w:r w:rsidR="008174DB" w:rsidRPr="008174DB">
        <w:rPr>
          <w:rFonts w:asciiTheme="minorHAnsi" w:hAnsiTheme="minorHAnsi" w:cstheme="minorHAnsi"/>
          <w:color w:val="000000"/>
          <w:sz w:val="22"/>
        </w:rPr>
        <w:t>ocument addressing progress towards multi-year G20 collective commitments.</w:t>
      </w:r>
    </w:p>
    <w:p w:rsidR="003E10F8" w:rsidRPr="003E10F8" w:rsidRDefault="003E10F8" w:rsidP="003E10F8">
      <w:pPr>
        <w:pBdr>
          <w:top w:val="single" w:sz="4" w:space="10" w:color="auto"/>
          <w:left w:val="single" w:sz="4" w:space="10" w:color="auto"/>
          <w:bottom w:val="single" w:sz="4" w:space="10" w:color="auto"/>
          <w:right w:val="single" w:sz="4" w:space="10" w:color="auto"/>
        </w:pBdr>
        <w:shd w:val="clear" w:color="auto" w:fill="EEECE1" w:themeFill="background2"/>
        <w:spacing w:after="240"/>
        <w:rPr>
          <w:rFonts w:asciiTheme="minorHAnsi" w:hAnsiTheme="minorHAnsi" w:cstheme="minorHAnsi"/>
          <w:color w:val="000000"/>
          <w:sz w:val="22"/>
        </w:rPr>
      </w:pPr>
      <w:r w:rsidRPr="003E10F8">
        <w:rPr>
          <w:rFonts w:asciiTheme="minorHAnsi" w:hAnsiTheme="minorHAnsi" w:cstheme="minorHAnsi"/>
          <w:color w:val="000000"/>
          <w:sz w:val="22"/>
        </w:rPr>
        <w:t>Key commitments to improve women’s economic participation include:</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3E10F8">
        <w:rPr>
          <w:rFonts w:asciiTheme="minorHAnsi" w:hAnsiTheme="minorHAnsi" w:cstheme="minorHAnsi"/>
          <w:color w:val="000000"/>
          <w:sz w:val="22"/>
        </w:rPr>
        <w:t>Increased support for parents who want to work, or who want to work more.</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3E10F8">
        <w:rPr>
          <w:rFonts w:asciiTheme="minorHAnsi" w:hAnsiTheme="minorHAnsi" w:cstheme="minorHAnsi"/>
          <w:color w:val="000000"/>
          <w:sz w:val="22"/>
        </w:rPr>
        <w:t xml:space="preserve">A total investment of around $37 billion on child care support over the next four years. This includes support for the implementation of the Jobs for Families Child Care Package. </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3E10F8">
        <w:rPr>
          <w:rFonts w:asciiTheme="minorHAnsi" w:hAnsiTheme="minorHAnsi" w:cstheme="minorHAnsi"/>
          <w:color w:val="000000"/>
          <w:sz w:val="22"/>
        </w:rPr>
        <w:lastRenderedPageBreak/>
        <w:t xml:space="preserve">Delivering the </w:t>
      </w:r>
      <w:proofErr w:type="spellStart"/>
      <w:r w:rsidRPr="003E10F8">
        <w:rPr>
          <w:rFonts w:asciiTheme="minorHAnsi" w:hAnsiTheme="minorHAnsi" w:cstheme="minorHAnsi"/>
          <w:color w:val="000000"/>
          <w:sz w:val="22"/>
        </w:rPr>
        <w:t>ParentsNext</w:t>
      </w:r>
      <w:proofErr w:type="spellEnd"/>
      <w:r w:rsidRPr="003E10F8">
        <w:rPr>
          <w:rFonts w:asciiTheme="minorHAnsi" w:hAnsiTheme="minorHAnsi" w:cstheme="minorHAnsi"/>
          <w:color w:val="000000"/>
          <w:sz w:val="22"/>
        </w:rPr>
        <w:t xml:space="preserve"> program Australia-wide to assist parents of young children, who may be at risk of welfare dependency, to plan and prepare for employment by the time their children are at school.</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3E10F8">
        <w:rPr>
          <w:rFonts w:asciiTheme="minorHAnsi" w:hAnsiTheme="minorHAnsi" w:cstheme="minorHAnsi"/>
          <w:color w:val="000000"/>
          <w:sz w:val="22"/>
        </w:rPr>
        <w:t>Implementing a Launch into Work program which will deliver pre- employment projects targeted at women that provide training, mentoring and work experience to assist job seekers to become work ready.</w:t>
      </w:r>
    </w:p>
    <w:p w:rsidR="002F524C" w:rsidRPr="000F289D" w:rsidRDefault="002F524C" w:rsidP="00D26A78">
      <w:pPr>
        <w:pStyle w:val="Heading3"/>
      </w:pPr>
      <w:bookmarkStart w:id="73" w:name="_Toc487107026"/>
      <w:bookmarkStart w:id="74" w:name="_Toc487110314"/>
      <w:r w:rsidRPr="000F289D">
        <w:t>Youth</w:t>
      </w:r>
      <w:bookmarkEnd w:id="73"/>
      <w:bookmarkEnd w:id="74"/>
    </w:p>
    <w:p w:rsidR="00710DE3" w:rsidRDefault="002F524C" w:rsidP="002F524C">
      <w:pPr>
        <w:spacing w:before="120" w:after="240"/>
        <w:rPr>
          <w:rFonts w:asciiTheme="minorHAnsi" w:hAnsiTheme="minorHAnsi" w:cstheme="minorHAnsi"/>
          <w:color w:val="000000"/>
          <w:sz w:val="22"/>
        </w:rPr>
      </w:pPr>
      <w:r>
        <w:rPr>
          <w:rFonts w:asciiTheme="minorHAnsi" w:hAnsiTheme="minorHAnsi" w:cstheme="minorHAnsi"/>
          <w:color w:val="000000"/>
          <w:sz w:val="22"/>
          <w:lang w:val="en-AU"/>
        </w:rPr>
        <w:t>Y</w:t>
      </w:r>
      <w:r w:rsidRPr="00430FCE">
        <w:rPr>
          <w:rFonts w:asciiTheme="minorHAnsi" w:hAnsiTheme="minorHAnsi" w:cstheme="minorHAnsi"/>
          <w:color w:val="000000"/>
          <w:sz w:val="22"/>
          <w:lang w:val="en-AU"/>
        </w:rPr>
        <w:t>oung people are the most vulnerable</w:t>
      </w:r>
      <w:r>
        <w:rPr>
          <w:rFonts w:asciiTheme="minorHAnsi" w:hAnsiTheme="minorHAnsi" w:cstheme="minorHAnsi"/>
          <w:color w:val="000000"/>
          <w:sz w:val="22"/>
          <w:lang w:val="en-AU"/>
        </w:rPr>
        <w:t>, of all age groups,</w:t>
      </w:r>
      <w:r w:rsidRPr="00430FCE">
        <w:rPr>
          <w:rFonts w:asciiTheme="minorHAnsi" w:hAnsiTheme="minorHAnsi" w:cstheme="minorHAnsi"/>
          <w:color w:val="000000"/>
          <w:sz w:val="22"/>
          <w:lang w:val="en-AU"/>
        </w:rPr>
        <w:t xml:space="preserve"> to wider economic and labour market conditions. </w:t>
      </w:r>
      <w:r w:rsidRPr="00A77989">
        <w:rPr>
          <w:rFonts w:asciiTheme="minorHAnsi" w:hAnsiTheme="minorHAnsi" w:cstheme="minorHAnsi"/>
          <w:color w:val="000000"/>
          <w:sz w:val="22"/>
          <w:lang w:val="en-AU"/>
        </w:rPr>
        <w:t>A key strategy in addressing youth unemployment is to raise the overall rate of job creation. Reforms to encourage participation and improve the outcomes of Australia’s education system, discussed later in this plan, will also contribute to ensuring that young people gain skills which are relevant to employment opportunities. These strategies will contribute to meeting the goal of reducing the share of young people who are most at risk of being permanently left behind in the labour market by 15 per cent by 2025, as adopted</w:t>
      </w:r>
      <w:r w:rsidR="00237F0C">
        <w:rPr>
          <w:rFonts w:asciiTheme="minorHAnsi" w:hAnsiTheme="minorHAnsi" w:cstheme="minorHAnsi"/>
          <w:color w:val="000000"/>
          <w:sz w:val="22"/>
          <w:lang w:val="en-AU"/>
        </w:rPr>
        <w:t xml:space="preserve"> </w:t>
      </w:r>
      <w:r w:rsidRPr="00A77989">
        <w:rPr>
          <w:rFonts w:asciiTheme="minorHAnsi" w:hAnsiTheme="minorHAnsi" w:cstheme="minorHAnsi"/>
          <w:color w:val="000000"/>
          <w:sz w:val="22"/>
          <w:lang w:val="en-AU"/>
        </w:rPr>
        <w:t>by G20 Leaders at the 2015 Antalya Summit</w:t>
      </w:r>
      <w:r>
        <w:rPr>
          <w:rFonts w:asciiTheme="minorHAnsi" w:hAnsiTheme="minorHAnsi" w:cstheme="minorHAnsi"/>
          <w:color w:val="000000"/>
          <w:sz w:val="22"/>
          <w:lang w:val="en-AU"/>
        </w:rPr>
        <w:t>.</w:t>
      </w:r>
      <w:r w:rsidR="004D5EE4">
        <w:rPr>
          <w:rFonts w:asciiTheme="minorHAnsi" w:hAnsiTheme="minorHAnsi" w:cstheme="minorHAnsi"/>
          <w:color w:val="000000"/>
          <w:sz w:val="22"/>
          <w:lang w:val="en-AU"/>
        </w:rPr>
        <w:t xml:space="preserve"> </w:t>
      </w:r>
      <w:r w:rsidR="004D5EE4" w:rsidRPr="008174DB">
        <w:rPr>
          <w:rFonts w:asciiTheme="minorHAnsi" w:hAnsiTheme="minorHAnsi" w:cstheme="minorHAnsi"/>
          <w:color w:val="000000"/>
          <w:sz w:val="22"/>
        </w:rPr>
        <w:t xml:space="preserve">More detailed information addressing the G20 goal is provided in the section of this </w:t>
      </w:r>
      <w:r w:rsidR="004D5EE4">
        <w:rPr>
          <w:rFonts w:asciiTheme="minorHAnsi" w:hAnsiTheme="minorHAnsi" w:cstheme="minorHAnsi"/>
          <w:color w:val="000000"/>
          <w:sz w:val="22"/>
        </w:rPr>
        <w:t>d</w:t>
      </w:r>
      <w:r w:rsidR="004D5EE4" w:rsidRPr="008174DB">
        <w:rPr>
          <w:rFonts w:asciiTheme="minorHAnsi" w:hAnsiTheme="minorHAnsi" w:cstheme="minorHAnsi"/>
          <w:color w:val="000000"/>
          <w:sz w:val="22"/>
        </w:rPr>
        <w:t>ocument addressing progress towards multi-year G20 collective commitments.</w:t>
      </w:r>
    </w:p>
    <w:p w:rsidR="003E10F8" w:rsidRPr="003E10F8" w:rsidRDefault="003E10F8" w:rsidP="003E10F8">
      <w:pPr>
        <w:pBdr>
          <w:top w:val="single" w:sz="4" w:space="10" w:color="auto"/>
          <w:left w:val="single" w:sz="4" w:space="10" w:color="auto"/>
          <w:bottom w:val="single" w:sz="4" w:space="10" w:color="auto"/>
          <w:right w:val="single" w:sz="4" w:space="10" w:color="auto"/>
        </w:pBdr>
        <w:shd w:val="clear" w:color="auto" w:fill="EEECE1" w:themeFill="background2"/>
        <w:spacing w:before="120" w:after="240"/>
        <w:rPr>
          <w:rFonts w:asciiTheme="minorHAnsi" w:hAnsiTheme="minorHAnsi" w:cstheme="minorHAnsi"/>
          <w:color w:val="000000"/>
          <w:sz w:val="22"/>
        </w:rPr>
      </w:pPr>
      <w:r w:rsidRPr="003E10F8">
        <w:rPr>
          <w:rFonts w:asciiTheme="minorHAnsi" w:hAnsiTheme="minorHAnsi" w:cstheme="minorHAnsi"/>
          <w:color w:val="000000"/>
          <w:sz w:val="22"/>
        </w:rPr>
        <w:t>Key commitments to address youth unemployment include:</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425" w:hanging="425"/>
        <w:contextualSpacing w:val="0"/>
        <w:rPr>
          <w:rFonts w:asciiTheme="minorHAnsi" w:hAnsiTheme="minorHAnsi" w:cstheme="minorHAnsi"/>
          <w:color w:val="000000"/>
          <w:sz w:val="22"/>
        </w:rPr>
      </w:pPr>
      <w:r w:rsidRPr="003E10F8">
        <w:rPr>
          <w:rFonts w:asciiTheme="minorHAnsi" w:hAnsiTheme="minorHAnsi" w:cstheme="minorHAnsi"/>
          <w:color w:val="000000"/>
          <w:sz w:val="22"/>
        </w:rPr>
        <w:t xml:space="preserve">An investment of $855 million over four years through the Youth Employment Package, which includes the new Youth Jobs </w:t>
      </w:r>
      <w:proofErr w:type="spellStart"/>
      <w:r w:rsidRPr="003E10F8">
        <w:rPr>
          <w:rFonts w:asciiTheme="minorHAnsi" w:hAnsiTheme="minorHAnsi" w:cstheme="minorHAnsi"/>
          <w:color w:val="000000"/>
          <w:sz w:val="22"/>
        </w:rPr>
        <w:t>PaTH</w:t>
      </w:r>
      <w:proofErr w:type="spellEnd"/>
      <w:r w:rsidRPr="003E10F8">
        <w:rPr>
          <w:rFonts w:asciiTheme="minorHAnsi" w:hAnsiTheme="minorHAnsi" w:cstheme="minorHAnsi"/>
          <w:color w:val="000000"/>
          <w:sz w:val="22"/>
        </w:rPr>
        <w:t xml:space="preserve"> program. </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425" w:hanging="425"/>
        <w:contextualSpacing w:val="0"/>
        <w:rPr>
          <w:rFonts w:asciiTheme="minorHAnsi" w:hAnsiTheme="minorHAnsi" w:cstheme="minorHAnsi"/>
          <w:color w:val="000000"/>
          <w:sz w:val="22"/>
        </w:rPr>
      </w:pPr>
      <w:r w:rsidRPr="003E10F8">
        <w:rPr>
          <w:rFonts w:asciiTheme="minorHAnsi" w:hAnsiTheme="minorHAnsi" w:cstheme="minorHAnsi"/>
          <w:color w:val="000000"/>
          <w:sz w:val="22"/>
        </w:rPr>
        <w:t>Measures to encourage entrepreneurship among young people, including as part of the expansion of the NEIS program.</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425" w:hanging="425"/>
        <w:contextualSpacing w:val="0"/>
        <w:rPr>
          <w:rFonts w:asciiTheme="minorHAnsi" w:hAnsiTheme="minorHAnsi" w:cstheme="minorHAnsi"/>
          <w:color w:val="000000"/>
          <w:sz w:val="22"/>
        </w:rPr>
      </w:pPr>
      <w:r w:rsidRPr="003E10F8">
        <w:rPr>
          <w:rFonts w:asciiTheme="minorHAnsi" w:hAnsiTheme="minorHAnsi" w:cstheme="minorHAnsi"/>
          <w:color w:val="000000"/>
          <w:sz w:val="22"/>
        </w:rPr>
        <w:t>The Transition to Work service, assisting young people aged 15-21 who have disengaged from work and study and are at risk of long-term welfare dependence.</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425" w:hanging="425"/>
        <w:contextualSpacing w:val="0"/>
        <w:rPr>
          <w:rFonts w:asciiTheme="minorHAnsi" w:hAnsiTheme="minorHAnsi" w:cstheme="minorHAnsi"/>
          <w:color w:val="000000"/>
          <w:sz w:val="22"/>
        </w:rPr>
      </w:pPr>
      <w:r w:rsidRPr="003E10F8">
        <w:rPr>
          <w:rFonts w:asciiTheme="minorHAnsi" w:hAnsiTheme="minorHAnsi" w:cstheme="minorHAnsi"/>
          <w:color w:val="000000"/>
          <w:sz w:val="22"/>
        </w:rPr>
        <w:t xml:space="preserve">Empowering </w:t>
      </w:r>
      <w:proofErr w:type="spellStart"/>
      <w:r w:rsidRPr="003E10F8">
        <w:rPr>
          <w:rFonts w:asciiTheme="minorHAnsi" w:hAnsiTheme="minorHAnsi" w:cstheme="minorHAnsi"/>
          <w:color w:val="000000"/>
          <w:sz w:val="22"/>
        </w:rPr>
        <w:t>YOUth</w:t>
      </w:r>
      <w:proofErr w:type="spellEnd"/>
      <w:r w:rsidRPr="003E10F8">
        <w:rPr>
          <w:rFonts w:asciiTheme="minorHAnsi" w:hAnsiTheme="minorHAnsi" w:cstheme="minorHAnsi"/>
          <w:color w:val="000000"/>
          <w:sz w:val="22"/>
        </w:rPr>
        <w:t xml:space="preserve"> Initiatives, which provides $50 million in grant funding to eligible not-for-profit, non-government organisations to trial innovative approaches to support young people.</w:t>
      </w:r>
    </w:p>
    <w:p w:rsidR="004D7198" w:rsidRDefault="004D7198" w:rsidP="00D26A78">
      <w:pPr>
        <w:pStyle w:val="Heading3"/>
      </w:pPr>
      <w:bookmarkStart w:id="75" w:name="_Toc484691717"/>
      <w:bookmarkStart w:id="76" w:name="_Toc487107027"/>
      <w:bookmarkStart w:id="77" w:name="_Toc487110315"/>
      <w:bookmarkStart w:id="78" w:name="_Toc452625225"/>
      <w:bookmarkStart w:id="79" w:name="_Toc458449920"/>
      <w:r>
        <w:br w:type="page"/>
      </w:r>
    </w:p>
    <w:p w:rsidR="00B94CDF" w:rsidRPr="005800AF" w:rsidRDefault="00A561E2" w:rsidP="00D26A78">
      <w:pPr>
        <w:pStyle w:val="Heading3"/>
      </w:pPr>
      <w:r w:rsidRPr="005800AF">
        <w:lastRenderedPageBreak/>
        <w:t xml:space="preserve">Indigenous </w:t>
      </w:r>
      <w:r w:rsidR="003C21C9" w:rsidRPr="005800AF">
        <w:t>Australians</w:t>
      </w:r>
      <w:bookmarkEnd w:id="75"/>
      <w:bookmarkEnd w:id="76"/>
      <w:bookmarkEnd w:id="77"/>
    </w:p>
    <w:bookmarkEnd w:id="78"/>
    <w:bookmarkEnd w:id="79"/>
    <w:p w:rsidR="00F5225B" w:rsidRDefault="0083601F" w:rsidP="005800AF">
      <w:pPr>
        <w:spacing w:before="120" w:after="240"/>
        <w:rPr>
          <w:rFonts w:asciiTheme="minorHAnsi" w:hAnsiTheme="minorHAnsi" w:cstheme="minorHAnsi"/>
          <w:sz w:val="22"/>
        </w:rPr>
      </w:pPr>
      <w:r w:rsidRPr="00A77989">
        <w:rPr>
          <w:rFonts w:asciiTheme="minorHAnsi" w:hAnsiTheme="minorHAnsi" w:cstheme="minorHAnsi"/>
          <w:color w:val="000000"/>
          <w:sz w:val="22"/>
          <w:lang w:val="en-AU"/>
        </w:rPr>
        <w:t xml:space="preserve">Relative to the rest of the Australian population, Indigenous Australians experience low labour force participation and high unemployment rates. </w:t>
      </w:r>
      <w:r w:rsidR="00F5225B" w:rsidRPr="00A77989">
        <w:rPr>
          <w:rFonts w:asciiTheme="minorHAnsi" w:hAnsiTheme="minorHAnsi" w:cstheme="minorHAnsi"/>
          <w:color w:val="000000"/>
          <w:sz w:val="22"/>
        </w:rPr>
        <w:t>The Australian Government is i</w:t>
      </w:r>
      <w:r w:rsidR="00F5225B" w:rsidRPr="00A77989">
        <w:rPr>
          <w:rFonts w:asciiTheme="minorHAnsi" w:hAnsiTheme="minorHAnsi" w:cstheme="minorHAnsi"/>
          <w:sz w:val="22"/>
        </w:rPr>
        <w:t xml:space="preserve">mplementing measures to help accelerate progress towards achieving parity in employment outcomes between Indigenous and </w:t>
      </w:r>
      <w:r w:rsidR="00A3361B">
        <w:rPr>
          <w:rFonts w:asciiTheme="minorHAnsi" w:hAnsiTheme="minorHAnsi" w:cstheme="minorHAnsi"/>
          <w:sz w:val="22"/>
        </w:rPr>
        <w:br/>
      </w:r>
      <w:r w:rsidR="003E10F8">
        <w:rPr>
          <w:rFonts w:asciiTheme="minorHAnsi" w:hAnsiTheme="minorHAnsi" w:cstheme="minorHAnsi"/>
          <w:sz w:val="22"/>
        </w:rPr>
        <w:t>non-Indigenous Australians.</w:t>
      </w:r>
    </w:p>
    <w:p w:rsidR="003E10F8" w:rsidRPr="003E10F8" w:rsidRDefault="003E10F8" w:rsidP="003E10F8">
      <w:pPr>
        <w:pBdr>
          <w:top w:val="single" w:sz="4" w:space="10" w:color="auto"/>
          <w:left w:val="single" w:sz="4" w:space="10" w:color="auto"/>
          <w:bottom w:val="single" w:sz="4" w:space="10" w:color="auto"/>
          <w:right w:val="single" w:sz="4" w:space="10" w:color="auto"/>
        </w:pBdr>
        <w:shd w:val="clear" w:color="auto" w:fill="EEECE1" w:themeFill="background2"/>
        <w:spacing w:before="120" w:after="240"/>
        <w:rPr>
          <w:rFonts w:asciiTheme="minorHAnsi" w:hAnsiTheme="minorHAnsi" w:cstheme="minorHAnsi"/>
          <w:sz w:val="22"/>
        </w:rPr>
      </w:pPr>
      <w:r w:rsidRPr="003E10F8">
        <w:rPr>
          <w:rFonts w:asciiTheme="minorHAnsi" w:hAnsiTheme="minorHAnsi" w:cstheme="minorHAnsi"/>
          <w:sz w:val="22"/>
        </w:rPr>
        <w:t>Key commitments to improve Indigenous employment outcomes include:</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3E10F8">
        <w:rPr>
          <w:rFonts w:asciiTheme="minorHAnsi" w:hAnsiTheme="minorHAnsi" w:cstheme="minorHAnsi"/>
          <w:sz w:val="22"/>
        </w:rPr>
        <w:t>The $55.7 million Closing the Gap – Employment Services package which includes measures to increase the number of Indigenous Australians engaged in the labour market and build the capacity of employment services to better connect Indigenous job seekers to jobs.</w:t>
      </w:r>
    </w:p>
    <w:p w:rsidR="003E10F8" w:rsidRPr="003E10F8" w:rsidRDefault="003E10F8" w:rsidP="006B7642">
      <w:pPr>
        <w:pStyle w:val="ListParagraph"/>
        <w:numPr>
          <w:ilvl w:val="0"/>
          <w:numId w:val="21"/>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3E10F8">
        <w:rPr>
          <w:rFonts w:asciiTheme="minorHAnsi" w:hAnsiTheme="minorHAnsi" w:cstheme="minorHAnsi"/>
          <w:sz w:val="22"/>
        </w:rPr>
        <w:t xml:space="preserve">Implementing the Employment Parity Initiative which involves working with large employers to increase the number of Indigenous Australians employed in the private sector, with a target of </w:t>
      </w:r>
    </w:p>
    <w:p w:rsidR="003E10F8" w:rsidRPr="003E10F8" w:rsidRDefault="003E10F8"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3E10F8">
        <w:rPr>
          <w:rFonts w:asciiTheme="minorHAnsi" w:hAnsiTheme="minorHAnsi" w:cstheme="minorHAnsi"/>
          <w:sz w:val="22"/>
        </w:rPr>
        <w:t>3 per cent of their employees being Indigenous by 2020.</w:t>
      </w:r>
    </w:p>
    <w:p w:rsidR="003E10F8" w:rsidRPr="003E10F8" w:rsidRDefault="003E10F8"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3E10F8">
        <w:rPr>
          <w:rFonts w:asciiTheme="minorHAnsi" w:hAnsiTheme="minorHAnsi" w:cstheme="minorHAnsi"/>
          <w:sz w:val="22"/>
        </w:rPr>
        <w:t>Increasing representation of Indigenous Australians across the Australian Government public sector to 3 per cent by 2018.</w:t>
      </w:r>
    </w:p>
    <w:p w:rsidR="003E10F8" w:rsidRPr="003E10F8" w:rsidRDefault="003E10F8"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3E10F8">
        <w:rPr>
          <w:rFonts w:asciiTheme="minorHAnsi" w:hAnsiTheme="minorHAnsi" w:cstheme="minorHAnsi"/>
          <w:sz w:val="22"/>
        </w:rPr>
        <w:t>Implementing an Indigenous Procurement Policy applying to the Australian Government’s domestic procurement to drive demand for Indigenous businesses and increase Indigenous employment.</w:t>
      </w:r>
    </w:p>
    <w:p w:rsidR="003E10F8" w:rsidRPr="003E10F8" w:rsidRDefault="003E10F8"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3E10F8">
        <w:rPr>
          <w:rFonts w:asciiTheme="minorHAnsi" w:hAnsiTheme="minorHAnsi" w:cstheme="minorHAnsi"/>
          <w:sz w:val="22"/>
        </w:rPr>
        <w:t>Establishing an Indigenous Entrepreneurs package comprising targeted support for Indigenous entrepreneurs and small Indigenous businesses.</w:t>
      </w:r>
    </w:p>
    <w:p w:rsidR="003E10F8" w:rsidRPr="003E10F8" w:rsidRDefault="003E10F8"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3E10F8">
        <w:rPr>
          <w:rFonts w:asciiTheme="minorHAnsi" w:hAnsiTheme="minorHAnsi" w:cstheme="minorHAnsi"/>
          <w:sz w:val="22"/>
        </w:rPr>
        <w:t>Implementing an Indigenous Employment and Supplier-use Framework that is expected to apply to all new Australian Government-funded, state-delivered infrastructure projects from mid-2019.</w:t>
      </w:r>
    </w:p>
    <w:p w:rsidR="001A2901" w:rsidRDefault="001A2901">
      <w:pPr>
        <w:widowControl/>
        <w:spacing w:after="200" w:line="276" w:lineRule="auto"/>
        <w:jc w:val="left"/>
        <w:rPr>
          <w:rFonts w:eastAsia="Times New Roman"/>
          <w:b/>
          <w:bCs/>
          <w:sz w:val="26"/>
          <w:szCs w:val="26"/>
        </w:rPr>
      </w:pPr>
      <w:bookmarkStart w:id="80" w:name="_Toc484691718"/>
      <w:bookmarkStart w:id="81" w:name="_Toc452625226"/>
      <w:bookmarkStart w:id="82" w:name="_Toc458449921"/>
      <w:r>
        <w:br w:type="page"/>
      </w:r>
    </w:p>
    <w:p w:rsidR="00F5225B" w:rsidRPr="00CF709A" w:rsidRDefault="006B4AD6" w:rsidP="00D26A78">
      <w:pPr>
        <w:pStyle w:val="Heading3"/>
      </w:pPr>
      <w:bookmarkStart w:id="83" w:name="_Toc487107028"/>
      <w:bookmarkStart w:id="84" w:name="_Toc487110316"/>
      <w:r w:rsidRPr="00CF709A">
        <w:lastRenderedPageBreak/>
        <w:t>Mature age</w:t>
      </w:r>
      <w:bookmarkEnd w:id="80"/>
      <w:bookmarkEnd w:id="83"/>
      <w:bookmarkEnd w:id="84"/>
    </w:p>
    <w:p w:rsidR="00D45576" w:rsidRDefault="00D45576" w:rsidP="00111576">
      <w:pPr>
        <w:spacing w:before="120" w:after="240"/>
        <w:rPr>
          <w:rFonts w:asciiTheme="minorHAnsi" w:hAnsiTheme="minorHAnsi" w:cstheme="minorHAnsi"/>
          <w:sz w:val="22"/>
          <w:lang w:val="en-AU"/>
        </w:rPr>
      </w:pPr>
      <w:r w:rsidRPr="00A77989">
        <w:rPr>
          <w:rFonts w:asciiTheme="minorHAnsi" w:hAnsiTheme="minorHAnsi" w:cstheme="minorHAnsi"/>
          <w:sz w:val="22"/>
          <w:lang w:val="en-AU"/>
        </w:rPr>
        <w:t>The Australian Government recognises the value of mature aged workers, who have often built up knowledge and skills during their time in the workforce which are easily transferable, and have valuable mentoring</w:t>
      </w:r>
      <w:r w:rsidR="009E6947">
        <w:rPr>
          <w:rFonts w:asciiTheme="minorHAnsi" w:hAnsiTheme="minorHAnsi" w:cstheme="minorHAnsi"/>
          <w:sz w:val="22"/>
          <w:lang w:val="en-AU"/>
        </w:rPr>
        <w:t xml:space="preserve"> and training skills to offer.</w:t>
      </w:r>
    </w:p>
    <w:p w:rsidR="009E6947" w:rsidRPr="009E6947" w:rsidRDefault="009E6947" w:rsidP="009E6947">
      <w:pPr>
        <w:pBdr>
          <w:top w:val="single" w:sz="4" w:space="10" w:color="auto"/>
          <w:left w:val="single" w:sz="4" w:space="10" w:color="auto"/>
          <w:bottom w:val="single" w:sz="4" w:space="10" w:color="auto"/>
          <w:right w:val="single" w:sz="4" w:space="10" w:color="auto"/>
        </w:pBdr>
        <w:shd w:val="clear" w:color="auto" w:fill="EEECE1" w:themeFill="background2"/>
        <w:spacing w:before="120" w:after="240"/>
        <w:rPr>
          <w:rFonts w:asciiTheme="minorHAnsi" w:hAnsiTheme="minorHAnsi" w:cstheme="minorHAnsi"/>
          <w:sz w:val="22"/>
          <w:lang w:val="en-AU"/>
        </w:rPr>
      </w:pPr>
      <w:r w:rsidRPr="009E6947">
        <w:rPr>
          <w:rFonts w:asciiTheme="minorHAnsi" w:hAnsiTheme="minorHAnsi" w:cstheme="minorHAnsi"/>
          <w:sz w:val="22"/>
          <w:lang w:val="en-AU"/>
        </w:rPr>
        <w:t>Key commitments to improve employment outcomes for mature aged Australians include:</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9E6947">
        <w:rPr>
          <w:rFonts w:asciiTheme="minorHAnsi" w:hAnsiTheme="minorHAnsi" w:cstheme="minorHAnsi"/>
          <w:sz w:val="22"/>
        </w:rPr>
        <w:t xml:space="preserve">The Mature Age Employment Package, an investment of $100 million over four years, as part of broader Working Age Payment Reforms. </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9E6947">
        <w:rPr>
          <w:rFonts w:asciiTheme="minorHAnsi" w:hAnsiTheme="minorHAnsi" w:cstheme="minorHAnsi"/>
          <w:sz w:val="22"/>
        </w:rPr>
        <w:t>A new Career Transition Assistance Program and a series of Pathway to Work Pilots. This package also includes expansion of the National Work Experience Programme to ensure mature age job seekers are given an opportunity to demonstrate their skills to a potential employer.</w:t>
      </w:r>
    </w:p>
    <w:p w:rsidR="00543C48" w:rsidRPr="00CF709A" w:rsidRDefault="00A561E2" w:rsidP="00D26A78">
      <w:pPr>
        <w:pStyle w:val="Heading3"/>
      </w:pPr>
      <w:bookmarkStart w:id="85" w:name="_Toc484691719"/>
      <w:bookmarkStart w:id="86" w:name="_Toc487107029"/>
      <w:bookmarkStart w:id="87" w:name="_Toc487110317"/>
      <w:r w:rsidRPr="00CF709A">
        <w:t>People with Disability</w:t>
      </w:r>
      <w:bookmarkEnd w:id="85"/>
      <w:bookmarkEnd w:id="86"/>
      <w:bookmarkEnd w:id="87"/>
    </w:p>
    <w:p w:rsidR="00A86A25" w:rsidRDefault="00A86A25" w:rsidP="001124F7">
      <w:pPr>
        <w:spacing w:before="120" w:after="240"/>
        <w:rPr>
          <w:rFonts w:asciiTheme="minorHAnsi" w:hAnsiTheme="minorHAnsi" w:cstheme="minorHAnsi"/>
          <w:sz w:val="22"/>
        </w:rPr>
      </w:pPr>
      <w:r w:rsidRPr="00A77989">
        <w:rPr>
          <w:rFonts w:asciiTheme="minorHAnsi" w:hAnsiTheme="minorHAnsi" w:cstheme="minorHAnsi"/>
          <w:sz w:val="22"/>
        </w:rPr>
        <w:t xml:space="preserve">The Australian Government is committed to ensuring that people with disability, their families and </w:t>
      </w:r>
      <w:proofErr w:type="spellStart"/>
      <w:r w:rsidRPr="00A77989">
        <w:rPr>
          <w:rFonts w:asciiTheme="minorHAnsi" w:hAnsiTheme="minorHAnsi" w:cstheme="minorHAnsi"/>
          <w:sz w:val="22"/>
        </w:rPr>
        <w:t>carers</w:t>
      </w:r>
      <w:proofErr w:type="spellEnd"/>
      <w:r w:rsidRPr="00A77989">
        <w:rPr>
          <w:rFonts w:asciiTheme="minorHAnsi" w:hAnsiTheme="minorHAnsi" w:cstheme="minorHAnsi"/>
          <w:sz w:val="22"/>
        </w:rPr>
        <w:t xml:space="preserve"> have economic security, enabling them to plan for the future and exercise choice and control over their lives. The </w:t>
      </w:r>
      <w:r w:rsidRPr="00A77989">
        <w:rPr>
          <w:rFonts w:asciiTheme="minorHAnsi" w:hAnsiTheme="minorHAnsi" w:cstheme="minorHAnsi"/>
          <w:i/>
          <w:sz w:val="22"/>
        </w:rPr>
        <w:t>National Disability Strategy 2010-2020</w:t>
      </w:r>
      <w:r w:rsidRPr="00A77989">
        <w:rPr>
          <w:rFonts w:asciiTheme="minorHAnsi" w:hAnsiTheme="minorHAnsi" w:cstheme="minorHAnsi"/>
          <w:sz w:val="22"/>
        </w:rPr>
        <w:t xml:space="preserve"> provides the overarching policy framework for disability reform in Australia.  The Strategy </w:t>
      </w:r>
      <w:r w:rsidR="007046D4" w:rsidRPr="00A77989">
        <w:rPr>
          <w:rFonts w:asciiTheme="minorHAnsi" w:hAnsiTheme="minorHAnsi" w:cstheme="minorHAnsi"/>
          <w:sz w:val="22"/>
        </w:rPr>
        <w:t xml:space="preserve">is a mechanism to ensure the principles underpinning the United Nations </w:t>
      </w:r>
      <w:r w:rsidR="007046D4" w:rsidRPr="00A77989">
        <w:rPr>
          <w:rFonts w:asciiTheme="minorHAnsi" w:hAnsiTheme="minorHAnsi" w:cstheme="minorHAnsi"/>
          <w:i/>
          <w:sz w:val="22"/>
        </w:rPr>
        <w:t>Convention on the Rights of Persons with Disabilities</w:t>
      </w:r>
      <w:r w:rsidR="007046D4" w:rsidRPr="00A77989">
        <w:rPr>
          <w:rFonts w:asciiTheme="minorHAnsi" w:hAnsiTheme="minorHAnsi" w:cstheme="minorHAnsi"/>
          <w:sz w:val="22"/>
        </w:rPr>
        <w:t xml:space="preserve"> are incorporated into all policies and programs.</w:t>
      </w:r>
      <w:r w:rsidR="00116B8F">
        <w:rPr>
          <w:rFonts w:asciiTheme="minorHAnsi" w:hAnsiTheme="minorHAnsi" w:cstheme="minorHAnsi"/>
          <w:sz w:val="22"/>
        </w:rPr>
        <w:t xml:space="preserve"> These o</w:t>
      </w:r>
      <w:r w:rsidR="007046D4">
        <w:rPr>
          <w:rFonts w:asciiTheme="minorHAnsi" w:hAnsiTheme="minorHAnsi" w:cstheme="minorHAnsi"/>
          <w:sz w:val="22"/>
        </w:rPr>
        <w:t xml:space="preserve">verarching measures </w:t>
      </w:r>
      <w:r w:rsidRPr="00A77989">
        <w:rPr>
          <w:rFonts w:asciiTheme="minorHAnsi" w:hAnsiTheme="minorHAnsi" w:cstheme="minorHAnsi"/>
          <w:sz w:val="22"/>
        </w:rPr>
        <w:t>seek to drive a more inclusive approach to the design of policies, programs and infrastructure so that people with disability can participate in</w:t>
      </w:r>
      <w:r w:rsidR="00560FDA" w:rsidRPr="00A77989">
        <w:rPr>
          <w:rFonts w:asciiTheme="minorHAnsi" w:hAnsiTheme="minorHAnsi" w:cstheme="minorHAnsi"/>
          <w:sz w:val="22"/>
        </w:rPr>
        <w:t xml:space="preserve"> all areas of Australian life</w:t>
      </w:r>
      <w:r w:rsidR="007046D4">
        <w:rPr>
          <w:rFonts w:asciiTheme="minorHAnsi" w:hAnsiTheme="minorHAnsi" w:cstheme="minorHAnsi"/>
          <w:sz w:val="22"/>
        </w:rPr>
        <w:t xml:space="preserve"> and ensure</w:t>
      </w:r>
      <w:r w:rsidR="007046D4" w:rsidRPr="007046D4">
        <w:rPr>
          <w:rFonts w:asciiTheme="minorHAnsi" w:hAnsiTheme="minorHAnsi" w:cstheme="minorHAnsi"/>
          <w:sz w:val="22"/>
        </w:rPr>
        <w:t xml:space="preserve"> </w:t>
      </w:r>
      <w:r w:rsidR="007046D4" w:rsidRPr="00A77989">
        <w:rPr>
          <w:rFonts w:asciiTheme="minorHAnsi" w:hAnsiTheme="minorHAnsi" w:cstheme="minorHAnsi"/>
          <w:sz w:val="22"/>
        </w:rPr>
        <w:t xml:space="preserve">that people with disability, their families and </w:t>
      </w:r>
      <w:proofErr w:type="spellStart"/>
      <w:r w:rsidR="007046D4" w:rsidRPr="00A77989">
        <w:rPr>
          <w:rFonts w:asciiTheme="minorHAnsi" w:hAnsiTheme="minorHAnsi" w:cstheme="minorHAnsi"/>
          <w:sz w:val="22"/>
        </w:rPr>
        <w:t>carers</w:t>
      </w:r>
      <w:proofErr w:type="spellEnd"/>
      <w:r w:rsidR="007046D4" w:rsidRPr="00A77989">
        <w:rPr>
          <w:rFonts w:asciiTheme="minorHAnsi" w:hAnsiTheme="minorHAnsi" w:cstheme="minorHAnsi"/>
          <w:sz w:val="22"/>
        </w:rPr>
        <w:t xml:space="preserve"> have economic security</w:t>
      </w:r>
      <w:r w:rsidR="00560FDA" w:rsidRPr="00A77989">
        <w:rPr>
          <w:rFonts w:asciiTheme="minorHAnsi" w:hAnsiTheme="minorHAnsi" w:cstheme="minorHAnsi"/>
          <w:sz w:val="22"/>
        </w:rPr>
        <w:t xml:space="preserve">. </w:t>
      </w:r>
    </w:p>
    <w:p w:rsidR="009E6947" w:rsidRPr="009E6947" w:rsidRDefault="009E6947" w:rsidP="009E6947">
      <w:pPr>
        <w:pBdr>
          <w:top w:val="single" w:sz="4" w:space="10" w:color="auto"/>
          <w:left w:val="single" w:sz="4" w:space="10" w:color="auto"/>
          <w:bottom w:val="single" w:sz="4" w:space="10" w:color="auto"/>
          <w:right w:val="single" w:sz="4" w:space="10" w:color="auto"/>
        </w:pBdr>
        <w:shd w:val="clear" w:color="auto" w:fill="EEECE1" w:themeFill="background2"/>
        <w:spacing w:before="120" w:after="240"/>
        <w:rPr>
          <w:rFonts w:asciiTheme="minorHAnsi" w:hAnsiTheme="minorHAnsi" w:cstheme="minorHAnsi"/>
          <w:sz w:val="22"/>
        </w:rPr>
      </w:pPr>
      <w:r w:rsidRPr="009E6947">
        <w:rPr>
          <w:rFonts w:asciiTheme="minorHAnsi" w:hAnsiTheme="minorHAnsi" w:cstheme="minorHAnsi"/>
          <w:sz w:val="22"/>
        </w:rPr>
        <w:t xml:space="preserve">Key commitments to improve </w:t>
      </w:r>
      <w:proofErr w:type="spellStart"/>
      <w:r w:rsidRPr="009E6947">
        <w:rPr>
          <w:rFonts w:asciiTheme="minorHAnsi" w:hAnsiTheme="minorHAnsi" w:cstheme="minorHAnsi"/>
          <w:sz w:val="22"/>
        </w:rPr>
        <w:t>labour</w:t>
      </w:r>
      <w:proofErr w:type="spellEnd"/>
      <w:r w:rsidRPr="009E6947">
        <w:rPr>
          <w:rFonts w:asciiTheme="minorHAnsi" w:hAnsiTheme="minorHAnsi" w:cstheme="minorHAnsi"/>
          <w:sz w:val="22"/>
        </w:rPr>
        <w:t xml:space="preserve"> market participation for people with disability and </w:t>
      </w:r>
      <w:proofErr w:type="spellStart"/>
      <w:r w:rsidRPr="009E6947">
        <w:rPr>
          <w:rFonts w:asciiTheme="minorHAnsi" w:hAnsiTheme="minorHAnsi" w:cstheme="minorHAnsi"/>
          <w:sz w:val="22"/>
        </w:rPr>
        <w:t>carers</w:t>
      </w:r>
      <w:proofErr w:type="spellEnd"/>
      <w:r w:rsidRPr="009E6947">
        <w:rPr>
          <w:rFonts w:asciiTheme="minorHAnsi" w:hAnsiTheme="minorHAnsi" w:cstheme="minorHAnsi"/>
          <w:sz w:val="22"/>
        </w:rPr>
        <w:t xml:space="preserve"> include: </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9E6947">
        <w:rPr>
          <w:rFonts w:asciiTheme="minorHAnsi" w:hAnsiTheme="minorHAnsi" w:cstheme="minorHAnsi"/>
          <w:sz w:val="22"/>
        </w:rPr>
        <w:t xml:space="preserve">The Australia-wide roll-out of the National Disability Insurance Scheme (NDIS), which is aimed at improving the wellbeing and economic and social participation of people with disability and their </w:t>
      </w:r>
      <w:proofErr w:type="spellStart"/>
      <w:r w:rsidRPr="009E6947">
        <w:rPr>
          <w:rFonts w:asciiTheme="minorHAnsi" w:hAnsiTheme="minorHAnsi" w:cstheme="minorHAnsi"/>
          <w:sz w:val="22"/>
        </w:rPr>
        <w:t>carers</w:t>
      </w:r>
      <w:proofErr w:type="spellEnd"/>
      <w:r w:rsidRPr="009E6947">
        <w:rPr>
          <w:rFonts w:asciiTheme="minorHAnsi" w:hAnsiTheme="minorHAnsi" w:cstheme="minorHAnsi"/>
          <w:sz w:val="22"/>
        </w:rPr>
        <w:t xml:space="preserve">. When at full scheme in 2019-20, the NDIS is estimated to cost approximately $21 billion.  </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sz w:val="22"/>
        </w:rPr>
      </w:pPr>
      <w:r w:rsidRPr="009E6947">
        <w:rPr>
          <w:rFonts w:asciiTheme="minorHAnsi" w:hAnsiTheme="minorHAnsi" w:cstheme="minorHAnsi"/>
          <w:sz w:val="22"/>
        </w:rPr>
        <w:t>Continued investment of over $3 billion over four years into the Disability Employment Services (DES) program, including introducing reforms that will give greater choice and control to people with disability in selecting the services they need to find and maintain employment.</w:t>
      </w:r>
    </w:p>
    <w:p w:rsidR="001A2901" w:rsidRPr="009E6947" w:rsidRDefault="001A2901" w:rsidP="009E6947">
      <w:bookmarkStart w:id="88" w:name="_Toc484691720"/>
      <w:r>
        <w:br w:type="page"/>
      </w:r>
    </w:p>
    <w:p w:rsidR="00A561E2" w:rsidRPr="00CF709A" w:rsidRDefault="00A561E2" w:rsidP="00D26A78">
      <w:pPr>
        <w:pStyle w:val="Heading3"/>
      </w:pPr>
      <w:bookmarkStart w:id="89" w:name="_Toc487107030"/>
      <w:bookmarkStart w:id="90" w:name="_Toc487110318"/>
      <w:r w:rsidRPr="00CF709A">
        <w:lastRenderedPageBreak/>
        <w:t>Regional areas</w:t>
      </w:r>
      <w:bookmarkEnd w:id="81"/>
      <w:bookmarkEnd w:id="82"/>
      <w:bookmarkEnd w:id="88"/>
      <w:bookmarkEnd w:id="89"/>
      <w:bookmarkEnd w:id="90"/>
    </w:p>
    <w:p w:rsidR="005800AF" w:rsidRDefault="00A561E2" w:rsidP="00111576">
      <w:pPr>
        <w:spacing w:before="120" w:after="120"/>
        <w:rPr>
          <w:rFonts w:asciiTheme="minorHAnsi" w:hAnsiTheme="minorHAnsi" w:cstheme="minorHAnsi"/>
          <w:color w:val="000000"/>
          <w:sz w:val="22"/>
          <w:lang w:val="en-AU"/>
        </w:rPr>
      </w:pPr>
      <w:r w:rsidRPr="00A77989">
        <w:rPr>
          <w:rFonts w:asciiTheme="minorHAnsi" w:hAnsiTheme="minorHAnsi" w:cstheme="minorHAnsi"/>
          <w:color w:val="000000"/>
          <w:sz w:val="22"/>
          <w:lang w:val="en-AU"/>
        </w:rPr>
        <w:t>Unemployment rates across Australia vary widely, and tend to increase out</w:t>
      </w:r>
      <w:r w:rsidR="00C81E7A" w:rsidRPr="00A77989">
        <w:rPr>
          <w:rFonts w:asciiTheme="minorHAnsi" w:hAnsiTheme="minorHAnsi" w:cstheme="minorHAnsi"/>
          <w:color w:val="000000"/>
          <w:sz w:val="22"/>
          <w:lang w:val="en-AU"/>
        </w:rPr>
        <w:t>side of capital cities</w:t>
      </w:r>
      <w:r w:rsidRPr="00A77989">
        <w:rPr>
          <w:rFonts w:asciiTheme="minorHAnsi" w:hAnsiTheme="minorHAnsi" w:cstheme="minorHAnsi"/>
          <w:color w:val="000000"/>
          <w:sz w:val="22"/>
          <w:lang w:val="en-AU"/>
        </w:rPr>
        <w:t xml:space="preserve">. Engagement in work or study by disadvantaged cohorts, particularly young people, women and Indigenous Australians, also tends to </w:t>
      </w:r>
      <w:r w:rsidR="00DF6C69">
        <w:rPr>
          <w:rFonts w:asciiTheme="minorHAnsi" w:hAnsiTheme="minorHAnsi" w:cstheme="minorHAnsi"/>
          <w:color w:val="000000"/>
          <w:sz w:val="22"/>
          <w:lang w:val="en-AU"/>
        </w:rPr>
        <w:t>be lower</w:t>
      </w:r>
      <w:r w:rsidR="00DF6C69" w:rsidRPr="00A77989">
        <w:rPr>
          <w:rFonts w:asciiTheme="minorHAnsi" w:hAnsiTheme="minorHAnsi" w:cstheme="minorHAnsi"/>
          <w:color w:val="000000"/>
          <w:sz w:val="22"/>
          <w:lang w:val="en-AU"/>
        </w:rPr>
        <w:t xml:space="preserve"> </w:t>
      </w:r>
      <w:r w:rsidR="009E6947">
        <w:rPr>
          <w:rFonts w:asciiTheme="minorHAnsi" w:hAnsiTheme="minorHAnsi" w:cstheme="minorHAnsi"/>
          <w:color w:val="000000"/>
          <w:sz w:val="22"/>
          <w:lang w:val="en-AU"/>
        </w:rPr>
        <w:t>in regional or remote areas.</w:t>
      </w:r>
    </w:p>
    <w:p w:rsidR="009E6947" w:rsidRPr="009E6947" w:rsidRDefault="009E6947" w:rsidP="009E6947">
      <w:pPr>
        <w:pBdr>
          <w:top w:val="single" w:sz="4" w:space="10" w:color="auto"/>
          <w:left w:val="single" w:sz="4" w:space="10" w:color="auto"/>
          <w:bottom w:val="single" w:sz="4" w:space="10" w:color="auto"/>
          <w:right w:val="single" w:sz="4" w:space="10" w:color="auto"/>
        </w:pBdr>
        <w:shd w:val="clear" w:color="auto" w:fill="EEECE1" w:themeFill="background2"/>
        <w:spacing w:before="120" w:after="120"/>
        <w:rPr>
          <w:rFonts w:asciiTheme="minorHAnsi" w:hAnsiTheme="minorHAnsi" w:cstheme="minorHAnsi"/>
          <w:color w:val="000000"/>
          <w:sz w:val="22"/>
          <w:lang w:val="en-AU"/>
        </w:rPr>
      </w:pPr>
      <w:r w:rsidRPr="009E6947">
        <w:rPr>
          <w:rFonts w:asciiTheme="minorHAnsi" w:hAnsiTheme="minorHAnsi" w:cstheme="minorHAnsi"/>
          <w:color w:val="000000"/>
          <w:sz w:val="22"/>
          <w:lang w:val="en-AU"/>
        </w:rPr>
        <w:t>Key commitments to improve employment opportunities in disadvantaged regions of Australia include:</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9E6947">
        <w:rPr>
          <w:rFonts w:asciiTheme="minorHAnsi" w:hAnsiTheme="minorHAnsi" w:cstheme="minorHAnsi"/>
          <w:color w:val="000000"/>
          <w:sz w:val="22"/>
        </w:rPr>
        <w:t>A $220 million investment in the Regional Jobs and Investment Packages (RJIP), to help regions in Australia diversify their economies, stimulate long-term economic growth and deliver sustainable employment;</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9E6947">
        <w:rPr>
          <w:rFonts w:asciiTheme="minorHAnsi" w:hAnsiTheme="minorHAnsi" w:cstheme="minorHAnsi"/>
          <w:color w:val="000000"/>
          <w:sz w:val="22"/>
        </w:rPr>
        <w:t xml:space="preserve">A range of measures to support the economic development of northern Australia over the next 20 years, including the $5 billion Northern Australia Infrastructure Facility and actions to support skills development and expand the labour force in this region; and </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9E6947">
        <w:rPr>
          <w:rFonts w:asciiTheme="minorHAnsi" w:hAnsiTheme="minorHAnsi" w:cstheme="minorHAnsi"/>
          <w:color w:val="000000"/>
          <w:sz w:val="22"/>
        </w:rPr>
        <w:t>Strengthening the mutual obligations framework in remote Australian areas and improving incentives to work.</w:t>
      </w:r>
    </w:p>
    <w:p w:rsidR="00920AFE" w:rsidRPr="00CF709A" w:rsidRDefault="00920AFE" w:rsidP="00D26A78">
      <w:pPr>
        <w:pStyle w:val="Heading3"/>
      </w:pPr>
      <w:bookmarkStart w:id="91" w:name="_Toc487107031"/>
      <w:bookmarkStart w:id="92" w:name="_Toc487110319"/>
      <w:bookmarkStart w:id="93" w:name="_Toc484691721"/>
      <w:bookmarkStart w:id="94" w:name="_Toc452625228"/>
      <w:bookmarkStart w:id="95" w:name="_Toc458449923"/>
      <w:bookmarkStart w:id="96" w:name="_Toc484691722"/>
      <w:bookmarkStart w:id="97" w:name="_Toc452625229"/>
      <w:bookmarkStart w:id="98" w:name="_Toc458449924"/>
      <w:r w:rsidRPr="00CF709A">
        <w:t>Workers in industries facing major structural change</w:t>
      </w:r>
      <w:bookmarkEnd w:id="91"/>
      <w:bookmarkEnd w:id="92"/>
    </w:p>
    <w:p w:rsidR="00920AFE" w:rsidRDefault="004C743C" w:rsidP="00920AFE">
      <w:pPr>
        <w:spacing w:before="120" w:after="240"/>
        <w:rPr>
          <w:sz w:val="22"/>
        </w:rPr>
      </w:pPr>
      <w:r>
        <w:rPr>
          <w:sz w:val="22"/>
        </w:rPr>
        <w:t xml:space="preserve">Australia’s economy </w:t>
      </w:r>
      <w:r w:rsidR="00920AFE" w:rsidRPr="00920AFE">
        <w:rPr>
          <w:sz w:val="22"/>
        </w:rPr>
        <w:t xml:space="preserve">has undergone significant structural change over recent decades. Structural change impacts jobs, industry capability, and supply chains. It creates challenges as some industries contract but also creates opportunities as others expand. The successful reallocation of resources in the economy allows businesses to access the workers and investment they need. Although a positive force for the economy as a whole, structural adjustment can be costly for individuals and communities that rely on the industries in decline. </w:t>
      </w:r>
    </w:p>
    <w:p w:rsidR="009E6947" w:rsidRPr="009E6947" w:rsidRDefault="009E6947" w:rsidP="009E6947">
      <w:pPr>
        <w:pBdr>
          <w:top w:val="single" w:sz="4" w:space="10" w:color="auto"/>
          <w:left w:val="single" w:sz="4" w:space="10" w:color="auto"/>
          <w:bottom w:val="single" w:sz="4" w:space="10" w:color="auto"/>
          <w:right w:val="single" w:sz="4" w:space="10" w:color="auto"/>
        </w:pBdr>
        <w:shd w:val="clear" w:color="auto" w:fill="EEECE1" w:themeFill="background2"/>
        <w:spacing w:before="120" w:after="240"/>
        <w:rPr>
          <w:sz w:val="22"/>
        </w:rPr>
      </w:pPr>
      <w:r w:rsidRPr="009E6947">
        <w:rPr>
          <w:sz w:val="22"/>
        </w:rPr>
        <w:t>Key commitments to provide support for workers in industries facing structural decline include:</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sz w:val="22"/>
        </w:rPr>
      </w:pPr>
      <w:r w:rsidRPr="009E6947">
        <w:rPr>
          <w:sz w:val="22"/>
        </w:rPr>
        <w:t xml:space="preserve">The $155 million Growth Fund which includes measures to assist retrenched automotive workers to reskill and transition to new jobs; </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sz w:val="22"/>
        </w:rPr>
      </w:pPr>
      <w:r w:rsidRPr="009E6947">
        <w:rPr>
          <w:sz w:val="22"/>
        </w:rPr>
        <w:t>The $100 million Advanced Manufacturing Fund to drive innovation in Australia’s manufacturing sector; and</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sz w:val="22"/>
        </w:rPr>
      </w:pPr>
      <w:r w:rsidRPr="009E6947">
        <w:rPr>
          <w:sz w:val="22"/>
        </w:rPr>
        <w:t>Targeted employment support for retrenched workers through structural adjustment packages for the automotive, steel and other industries.</w:t>
      </w:r>
    </w:p>
    <w:p w:rsidR="009E6947" w:rsidRPr="009E6947" w:rsidRDefault="009E6947"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sz w:val="22"/>
        </w:rPr>
      </w:pPr>
      <w:r w:rsidRPr="009E6947">
        <w:rPr>
          <w:sz w:val="22"/>
        </w:rPr>
        <w:t>Employer engagement strategy to target industries and regions with strong employment prospects and enduring career opportunities for job seekers.</w:t>
      </w:r>
    </w:p>
    <w:bookmarkEnd w:id="93"/>
    <w:p w:rsidR="00DE5D42" w:rsidRPr="009E6947" w:rsidRDefault="00DE5D42" w:rsidP="009E6947">
      <w:r>
        <w:rPr>
          <w:lang w:val="en-AU"/>
        </w:rPr>
        <w:br w:type="page"/>
      </w:r>
    </w:p>
    <w:p w:rsidR="00A561E2" w:rsidRDefault="00A561E2" w:rsidP="000664C6">
      <w:pPr>
        <w:pStyle w:val="Heading2"/>
      </w:pPr>
      <w:bookmarkStart w:id="99" w:name="_Toc487107032"/>
      <w:bookmarkStart w:id="100" w:name="_Toc487110320"/>
      <w:r w:rsidRPr="00A77989">
        <w:lastRenderedPageBreak/>
        <w:t>Skills development</w:t>
      </w:r>
      <w:bookmarkEnd w:id="94"/>
      <w:bookmarkEnd w:id="95"/>
      <w:bookmarkEnd w:id="96"/>
      <w:bookmarkEnd w:id="99"/>
      <w:bookmarkEnd w:id="100"/>
    </w:p>
    <w:p w:rsidR="00C92879" w:rsidRDefault="00301B1F" w:rsidP="00C92879">
      <w:pPr>
        <w:spacing w:before="120" w:after="240"/>
        <w:rPr>
          <w:rFonts w:asciiTheme="minorHAnsi" w:hAnsiTheme="minorHAnsi" w:cstheme="minorHAnsi"/>
          <w:color w:val="000000"/>
          <w:sz w:val="22"/>
          <w:lang w:val="en-AU"/>
        </w:rPr>
      </w:pPr>
      <w:r>
        <w:rPr>
          <w:rFonts w:asciiTheme="minorHAnsi" w:hAnsiTheme="minorHAnsi" w:cstheme="minorHAnsi"/>
          <w:color w:val="000000"/>
          <w:sz w:val="22"/>
          <w:lang w:val="en-AU"/>
        </w:rPr>
        <w:t xml:space="preserve">Over recent decades, </w:t>
      </w:r>
      <w:r w:rsidR="00C92879" w:rsidRPr="00A77989">
        <w:rPr>
          <w:rFonts w:asciiTheme="minorHAnsi" w:hAnsiTheme="minorHAnsi" w:cstheme="minorHAnsi"/>
          <w:color w:val="000000"/>
          <w:sz w:val="22"/>
          <w:lang w:val="en-AU"/>
        </w:rPr>
        <w:t>Australia</w:t>
      </w:r>
      <w:r>
        <w:rPr>
          <w:rFonts w:asciiTheme="minorHAnsi" w:hAnsiTheme="minorHAnsi" w:cstheme="minorHAnsi"/>
          <w:color w:val="000000"/>
          <w:sz w:val="22"/>
          <w:lang w:val="en-AU"/>
        </w:rPr>
        <w:t xml:space="preserve"> has experienced a </w:t>
      </w:r>
      <w:r w:rsidR="00C92879" w:rsidRPr="00A77989">
        <w:rPr>
          <w:rFonts w:asciiTheme="minorHAnsi" w:hAnsiTheme="minorHAnsi" w:cstheme="minorHAnsi"/>
          <w:color w:val="000000"/>
          <w:sz w:val="22"/>
          <w:lang w:val="en-AU"/>
        </w:rPr>
        <w:t>growth in demand for skilled labour</w:t>
      </w:r>
      <w:r>
        <w:rPr>
          <w:rFonts w:asciiTheme="minorHAnsi" w:hAnsiTheme="minorHAnsi" w:cstheme="minorHAnsi"/>
          <w:color w:val="000000"/>
          <w:sz w:val="22"/>
          <w:lang w:val="en-AU"/>
        </w:rPr>
        <w:t xml:space="preserve"> which </w:t>
      </w:r>
      <w:r w:rsidR="00C92879" w:rsidRPr="00A77989">
        <w:rPr>
          <w:rFonts w:asciiTheme="minorHAnsi" w:hAnsiTheme="minorHAnsi" w:cstheme="minorHAnsi"/>
          <w:color w:val="000000"/>
          <w:sz w:val="22"/>
          <w:lang w:val="en-AU"/>
        </w:rPr>
        <w:t>has outstripped growth in demand for unskilled labour. Early childhood education and basic schooling remains esse</w:t>
      </w:r>
      <w:r w:rsidR="007B0277">
        <w:rPr>
          <w:rFonts w:asciiTheme="minorHAnsi" w:hAnsiTheme="minorHAnsi" w:cstheme="minorHAnsi"/>
          <w:color w:val="000000"/>
          <w:sz w:val="22"/>
          <w:lang w:val="en-AU"/>
        </w:rPr>
        <w:t>ntial to foster economic growth.</w:t>
      </w:r>
      <w:r w:rsidR="0032601B">
        <w:rPr>
          <w:rFonts w:asciiTheme="minorHAnsi" w:hAnsiTheme="minorHAnsi" w:cstheme="minorHAnsi"/>
          <w:color w:val="000000"/>
          <w:sz w:val="22"/>
          <w:lang w:val="en-AU"/>
        </w:rPr>
        <w:t xml:space="preserve">  </w:t>
      </w:r>
      <w:r w:rsidR="007B0277">
        <w:rPr>
          <w:rFonts w:asciiTheme="minorHAnsi" w:hAnsiTheme="minorHAnsi" w:cstheme="minorHAnsi"/>
          <w:color w:val="000000"/>
          <w:sz w:val="22"/>
          <w:lang w:val="en-AU"/>
        </w:rPr>
        <w:t xml:space="preserve">A </w:t>
      </w:r>
      <w:r w:rsidR="00C92879" w:rsidRPr="00A77989">
        <w:rPr>
          <w:rFonts w:asciiTheme="minorHAnsi" w:hAnsiTheme="minorHAnsi" w:cstheme="minorHAnsi"/>
          <w:color w:val="000000"/>
          <w:sz w:val="22"/>
          <w:lang w:val="en-AU"/>
        </w:rPr>
        <w:t>workforce with a high level of foundation skills (such as literacy and numeracy) is better able to adapt to the dynamic shifts in the demand for skills that are typical of a modern economy. Investing in higher level skills is also essential to foster prod</w:t>
      </w:r>
      <w:r>
        <w:rPr>
          <w:rFonts w:asciiTheme="minorHAnsi" w:hAnsiTheme="minorHAnsi" w:cstheme="minorHAnsi"/>
          <w:color w:val="000000"/>
          <w:sz w:val="22"/>
          <w:lang w:val="en-AU"/>
        </w:rPr>
        <w:t>uctiv</w:t>
      </w:r>
      <w:r w:rsidR="005E6B27">
        <w:rPr>
          <w:rFonts w:asciiTheme="minorHAnsi" w:hAnsiTheme="minorHAnsi" w:cstheme="minorHAnsi"/>
          <w:color w:val="000000"/>
          <w:sz w:val="22"/>
          <w:lang w:val="en-AU"/>
        </w:rPr>
        <w:t>ity g</w:t>
      </w:r>
      <w:r w:rsidR="006B7642">
        <w:rPr>
          <w:rFonts w:asciiTheme="minorHAnsi" w:hAnsiTheme="minorHAnsi" w:cstheme="minorHAnsi"/>
          <w:color w:val="000000"/>
          <w:sz w:val="22"/>
          <w:lang w:val="en-AU"/>
        </w:rPr>
        <w:t>rowth and promote job creation.</w:t>
      </w:r>
    </w:p>
    <w:p w:rsidR="006B7642" w:rsidRPr="006B7642" w:rsidRDefault="006B7642" w:rsidP="006B7642">
      <w:pPr>
        <w:pBdr>
          <w:top w:val="single" w:sz="4" w:space="10" w:color="auto"/>
          <w:left w:val="single" w:sz="4" w:space="10" w:color="auto"/>
          <w:bottom w:val="single" w:sz="4" w:space="10" w:color="auto"/>
          <w:right w:val="single" w:sz="4" w:space="10" w:color="auto"/>
        </w:pBdr>
        <w:shd w:val="clear" w:color="auto" w:fill="EEECE1" w:themeFill="background2"/>
        <w:spacing w:before="120" w:after="120"/>
        <w:rPr>
          <w:rFonts w:asciiTheme="minorHAnsi" w:hAnsiTheme="minorHAnsi" w:cstheme="minorHAnsi"/>
          <w:color w:val="000000"/>
          <w:sz w:val="22"/>
          <w:lang w:val="en-AU"/>
        </w:rPr>
      </w:pPr>
      <w:r w:rsidRPr="006B7642">
        <w:rPr>
          <w:rFonts w:asciiTheme="minorHAnsi" w:hAnsiTheme="minorHAnsi" w:cstheme="minorHAnsi"/>
          <w:color w:val="000000"/>
          <w:sz w:val="22"/>
          <w:lang w:val="en-AU"/>
        </w:rPr>
        <w:t>Key measures to develop skills and enhance productivity include:</w:t>
      </w:r>
    </w:p>
    <w:p w:rsidR="006B7642" w:rsidRPr="006B7642" w:rsidRDefault="006B7642"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6B7642">
        <w:rPr>
          <w:rFonts w:asciiTheme="minorHAnsi" w:hAnsiTheme="minorHAnsi" w:cstheme="minorHAnsi"/>
          <w:color w:val="000000"/>
          <w:sz w:val="22"/>
        </w:rPr>
        <w:t>Reforms to education and training improve the outcomes of all levels of education, including through reforms to ensure that education and training is more relevant to employment opportunities;</w:t>
      </w:r>
    </w:p>
    <w:p w:rsidR="006B7642" w:rsidRPr="006B7642" w:rsidRDefault="006B7642"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6B7642">
        <w:rPr>
          <w:rFonts w:asciiTheme="minorHAnsi" w:hAnsiTheme="minorHAnsi" w:cstheme="minorHAnsi"/>
          <w:color w:val="000000"/>
          <w:sz w:val="22"/>
        </w:rPr>
        <w:t>Establishment of a permanent $1.5 billion Skilling Australians Fund to support up to 300,000 apprentices, trainees, pre-apprentices and higher level skilled Australians, many of whom will be young people entering the workforce for the first time..</w:t>
      </w:r>
    </w:p>
    <w:p w:rsidR="006B7642" w:rsidRPr="006B7642" w:rsidRDefault="006B7642" w:rsidP="006B7642">
      <w:pPr>
        <w:pStyle w:val="ListParagraph"/>
        <w:numPr>
          <w:ilvl w:val="0"/>
          <w:numId w:val="22"/>
        </w:numPr>
        <w:pBdr>
          <w:top w:val="single" w:sz="4" w:space="10" w:color="auto"/>
          <w:left w:val="single" w:sz="4" w:space="10" w:color="auto"/>
          <w:bottom w:val="single" w:sz="4" w:space="10" w:color="auto"/>
          <w:right w:val="single" w:sz="4" w:space="10" w:color="auto"/>
        </w:pBdr>
        <w:shd w:val="clear" w:color="auto" w:fill="EEECE1" w:themeFill="background2"/>
        <w:spacing w:before="120" w:after="120"/>
        <w:ind w:left="369" w:hanging="369"/>
        <w:contextualSpacing w:val="0"/>
        <w:rPr>
          <w:rFonts w:asciiTheme="minorHAnsi" w:hAnsiTheme="minorHAnsi" w:cstheme="minorHAnsi"/>
          <w:color w:val="000000"/>
          <w:sz w:val="22"/>
        </w:rPr>
      </w:pPr>
      <w:r w:rsidRPr="006B7642">
        <w:rPr>
          <w:rFonts w:asciiTheme="minorHAnsi" w:hAnsiTheme="minorHAnsi" w:cstheme="minorHAnsi"/>
          <w:color w:val="000000"/>
          <w:sz w:val="22"/>
        </w:rPr>
        <w:t>Continued investment under NISA to inspire Australians of all ages to engage with STEM in society and participate in further study.</w:t>
      </w:r>
    </w:p>
    <w:p w:rsidR="00A561E2" w:rsidRPr="00A77989" w:rsidRDefault="00A561E2" w:rsidP="00D26A78">
      <w:pPr>
        <w:pStyle w:val="Heading3"/>
      </w:pPr>
      <w:bookmarkStart w:id="101" w:name="_Toc485740302"/>
      <w:bookmarkStart w:id="102" w:name="_Toc485740406"/>
      <w:bookmarkStart w:id="103" w:name="_Toc487107033"/>
      <w:bookmarkStart w:id="104" w:name="_Toc487110321"/>
      <w:r w:rsidRPr="00A77989">
        <w:t>School education</w:t>
      </w:r>
      <w:bookmarkEnd w:id="97"/>
      <w:bookmarkEnd w:id="98"/>
      <w:bookmarkEnd w:id="101"/>
      <w:bookmarkEnd w:id="102"/>
      <w:bookmarkEnd w:id="103"/>
      <w:bookmarkEnd w:id="104"/>
    </w:p>
    <w:p w:rsidR="007132FF" w:rsidRPr="00A77989" w:rsidRDefault="0053419D" w:rsidP="005800AF">
      <w:pPr>
        <w:spacing w:before="120" w:after="240"/>
        <w:rPr>
          <w:rFonts w:asciiTheme="minorHAnsi" w:hAnsiTheme="minorHAnsi" w:cstheme="minorHAnsi"/>
          <w:color w:val="000000"/>
          <w:sz w:val="22"/>
        </w:rPr>
      </w:pPr>
      <w:r>
        <w:rPr>
          <w:rFonts w:asciiTheme="minorHAnsi" w:hAnsiTheme="minorHAnsi" w:cstheme="minorHAnsi"/>
          <w:sz w:val="22"/>
          <w:lang w:val="en-AU"/>
        </w:rPr>
        <w:t>T</w:t>
      </w:r>
      <w:r w:rsidR="00CD0E28" w:rsidRPr="00A77989">
        <w:rPr>
          <w:rFonts w:asciiTheme="minorHAnsi" w:hAnsiTheme="minorHAnsi" w:cstheme="minorHAnsi"/>
          <w:sz w:val="22"/>
          <w:lang w:val="en-AU"/>
        </w:rPr>
        <w:t xml:space="preserve">he Government </w:t>
      </w:r>
      <w:r w:rsidR="00FD3AF0" w:rsidRPr="00A77989">
        <w:rPr>
          <w:rFonts w:asciiTheme="minorHAnsi" w:hAnsiTheme="minorHAnsi" w:cstheme="minorHAnsi"/>
          <w:sz w:val="22"/>
          <w:lang w:val="en-AU"/>
        </w:rPr>
        <w:t xml:space="preserve">has </w:t>
      </w:r>
      <w:r w:rsidR="00CD0E28" w:rsidRPr="00A77989">
        <w:rPr>
          <w:rFonts w:asciiTheme="minorHAnsi" w:hAnsiTheme="minorHAnsi" w:cstheme="minorHAnsi"/>
          <w:sz w:val="22"/>
          <w:lang w:val="en-AU"/>
        </w:rPr>
        <w:t xml:space="preserve">committed to providing an additional $18.6 billion in funding for schools for the period to 2027, to implement a new needs-based funding model for schools which delivers a consistent </w:t>
      </w:r>
      <w:r w:rsidR="009A1159">
        <w:rPr>
          <w:rFonts w:asciiTheme="minorHAnsi" w:hAnsiTheme="minorHAnsi" w:cstheme="minorHAnsi"/>
          <w:sz w:val="22"/>
          <w:lang w:val="en-AU"/>
        </w:rPr>
        <w:t>national</w:t>
      </w:r>
      <w:r w:rsidR="00CD0E28" w:rsidRPr="00A77989">
        <w:rPr>
          <w:rFonts w:asciiTheme="minorHAnsi" w:hAnsiTheme="minorHAnsi" w:cstheme="minorHAnsi"/>
          <w:sz w:val="22"/>
          <w:lang w:val="en-AU"/>
        </w:rPr>
        <w:t xml:space="preserve"> a</w:t>
      </w:r>
      <w:r w:rsidR="00793582">
        <w:rPr>
          <w:rFonts w:asciiTheme="minorHAnsi" w:hAnsiTheme="minorHAnsi" w:cstheme="minorHAnsi"/>
          <w:sz w:val="22"/>
          <w:lang w:val="en-AU"/>
        </w:rPr>
        <w:t>pproach for all schools in all states and t</w:t>
      </w:r>
      <w:r w:rsidR="00CD0E28" w:rsidRPr="00A77989">
        <w:rPr>
          <w:rFonts w:asciiTheme="minorHAnsi" w:hAnsiTheme="minorHAnsi" w:cstheme="minorHAnsi"/>
          <w:sz w:val="22"/>
          <w:lang w:val="en-AU"/>
        </w:rPr>
        <w:t xml:space="preserve">erritories. </w:t>
      </w:r>
    </w:p>
    <w:p w:rsidR="00A561E2" w:rsidRPr="00A77989" w:rsidRDefault="00A561E2" w:rsidP="00D26A78">
      <w:pPr>
        <w:pStyle w:val="Heading3"/>
      </w:pPr>
      <w:bookmarkStart w:id="105" w:name="_Toc452625230"/>
      <w:bookmarkStart w:id="106" w:name="_Toc458449925"/>
      <w:bookmarkStart w:id="107" w:name="_Toc485740303"/>
      <w:bookmarkStart w:id="108" w:name="_Toc485740407"/>
      <w:bookmarkStart w:id="109" w:name="_Toc487107034"/>
      <w:bookmarkStart w:id="110" w:name="_Toc487110322"/>
      <w:r w:rsidRPr="00A77989">
        <w:t>Apprenticeships, vocational training and higher education</w:t>
      </w:r>
      <w:bookmarkEnd w:id="105"/>
      <w:bookmarkEnd w:id="106"/>
      <w:bookmarkEnd w:id="107"/>
      <w:bookmarkEnd w:id="108"/>
      <w:bookmarkEnd w:id="109"/>
      <w:bookmarkEnd w:id="110"/>
    </w:p>
    <w:p w:rsidR="00A561E2" w:rsidRPr="00A77989" w:rsidRDefault="00A561E2" w:rsidP="006B7642">
      <w:pPr>
        <w:pStyle w:val="Heading4"/>
      </w:pPr>
      <w:bookmarkStart w:id="111" w:name="_Toc452625231"/>
      <w:bookmarkStart w:id="112" w:name="_Toc458449926"/>
      <w:r w:rsidRPr="00A77989">
        <w:t>Apprenticeships</w:t>
      </w:r>
      <w:bookmarkEnd w:id="111"/>
      <w:bookmarkEnd w:id="112"/>
    </w:p>
    <w:p w:rsidR="00A561E2" w:rsidDel="001E14B3" w:rsidRDefault="004D5EE4" w:rsidP="0026342B">
      <w:pPr>
        <w:spacing w:before="120" w:after="240"/>
        <w:rPr>
          <w:rFonts w:asciiTheme="minorHAnsi" w:hAnsiTheme="minorHAnsi" w:cstheme="minorHAnsi"/>
          <w:b/>
          <w:color w:val="000000"/>
          <w:sz w:val="22"/>
          <w:lang w:val="en-AU"/>
        </w:rPr>
      </w:pPr>
      <w:r>
        <w:rPr>
          <w:rFonts w:asciiTheme="minorHAnsi" w:hAnsiTheme="minorHAnsi" w:cstheme="minorHAnsi"/>
          <w:color w:val="000000"/>
          <w:sz w:val="22"/>
          <w:lang w:val="en-AU"/>
        </w:rPr>
        <w:t>In addition to</w:t>
      </w:r>
      <w:r w:rsidR="00A561E2" w:rsidRPr="00A77989">
        <w:rPr>
          <w:rFonts w:asciiTheme="minorHAnsi" w:hAnsiTheme="minorHAnsi" w:cstheme="minorHAnsi"/>
          <w:color w:val="000000"/>
          <w:sz w:val="22"/>
          <w:lang w:val="en-AU"/>
        </w:rPr>
        <w:t xml:space="preserve"> providing funding to state and territory governments to support apprenticeship training, the Australian Government also funds a range of incentives and personal benefits for employers and apprentices. </w:t>
      </w:r>
      <w:r w:rsidR="00A561E2" w:rsidRPr="00A77989" w:rsidDel="001E14B3">
        <w:rPr>
          <w:rFonts w:asciiTheme="minorHAnsi" w:hAnsiTheme="minorHAnsi" w:cstheme="minorHAnsi"/>
          <w:color w:val="000000"/>
          <w:sz w:val="22"/>
          <w:lang w:val="en-AU"/>
        </w:rPr>
        <w:t>In line with G20 agreements to improve the availability of quality apprenticeships, the Australian Government is continuing to work with stakeholders to ensure the apprenticeships system delivers the skilled labour required in businesses and across the economy.</w:t>
      </w:r>
    </w:p>
    <w:p w:rsidR="00A561E2" w:rsidRPr="00A77989" w:rsidRDefault="00A561E2" w:rsidP="006B7642">
      <w:pPr>
        <w:pStyle w:val="Heading4"/>
      </w:pPr>
      <w:bookmarkStart w:id="113" w:name="_Toc452625232"/>
      <w:bookmarkStart w:id="114" w:name="_Toc458449929"/>
      <w:r w:rsidRPr="00A77989">
        <w:t>Vocational education and training</w:t>
      </w:r>
    </w:p>
    <w:bookmarkEnd w:id="113"/>
    <w:bookmarkEnd w:id="114"/>
    <w:p w:rsidR="00A561E2" w:rsidRPr="00A77989" w:rsidRDefault="00A561E2" w:rsidP="0026342B">
      <w:pPr>
        <w:spacing w:before="120" w:after="200"/>
        <w:rPr>
          <w:rFonts w:asciiTheme="minorHAnsi" w:hAnsiTheme="minorHAnsi" w:cstheme="minorHAnsi"/>
          <w:color w:val="000000"/>
          <w:sz w:val="22"/>
          <w:lang w:val="en-AU"/>
        </w:rPr>
      </w:pPr>
      <w:r w:rsidRPr="00A77989">
        <w:rPr>
          <w:rFonts w:asciiTheme="minorHAnsi" w:hAnsiTheme="minorHAnsi" w:cstheme="minorHAnsi"/>
          <w:color w:val="000000"/>
          <w:sz w:val="22"/>
          <w:lang w:val="en-AU"/>
        </w:rPr>
        <w:t xml:space="preserve">Australia’s vocational education and training (VET) system operates nationally by agreement between the </w:t>
      </w:r>
      <w:r w:rsidR="009A1159">
        <w:rPr>
          <w:rFonts w:asciiTheme="minorHAnsi" w:hAnsiTheme="minorHAnsi" w:cstheme="minorHAnsi"/>
          <w:color w:val="000000"/>
          <w:sz w:val="22"/>
          <w:lang w:val="en-AU"/>
        </w:rPr>
        <w:t>federal</w:t>
      </w:r>
      <w:r w:rsidRPr="00A77989">
        <w:rPr>
          <w:rFonts w:asciiTheme="minorHAnsi" w:hAnsiTheme="minorHAnsi" w:cstheme="minorHAnsi"/>
          <w:color w:val="000000"/>
          <w:sz w:val="22"/>
          <w:lang w:val="en-AU"/>
        </w:rPr>
        <w:t xml:space="preserve">, state and territory governments with input from industry. To support access and participation in VET, the Australian Government provides subsidised loans to students undertaking higher level vocational education and training qualifications. Students are only required to repay the loan once their annual income exceeds a specified threshold. </w:t>
      </w:r>
    </w:p>
    <w:p w:rsidR="00EB7D3E" w:rsidRPr="00A77989" w:rsidRDefault="00EB7D3E" w:rsidP="0026342B">
      <w:pPr>
        <w:spacing w:before="120" w:after="200"/>
        <w:rPr>
          <w:rFonts w:asciiTheme="minorHAnsi" w:hAnsiTheme="minorHAnsi" w:cstheme="minorHAnsi"/>
          <w:color w:val="000000"/>
          <w:sz w:val="22"/>
          <w:lang w:val="en-AU"/>
        </w:rPr>
      </w:pPr>
      <w:r w:rsidRPr="00A77989">
        <w:rPr>
          <w:rFonts w:asciiTheme="minorHAnsi" w:hAnsiTheme="minorHAnsi" w:cstheme="minorHAnsi"/>
          <w:color w:val="000000"/>
          <w:sz w:val="22"/>
          <w:lang w:val="en-AU"/>
        </w:rPr>
        <w:t xml:space="preserve">The Australian Government’s VET policy agenda includes implementing arrangements for developing and maintaining nationally-recognised and quality-assured competency standards and qualifications to ensure they are driven by the needs of modern Australian workplaces. </w:t>
      </w:r>
    </w:p>
    <w:p w:rsidR="00A561E2" w:rsidRPr="00A77989" w:rsidRDefault="00A561E2" w:rsidP="006B7642">
      <w:pPr>
        <w:pStyle w:val="Heading4"/>
      </w:pPr>
      <w:bookmarkStart w:id="115" w:name="_Toc452625233"/>
      <w:bookmarkStart w:id="116" w:name="_Toc458449930"/>
      <w:r w:rsidRPr="00A77989">
        <w:lastRenderedPageBreak/>
        <w:t>Higher education</w:t>
      </w:r>
      <w:bookmarkEnd w:id="115"/>
      <w:bookmarkEnd w:id="116"/>
    </w:p>
    <w:p w:rsidR="00B3796C" w:rsidRPr="00A77989" w:rsidRDefault="003D2A8B" w:rsidP="0026342B">
      <w:pPr>
        <w:spacing w:before="120" w:after="200"/>
        <w:rPr>
          <w:rFonts w:asciiTheme="minorHAnsi" w:hAnsiTheme="minorHAnsi" w:cstheme="minorHAnsi"/>
          <w:color w:val="000000"/>
          <w:sz w:val="22"/>
          <w:lang w:val="en-AU"/>
        </w:rPr>
      </w:pPr>
      <w:r>
        <w:rPr>
          <w:rFonts w:asciiTheme="minorHAnsi" w:hAnsiTheme="minorHAnsi" w:cstheme="minorHAnsi"/>
          <w:color w:val="000000"/>
          <w:sz w:val="22"/>
          <w:lang w:val="en-AU"/>
        </w:rPr>
        <w:t>The</w:t>
      </w:r>
      <w:r w:rsidRPr="005F7E37">
        <w:rPr>
          <w:rFonts w:asciiTheme="minorHAnsi" w:hAnsiTheme="minorHAnsi" w:cstheme="minorHAnsi"/>
          <w:color w:val="000000"/>
          <w:sz w:val="22"/>
          <w:lang w:val="en-AU"/>
        </w:rPr>
        <w:t xml:space="preserve"> Australian </w:t>
      </w:r>
      <w:r>
        <w:rPr>
          <w:rFonts w:asciiTheme="minorHAnsi" w:hAnsiTheme="minorHAnsi" w:cstheme="minorHAnsi"/>
          <w:color w:val="000000"/>
          <w:sz w:val="22"/>
          <w:lang w:val="en-AU"/>
        </w:rPr>
        <w:t xml:space="preserve">Government </w:t>
      </w:r>
      <w:r w:rsidRPr="005F7E37">
        <w:rPr>
          <w:rFonts w:asciiTheme="minorHAnsi" w:hAnsiTheme="minorHAnsi" w:cstheme="minorHAnsi"/>
          <w:color w:val="000000"/>
          <w:sz w:val="22"/>
          <w:lang w:val="en-AU"/>
        </w:rPr>
        <w:t>contribute</w:t>
      </w:r>
      <w:r>
        <w:rPr>
          <w:rFonts w:asciiTheme="minorHAnsi" w:hAnsiTheme="minorHAnsi" w:cstheme="minorHAnsi"/>
          <w:color w:val="000000"/>
          <w:sz w:val="22"/>
          <w:lang w:val="en-AU"/>
        </w:rPr>
        <w:t>s</w:t>
      </w:r>
      <w:r w:rsidRPr="005F7E37">
        <w:rPr>
          <w:rFonts w:asciiTheme="minorHAnsi" w:hAnsiTheme="minorHAnsi" w:cstheme="minorHAnsi"/>
          <w:color w:val="000000"/>
          <w:sz w:val="22"/>
          <w:lang w:val="en-AU"/>
        </w:rPr>
        <w:t xml:space="preserve"> to labour market</w:t>
      </w:r>
      <w:r>
        <w:rPr>
          <w:rFonts w:asciiTheme="minorHAnsi" w:hAnsiTheme="minorHAnsi" w:cstheme="minorHAnsi"/>
          <w:color w:val="000000"/>
          <w:sz w:val="22"/>
          <w:lang w:val="en-AU"/>
        </w:rPr>
        <w:t xml:space="preserve"> participation</w:t>
      </w:r>
      <w:r w:rsidRPr="005F7E37">
        <w:rPr>
          <w:rFonts w:asciiTheme="minorHAnsi" w:hAnsiTheme="minorHAnsi" w:cstheme="minorHAnsi"/>
          <w:color w:val="000000"/>
          <w:sz w:val="22"/>
          <w:lang w:val="en-AU"/>
        </w:rPr>
        <w:t xml:space="preserve"> by enhancing the accessibility of university and higher education</w:t>
      </w:r>
      <w:r>
        <w:rPr>
          <w:rFonts w:asciiTheme="minorHAnsi" w:hAnsiTheme="minorHAnsi" w:cstheme="minorHAnsi"/>
          <w:color w:val="000000"/>
          <w:sz w:val="22"/>
          <w:lang w:val="en-AU"/>
        </w:rPr>
        <w:t xml:space="preserve"> including through a direct contribution to the cost of educating all </w:t>
      </w:r>
      <w:r w:rsidR="009A1159">
        <w:rPr>
          <w:rFonts w:asciiTheme="minorHAnsi" w:hAnsiTheme="minorHAnsi" w:cstheme="minorHAnsi"/>
          <w:color w:val="000000"/>
          <w:sz w:val="22"/>
          <w:lang w:val="en-AU"/>
        </w:rPr>
        <w:t xml:space="preserve">Australian Government </w:t>
      </w:r>
      <w:r>
        <w:rPr>
          <w:rFonts w:asciiTheme="minorHAnsi" w:hAnsiTheme="minorHAnsi" w:cstheme="minorHAnsi"/>
          <w:color w:val="000000"/>
          <w:sz w:val="22"/>
          <w:lang w:val="en-AU"/>
        </w:rPr>
        <w:t>supported students</w:t>
      </w:r>
      <w:r w:rsidRPr="005F7E37">
        <w:rPr>
          <w:rFonts w:asciiTheme="minorHAnsi" w:hAnsiTheme="minorHAnsi" w:cstheme="minorHAnsi"/>
          <w:color w:val="000000"/>
          <w:sz w:val="22"/>
          <w:lang w:val="en-AU"/>
        </w:rPr>
        <w:t xml:space="preserve">. The Government has announced a package of reforms to funding and regulatory frameworks that will support quality, opportunity, fairness and innovative offerings in higher education. </w:t>
      </w:r>
      <w:r w:rsidR="00B3796C" w:rsidRPr="00A77989">
        <w:rPr>
          <w:rFonts w:asciiTheme="minorHAnsi" w:hAnsiTheme="minorHAnsi" w:cstheme="minorHAnsi"/>
          <w:color w:val="000000"/>
          <w:sz w:val="22"/>
          <w:lang w:val="en-AU"/>
        </w:rPr>
        <w:br w:type="page"/>
      </w:r>
    </w:p>
    <w:p w:rsidR="00A561E2" w:rsidRPr="005F7E37" w:rsidRDefault="00A561E2" w:rsidP="00AD08D5">
      <w:pPr>
        <w:pStyle w:val="Heading1"/>
        <w:rPr>
          <w:rFonts w:asciiTheme="minorHAnsi" w:hAnsiTheme="minorHAnsi" w:cstheme="minorHAnsi"/>
          <w:lang w:val="en-AU"/>
        </w:rPr>
      </w:pPr>
      <w:bookmarkStart w:id="117" w:name="_Toc484691723"/>
      <w:bookmarkStart w:id="118" w:name="_Toc487107035"/>
      <w:bookmarkStart w:id="119" w:name="_Toc487110323"/>
      <w:r w:rsidRPr="005F7E37">
        <w:rPr>
          <w:rFonts w:asciiTheme="minorHAnsi" w:hAnsiTheme="minorHAnsi" w:cstheme="minorHAnsi"/>
          <w:lang w:val="en-AU"/>
        </w:rPr>
        <w:lastRenderedPageBreak/>
        <w:t>Monitoring and reporting</w:t>
      </w:r>
      <w:bookmarkEnd w:id="117"/>
      <w:bookmarkEnd w:id="118"/>
      <w:bookmarkEnd w:id="119"/>
    </w:p>
    <w:p w:rsidR="00A561E2" w:rsidRPr="005F7E37" w:rsidRDefault="00A561E2" w:rsidP="00D07301">
      <w:pPr>
        <w:pStyle w:val="Heading2"/>
      </w:pPr>
      <w:bookmarkStart w:id="120" w:name="_Toc487107036"/>
      <w:bookmarkStart w:id="121" w:name="_Toc487110324"/>
      <w:r w:rsidRPr="005F7E37">
        <w:t>Key economic and labour market indicators</w:t>
      </w:r>
      <w:bookmarkEnd w:id="120"/>
      <w:bookmarkEnd w:id="121"/>
    </w:p>
    <w:p w:rsidR="00A561E2" w:rsidRPr="005F7E37" w:rsidRDefault="00A561E2" w:rsidP="00A95B9F">
      <w:pPr>
        <w:pStyle w:val="TableHeadingH3"/>
      </w:pPr>
      <w:bookmarkStart w:id="122" w:name="_Toc487107037"/>
      <w:bookmarkStart w:id="123" w:name="_Toc487110325"/>
      <w:r w:rsidRPr="005F7E37">
        <w:t>Table 3: Key economic and labour market indicators</w:t>
      </w:r>
      <w:bookmarkEnd w:id="122"/>
      <w:bookmarkEnd w:id="123"/>
    </w:p>
    <w:tbl>
      <w:tblPr>
        <w:tblW w:w="9747" w:type="dxa"/>
        <w:tblLayout w:type="fixed"/>
        <w:tblLook w:val="0000" w:firstRow="0" w:lastRow="0" w:firstColumn="0" w:lastColumn="0" w:noHBand="0" w:noVBand="0"/>
      </w:tblPr>
      <w:tblGrid>
        <w:gridCol w:w="6062"/>
        <w:gridCol w:w="1984"/>
        <w:gridCol w:w="1701"/>
      </w:tblGrid>
      <w:tr w:rsidR="00453ED2" w:rsidRPr="005F7E37" w:rsidTr="00D07301">
        <w:trPr>
          <w:tblHeader/>
        </w:trPr>
        <w:tc>
          <w:tcPr>
            <w:tcW w:w="6062" w:type="dxa"/>
            <w:tcBorders>
              <w:top w:val="single" w:sz="4" w:space="0" w:color="auto"/>
              <w:bottom w:val="single" w:sz="4" w:space="0" w:color="auto"/>
            </w:tcBorders>
            <w:shd w:val="clear" w:color="auto" w:fill="EEECE1" w:themeFill="background2"/>
          </w:tcPr>
          <w:p w:rsidR="00453ED2" w:rsidRPr="005F7E37" w:rsidRDefault="00453ED2" w:rsidP="00AD08D5">
            <w:pPr>
              <w:rPr>
                <w:rFonts w:asciiTheme="minorHAnsi" w:hAnsiTheme="minorHAnsi" w:cstheme="minorHAnsi"/>
                <w:b/>
                <w:bCs/>
                <w:color w:val="000000"/>
                <w:sz w:val="20"/>
                <w:szCs w:val="20"/>
                <w:lang w:val="en-AU"/>
              </w:rPr>
            </w:pPr>
            <w:r w:rsidRPr="005F7E37">
              <w:rPr>
                <w:rFonts w:asciiTheme="minorHAnsi" w:hAnsiTheme="minorHAnsi" w:cstheme="minorHAnsi"/>
                <w:b/>
                <w:bCs/>
                <w:color w:val="000000"/>
                <w:sz w:val="20"/>
                <w:szCs w:val="20"/>
                <w:lang w:val="en-AU"/>
              </w:rPr>
              <w:t>Key indicator</w:t>
            </w:r>
          </w:p>
        </w:tc>
        <w:tc>
          <w:tcPr>
            <w:tcW w:w="1984" w:type="dxa"/>
            <w:tcBorders>
              <w:top w:val="single" w:sz="4" w:space="0" w:color="auto"/>
              <w:bottom w:val="single" w:sz="4" w:space="0" w:color="auto"/>
            </w:tcBorders>
            <w:shd w:val="clear" w:color="auto" w:fill="EEECE1" w:themeFill="background2"/>
          </w:tcPr>
          <w:p w:rsidR="00453ED2" w:rsidRPr="005F7E37" w:rsidRDefault="00453ED2" w:rsidP="001A37A5">
            <w:pPr>
              <w:jc w:val="center"/>
              <w:rPr>
                <w:rFonts w:asciiTheme="minorHAnsi" w:hAnsiTheme="minorHAnsi" w:cstheme="minorHAnsi"/>
                <w:b/>
                <w:bCs/>
                <w:color w:val="000000"/>
                <w:sz w:val="20"/>
                <w:szCs w:val="20"/>
                <w:lang w:val="en-AU"/>
              </w:rPr>
            </w:pPr>
            <w:r w:rsidRPr="005F7E37">
              <w:rPr>
                <w:rFonts w:asciiTheme="minorHAnsi" w:hAnsiTheme="minorHAnsi" w:cstheme="minorHAnsi"/>
                <w:b/>
                <w:bCs/>
                <w:color w:val="000000"/>
                <w:sz w:val="20"/>
                <w:szCs w:val="20"/>
                <w:lang w:val="en-AU"/>
              </w:rPr>
              <w:t>2008</w:t>
            </w:r>
          </w:p>
        </w:tc>
        <w:tc>
          <w:tcPr>
            <w:tcW w:w="1701" w:type="dxa"/>
            <w:tcBorders>
              <w:top w:val="single" w:sz="4" w:space="0" w:color="auto"/>
              <w:bottom w:val="single" w:sz="4" w:space="0" w:color="auto"/>
            </w:tcBorders>
            <w:shd w:val="clear" w:color="auto" w:fill="EEECE1" w:themeFill="background2"/>
          </w:tcPr>
          <w:p w:rsidR="00453ED2" w:rsidRPr="005F7E37" w:rsidRDefault="00453ED2" w:rsidP="001A37A5">
            <w:pPr>
              <w:jc w:val="center"/>
              <w:rPr>
                <w:rFonts w:asciiTheme="minorHAnsi" w:hAnsiTheme="minorHAnsi" w:cstheme="minorHAnsi"/>
                <w:b/>
                <w:bCs/>
                <w:color w:val="000000"/>
                <w:sz w:val="20"/>
                <w:szCs w:val="20"/>
                <w:highlight w:val="yellow"/>
                <w:lang w:val="en-AU"/>
              </w:rPr>
            </w:pPr>
            <w:r w:rsidRPr="005F7E37">
              <w:rPr>
                <w:rFonts w:asciiTheme="minorHAnsi" w:hAnsiTheme="minorHAnsi" w:cstheme="minorHAnsi"/>
                <w:b/>
                <w:sz w:val="20"/>
                <w:szCs w:val="20"/>
              </w:rPr>
              <w:t>2016</w:t>
            </w:r>
          </w:p>
        </w:tc>
      </w:tr>
      <w:tr w:rsidR="00453ED2" w:rsidRPr="005F7E37" w:rsidTr="00413837">
        <w:tc>
          <w:tcPr>
            <w:tcW w:w="6062" w:type="dxa"/>
            <w:tcBorders>
              <w:top w:val="single" w:sz="4" w:space="0" w:color="auto"/>
            </w:tcBorders>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GDP growth (real)</w:t>
            </w:r>
            <w:r w:rsidR="00A3361B">
              <w:rPr>
                <w:rFonts w:asciiTheme="minorHAnsi" w:hAnsiTheme="minorHAnsi" w:cstheme="minorHAnsi"/>
                <w:bCs/>
                <w:color w:val="000000"/>
                <w:sz w:val="20"/>
                <w:szCs w:val="20"/>
                <w:lang w:val="en-AU"/>
              </w:rPr>
              <w:t xml:space="preserve"> (%)</w:t>
            </w:r>
          </w:p>
        </w:tc>
        <w:tc>
          <w:tcPr>
            <w:tcW w:w="1984" w:type="dxa"/>
            <w:tcBorders>
              <w:top w:val="single" w:sz="4" w:space="0" w:color="auto"/>
            </w:tcBorders>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2.5</w:t>
            </w:r>
          </w:p>
        </w:tc>
        <w:tc>
          <w:tcPr>
            <w:tcW w:w="1701" w:type="dxa"/>
            <w:tcBorders>
              <w:top w:val="single" w:sz="4" w:space="0" w:color="auto"/>
            </w:tcBorders>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2.4</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GDP per capita (2010 $US constant price in PPPs)</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$US 40,871</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$US 43,917</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Employment growth</w:t>
            </w:r>
            <w:r w:rsidR="00A3361B">
              <w:rPr>
                <w:rFonts w:asciiTheme="minorHAnsi" w:hAnsiTheme="minorHAnsi" w:cstheme="minorHAnsi"/>
                <w:bCs/>
                <w:color w:val="000000"/>
                <w:sz w:val="20"/>
                <w:szCs w:val="20"/>
                <w:lang w:val="en-AU"/>
              </w:rPr>
              <w:t xml:space="preserv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2.8</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1.6</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 xml:space="preserve">Employment-population ratio (for 15-64) </w:t>
            </w:r>
            <w:r w:rsidR="00A3361B">
              <w:rPr>
                <w:rFonts w:asciiTheme="minorHAnsi" w:hAnsiTheme="minorHAnsi" w:cstheme="minorHAnsi"/>
                <w:bCs/>
                <w:color w:val="000000"/>
                <w:sz w:val="20"/>
                <w:szCs w:val="20"/>
                <w:lang w:val="en-AU"/>
              </w:rPr>
              <w:t>(%)</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72.8</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72.4</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Unemployment rate</w:t>
            </w:r>
            <w:r w:rsidR="00A3361B">
              <w:rPr>
                <w:rFonts w:asciiTheme="minorHAnsi" w:hAnsiTheme="minorHAnsi" w:cstheme="minorHAnsi"/>
                <w:bCs/>
                <w:color w:val="000000"/>
                <w:sz w:val="20"/>
                <w:szCs w:val="20"/>
                <w:lang w:val="en-AU"/>
              </w:rPr>
              <w:t xml:space="preserv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4.2</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5.7</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Incidence of long-term unemployment</w:t>
            </w:r>
            <w:r w:rsidR="00A3361B">
              <w:rPr>
                <w:rFonts w:asciiTheme="minorHAnsi" w:hAnsiTheme="minorHAnsi" w:cstheme="minorHAnsi"/>
                <w:bCs/>
                <w:color w:val="000000"/>
                <w:sz w:val="20"/>
                <w:szCs w:val="20"/>
                <w:lang w:val="en-AU"/>
              </w:rPr>
              <w:t xml:space="preserv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14.9</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23.7</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Participation rate (for population aged 15-64)</w:t>
            </w:r>
            <w:r w:rsidR="00A3361B">
              <w:rPr>
                <w:rFonts w:asciiTheme="minorHAnsi" w:hAnsiTheme="minorHAnsi" w:cstheme="minorHAnsi"/>
                <w:bCs/>
                <w:color w:val="000000"/>
                <w:sz w:val="20"/>
                <w:szCs w:val="20"/>
                <w:lang w:val="en-AU"/>
              </w:rPr>
              <w:t xml:space="preserv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76.5</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76.9</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Participation rate (for population aged 55-64)</w:t>
            </w:r>
            <w:r w:rsidR="00A3361B">
              <w:rPr>
                <w:rFonts w:asciiTheme="minorHAnsi" w:hAnsiTheme="minorHAnsi" w:cstheme="minorHAnsi"/>
                <w:bCs/>
                <w:color w:val="000000"/>
                <w:sz w:val="20"/>
                <w:szCs w:val="20"/>
                <w:lang w:val="en-AU"/>
              </w:rPr>
              <w:t xml:space="preserv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58.8</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65.2</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Participation rate (for population aged 65+)</w:t>
            </w:r>
            <w:r w:rsidR="00A3361B">
              <w:rPr>
                <w:rFonts w:asciiTheme="minorHAnsi" w:hAnsiTheme="minorHAnsi" w:cstheme="minorHAnsi"/>
                <w:bCs/>
                <w:color w:val="000000"/>
                <w:sz w:val="20"/>
                <w:szCs w:val="20"/>
                <w:lang w:val="en-AU"/>
              </w:rPr>
              <w:t xml:space="preserv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9.2</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12.4</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Informal employment as a share of total employment</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Temporary employment as a share of total employment</w:t>
            </w:r>
            <w:r w:rsidR="00A3361B">
              <w:rPr>
                <w:rFonts w:asciiTheme="minorHAnsi" w:hAnsiTheme="minorHAnsi" w:cstheme="minorHAnsi"/>
                <w:bCs/>
                <w:color w:val="000000"/>
                <w:sz w:val="20"/>
                <w:szCs w:val="20"/>
                <w:lang w:val="en-AU"/>
              </w:rPr>
              <w:t xml:space="preserv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5.9</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sz w:val="20"/>
                <w:szCs w:val="20"/>
              </w:rPr>
              <w:t>5.5 (2015)</w:t>
            </w:r>
          </w:p>
        </w:tc>
      </w:tr>
      <w:tr w:rsidR="00453ED2" w:rsidRPr="005F7E37" w:rsidTr="00413837">
        <w:tc>
          <w:tcPr>
            <w:tcW w:w="6062" w:type="dxa"/>
            <w:tcBorders>
              <w:bottom w:val="single" w:sz="4" w:space="0" w:color="auto"/>
            </w:tcBorders>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Sectoral composition of employment (as a % of total employment)</w:t>
            </w:r>
          </w:p>
          <w:p w:rsidR="00453ED2" w:rsidRPr="005F7E37" w:rsidRDefault="00453ED2" w:rsidP="00AD08D5">
            <w:pPr>
              <w:pStyle w:val="1"/>
              <w:numPr>
                <w:ilvl w:val="0"/>
                <w:numId w:val="1"/>
              </w:numPr>
              <w:contextualSpacing w:val="0"/>
              <w:jc w:val="both"/>
              <w:rPr>
                <w:rFonts w:asciiTheme="minorHAnsi" w:hAnsiTheme="minorHAnsi" w:cstheme="minorHAnsi"/>
                <w:bCs/>
                <w:color w:val="000000"/>
                <w:sz w:val="20"/>
                <w:szCs w:val="20"/>
                <w:lang w:val="en-AU"/>
              </w:rPr>
            </w:pPr>
            <w:r w:rsidRPr="005F7E37">
              <w:rPr>
                <w:rFonts w:asciiTheme="minorHAnsi" w:eastAsia="SimSun" w:hAnsiTheme="minorHAnsi" w:cstheme="minorHAnsi"/>
                <w:bCs/>
                <w:color w:val="000000"/>
                <w:sz w:val="20"/>
                <w:szCs w:val="20"/>
                <w:lang w:val="en-AU" w:eastAsia="zh-CN"/>
              </w:rPr>
              <w:t>Agriculture</w:t>
            </w:r>
            <w:r w:rsidR="00A3361B">
              <w:rPr>
                <w:rFonts w:asciiTheme="minorHAnsi" w:eastAsia="SimSun" w:hAnsiTheme="minorHAnsi" w:cstheme="minorHAnsi"/>
                <w:bCs/>
                <w:color w:val="000000"/>
                <w:sz w:val="20"/>
                <w:szCs w:val="20"/>
                <w:lang w:val="en-AU" w:eastAsia="zh-CN"/>
              </w:rPr>
              <w:t xml:space="preserve"> (%)</w:t>
            </w:r>
          </w:p>
          <w:p w:rsidR="00453ED2" w:rsidRPr="005F7E37" w:rsidRDefault="00453ED2" w:rsidP="00AD08D5">
            <w:pPr>
              <w:pStyle w:val="1"/>
              <w:numPr>
                <w:ilvl w:val="0"/>
                <w:numId w:val="1"/>
              </w:numPr>
              <w:contextualSpacing w:val="0"/>
              <w:jc w:val="both"/>
              <w:rPr>
                <w:rFonts w:asciiTheme="minorHAnsi" w:hAnsiTheme="minorHAnsi" w:cstheme="minorHAnsi"/>
                <w:bCs/>
                <w:color w:val="000000"/>
                <w:sz w:val="20"/>
                <w:szCs w:val="20"/>
                <w:lang w:val="en-AU"/>
              </w:rPr>
            </w:pPr>
            <w:r w:rsidRPr="005F7E37">
              <w:rPr>
                <w:rFonts w:asciiTheme="minorHAnsi" w:eastAsia="SimSun" w:hAnsiTheme="minorHAnsi" w:cstheme="minorHAnsi"/>
                <w:bCs/>
                <w:color w:val="000000"/>
                <w:sz w:val="20"/>
                <w:szCs w:val="20"/>
                <w:lang w:val="en-AU" w:eastAsia="zh-CN"/>
              </w:rPr>
              <w:t>Construction</w:t>
            </w:r>
            <w:r w:rsidR="00A3361B">
              <w:rPr>
                <w:rFonts w:asciiTheme="minorHAnsi" w:eastAsia="SimSun" w:hAnsiTheme="minorHAnsi" w:cstheme="minorHAnsi"/>
                <w:bCs/>
                <w:color w:val="000000"/>
                <w:sz w:val="20"/>
                <w:szCs w:val="20"/>
                <w:lang w:val="en-AU" w:eastAsia="zh-CN"/>
              </w:rPr>
              <w:t xml:space="preserve"> (%)</w:t>
            </w:r>
          </w:p>
          <w:p w:rsidR="00453ED2" w:rsidRPr="005F7E37" w:rsidRDefault="00453ED2" w:rsidP="00AD08D5">
            <w:pPr>
              <w:pStyle w:val="1"/>
              <w:numPr>
                <w:ilvl w:val="0"/>
                <w:numId w:val="1"/>
              </w:numPr>
              <w:contextualSpacing w:val="0"/>
              <w:jc w:val="both"/>
              <w:rPr>
                <w:rFonts w:asciiTheme="minorHAnsi" w:hAnsiTheme="minorHAnsi" w:cstheme="minorHAnsi"/>
                <w:bCs/>
                <w:color w:val="000000"/>
                <w:sz w:val="20"/>
                <w:szCs w:val="20"/>
                <w:lang w:val="en-AU"/>
              </w:rPr>
            </w:pPr>
            <w:r w:rsidRPr="005F7E37">
              <w:rPr>
                <w:rFonts w:asciiTheme="minorHAnsi" w:eastAsia="SimSun" w:hAnsiTheme="minorHAnsi" w:cstheme="minorHAnsi"/>
                <w:bCs/>
                <w:color w:val="000000"/>
                <w:sz w:val="20"/>
                <w:szCs w:val="20"/>
                <w:lang w:val="en-AU" w:eastAsia="zh-CN"/>
              </w:rPr>
              <w:t>Manufacturing</w:t>
            </w:r>
            <w:r w:rsidR="00A3361B">
              <w:rPr>
                <w:rFonts w:asciiTheme="minorHAnsi" w:eastAsia="SimSun" w:hAnsiTheme="minorHAnsi" w:cstheme="minorHAnsi"/>
                <w:bCs/>
                <w:color w:val="000000"/>
                <w:sz w:val="20"/>
                <w:szCs w:val="20"/>
                <w:lang w:val="en-AU" w:eastAsia="zh-CN"/>
              </w:rPr>
              <w:t xml:space="preserve"> (%)</w:t>
            </w:r>
          </w:p>
          <w:p w:rsidR="00453ED2" w:rsidRPr="005F7E37" w:rsidRDefault="00453ED2" w:rsidP="00AD08D5">
            <w:pPr>
              <w:pStyle w:val="1"/>
              <w:numPr>
                <w:ilvl w:val="0"/>
                <w:numId w:val="1"/>
              </w:numPr>
              <w:contextualSpacing w:val="0"/>
              <w:jc w:val="both"/>
              <w:rPr>
                <w:rFonts w:asciiTheme="minorHAnsi" w:hAnsiTheme="minorHAnsi" w:cstheme="minorHAnsi"/>
                <w:bCs/>
                <w:color w:val="000000"/>
                <w:sz w:val="20"/>
                <w:szCs w:val="20"/>
                <w:lang w:val="en-AU"/>
              </w:rPr>
            </w:pPr>
            <w:r w:rsidRPr="005F7E37">
              <w:rPr>
                <w:rFonts w:asciiTheme="minorHAnsi" w:eastAsia="SimSun" w:hAnsiTheme="minorHAnsi" w:cstheme="minorHAnsi"/>
                <w:bCs/>
                <w:color w:val="000000"/>
                <w:sz w:val="20"/>
                <w:szCs w:val="20"/>
                <w:lang w:val="en-AU" w:eastAsia="zh-CN"/>
              </w:rPr>
              <w:t>Services</w:t>
            </w:r>
            <w:r w:rsidR="00A3361B">
              <w:rPr>
                <w:rFonts w:asciiTheme="minorHAnsi" w:eastAsia="SimSun" w:hAnsiTheme="minorHAnsi" w:cstheme="minorHAnsi"/>
                <w:bCs/>
                <w:color w:val="000000"/>
                <w:sz w:val="20"/>
                <w:szCs w:val="20"/>
                <w:lang w:val="en-AU" w:eastAsia="zh-CN"/>
              </w:rPr>
              <w:t xml:space="preserve"> (%)</w:t>
            </w:r>
          </w:p>
        </w:tc>
        <w:tc>
          <w:tcPr>
            <w:tcW w:w="1984" w:type="dxa"/>
            <w:tcBorders>
              <w:bottom w:val="single" w:sz="4" w:space="0" w:color="auto"/>
            </w:tcBorders>
            <w:shd w:val="clear" w:color="auto" w:fill="auto"/>
          </w:tcPr>
          <w:p w:rsidR="00453ED2" w:rsidRPr="005F7E37" w:rsidRDefault="00453ED2" w:rsidP="001A37A5">
            <w:pPr>
              <w:jc w:val="center"/>
              <w:rPr>
                <w:rFonts w:asciiTheme="minorHAnsi" w:hAnsiTheme="minorHAnsi" w:cstheme="minorHAnsi"/>
                <w:color w:val="000000"/>
                <w:sz w:val="20"/>
                <w:szCs w:val="20"/>
                <w:lang w:val="en-AU"/>
              </w:rPr>
            </w:pPr>
          </w:p>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3.3</w:t>
            </w:r>
          </w:p>
          <w:p w:rsidR="00453ED2" w:rsidRDefault="00FE2E51" w:rsidP="001A37A5">
            <w:pPr>
              <w:jc w:val="center"/>
              <w:rPr>
                <w:rFonts w:asciiTheme="minorHAnsi" w:hAnsiTheme="minorHAnsi" w:cstheme="minorHAnsi"/>
                <w:color w:val="000000"/>
                <w:sz w:val="20"/>
                <w:szCs w:val="20"/>
                <w:lang w:val="en-AU"/>
              </w:rPr>
            </w:pPr>
            <w:r>
              <w:rPr>
                <w:rFonts w:asciiTheme="minorHAnsi" w:hAnsiTheme="minorHAnsi" w:cstheme="minorHAnsi"/>
                <w:color w:val="000000"/>
                <w:sz w:val="20"/>
                <w:szCs w:val="20"/>
                <w:lang w:val="en-AU"/>
              </w:rPr>
              <w:t>9.2</w:t>
            </w:r>
          </w:p>
          <w:p w:rsidR="00FE2E51" w:rsidRDefault="00FE2E51"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12.4</w:t>
            </w:r>
          </w:p>
          <w:p w:rsidR="00FE2E51" w:rsidRPr="005F7E37" w:rsidRDefault="00FE2E51"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75.1</w:t>
            </w:r>
          </w:p>
        </w:tc>
        <w:tc>
          <w:tcPr>
            <w:tcW w:w="1701" w:type="dxa"/>
            <w:tcBorders>
              <w:bottom w:val="single" w:sz="4" w:space="0" w:color="auto"/>
            </w:tcBorders>
            <w:shd w:val="clear" w:color="auto" w:fill="auto"/>
          </w:tcPr>
          <w:p w:rsidR="00DA788A" w:rsidRPr="005F7E37" w:rsidRDefault="00DA788A" w:rsidP="001A37A5">
            <w:pPr>
              <w:jc w:val="center"/>
              <w:rPr>
                <w:rFonts w:asciiTheme="minorHAnsi" w:hAnsiTheme="minorHAnsi" w:cstheme="minorHAnsi"/>
                <w:color w:val="000000"/>
                <w:sz w:val="20"/>
                <w:szCs w:val="20"/>
                <w:lang w:val="en-AU"/>
              </w:rPr>
            </w:pPr>
          </w:p>
          <w:p w:rsidR="00DA788A"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2.6 (2015)</w:t>
            </w:r>
          </w:p>
          <w:p w:rsidR="00DA788A"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8.8 (2015)</w:t>
            </w:r>
          </w:p>
          <w:p w:rsidR="00DA788A"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10.7 (2015)</w:t>
            </w:r>
          </w:p>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77.9 (2015)</w:t>
            </w:r>
          </w:p>
        </w:tc>
      </w:tr>
    </w:tbl>
    <w:p w:rsidR="00DA788A" w:rsidRPr="005F7E37" w:rsidRDefault="00DA788A" w:rsidP="00AD08D5">
      <w:pPr>
        <w:keepNext/>
        <w:spacing w:before="120" w:after="240"/>
        <w:rPr>
          <w:rFonts w:asciiTheme="minorHAnsi" w:hAnsiTheme="minorHAnsi" w:cstheme="minorHAnsi"/>
          <w:sz w:val="18"/>
          <w:szCs w:val="18"/>
        </w:rPr>
      </w:pPr>
      <w:bookmarkStart w:id="124" w:name="_Toc452625236"/>
      <w:bookmarkStart w:id="125" w:name="_Toc458449933"/>
      <w:r w:rsidRPr="005F7E37">
        <w:rPr>
          <w:rFonts w:asciiTheme="minorHAnsi" w:hAnsiTheme="minorHAnsi" w:cstheme="minorHAnsi"/>
          <w:sz w:val="18"/>
          <w:szCs w:val="18"/>
        </w:rPr>
        <w:t xml:space="preserve">Source: </w:t>
      </w:r>
      <w:proofErr w:type="spellStart"/>
      <w:r w:rsidRPr="005F7E37">
        <w:rPr>
          <w:rFonts w:asciiTheme="minorHAnsi" w:hAnsiTheme="minorHAnsi" w:cstheme="minorHAnsi"/>
          <w:sz w:val="18"/>
          <w:szCs w:val="18"/>
        </w:rPr>
        <w:t>ILOSTAT</w:t>
      </w:r>
      <w:proofErr w:type="spellEnd"/>
      <w:r w:rsidRPr="005F7E37">
        <w:rPr>
          <w:rFonts w:asciiTheme="minorHAnsi" w:hAnsiTheme="minorHAnsi" w:cstheme="minorHAnsi"/>
          <w:sz w:val="18"/>
          <w:szCs w:val="18"/>
        </w:rPr>
        <w:t xml:space="preserve">, </w:t>
      </w:r>
      <w:proofErr w:type="spellStart"/>
      <w:r w:rsidRPr="005F7E37">
        <w:rPr>
          <w:rFonts w:asciiTheme="minorHAnsi" w:hAnsiTheme="minorHAnsi" w:cstheme="minorHAnsi"/>
          <w:sz w:val="18"/>
          <w:szCs w:val="18"/>
        </w:rPr>
        <w:t>OECD.Stat</w:t>
      </w:r>
      <w:proofErr w:type="spellEnd"/>
      <w:r w:rsidRPr="005F7E37">
        <w:rPr>
          <w:rFonts w:asciiTheme="minorHAnsi" w:hAnsiTheme="minorHAnsi" w:cstheme="minorHAnsi"/>
          <w:sz w:val="18"/>
          <w:szCs w:val="18"/>
        </w:rPr>
        <w:t xml:space="preserve"> and data provided by the ILO and OECD to the G20 Employment Working Group in April 2017. </w:t>
      </w:r>
    </w:p>
    <w:p w:rsidR="00A561E2" w:rsidRPr="005F7E37" w:rsidRDefault="00A561E2" w:rsidP="0029104D">
      <w:pPr>
        <w:pStyle w:val="Heading2"/>
      </w:pPr>
      <w:bookmarkStart w:id="126" w:name="_Toc487107038"/>
      <w:bookmarkStart w:id="127" w:name="_Toc487110326"/>
      <w:r w:rsidRPr="005F7E37">
        <w:t>Key policy indicators</w:t>
      </w:r>
      <w:bookmarkEnd w:id="124"/>
      <w:bookmarkEnd w:id="125"/>
      <w:bookmarkEnd w:id="126"/>
      <w:bookmarkEnd w:id="127"/>
    </w:p>
    <w:p w:rsidR="00A561E2" w:rsidRPr="005F7E37" w:rsidRDefault="00A561E2" w:rsidP="00A95B9F">
      <w:pPr>
        <w:pStyle w:val="TableHeadingH3"/>
      </w:pPr>
      <w:bookmarkStart w:id="128" w:name="_Toc487107039"/>
      <w:bookmarkStart w:id="129" w:name="_Toc487110327"/>
      <w:r w:rsidRPr="005F7E37">
        <w:t>Table 4: Key policy indicators</w:t>
      </w:r>
      <w:bookmarkEnd w:id="128"/>
      <w:bookmarkEnd w:id="129"/>
    </w:p>
    <w:tbl>
      <w:tblPr>
        <w:tblW w:w="9747" w:type="dxa"/>
        <w:tblLayout w:type="fixed"/>
        <w:tblLook w:val="0000" w:firstRow="0" w:lastRow="0" w:firstColumn="0" w:lastColumn="0" w:noHBand="0" w:noVBand="0"/>
      </w:tblPr>
      <w:tblGrid>
        <w:gridCol w:w="6062"/>
        <w:gridCol w:w="1984"/>
        <w:gridCol w:w="1701"/>
      </w:tblGrid>
      <w:tr w:rsidR="00A561E2" w:rsidRPr="005F7E37" w:rsidTr="00B91415">
        <w:tc>
          <w:tcPr>
            <w:tcW w:w="6062" w:type="dxa"/>
            <w:tcBorders>
              <w:top w:val="single" w:sz="4" w:space="0" w:color="auto"/>
              <w:bottom w:val="single" w:sz="4" w:space="0" w:color="auto"/>
            </w:tcBorders>
            <w:shd w:val="clear" w:color="auto" w:fill="EEECE1" w:themeFill="background2"/>
          </w:tcPr>
          <w:p w:rsidR="00A561E2" w:rsidRPr="005F7E37" w:rsidRDefault="00A561E2" w:rsidP="00AD08D5">
            <w:pPr>
              <w:rPr>
                <w:rFonts w:asciiTheme="minorHAnsi" w:hAnsiTheme="minorHAnsi" w:cstheme="minorHAnsi"/>
                <w:b/>
                <w:bCs/>
                <w:color w:val="000000"/>
                <w:sz w:val="20"/>
                <w:szCs w:val="20"/>
                <w:lang w:val="en-AU"/>
              </w:rPr>
            </w:pPr>
            <w:r w:rsidRPr="005F7E37">
              <w:rPr>
                <w:rFonts w:asciiTheme="minorHAnsi" w:hAnsiTheme="minorHAnsi" w:cstheme="minorHAnsi"/>
                <w:b/>
                <w:bCs/>
                <w:color w:val="000000"/>
                <w:sz w:val="20"/>
                <w:szCs w:val="20"/>
                <w:lang w:val="en-AU"/>
              </w:rPr>
              <w:t>Key indicator</w:t>
            </w:r>
          </w:p>
        </w:tc>
        <w:tc>
          <w:tcPr>
            <w:tcW w:w="1984" w:type="dxa"/>
            <w:tcBorders>
              <w:top w:val="single" w:sz="4" w:space="0" w:color="auto"/>
              <w:bottom w:val="single" w:sz="4" w:space="0" w:color="auto"/>
            </w:tcBorders>
            <w:shd w:val="clear" w:color="auto" w:fill="EEECE1" w:themeFill="background2"/>
          </w:tcPr>
          <w:p w:rsidR="00A561E2" w:rsidRPr="005F7E37" w:rsidRDefault="00A561E2" w:rsidP="001A37A5">
            <w:pPr>
              <w:jc w:val="center"/>
              <w:rPr>
                <w:rFonts w:asciiTheme="minorHAnsi" w:hAnsiTheme="minorHAnsi" w:cstheme="minorHAnsi"/>
                <w:b/>
                <w:bCs/>
                <w:color w:val="000000"/>
                <w:sz w:val="20"/>
                <w:szCs w:val="20"/>
                <w:lang w:val="en-AU"/>
              </w:rPr>
            </w:pPr>
            <w:r w:rsidRPr="005F7E37">
              <w:rPr>
                <w:rFonts w:asciiTheme="minorHAnsi" w:hAnsiTheme="minorHAnsi" w:cstheme="minorHAnsi"/>
                <w:b/>
                <w:bCs/>
                <w:color w:val="000000"/>
                <w:sz w:val="20"/>
                <w:szCs w:val="20"/>
                <w:lang w:val="en-AU"/>
              </w:rPr>
              <w:t>2008</w:t>
            </w:r>
          </w:p>
        </w:tc>
        <w:tc>
          <w:tcPr>
            <w:tcW w:w="1701" w:type="dxa"/>
            <w:tcBorders>
              <w:top w:val="single" w:sz="4" w:space="0" w:color="auto"/>
              <w:bottom w:val="single" w:sz="4" w:space="0" w:color="auto"/>
            </w:tcBorders>
            <w:shd w:val="clear" w:color="auto" w:fill="EEECE1" w:themeFill="background2"/>
          </w:tcPr>
          <w:p w:rsidR="00A561E2" w:rsidRPr="005F7E37" w:rsidRDefault="001A37A5" w:rsidP="001A37A5">
            <w:pPr>
              <w:jc w:val="center"/>
              <w:rPr>
                <w:rFonts w:asciiTheme="minorHAnsi" w:hAnsiTheme="minorHAnsi" w:cstheme="minorHAnsi"/>
                <w:b/>
                <w:bCs/>
                <w:color w:val="000000"/>
                <w:sz w:val="20"/>
                <w:szCs w:val="20"/>
                <w:highlight w:val="yellow"/>
                <w:lang w:val="en-AU"/>
              </w:rPr>
            </w:pPr>
            <w:r>
              <w:rPr>
                <w:rFonts w:asciiTheme="minorHAnsi" w:hAnsiTheme="minorHAnsi" w:cstheme="minorHAnsi"/>
                <w:b/>
                <w:bCs/>
                <w:color w:val="000000"/>
                <w:sz w:val="20"/>
                <w:szCs w:val="20"/>
                <w:lang w:val="en-AU"/>
              </w:rPr>
              <w:t>L</w:t>
            </w:r>
            <w:r w:rsidR="00FE2E51">
              <w:rPr>
                <w:rFonts w:asciiTheme="minorHAnsi" w:hAnsiTheme="minorHAnsi" w:cstheme="minorHAnsi"/>
                <w:b/>
                <w:bCs/>
                <w:color w:val="000000"/>
                <w:sz w:val="20"/>
                <w:szCs w:val="20"/>
                <w:lang w:val="en-AU"/>
              </w:rPr>
              <w:t>atest available data</w:t>
            </w:r>
          </w:p>
        </w:tc>
      </w:tr>
      <w:tr w:rsidR="00453ED2" w:rsidRPr="005F7E37" w:rsidTr="00413837">
        <w:tc>
          <w:tcPr>
            <w:tcW w:w="6062" w:type="dxa"/>
            <w:tcBorders>
              <w:top w:val="single" w:sz="4" w:space="0" w:color="auto"/>
            </w:tcBorders>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Gini coefficient (income Gini)</w:t>
            </w:r>
          </w:p>
        </w:tc>
        <w:tc>
          <w:tcPr>
            <w:tcW w:w="1984" w:type="dxa"/>
            <w:tcBorders>
              <w:top w:val="single" w:sz="4" w:space="0" w:color="auto"/>
            </w:tcBorders>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0.33</w:t>
            </w:r>
            <w:r w:rsidR="001A37A5">
              <w:rPr>
                <w:rFonts w:asciiTheme="minorHAnsi" w:hAnsiTheme="minorHAnsi" w:cstheme="minorHAnsi"/>
                <w:color w:val="000000"/>
                <w:sz w:val="20"/>
                <w:szCs w:val="20"/>
                <w:lang w:val="en-AU"/>
              </w:rPr>
              <w:t>6</w:t>
            </w:r>
          </w:p>
        </w:tc>
        <w:tc>
          <w:tcPr>
            <w:tcW w:w="1701" w:type="dxa"/>
            <w:tcBorders>
              <w:top w:val="single" w:sz="4" w:space="0" w:color="auto"/>
            </w:tcBorders>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0.337</w:t>
            </w:r>
            <w:r w:rsidR="00FE2E51">
              <w:rPr>
                <w:rFonts w:asciiTheme="minorHAnsi" w:hAnsiTheme="minorHAnsi" w:cstheme="minorHAnsi"/>
                <w:color w:val="000000"/>
                <w:sz w:val="20"/>
                <w:szCs w:val="20"/>
                <w:lang w:val="en-AU"/>
              </w:rPr>
              <w:t xml:space="preserve"> (2014)</w:t>
            </w:r>
          </w:p>
        </w:tc>
      </w:tr>
      <w:tr w:rsidR="00453ED2" w:rsidRPr="005F7E37" w:rsidTr="00413837">
        <w:tc>
          <w:tcPr>
            <w:tcW w:w="6062" w:type="dxa"/>
            <w:shd w:val="clear" w:color="auto" w:fill="auto"/>
          </w:tcPr>
          <w:p w:rsidR="00453ED2" w:rsidRPr="005F7E37" w:rsidRDefault="00453ED2" w:rsidP="001A37A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Poverty (% below poverty line)</w:t>
            </w:r>
          </w:p>
        </w:tc>
        <w:tc>
          <w:tcPr>
            <w:tcW w:w="1984" w:type="dxa"/>
            <w:shd w:val="clear" w:color="auto" w:fill="auto"/>
          </w:tcPr>
          <w:p w:rsidR="00453ED2" w:rsidRPr="005F7E37" w:rsidRDefault="001A37A5" w:rsidP="001A37A5">
            <w:pPr>
              <w:jc w:val="center"/>
              <w:rPr>
                <w:rFonts w:asciiTheme="minorHAnsi" w:hAnsiTheme="minorHAnsi" w:cstheme="minorHAnsi"/>
                <w:color w:val="000000"/>
                <w:sz w:val="20"/>
                <w:szCs w:val="20"/>
                <w:lang w:val="en-AU"/>
              </w:rPr>
            </w:pPr>
            <w:r>
              <w:rPr>
                <w:rFonts w:asciiTheme="minorHAnsi" w:hAnsiTheme="minorHAnsi" w:cstheme="minorHAnsi"/>
                <w:color w:val="000000"/>
                <w:sz w:val="20"/>
                <w:szCs w:val="20"/>
                <w:lang w:val="en-AU"/>
              </w:rPr>
              <w:t>14.6</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12.8</w:t>
            </w:r>
            <w:r w:rsidR="00FE2E51">
              <w:rPr>
                <w:rFonts w:asciiTheme="minorHAnsi" w:hAnsiTheme="minorHAnsi" w:cstheme="minorHAnsi"/>
                <w:color w:val="000000"/>
                <w:sz w:val="20"/>
                <w:szCs w:val="20"/>
                <w:lang w:val="en-AU"/>
              </w:rPr>
              <w:t xml:space="preserve"> (2014)</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Minimum relative to average wages of full-time workers</w:t>
            </w:r>
            <w:r w:rsidR="00A3361B">
              <w:rPr>
                <w:rFonts w:asciiTheme="minorHAnsi" w:hAnsiTheme="minorHAnsi" w:cstheme="minorHAnsi"/>
                <w:bCs/>
                <w:color w:val="000000"/>
                <w:sz w:val="20"/>
                <w:szCs w:val="20"/>
                <w:lang w:val="en-AU"/>
              </w:rPr>
              <w:t xml:space="preserv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44.9</w:t>
            </w:r>
          </w:p>
        </w:tc>
        <w:tc>
          <w:tcPr>
            <w:tcW w:w="1701" w:type="dxa"/>
            <w:shd w:val="clear" w:color="auto" w:fill="auto"/>
          </w:tcPr>
          <w:p w:rsidR="00453ED2" w:rsidRPr="005F7E37" w:rsidRDefault="00FE2E51" w:rsidP="001A37A5">
            <w:pPr>
              <w:jc w:val="center"/>
              <w:rPr>
                <w:rFonts w:asciiTheme="minorHAnsi" w:hAnsiTheme="minorHAnsi" w:cstheme="minorHAnsi"/>
                <w:color w:val="000000"/>
                <w:sz w:val="20"/>
                <w:szCs w:val="20"/>
                <w:lang w:val="en-AU"/>
              </w:rPr>
            </w:pPr>
            <w:r w:rsidRPr="00FE2E51">
              <w:rPr>
                <w:rFonts w:asciiTheme="minorHAnsi" w:hAnsiTheme="minorHAnsi" w:cstheme="minorHAnsi"/>
                <w:color w:val="000000"/>
                <w:sz w:val="20"/>
                <w:szCs w:val="20"/>
              </w:rPr>
              <w:t>44.4 (2015)</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Collective bargaining coverage (% workers)</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53.3</w:t>
            </w:r>
          </w:p>
        </w:tc>
        <w:tc>
          <w:tcPr>
            <w:tcW w:w="1701"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61.0 (2013)</w:t>
            </w:r>
          </w:p>
        </w:tc>
      </w:tr>
      <w:tr w:rsidR="00453ED2" w:rsidRPr="005F7E37" w:rsidTr="00413837">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 xml:space="preserve">Labour income share (%)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61.4</w:t>
            </w:r>
          </w:p>
        </w:tc>
        <w:tc>
          <w:tcPr>
            <w:tcW w:w="1701" w:type="dxa"/>
            <w:shd w:val="clear" w:color="auto" w:fill="auto"/>
          </w:tcPr>
          <w:p w:rsidR="00453ED2" w:rsidRPr="005F7E37" w:rsidRDefault="001A37A5" w:rsidP="001A37A5">
            <w:pPr>
              <w:jc w:val="center"/>
              <w:rPr>
                <w:rFonts w:asciiTheme="minorHAnsi" w:hAnsiTheme="minorHAnsi" w:cstheme="minorHAnsi"/>
                <w:color w:val="000000"/>
                <w:sz w:val="20"/>
                <w:szCs w:val="20"/>
                <w:lang w:val="en-AU"/>
              </w:rPr>
            </w:pPr>
            <w:r>
              <w:rPr>
                <w:rFonts w:asciiTheme="minorHAnsi" w:hAnsiTheme="minorHAnsi" w:cstheme="minorHAnsi"/>
                <w:color w:val="000000"/>
                <w:sz w:val="20"/>
                <w:szCs w:val="20"/>
                <w:lang w:val="en-AU"/>
              </w:rPr>
              <w:t>62.6 (2014)</w:t>
            </w:r>
          </w:p>
        </w:tc>
      </w:tr>
      <w:tr w:rsidR="00453ED2" w:rsidRPr="005F7E37" w:rsidTr="00AC0F33">
        <w:tc>
          <w:tcPr>
            <w:tcW w:w="6062" w:type="dxa"/>
            <w:shd w:val="clear" w:color="auto" w:fill="auto"/>
          </w:tcPr>
          <w:p w:rsidR="00453ED2" w:rsidRPr="005F7E37" w:rsidRDefault="00453ED2" w:rsidP="00AD08D5">
            <w:pPr>
              <w:rPr>
                <w:rFonts w:asciiTheme="minorHAnsi" w:hAnsiTheme="minorHAnsi" w:cstheme="minorHAnsi"/>
                <w:bCs/>
                <w:color w:val="000000"/>
                <w:sz w:val="20"/>
                <w:szCs w:val="20"/>
                <w:lang w:val="en-AU"/>
              </w:rPr>
            </w:pPr>
            <w:r w:rsidRPr="005F7E37">
              <w:rPr>
                <w:rFonts w:asciiTheme="minorHAnsi" w:hAnsiTheme="minorHAnsi" w:cstheme="minorHAnsi"/>
                <w:bCs/>
                <w:color w:val="000000"/>
                <w:sz w:val="20"/>
                <w:szCs w:val="20"/>
                <w:lang w:val="en-AU"/>
              </w:rPr>
              <w:t>Non-agricultural labour income share (%)</w:t>
            </w:r>
          </w:p>
        </w:tc>
        <w:tc>
          <w:tcPr>
            <w:tcW w:w="1984" w:type="dxa"/>
            <w:shd w:val="clear" w:color="auto" w:fill="auto"/>
          </w:tcPr>
          <w:p w:rsidR="00453ED2" w:rsidRPr="005F7E37" w:rsidRDefault="00453ED2" w:rsidP="001A37A5">
            <w:pPr>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61.1</w:t>
            </w:r>
          </w:p>
        </w:tc>
        <w:tc>
          <w:tcPr>
            <w:tcW w:w="1701" w:type="dxa"/>
            <w:shd w:val="clear" w:color="auto" w:fill="auto"/>
          </w:tcPr>
          <w:p w:rsidR="00453ED2" w:rsidRPr="005F7E37" w:rsidRDefault="00453ED2" w:rsidP="001A37A5">
            <w:pPr>
              <w:ind w:right="-24"/>
              <w:jc w:val="cente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62.6</w:t>
            </w:r>
            <w:r w:rsidR="001A37A5">
              <w:rPr>
                <w:rFonts w:asciiTheme="minorHAnsi" w:hAnsiTheme="minorHAnsi" w:cstheme="minorHAnsi"/>
                <w:color w:val="000000"/>
                <w:sz w:val="20"/>
                <w:szCs w:val="20"/>
                <w:lang w:val="en-AU"/>
              </w:rPr>
              <w:t xml:space="preserve"> (2014)</w:t>
            </w:r>
          </w:p>
        </w:tc>
      </w:tr>
      <w:tr w:rsidR="00A561E2" w:rsidRPr="005F7E37" w:rsidTr="00AC0F33">
        <w:tc>
          <w:tcPr>
            <w:tcW w:w="6062" w:type="dxa"/>
            <w:tcBorders>
              <w:bottom w:val="single" w:sz="4" w:space="0" w:color="auto"/>
            </w:tcBorders>
            <w:shd w:val="clear" w:color="auto" w:fill="auto"/>
          </w:tcPr>
          <w:p w:rsidR="00FE2E51" w:rsidRPr="00AC0F33" w:rsidRDefault="00A561E2" w:rsidP="00AD08D5">
            <w:pPr>
              <w:rPr>
                <w:rFonts w:asciiTheme="minorHAnsi" w:hAnsiTheme="minorHAnsi" w:cstheme="minorHAnsi"/>
                <w:color w:val="000000"/>
                <w:sz w:val="20"/>
                <w:szCs w:val="20"/>
                <w:lang w:val="en-AU"/>
              </w:rPr>
            </w:pPr>
            <w:r w:rsidRPr="005F7E37">
              <w:rPr>
                <w:rFonts w:asciiTheme="minorHAnsi" w:hAnsiTheme="minorHAnsi" w:cstheme="minorHAnsi"/>
                <w:color w:val="000000"/>
                <w:sz w:val="20"/>
                <w:szCs w:val="20"/>
                <w:lang w:val="en-AU"/>
              </w:rPr>
              <w:t>Proportion of 20 -24 Year olds with Year 12 equivalent or higher qualifications</w:t>
            </w:r>
            <w:r w:rsidR="00A3361B">
              <w:rPr>
                <w:rFonts w:asciiTheme="minorHAnsi" w:hAnsiTheme="minorHAnsi" w:cstheme="minorHAnsi"/>
                <w:color w:val="000000"/>
                <w:sz w:val="20"/>
                <w:szCs w:val="20"/>
                <w:lang w:val="en-AU"/>
              </w:rPr>
              <w:t xml:space="preserve"> (%)</w:t>
            </w:r>
          </w:p>
        </w:tc>
        <w:tc>
          <w:tcPr>
            <w:tcW w:w="1984" w:type="dxa"/>
            <w:tcBorders>
              <w:bottom w:val="single" w:sz="4" w:space="0" w:color="auto"/>
            </w:tcBorders>
            <w:shd w:val="clear" w:color="auto" w:fill="auto"/>
          </w:tcPr>
          <w:p w:rsidR="00A561E2" w:rsidRPr="005F7E37" w:rsidRDefault="001A37A5" w:rsidP="001A37A5">
            <w:pPr>
              <w:jc w:val="center"/>
              <w:rPr>
                <w:rFonts w:asciiTheme="minorHAnsi" w:hAnsiTheme="minorHAnsi" w:cstheme="minorHAnsi"/>
                <w:color w:val="000000"/>
                <w:sz w:val="20"/>
                <w:szCs w:val="20"/>
                <w:lang w:val="en-AU"/>
              </w:rPr>
            </w:pPr>
            <w:r w:rsidRPr="001A37A5">
              <w:rPr>
                <w:rFonts w:asciiTheme="minorHAnsi" w:hAnsiTheme="minorHAnsi" w:cstheme="minorHAnsi"/>
                <w:color w:val="000000"/>
                <w:sz w:val="20"/>
                <w:szCs w:val="20"/>
              </w:rPr>
              <w:t>83.5</w:t>
            </w:r>
          </w:p>
        </w:tc>
        <w:tc>
          <w:tcPr>
            <w:tcW w:w="1701" w:type="dxa"/>
            <w:tcBorders>
              <w:bottom w:val="single" w:sz="4" w:space="0" w:color="auto"/>
            </w:tcBorders>
            <w:shd w:val="clear" w:color="auto" w:fill="auto"/>
          </w:tcPr>
          <w:p w:rsidR="00A561E2" w:rsidRPr="005F7E37" w:rsidRDefault="001A37A5" w:rsidP="001A37A5">
            <w:pPr>
              <w:jc w:val="center"/>
              <w:rPr>
                <w:rFonts w:asciiTheme="minorHAnsi" w:hAnsiTheme="minorHAnsi" w:cstheme="minorHAnsi"/>
                <w:color w:val="000000"/>
                <w:sz w:val="20"/>
                <w:szCs w:val="20"/>
                <w:lang w:val="en-AU"/>
              </w:rPr>
            </w:pPr>
            <w:r>
              <w:rPr>
                <w:rFonts w:asciiTheme="minorHAnsi" w:hAnsiTheme="minorHAnsi" w:cstheme="minorHAnsi"/>
                <w:color w:val="000000"/>
                <w:sz w:val="20"/>
                <w:szCs w:val="20"/>
              </w:rPr>
              <w:t>89.4 (2016)</w:t>
            </w:r>
          </w:p>
        </w:tc>
      </w:tr>
    </w:tbl>
    <w:p w:rsidR="00FE2E51" w:rsidRPr="001A37A5" w:rsidRDefault="00DA788A" w:rsidP="00A95B9F">
      <w:pPr>
        <w:keepNext/>
        <w:spacing w:before="120"/>
        <w:rPr>
          <w:rFonts w:asciiTheme="minorHAnsi" w:hAnsiTheme="minorHAnsi" w:cstheme="minorHAnsi"/>
          <w:sz w:val="18"/>
          <w:szCs w:val="18"/>
        </w:rPr>
      </w:pPr>
      <w:r w:rsidRPr="001A37A5">
        <w:rPr>
          <w:rFonts w:asciiTheme="minorHAnsi" w:hAnsiTheme="minorHAnsi" w:cstheme="minorHAnsi"/>
          <w:sz w:val="18"/>
          <w:szCs w:val="18"/>
        </w:rPr>
        <w:t>Source</w:t>
      </w:r>
      <w:r w:rsidR="00FE2E51" w:rsidRPr="001A37A5">
        <w:rPr>
          <w:rFonts w:asciiTheme="minorHAnsi" w:hAnsiTheme="minorHAnsi" w:cstheme="minorHAnsi"/>
          <w:sz w:val="18"/>
          <w:szCs w:val="18"/>
        </w:rPr>
        <w:t>s</w:t>
      </w:r>
      <w:r w:rsidRPr="001A37A5">
        <w:rPr>
          <w:rFonts w:asciiTheme="minorHAnsi" w:hAnsiTheme="minorHAnsi" w:cstheme="minorHAnsi"/>
          <w:sz w:val="18"/>
          <w:szCs w:val="18"/>
        </w:rPr>
        <w:t xml:space="preserve">: </w:t>
      </w:r>
      <w:proofErr w:type="spellStart"/>
      <w:r w:rsidRPr="001A37A5">
        <w:rPr>
          <w:rFonts w:asciiTheme="minorHAnsi" w:hAnsiTheme="minorHAnsi" w:cstheme="minorHAnsi"/>
          <w:sz w:val="18"/>
          <w:szCs w:val="18"/>
        </w:rPr>
        <w:t>ILOSTAT</w:t>
      </w:r>
      <w:proofErr w:type="spellEnd"/>
      <w:r w:rsidRPr="001A37A5">
        <w:rPr>
          <w:rFonts w:asciiTheme="minorHAnsi" w:hAnsiTheme="minorHAnsi" w:cstheme="minorHAnsi"/>
          <w:sz w:val="18"/>
          <w:szCs w:val="18"/>
        </w:rPr>
        <w:t xml:space="preserve">, </w:t>
      </w:r>
      <w:proofErr w:type="spellStart"/>
      <w:r w:rsidRPr="001A37A5">
        <w:rPr>
          <w:rFonts w:asciiTheme="minorHAnsi" w:hAnsiTheme="minorHAnsi" w:cstheme="minorHAnsi"/>
          <w:sz w:val="18"/>
          <w:szCs w:val="18"/>
        </w:rPr>
        <w:t>OECD.Stat</w:t>
      </w:r>
      <w:proofErr w:type="spellEnd"/>
      <w:r w:rsidRPr="001A37A5">
        <w:rPr>
          <w:rFonts w:asciiTheme="minorHAnsi" w:hAnsiTheme="minorHAnsi" w:cstheme="minorHAnsi"/>
          <w:sz w:val="18"/>
          <w:szCs w:val="18"/>
        </w:rPr>
        <w:t xml:space="preserve"> and data provided by the ILO and OECD to the G20 Employme</w:t>
      </w:r>
      <w:r w:rsidR="00FE2E51" w:rsidRPr="001A37A5">
        <w:rPr>
          <w:rFonts w:asciiTheme="minorHAnsi" w:hAnsiTheme="minorHAnsi" w:cstheme="minorHAnsi"/>
          <w:sz w:val="18"/>
          <w:szCs w:val="18"/>
        </w:rPr>
        <w:t xml:space="preserve">nt Working Group in April 2017, Sources: Gini, poverty, and minimum wages from </w:t>
      </w:r>
      <w:proofErr w:type="spellStart"/>
      <w:r w:rsidR="00FE2E51" w:rsidRPr="001A37A5">
        <w:rPr>
          <w:rFonts w:asciiTheme="minorHAnsi" w:hAnsiTheme="minorHAnsi" w:cstheme="minorHAnsi"/>
          <w:sz w:val="18"/>
          <w:szCs w:val="18"/>
        </w:rPr>
        <w:t>OECD.Stat</w:t>
      </w:r>
      <w:proofErr w:type="spellEnd"/>
      <w:r w:rsidR="00FE2E51" w:rsidRPr="001A37A5">
        <w:rPr>
          <w:rFonts w:asciiTheme="minorHAnsi" w:hAnsiTheme="minorHAnsi" w:cstheme="minorHAnsi"/>
          <w:sz w:val="18"/>
          <w:szCs w:val="18"/>
        </w:rPr>
        <w:t xml:space="preserve">. </w:t>
      </w:r>
    </w:p>
    <w:p w:rsidR="00FE2E51" w:rsidRPr="001A37A5" w:rsidRDefault="00FE2E51" w:rsidP="00FE2E51">
      <w:pPr>
        <w:keepNext/>
        <w:rPr>
          <w:rFonts w:asciiTheme="minorHAnsi" w:hAnsiTheme="minorHAnsi" w:cstheme="minorHAnsi"/>
          <w:sz w:val="18"/>
          <w:szCs w:val="18"/>
        </w:rPr>
      </w:pPr>
      <w:r w:rsidRPr="001A37A5">
        <w:rPr>
          <w:rFonts w:asciiTheme="minorHAnsi" w:hAnsiTheme="minorHAnsi" w:cstheme="minorHAnsi"/>
          <w:sz w:val="18"/>
          <w:szCs w:val="18"/>
        </w:rPr>
        <w:t>(Poverty rate after taxes and transfers, poverty line 50% of median income.)</w:t>
      </w:r>
    </w:p>
    <w:p w:rsidR="00FE2E51" w:rsidRPr="001A37A5" w:rsidRDefault="00FE2E51" w:rsidP="00FE2E51">
      <w:pPr>
        <w:keepNext/>
        <w:rPr>
          <w:rFonts w:asciiTheme="minorHAnsi" w:hAnsiTheme="minorHAnsi" w:cstheme="minorHAnsi"/>
          <w:sz w:val="18"/>
          <w:szCs w:val="18"/>
        </w:rPr>
      </w:pPr>
      <w:proofErr w:type="gramStart"/>
      <w:r w:rsidRPr="001A37A5">
        <w:rPr>
          <w:rFonts w:asciiTheme="minorHAnsi" w:hAnsiTheme="minorHAnsi" w:cstheme="minorHAnsi"/>
          <w:sz w:val="18"/>
          <w:szCs w:val="18"/>
        </w:rPr>
        <w:t>Collective bargaining coverage from ICTWSS database, version 5.1.</w:t>
      </w:r>
      <w:proofErr w:type="gramEnd"/>
    </w:p>
    <w:p w:rsidR="00FE2E51" w:rsidRPr="001A37A5" w:rsidRDefault="00FE2E51" w:rsidP="00FE2E51">
      <w:pPr>
        <w:keepNext/>
        <w:rPr>
          <w:rFonts w:asciiTheme="minorHAnsi" w:hAnsiTheme="minorHAnsi" w:cstheme="minorHAnsi"/>
          <w:sz w:val="18"/>
          <w:szCs w:val="18"/>
        </w:rPr>
      </w:pPr>
      <w:r w:rsidRPr="001A37A5">
        <w:rPr>
          <w:rFonts w:asciiTheme="minorHAnsi" w:hAnsiTheme="minorHAnsi" w:cstheme="minorHAnsi"/>
          <w:sz w:val="18"/>
          <w:szCs w:val="18"/>
        </w:rPr>
        <w:t>Pay set by collective agreement or award from ABS Employee Earnings and Hours (cat. no. 6306.0).</w:t>
      </w:r>
    </w:p>
    <w:p w:rsidR="00DA788A" w:rsidRPr="001A37A5" w:rsidRDefault="00FE2E51" w:rsidP="00FE2E51">
      <w:pPr>
        <w:keepNext/>
        <w:rPr>
          <w:rFonts w:asciiTheme="minorHAnsi" w:hAnsiTheme="minorHAnsi" w:cstheme="minorHAnsi"/>
          <w:sz w:val="18"/>
          <w:szCs w:val="18"/>
        </w:rPr>
      </w:pPr>
      <w:r w:rsidRPr="001A37A5">
        <w:rPr>
          <w:rFonts w:asciiTheme="minorHAnsi" w:hAnsiTheme="minorHAnsi" w:cstheme="minorHAnsi"/>
          <w:sz w:val="18"/>
          <w:szCs w:val="18"/>
        </w:rPr>
        <w:t>Wage share from the European Commission (AMECO table 7.6, at factor cost).</w:t>
      </w:r>
    </w:p>
    <w:p w:rsidR="001A37A5" w:rsidRPr="001A37A5" w:rsidRDefault="001A37A5" w:rsidP="001A37A5">
      <w:pPr>
        <w:rPr>
          <w:rFonts w:asciiTheme="minorHAnsi" w:hAnsiTheme="minorHAnsi" w:cstheme="minorHAnsi"/>
          <w:color w:val="000000"/>
          <w:sz w:val="18"/>
          <w:szCs w:val="18"/>
          <w:lang w:val="en-AU"/>
        </w:rPr>
      </w:pPr>
      <w:proofErr w:type="gramStart"/>
      <w:r w:rsidRPr="001A37A5">
        <w:rPr>
          <w:rFonts w:asciiTheme="minorHAnsi" w:hAnsiTheme="minorHAnsi" w:cstheme="minorHAnsi"/>
          <w:color w:val="000000"/>
          <w:sz w:val="18"/>
          <w:szCs w:val="18"/>
          <w:lang w:val="en-AU"/>
        </w:rPr>
        <w:t xml:space="preserve">Proportion of 20 -24 Year olds with Year 12 equivalent or higher qualifications: </w:t>
      </w:r>
      <w:r w:rsidRPr="001A37A5">
        <w:rPr>
          <w:rFonts w:asciiTheme="minorHAnsi" w:hAnsiTheme="minorHAnsi" w:cstheme="minorHAnsi"/>
          <w:sz w:val="18"/>
          <w:szCs w:val="18"/>
        </w:rPr>
        <w:t xml:space="preserve">ABS, </w:t>
      </w:r>
      <w:r w:rsidRPr="001A37A5">
        <w:rPr>
          <w:rFonts w:asciiTheme="minorHAnsi" w:hAnsiTheme="minorHAnsi" w:cstheme="minorHAnsi"/>
          <w:i/>
          <w:iCs/>
          <w:sz w:val="18"/>
          <w:szCs w:val="18"/>
        </w:rPr>
        <w:t xml:space="preserve">Education and Work, Australia, </w:t>
      </w:r>
      <w:r w:rsidRPr="001A37A5">
        <w:rPr>
          <w:rFonts w:asciiTheme="minorHAnsi" w:hAnsiTheme="minorHAnsi" w:cstheme="minorHAnsi"/>
          <w:sz w:val="18"/>
          <w:szCs w:val="18"/>
        </w:rPr>
        <w:t>(Cat. no. 6227.0), various issues.</w:t>
      </w:r>
      <w:proofErr w:type="gramEnd"/>
      <w:r w:rsidRPr="001A37A5">
        <w:rPr>
          <w:rFonts w:asciiTheme="minorHAnsi" w:hAnsiTheme="minorHAnsi" w:cstheme="minorHAnsi"/>
          <w:sz w:val="18"/>
          <w:szCs w:val="18"/>
        </w:rPr>
        <w:t xml:space="preserve"> Please note that persons whose highest level of educational attainment was either ‘not determined’ or ‘Certificate not further defined’ were excluded when calculating these proportions.</w:t>
      </w:r>
    </w:p>
    <w:p w:rsidR="00FE2E51" w:rsidRPr="005F7E37" w:rsidRDefault="00FE2E51" w:rsidP="00AD08D5">
      <w:pPr>
        <w:keepNext/>
        <w:spacing w:after="240"/>
        <w:rPr>
          <w:rFonts w:asciiTheme="minorHAnsi" w:hAnsiTheme="minorHAnsi" w:cstheme="minorHAnsi"/>
          <w:color w:val="000000"/>
          <w:lang w:val="en-AU"/>
        </w:rPr>
        <w:sectPr w:rsidR="00FE2E51" w:rsidRPr="005F7E37" w:rsidSect="0047037B">
          <w:headerReference w:type="default" r:id="rId10"/>
          <w:footerReference w:type="default" r:id="rId11"/>
          <w:headerReference w:type="first" r:id="rId12"/>
          <w:type w:val="continuous"/>
          <w:pgSz w:w="11850" w:h="16783"/>
          <w:pgMar w:top="2835" w:right="1134" w:bottom="1134" w:left="1134" w:header="851" w:footer="992" w:gutter="0"/>
          <w:cols w:space="720"/>
          <w:titlePg/>
          <w:docGrid w:linePitch="326"/>
        </w:sectPr>
      </w:pPr>
    </w:p>
    <w:p w:rsidR="00A561E2" w:rsidRPr="005F7E37" w:rsidRDefault="00A561E2" w:rsidP="00841094">
      <w:pPr>
        <w:pStyle w:val="Heading1"/>
        <w:spacing w:after="180"/>
        <w:rPr>
          <w:rFonts w:asciiTheme="minorHAnsi" w:hAnsiTheme="minorHAnsi" w:cstheme="minorHAnsi"/>
          <w:color w:val="000000"/>
          <w:lang w:val="en-AU"/>
        </w:rPr>
      </w:pPr>
      <w:bookmarkStart w:id="130" w:name="_Toc452625237"/>
      <w:bookmarkStart w:id="131" w:name="_Toc458449934"/>
      <w:bookmarkStart w:id="132" w:name="_Toc484691724"/>
      <w:bookmarkStart w:id="133" w:name="_Toc487107040"/>
      <w:bookmarkStart w:id="134" w:name="_Toc487110328"/>
      <w:r w:rsidRPr="005F7E37">
        <w:rPr>
          <w:rFonts w:asciiTheme="minorHAnsi" w:hAnsiTheme="minorHAnsi" w:cstheme="minorHAnsi"/>
          <w:color w:val="000000"/>
          <w:lang w:val="en-AU"/>
        </w:rPr>
        <w:lastRenderedPageBreak/>
        <w:t>Key policy commitments in the Employment Plan</w:t>
      </w:r>
      <w:bookmarkEnd w:id="130"/>
      <w:bookmarkEnd w:id="131"/>
      <w:bookmarkEnd w:id="132"/>
      <w:bookmarkEnd w:id="133"/>
      <w:bookmarkEnd w:id="134"/>
      <w:r w:rsidRPr="005F7E37">
        <w:rPr>
          <w:rFonts w:asciiTheme="minorHAnsi" w:hAnsiTheme="minorHAnsi" w:cstheme="minorHAnsi"/>
          <w:color w:val="000000"/>
          <w:lang w:val="en-AU"/>
        </w:rPr>
        <w:t xml:space="preserve"> </w:t>
      </w:r>
    </w:p>
    <w:p w:rsidR="00A561E2" w:rsidRPr="005F7E37" w:rsidRDefault="00A561E2" w:rsidP="000664C6">
      <w:pPr>
        <w:pStyle w:val="Heading2"/>
      </w:pPr>
      <w:bookmarkStart w:id="135" w:name="_Toc452625238"/>
      <w:bookmarkStart w:id="136" w:name="_Toc458449935"/>
      <w:bookmarkStart w:id="137" w:name="_Toc484691725"/>
      <w:bookmarkStart w:id="138" w:name="_Toc485740308"/>
      <w:bookmarkStart w:id="139" w:name="_Toc485740412"/>
      <w:bookmarkStart w:id="140" w:name="_Toc487107041"/>
      <w:bookmarkStart w:id="141" w:name="_Toc487110329"/>
      <w:r w:rsidRPr="005F7E37">
        <w:t>Implementation of existing policy commitments</w:t>
      </w:r>
      <w:bookmarkEnd w:id="135"/>
      <w:bookmarkEnd w:id="136"/>
      <w:bookmarkEnd w:id="137"/>
      <w:bookmarkEnd w:id="138"/>
      <w:bookmarkEnd w:id="139"/>
      <w:bookmarkEnd w:id="140"/>
      <w:bookmarkEnd w:id="141"/>
    </w:p>
    <w:p w:rsidR="00516036" w:rsidRPr="00841094" w:rsidRDefault="00A561E2" w:rsidP="00516036">
      <w:pPr>
        <w:spacing w:after="180"/>
        <w:ind w:right="57"/>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following table provides a summary of the implementation of commitments set out in Australia’s G20 Employment Plans. Australia’s G20 Growth Strategy provides further detail on macroeconomic and related policy settings. </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8"/>
        <w:gridCol w:w="7507"/>
        <w:gridCol w:w="6"/>
      </w:tblGrid>
      <w:tr w:rsidR="00A95B9F" w:rsidRPr="00516036" w:rsidTr="00A95B9F">
        <w:trPr>
          <w:gridAfter w:val="1"/>
          <w:wAfter w:w="6" w:type="dxa"/>
          <w:cantSplit/>
          <w:tblHeader/>
        </w:trPr>
        <w:tc>
          <w:tcPr>
            <w:tcW w:w="7088" w:type="dxa"/>
            <w:tcBorders>
              <w:bottom w:val="single" w:sz="4" w:space="0" w:color="auto"/>
            </w:tcBorders>
            <w:shd w:val="clear" w:color="auto" w:fill="EEECE1" w:themeFill="background2"/>
          </w:tcPr>
          <w:p w:rsidR="00A95B9F" w:rsidRPr="00516036" w:rsidRDefault="00A95B9F" w:rsidP="00A95B9F">
            <w:pPr>
              <w:widowControl/>
              <w:spacing w:before="120" w:after="120" w:line="276" w:lineRule="auto"/>
              <w:jc w:val="left"/>
              <w:rPr>
                <w:rFonts w:asciiTheme="minorHAnsi" w:eastAsiaTheme="minorHAnsi" w:hAnsiTheme="minorHAnsi" w:cstheme="minorBidi"/>
                <w:b/>
                <w:kern w:val="0"/>
                <w:sz w:val="22"/>
                <w:lang w:val="en-AU" w:eastAsia="en-US"/>
              </w:rPr>
            </w:pPr>
            <w:r w:rsidRPr="00516036">
              <w:rPr>
                <w:rFonts w:asciiTheme="minorHAnsi" w:eastAsiaTheme="minorHAnsi" w:hAnsiTheme="minorHAnsi" w:cstheme="minorBidi"/>
                <w:b/>
                <w:bCs/>
                <w:kern w:val="0"/>
                <w:sz w:val="22"/>
                <w:lang w:val="en-AU" w:eastAsia="en-US"/>
              </w:rPr>
              <w:t>Policy commitment / description</w:t>
            </w:r>
          </w:p>
        </w:tc>
        <w:tc>
          <w:tcPr>
            <w:tcW w:w="7507" w:type="dxa"/>
            <w:tcBorders>
              <w:bottom w:val="single" w:sz="4" w:space="0" w:color="auto"/>
            </w:tcBorders>
            <w:shd w:val="clear" w:color="auto" w:fill="EEECE1" w:themeFill="background2"/>
          </w:tcPr>
          <w:p w:rsidR="00A95B9F" w:rsidRPr="00516036" w:rsidRDefault="00A95B9F" w:rsidP="00A95B9F">
            <w:pPr>
              <w:widowControl/>
              <w:spacing w:before="120" w:after="120" w:line="276" w:lineRule="auto"/>
              <w:jc w:val="left"/>
              <w:rPr>
                <w:rFonts w:asciiTheme="minorHAnsi" w:eastAsiaTheme="minorHAnsi" w:hAnsiTheme="minorHAnsi" w:cstheme="minorBidi"/>
                <w:b/>
                <w:kern w:val="0"/>
                <w:sz w:val="22"/>
                <w:lang w:val="en-AU" w:eastAsia="en-US"/>
              </w:rPr>
            </w:pPr>
            <w:r w:rsidRPr="00516036">
              <w:rPr>
                <w:rFonts w:asciiTheme="minorHAnsi" w:eastAsiaTheme="minorHAnsi" w:hAnsiTheme="minorHAnsi" w:cstheme="minorBidi"/>
                <w:b/>
                <w:bCs/>
                <w:kern w:val="0"/>
                <w:sz w:val="22"/>
                <w:lang w:val="en-AU" w:eastAsia="en-US"/>
              </w:rPr>
              <w:t>Status of implementation and results achieved</w:t>
            </w:r>
          </w:p>
        </w:tc>
      </w:tr>
      <w:tr w:rsidR="00A95B9F" w:rsidRPr="00516036" w:rsidTr="00A95B9F">
        <w:trPr>
          <w:gridAfter w:val="1"/>
          <w:wAfter w:w="6" w:type="dxa"/>
          <w:cantSplit/>
        </w:trPr>
        <w:tc>
          <w:tcPr>
            <w:tcW w:w="14595" w:type="dxa"/>
            <w:gridSpan w:val="2"/>
            <w:shd w:val="clear" w:color="auto" w:fill="EEECE1" w:themeFill="background2"/>
          </w:tcPr>
          <w:p w:rsidR="00A95B9F" w:rsidRPr="00516036" w:rsidRDefault="00A95B9F" w:rsidP="00A95B9F">
            <w:pPr>
              <w:widowControl/>
              <w:spacing w:line="276" w:lineRule="auto"/>
              <w:jc w:val="left"/>
              <w:rPr>
                <w:rFonts w:asciiTheme="minorHAnsi" w:eastAsiaTheme="minorHAnsi" w:hAnsiTheme="minorHAnsi" w:cstheme="minorBidi"/>
                <w:i/>
                <w:kern w:val="0"/>
                <w:sz w:val="22"/>
                <w:lang w:val="en-AU" w:eastAsia="en-US"/>
              </w:rPr>
            </w:pPr>
            <w:r w:rsidRPr="00516036">
              <w:rPr>
                <w:rFonts w:asciiTheme="minorHAnsi" w:eastAsiaTheme="minorHAnsi" w:hAnsiTheme="minorHAnsi" w:cstheme="minorBidi"/>
                <w:i/>
                <w:kern w:val="0"/>
                <w:sz w:val="22"/>
                <w:lang w:val="en-AU" w:eastAsia="en-US"/>
              </w:rPr>
              <w:t>Regulation, finance, incentives, investment and entrepreneurialism</w:t>
            </w:r>
          </w:p>
        </w:tc>
      </w:tr>
      <w:tr w:rsidR="00A95B9F" w:rsidRPr="00516036" w:rsidTr="00A95B9F">
        <w:trPr>
          <w:gridAfter w:val="1"/>
          <w:wAfter w:w="6" w:type="dxa"/>
          <w:cantSplit/>
        </w:trPr>
        <w:tc>
          <w:tcPr>
            <w:tcW w:w="7088" w:type="dxa"/>
            <w:tcBorders>
              <w:bottom w:val="single" w:sz="4" w:space="0" w:color="auto"/>
            </w:tcBorders>
            <w:shd w:val="clear" w:color="auto" w:fill="auto"/>
          </w:tcPr>
          <w:p w:rsidR="00A95B9F" w:rsidRPr="00FD45BF" w:rsidRDefault="00A95B9F" w:rsidP="00A95B9F">
            <w:pPr>
              <w:widowControl/>
              <w:numPr>
                <w:ilvl w:val="0"/>
                <w:numId w:val="16"/>
              </w:numPr>
              <w:spacing w:before="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AU" w:eastAsia="en-US"/>
              </w:rPr>
              <w:t>Tax changes for small and medium</w:t>
            </w:r>
            <w:r w:rsidRPr="00FD45BF">
              <w:rPr>
                <w:rFonts w:asciiTheme="minorHAnsi" w:eastAsiaTheme="minorHAnsi" w:hAnsiTheme="minorHAnsi" w:cstheme="minorBidi"/>
                <w:kern w:val="0"/>
                <w:sz w:val="22"/>
                <w:lang w:val="en-AU" w:eastAsia="en-US"/>
              </w:rPr>
              <w:noBreakHyphen/>
              <w:t>sized enterprises (including a reduction in the company tax rate and a tax discount for unincorporated businesses).</w:t>
            </w:r>
          </w:p>
          <w:p w:rsidR="00A95B9F" w:rsidRPr="00FD45BF" w:rsidRDefault="00A95B9F" w:rsidP="00A95B9F">
            <w:pPr>
              <w:widowControl/>
              <w:numPr>
                <w:ilvl w:val="0"/>
                <w:numId w:val="16"/>
              </w:numPr>
              <w:spacing w:before="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AU" w:eastAsia="en-US"/>
              </w:rPr>
              <w:t>Regulatory reforms to reduce red-tape</w:t>
            </w:r>
          </w:p>
        </w:tc>
        <w:tc>
          <w:tcPr>
            <w:tcW w:w="7507" w:type="dxa"/>
            <w:tcBorders>
              <w:bottom w:val="single" w:sz="4" w:space="0" w:color="auto"/>
            </w:tcBorders>
            <w:shd w:val="clear" w:color="auto" w:fill="auto"/>
          </w:tcPr>
          <w:p w:rsidR="00A95B9F" w:rsidRPr="00FD45BF" w:rsidRDefault="00A95B9F" w:rsidP="00A95B9F">
            <w:pPr>
              <w:widowControl/>
              <w:spacing w:before="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AU" w:eastAsia="en-US"/>
              </w:rPr>
              <w:t xml:space="preserve">Tax reforms for small businesses were legislated in May 2015 and have benefited around 3 million small businesses.  Expansion of tax reforms to include medium-sized enterprises and further reductions in the company tax rate are also underway. </w:t>
            </w:r>
          </w:p>
          <w:p w:rsidR="00A95B9F" w:rsidRPr="00FD45BF" w:rsidRDefault="00A95B9F" w:rsidP="00A95B9F">
            <w:pPr>
              <w:widowControl/>
              <w:spacing w:before="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AU" w:eastAsia="en-US"/>
              </w:rPr>
              <w:t xml:space="preserve">The initial reduction in regulatory burden of $1 billion was achieved on target by September 2014. </w:t>
            </w:r>
          </w:p>
          <w:p w:rsidR="00A95B9F" w:rsidRPr="00FD45BF" w:rsidRDefault="00A95B9F" w:rsidP="00A95B9F">
            <w:pPr>
              <w:widowControl/>
              <w:spacing w:before="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CA" w:eastAsia="en-US"/>
              </w:rPr>
              <w:t>As at December 2016, the Government has reduced the regulatory burden on business and the community by more than $5.8 billion.</w:t>
            </w:r>
          </w:p>
        </w:tc>
      </w:tr>
      <w:tr w:rsidR="00A95B9F" w:rsidRPr="00516036" w:rsidTr="00A95B9F">
        <w:trPr>
          <w:gridAfter w:val="1"/>
          <w:wAfter w:w="6" w:type="dxa"/>
          <w:cantSplit/>
        </w:trPr>
        <w:tc>
          <w:tcPr>
            <w:tcW w:w="7088" w:type="dxa"/>
            <w:tcBorders>
              <w:bottom w:val="single" w:sz="4" w:space="0" w:color="auto"/>
            </w:tcBorders>
            <w:shd w:val="clear" w:color="auto" w:fill="auto"/>
          </w:tcPr>
          <w:p w:rsidR="00A95B9F" w:rsidRPr="00FD45BF" w:rsidRDefault="00A95B9F" w:rsidP="00A95B9F">
            <w:pPr>
              <w:widowControl/>
              <w:spacing w:before="120"/>
              <w:jc w:val="left"/>
              <w:rPr>
                <w:rFonts w:asciiTheme="minorHAnsi" w:eastAsiaTheme="minorHAnsi" w:hAnsiTheme="minorHAnsi" w:cstheme="minorBidi"/>
                <w:kern w:val="0"/>
                <w:sz w:val="22"/>
                <w:lang w:eastAsia="en-US"/>
              </w:rPr>
            </w:pPr>
            <w:r w:rsidRPr="00FD45BF">
              <w:rPr>
                <w:rFonts w:asciiTheme="minorHAnsi" w:eastAsiaTheme="minorHAnsi" w:hAnsiTheme="minorHAnsi" w:cstheme="minorBidi"/>
                <w:kern w:val="0"/>
                <w:sz w:val="22"/>
                <w:lang w:eastAsia="en-US"/>
              </w:rPr>
              <w:t>Investment in infrastructure to improve productivity and connections with product markets.</w:t>
            </w:r>
          </w:p>
          <w:p w:rsidR="00A95B9F" w:rsidRPr="00FD45BF" w:rsidRDefault="00A95B9F" w:rsidP="00A95B9F">
            <w:pPr>
              <w:widowControl/>
              <w:spacing w:before="120"/>
              <w:jc w:val="left"/>
              <w:rPr>
                <w:rFonts w:asciiTheme="minorHAnsi" w:eastAsiaTheme="minorHAnsi" w:hAnsiTheme="minorHAnsi" w:cstheme="minorBidi"/>
                <w:kern w:val="0"/>
                <w:sz w:val="22"/>
                <w:lang w:val="en-AU" w:eastAsia="en-US"/>
              </w:rPr>
            </w:pPr>
          </w:p>
        </w:tc>
        <w:tc>
          <w:tcPr>
            <w:tcW w:w="7507" w:type="dxa"/>
            <w:tcBorders>
              <w:bottom w:val="single" w:sz="4" w:space="0" w:color="auto"/>
            </w:tcBorders>
            <w:shd w:val="clear" w:color="auto" w:fill="auto"/>
          </w:tcPr>
          <w:p w:rsidR="00A95B9F" w:rsidRPr="00FD45BF" w:rsidRDefault="00A95B9F" w:rsidP="00A95B9F">
            <w:pPr>
              <w:widowControl/>
              <w:spacing w:before="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AU" w:eastAsia="en-US"/>
              </w:rPr>
              <w:t xml:space="preserve">In the 2017-18 Budget, the Australian Government increased its investment in land transport infrastructure from $50 billion to $70 billion between 2013-14 and 2020-21. </w:t>
            </w:r>
          </w:p>
        </w:tc>
      </w:tr>
      <w:tr w:rsidR="00A95B9F" w:rsidRPr="00516036" w:rsidTr="00A95B9F">
        <w:trPr>
          <w:gridAfter w:val="1"/>
          <w:wAfter w:w="6" w:type="dxa"/>
          <w:cantSplit/>
          <w:trHeight w:val="2769"/>
        </w:trPr>
        <w:tc>
          <w:tcPr>
            <w:tcW w:w="7088" w:type="dxa"/>
            <w:tcBorders>
              <w:bottom w:val="single" w:sz="4" w:space="0" w:color="auto"/>
            </w:tcBorders>
            <w:shd w:val="clear" w:color="auto" w:fill="auto"/>
          </w:tcPr>
          <w:p w:rsidR="00A95B9F" w:rsidRPr="00FD45BF" w:rsidRDefault="00A95B9F" w:rsidP="00A95B9F">
            <w:pPr>
              <w:spacing w:before="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lastRenderedPageBreak/>
              <w:t xml:space="preserve">The National Innovation and Science Agenda (NISA) </w:t>
            </w:r>
            <w:proofErr w:type="gramStart"/>
            <w:r w:rsidRPr="00FD45BF">
              <w:rPr>
                <w:rFonts w:asciiTheme="minorHAnsi" w:hAnsiTheme="minorHAnsi" w:cstheme="minorHAnsi"/>
                <w:color w:val="000000"/>
                <w:sz w:val="22"/>
                <w:lang w:val="en-AU"/>
              </w:rPr>
              <w:t>establishes</w:t>
            </w:r>
            <w:proofErr w:type="gramEnd"/>
            <w:r w:rsidRPr="00FD45BF">
              <w:rPr>
                <w:rFonts w:asciiTheme="minorHAnsi" w:hAnsiTheme="minorHAnsi" w:cstheme="minorHAnsi"/>
                <w:color w:val="000000"/>
                <w:sz w:val="22"/>
                <w:lang w:val="en-AU"/>
              </w:rPr>
              <w:t xml:space="preserve"> a focus on innovation as the key long-term driver of economic prosperity and growth for Australia. Measures underway provide incentives and regulatory frameworks to enable industry, entrepreneurs and researchers to access the resources they need to succeed and grow.</w:t>
            </w:r>
          </w:p>
          <w:p w:rsidR="00A95B9F" w:rsidRPr="00FD45BF" w:rsidRDefault="00A95B9F" w:rsidP="00A95B9F">
            <w:pPr>
              <w:widowControl/>
              <w:spacing w:before="120"/>
              <w:jc w:val="left"/>
              <w:rPr>
                <w:rFonts w:asciiTheme="minorHAnsi" w:eastAsiaTheme="minorHAnsi" w:hAnsiTheme="minorHAnsi" w:cstheme="minorBidi"/>
                <w:kern w:val="0"/>
                <w:sz w:val="22"/>
                <w:lang w:val="en-AU" w:eastAsia="en-US"/>
              </w:rPr>
            </w:pPr>
          </w:p>
        </w:tc>
        <w:tc>
          <w:tcPr>
            <w:tcW w:w="7507" w:type="dxa"/>
            <w:tcBorders>
              <w:bottom w:val="single" w:sz="4" w:space="0" w:color="auto"/>
            </w:tcBorders>
            <w:shd w:val="clear" w:color="auto" w:fill="auto"/>
          </w:tcPr>
          <w:p w:rsidR="00A95B9F" w:rsidRPr="00FD45BF" w:rsidRDefault="00A95B9F" w:rsidP="00A95B9F">
            <w:pPr>
              <w:widowControl/>
              <w:spacing w:before="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AU" w:eastAsia="en-US"/>
              </w:rPr>
              <w:t>Progress is underway for a number of measures committed to under the NISA. Specific progress is outlined as they relate to specific cohorts and employment challenges.</w:t>
            </w:r>
          </w:p>
          <w:p w:rsidR="00A95B9F" w:rsidRPr="00FD45BF" w:rsidRDefault="00A95B9F" w:rsidP="00A95B9F">
            <w:pPr>
              <w:widowControl/>
              <w:spacing w:before="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AU" w:eastAsia="en-US"/>
              </w:rPr>
              <w:t>Adding to the NISA, t</w:t>
            </w:r>
            <w:r w:rsidRPr="00FD45BF">
              <w:rPr>
                <w:rFonts w:asciiTheme="minorHAnsi" w:eastAsiaTheme="minorHAnsi" w:hAnsiTheme="minorHAnsi" w:cstheme="minorBidi" w:hint="eastAsia"/>
                <w:kern w:val="0"/>
                <w:sz w:val="22"/>
                <w:lang w:val="en-AU" w:eastAsia="en-US"/>
              </w:rPr>
              <w:t>he Government has commissioned a 2030 Strategic Plan and a Research Infrastructure Investment Plan to guide future investment in innovation, science and research. The 2030 Strategic Plan will be developed by Innovation and Science Australia and the Research Infrastructure Investment Plan will be developed in collaboration with Innovation and Science Australia, the Commonwealth Science Council and the broader community.</w:t>
            </w:r>
          </w:p>
        </w:tc>
      </w:tr>
      <w:tr w:rsidR="00A95B9F" w:rsidRPr="00516036" w:rsidTr="00A95B9F">
        <w:trPr>
          <w:gridAfter w:val="1"/>
          <w:wAfter w:w="6" w:type="dxa"/>
          <w:cantSplit/>
        </w:trPr>
        <w:tc>
          <w:tcPr>
            <w:tcW w:w="14595" w:type="dxa"/>
            <w:gridSpan w:val="2"/>
            <w:tcBorders>
              <w:bottom w:val="single" w:sz="4" w:space="0" w:color="auto"/>
            </w:tcBorders>
            <w:shd w:val="clear" w:color="auto" w:fill="EEECE1" w:themeFill="background2"/>
          </w:tcPr>
          <w:p w:rsidR="00A95B9F" w:rsidRPr="00516036" w:rsidRDefault="00A95B9F" w:rsidP="00A95B9F">
            <w:pPr>
              <w:widowControl/>
              <w:jc w:val="left"/>
              <w:rPr>
                <w:rFonts w:asciiTheme="minorHAnsi" w:eastAsiaTheme="minorHAnsi" w:hAnsiTheme="minorHAnsi" w:cstheme="minorBidi"/>
                <w:i/>
                <w:kern w:val="0"/>
                <w:sz w:val="22"/>
                <w:lang w:val="en-AU" w:eastAsia="en-US"/>
              </w:rPr>
            </w:pPr>
            <w:r w:rsidRPr="00516036">
              <w:rPr>
                <w:rFonts w:asciiTheme="minorHAnsi" w:eastAsiaTheme="minorHAnsi" w:hAnsiTheme="minorHAnsi" w:cstheme="minorBidi"/>
                <w:i/>
                <w:kern w:val="0"/>
                <w:sz w:val="22"/>
                <w:lang w:val="en-AU" w:eastAsia="en-US"/>
              </w:rPr>
              <w:t>Labour market regulation</w:t>
            </w:r>
          </w:p>
        </w:tc>
      </w:tr>
      <w:tr w:rsidR="00A95B9F" w:rsidRPr="00516036" w:rsidTr="00A95B9F">
        <w:trPr>
          <w:gridAfter w:val="1"/>
          <w:wAfter w:w="6" w:type="dxa"/>
          <w:cantSplit/>
        </w:trPr>
        <w:tc>
          <w:tcPr>
            <w:tcW w:w="7088" w:type="dxa"/>
            <w:tcBorders>
              <w:bottom w:val="single" w:sz="4" w:space="0" w:color="auto"/>
            </w:tcBorders>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kern w:val="0"/>
                <w:sz w:val="22"/>
                <w:lang w:val="en-AU" w:eastAsia="en-US"/>
              </w:rPr>
              <w:t>Establish a Registered Organisations Commission to improve the governance of unions and employer organisations, in the interests of both workers and businesses.</w:t>
            </w:r>
          </w:p>
        </w:tc>
        <w:tc>
          <w:tcPr>
            <w:tcW w:w="7507" w:type="dxa"/>
            <w:tcBorders>
              <w:bottom w:val="single" w:sz="4" w:space="0" w:color="auto"/>
            </w:tcBorders>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kern w:val="0"/>
                <w:sz w:val="22"/>
                <w:lang w:val="en-AU" w:eastAsia="en-US"/>
              </w:rPr>
              <w:t>The Commission commenced operations on 1 May 2017.</w:t>
            </w:r>
          </w:p>
        </w:tc>
      </w:tr>
      <w:tr w:rsidR="00A95B9F" w:rsidRPr="00516036" w:rsidTr="00A95B9F">
        <w:trPr>
          <w:gridAfter w:val="1"/>
          <w:wAfter w:w="6" w:type="dxa"/>
          <w:cantSplit/>
        </w:trPr>
        <w:tc>
          <w:tcPr>
            <w:tcW w:w="14595" w:type="dxa"/>
            <w:gridSpan w:val="2"/>
            <w:tcBorders>
              <w:bottom w:val="single" w:sz="4" w:space="0" w:color="auto"/>
            </w:tcBorders>
            <w:shd w:val="clear" w:color="auto" w:fill="EEECE1" w:themeFill="background2"/>
          </w:tcPr>
          <w:p w:rsidR="00A95B9F" w:rsidRPr="00516036" w:rsidRDefault="00A95B9F" w:rsidP="00A95B9F">
            <w:pPr>
              <w:widowControl/>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i/>
                <w:kern w:val="0"/>
                <w:sz w:val="22"/>
                <w:lang w:val="en-AU" w:eastAsia="en-US"/>
              </w:rPr>
              <w:t>Social protection</w:t>
            </w:r>
          </w:p>
        </w:tc>
      </w:tr>
      <w:tr w:rsidR="00A95B9F" w:rsidRPr="00516036" w:rsidTr="00A95B9F">
        <w:trPr>
          <w:gridAfter w:val="1"/>
          <w:wAfter w:w="6" w:type="dxa"/>
          <w:cantSplit/>
        </w:trPr>
        <w:tc>
          <w:tcPr>
            <w:tcW w:w="7088" w:type="dxa"/>
            <w:tcBorders>
              <w:bottom w:val="single" w:sz="4" w:space="0" w:color="auto"/>
            </w:tcBorders>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kern w:val="0"/>
                <w:sz w:val="22"/>
                <w:lang w:val="en-AU" w:eastAsia="en-US"/>
              </w:rPr>
              <w:t xml:space="preserve">Implement an Australian Priority Investment Approach to Welfare to fund actuarial valuations to assist the Government to identify risk factors driving long-term welfare dependency and potential policy interventions. </w:t>
            </w:r>
          </w:p>
        </w:tc>
        <w:tc>
          <w:tcPr>
            <w:tcW w:w="7507" w:type="dxa"/>
            <w:tcBorders>
              <w:bottom w:val="single" w:sz="4" w:space="0" w:color="auto"/>
            </w:tcBorders>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kern w:val="0"/>
                <w:sz w:val="22"/>
                <w:lang w:val="en-AU" w:eastAsia="en-US"/>
              </w:rPr>
              <w:t xml:space="preserve">This measure is underway. In the 2016-17 </w:t>
            </w:r>
            <w:proofErr w:type="gramStart"/>
            <w:r w:rsidRPr="00516036">
              <w:rPr>
                <w:rFonts w:asciiTheme="minorHAnsi" w:eastAsiaTheme="minorHAnsi" w:hAnsiTheme="minorHAnsi" w:cstheme="minorBidi"/>
                <w:kern w:val="0"/>
                <w:sz w:val="22"/>
                <w:lang w:val="en-AU" w:eastAsia="en-US"/>
              </w:rPr>
              <w:t>Budget</w:t>
            </w:r>
            <w:proofErr w:type="gramEnd"/>
            <w:r w:rsidRPr="00516036">
              <w:rPr>
                <w:rFonts w:asciiTheme="minorHAnsi" w:eastAsiaTheme="minorHAnsi" w:hAnsiTheme="minorHAnsi" w:cstheme="minorBidi"/>
                <w:kern w:val="0"/>
                <w:sz w:val="22"/>
                <w:lang w:val="en-AU" w:eastAsia="en-US"/>
              </w:rPr>
              <w:t xml:space="preserve">, the Government committed $96 million over four years toward a new Try, Test and Learn Fund, which will apply and test the effectiveness of innovative policy interventions to assist people who have the capacity to work and are at risk of long-term welfare dependency. </w:t>
            </w:r>
          </w:p>
        </w:tc>
      </w:tr>
      <w:tr w:rsidR="00A95B9F" w:rsidRPr="00516036" w:rsidTr="00A95B9F">
        <w:trPr>
          <w:gridAfter w:val="1"/>
          <w:wAfter w:w="6" w:type="dxa"/>
          <w:cantSplit/>
        </w:trPr>
        <w:tc>
          <w:tcPr>
            <w:tcW w:w="14595" w:type="dxa"/>
            <w:gridSpan w:val="2"/>
            <w:tcBorders>
              <w:bottom w:val="single" w:sz="4" w:space="0" w:color="auto"/>
            </w:tcBorders>
            <w:shd w:val="clear" w:color="auto" w:fill="EEECE1" w:themeFill="background2"/>
          </w:tcPr>
          <w:p w:rsidR="00A95B9F" w:rsidRPr="00516036" w:rsidRDefault="00A95B9F" w:rsidP="00A95B9F">
            <w:pPr>
              <w:widowControl/>
              <w:jc w:val="left"/>
              <w:rPr>
                <w:rFonts w:asciiTheme="minorHAnsi" w:eastAsiaTheme="minorHAnsi" w:hAnsiTheme="minorHAnsi" w:cstheme="minorBidi"/>
                <w:i/>
                <w:kern w:val="0"/>
                <w:sz w:val="22"/>
                <w:lang w:val="en-AU" w:eastAsia="en-US"/>
              </w:rPr>
            </w:pPr>
            <w:r w:rsidRPr="00516036">
              <w:rPr>
                <w:rFonts w:asciiTheme="minorHAnsi" w:eastAsiaTheme="minorHAnsi" w:hAnsiTheme="minorHAnsi" w:cstheme="minorBidi"/>
                <w:i/>
                <w:kern w:val="0"/>
                <w:sz w:val="22"/>
                <w:lang w:val="en-AU" w:eastAsia="en-US"/>
              </w:rPr>
              <w:t>Active labour market programs</w:t>
            </w:r>
          </w:p>
        </w:tc>
      </w:tr>
      <w:tr w:rsidR="00A95B9F" w:rsidRPr="00516036" w:rsidTr="00A95B9F">
        <w:trPr>
          <w:gridAfter w:val="1"/>
          <w:wAfter w:w="6" w:type="dxa"/>
          <w:cantSplit/>
        </w:trPr>
        <w:tc>
          <w:tcPr>
            <w:tcW w:w="7088" w:type="dxa"/>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kern w:val="0"/>
                <w:sz w:val="22"/>
                <w:lang w:val="en-AU" w:eastAsia="en-US"/>
              </w:rPr>
              <w:t>Enhancing wage subsidies to benefit both job seekers and businesses</w:t>
            </w:r>
          </w:p>
        </w:tc>
        <w:tc>
          <w:tcPr>
            <w:tcW w:w="7507" w:type="dxa"/>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kern w:val="0"/>
                <w:sz w:val="22"/>
                <w:lang w:val="en-AU" w:eastAsia="en-US"/>
              </w:rPr>
              <w:t xml:space="preserve">Streamlining of existing wage subsidies (including those for youth, parents, Indigenous, mature age, and the long term unemployed) commenced on </w:t>
            </w:r>
            <w:r>
              <w:rPr>
                <w:rFonts w:asciiTheme="minorHAnsi" w:eastAsiaTheme="minorHAnsi" w:hAnsiTheme="minorHAnsi" w:cstheme="minorBidi"/>
                <w:kern w:val="0"/>
                <w:sz w:val="22"/>
                <w:lang w:val="en-AU" w:eastAsia="en-US"/>
              </w:rPr>
              <w:br/>
            </w:r>
            <w:r w:rsidRPr="00516036">
              <w:rPr>
                <w:rFonts w:asciiTheme="minorHAnsi" w:eastAsiaTheme="minorHAnsi" w:hAnsiTheme="minorHAnsi" w:cstheme="minorBidi"/>
                <w:kern w:val="0"/>
                <w:sz w:val="22"/>
                <w:lang w:val="en-AU" w:eastAsia="en-US"/>
              </w:rPr>
              <w:t>1 January 2017.</w:t>
            </w:r>
          </w:p>
        </w:tc>
      </w:tr>
      <w:tr w:rsidR="00A95B9F" w:rsidRPr="00516036" w:rsidTr="00A95B9F">
        <w:trPr>
          <w:gridAfter w:val="1"/>
          <w:wAfter w:w="6" w:type="dxa"/>
          <w:cantSplit/>
        </w:trPr>
        <w:tc>
          <w:tcPr>
            <w:tcW w:w="7088" w:type="dxa"/>
            <w:tcBorders>
              <w:bottom w:val="single" w:sz="4" w:space="0" w:color="auto"/>
            </w:tcBorders>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kern w:val="0"/>
                <w:sz w:val="22"/>
                <w:lang w:val="en-AU" w:eastAsia="en-US"/>
              </w:rPr>
              <w:lastRenderedPageBreak/>
              <w:t>New Enterprise Incentive Scheme (NEIS)</w:t>
            </w:r>
          </w:p>
        </w:tc>
        <w:tc>
          <w:tcPr>
            <w:tcW w:w="7507" w:type="dxa"/>
            <w:tcBorders>
              <w:bottom w:val="single" w:sz="4" w:space="0" w:color="auto"/>
            </w:tcBorders>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kern w:val="0"/>
                <w:sz w:val="22"/>
                <w:lang w:val="en-AU" w:eastAsia="en-US"/>
              </w:rPr>
              <w:t xml:space="preserve">As part of the 2016-17 Budget, the number of places available annually in NEIS was increased from 6,300 to 8,600 and the program was broadened to allow access to people not on income support. </w:t>
            </w:r>
          </w:p>
        </w:tc>
      </w:tr>
      <w:tr w:rsidR="00A95B9F" w:rsidRPr="00516036" w:rsidTr="00A95B9F">
        <w:trPr>
          <w:cantSplit/>
        </w:trPr>
        <w:tc>
          <w:tcPr>
            <w:tcW w:w="14601" w:type="dxa"/>
            <w:gridSpan w:val="3"/>
            <w:tcBorders>
              <w:bottom w:val="single" w:sz="4" w:space="0" w:color="auto"/>
            </w:tcBorders>
            <w:shd w:val="clear" w:color="auto" w:fill="EEECE1" w:themeFill="background2"/>
          </w:tcPr>
          <w:p w:rsidR="00A95B9F" w:rsidRPr="00516036" w:rsidRDefault="00A95B9F" w:rsidP="00A95B9F">
            <w:pPr>
              <w:widowControl/>
              <w:jc w:val="left"/>
              <w:rPr>
                <w:rFonts w:asciiTheme="minorHAnsi" w:eastAsiaTheme="minorHAnsi" w:hAnsiTheme="minorHAnsi" w:cstheme="minorBidi"/>
                <w:i/>
                <w:kern w:val="0"/>
                <w:sz w:val="22"/>
                <w:lang w:val="en-AU" w:eastAsia="en-US"/>
              </w:rPr>
            </w:pPr>
            <w:r w:rsidRPr="00516036">
              <w:rPr>
                <w:rFonts w:asciiTheme="minorHAnsi" w:eastAsiaTheme="minorHAnsi" w:hAnsiTheme="minorHAnsi" w:cstheme="minorBidi"/>
                <w:i/>
                <w:kern w:val="0"/>
                <w:sz w:val="22"/>
                <w:lang w:val="en-AU" w:eastAsia="en-US"/>
              </w:rPr>
              <w:t>Women</w:t>
            </w:r>
          </w:p>
        </w:tc>
      </w:tr>
      <w:tr w:rsidR="00A95B9F" w:rsidRPr="00516036" w:rsidTr="00A95B9F">
        <w:trPr>
          <w:cantSplit/>
          <w:trHeight w:val="1157"/>
        </w:trPr>
        <w:tc>
          <w:tcPr>
            <w:tcW w:w="7088" w:type="dxa"/>
            <w:shd w:val="clear" w:color="auto" w:fill="auto"/>
          </w:tcPr>
          <w:p w:rsidR="00A95B9F" w:rsidRPr="00516036" w:rsidRDefault="00A95B9F" w:rsidP="00A95B9F">
            <w:pPr>
              <w:widowControl/>
              <w:spacing w:before="120" w:after="120"/>
              <w:jc w:val="left"/>
              <w:rPr>
                <w:rFonts w:asciiTheme="minorHAnsi" w:eastAsiaTheme="minorHAnsi" w:hAnsiTheme="minorHAnsi" w:cstheme="minorBidi"/>
                <w:bCs/>
                <w:kern w:val="0"/>
                <w:sz w:val="22"/>
                <w:lang w:eastAsia="en-US"/>
              </w:rPr>
            </w:pPr>
            <w:r w:rsidRPr="00516036">
              <w:rPr>
                <w:rFonts w:asciiTheme="minorHAnsi" w:eastAsiaTheme="minorHAnsi" w:hAnsiTheme="minorHAnsi" w:cstheme="minorBidi"/>
                <w:kern w:val="0"/>
                <w:sz w:val="22"/>
                <w:lang w:eastAsia="en-US"/>
              </w:rPr>
              <w:t xml:space="preserve">Australian Government measures to improve female </w:t>
            </w:r>
            <w:proofErr w:type="spellStart"/>
            <w:r w:rsidRPr="00516036">
              <w:rPr>
                <w:rFonts w:asciiTheme="minorHAnsi" w:eastAsiaTheme="minorHAnsi" w:hAnsiTheme="minorHAnsi" w:cstheme="minorBidi"/>
                <w:kern w:val="0"/>
                <w:sz w:val="22"/>
                <w:lang w:eastAsia="en-US"/>
              </w:rPr>
              <w:t>labour</w:t>
            </w:r>
            <w:proofErr w:type="spellEnd"/>
            <w:r w:rsidRPr="00516036">
              <w:rPr>
                <w:rFonts w:asciiTheme="minorHAnsi" w:eastAsiaTheme="minorHAnsi" w:hAnsiTheme="minorHAnsi" w:cstheme="minorBidi"/>
                <w:kern w:val="0"/>
                <w:sz w:val="22"/>
                <w:lang w:eastAsia="en-US"/>
              </w:rPr>
              <w:t xml:space="preserve"> force participation are addressed within the reporting section for the G20 collective commitment to increase female </w:t>
            </w:r>
            <w:proofErr w:type="spellStart"/>
            <w:r w:rsidRPr="00516036">
              <w:rPr>
                <w:rFonts w:asciiTheme="minorHAnsi" w:eastAsiaTheme="minorHAnsi" w:hAnsiTheme="minorHAnsi" w:cstheme="minorBidi"/>
                <w:kern w:val="0"/>
                <w:sz w:val="22"/>
                <w:lang w:eastAsia="en-US"/>
              </w:rPr>
              <w:t>labour</w:t>
            </w:r>
            <w:proofErr w:type="spellEnd"/>
            <w:r w:rsidRPr="00516036">
              <w:rPr>
                <w:rFonts w:asciiTheme="minorHAnsi" w:eastAsiaTheme="minorHAnsi" w:hAnsiTheme="minorHAnsi" w:cstheme="minorBidi"/>
                <w:kern w:val="0"/>
                <w:sz w:val="22"/>
                <w:lang w:eastAsia="en-US"/>
              </w:rPr>
              <w:t xml:space="preserve"> force participation and gender equality.</w:t>
            </w:r>
            <w:r w:rsidRPr="00516036" w:rsidDel="009712D6">
              <w:rPr>
                <w:rFonts w:asciiTheme="minorHAnsi" w:eastAsiaTheme="minorHAnsi" w:hAnsiTheme="minorHAnsi" w:cstheme="minorBidi"/>
                <w:kern w:val="0"/>
                <w:sz w:val="22"/>
                <w:lang w:eastAsia="en-US"/>
              </w:rPr>
              <w:t xml:space="preserve"> </w:t>
            </w:r>
          </w:p>
        </w:tc>
        <w:tc>
          <w:tcPr>
            <w:tcW w:w="7513" w:type="dxa"/>
            <w:gridSpan w:val="2"/>
            <w:shd w:val="clear" w:color="auto" w:fill="auto"/>
          </w:tcPr>
          <w:p w:rsidR="00A95B9F" w:rsidRPr="00516036" w:rsidRDefault="00A95B9F" w:rsidP="00A95B9F">
            <w:pPr>
              <w:widowControl/>
              <w:spacing w:before="120" w:after="120"/>
              <w:jc w:val="left"/>
              <w:rPr>
                <w:rFonts w:asciiTheme="minorHAnsi" w:eastAsiaTheme="minorHAnsi" w:hAnsiTheme="minorHAnsi" w:cstheme="minorBidi"/>
                <w:kern w:val="0"/>
                <w:sz w:val="22"/>
                <w:lang w:eastAsia="en-US"/>
              </w:rPr>
            </w:pPr>
            <w:r w:rsidRPr="00516036">
              <w:rPr>
                <w:rFonts w:asciiTheme="minorHAnsi" w:eastAsiaTheme="minorHAnsi" w:hAnsiTheme="minorHAnsi" w:cstheme="minorBidi"/>
                <w:bCs/>
                <w:kern w:val="0"/>
                <w:sz w:val="22"/>
                <w:lang w:val="en-AU" w:eastAsia="en-US"/>
              </w:rPr>
              <w:t xml:space="preserve">Progress on measures committed to </w:t>
            </w:r>
            <w:r w:rsidRPr="00516036">
              <w:rPr>
                <w:rFonts w:asciiTheme="minorHAnsi" w:eastAsiaTheme="minorHAnsi" w:hAnsiTheme="minorHAnsi" w:cstheme="minorBidi"/>
                <w:kern w:val="0"/>
                <w:sz w:val="22"/>
                <w:lang w:eastAsia="en-US"/>
              </w:rPr>
              <w:t xml:space="preserve">support and increase female </w:t>
            </w:r>
            <w:proofErr w:type="spellStart"/>
            <w:r w:rsidRPr="00516036">
              <w:rPr>
                <w:rFonts w:asciiTheme="minorHAnsi" w:eastAsiaTheme="minorHAnsi" w:hAnsiTheme="minorHAnsi" w:cstheme="minorBidi"/>
                <w:kern w:val="0"/>
                <w:sz w:val="22"/>
                <w:lang w:eastAsia="en-US"/>
              </w:rPr>
              <w:t>labour</w:t>
            </w:r>
            <w:proofErr w:type="spellEnd"/>
            <w:r w:rsidRPr="00516036">
              <w:rPr>
                <w:rFonts w:asciiTheme="minorHAnsi" w:eastAsiaTheme="minorHAnsi" w:hAnsiTheme="minorHAnsi" w:cstheme="minorBidi"/>
                <w:kern w:val="0"/>
                <w:sz w:val="22"/>
                <w:lang w:eastAsia="en-US"/>
              </w:rPr>
              <w:t xml:space="preserve"> force participation are discussed within the multi-year commitments section below.</w:t>
            </w:r>
          </w:p>
        </w:tc>
      </w:tr>
      <w:tr w:rsidR="00A95B9F" w:rsidRPr="00516036" w:rsidTr="00A95B9F">
        <w:trPr>
          <w:cantSplit/>
          <w:trHeight w:val="227"/>
        </w:trPr>
        <w:tc>
          <w:tcPr>
            <w:tcW w:w="14601" w:type="dxa"/>
            <w:gridSpan w:val="3"/>
            <w:shd w:val="clear" w:color="auto" w:fill="EEECE1" w:themeFill="background2"/>
          </w:tcPr>
          <w:p w:rsidR="00A95B9F" w:rsidRPr="00516036" w:rsidRDefault="00A95B9F" w:rsidP="00A95B9F">
            <w:pPr>
              <w:widowControl/>
              <w:jc w:val="left"/>
              <w:rPr>
                <w:rFonts w:asciiTheme="minorHAnsi" w:eastAsiaTheme="minorHAnsi" w:hAnsiTheme="minorHAnsi" w:cstheme="minorBidi"/>
                <w:kern w:val="0"/>
                <w:sz w:val="22"/>
                <w:lang w:val="en-AU" w:eastAsia="en-US"/>
              </w:rPr>
            </w:pPr>
            <w:r w:rsidRPr="00516036">
              <w:rPr>
                <w:rFonts w:asciiTheme="minorHAnsi" w:eastAsiaTheme="minorHAnsi" w:hAnsiTheme="minorHAnsi" w:cstheme="minorBidi"/>
                <w:i/>
                <w:kern w:val="0"/>
                <w:sz w:val="22"/>
                <w:lang w:val="en-AU" w:eastAsia="en-US"/>
              </w:rPr>
              <w:t>Migrant Workers</w:t>
            </w:r>
          </w:p>
        </w:tc>
      </w:tr>
      <w:tr w:rsidR="00A95B9F" w:rsidRPr="00FD45BF" w:rsidTr="00A95B9F">
        <w:trPr>
          <w:cantSplit/>
          <w:trHeight w:val="359"/>
        </w:trPr>
        <w:tc>
          <w:tcPr>
            <w:tcW w:w="7088" w:type="dxa"/>
            <w:shd w:val="clear" w:color="auto" w:fill="auto"/>
          </w:tcPr>
          <w:p w:rsidR="00A95B9F" w:rsidRPr="00FD45BF" w:rsidRDefault="00A95B9F" w:rsidP="00A95B9F">
            <w:pPr>
              <w:widowControl/>
              <w:spacing w:before="120" w:after="120"/>
              <w:jc w:val="left"/>
              <w:rPr>
                <w:rFonts w:asciiTheme="minorHAnsi" w:eastAsiaTheme="minorHAnsi" w:hAnsiTheme="minorHAnsi" w:cstheme="minorBidi"/>
                <w:kern w:val="0"/>
                <w:sz w:val="22"/>
                <w:lang w:val="en-AU" w:eastAsia="en-US"/>
              </w:rPr>
            </w:pPr>
            <w:r w:rsidRPr="00FD45BF">
              <w:rPr>
                <w:rFonts w:asciiTheme="minorHAnsi" w:eastAsiaTheme="minorHAnsi" w:hAnsiTheme="minorHAnsi" w:cstheme="minorBidi"/>
                <w:kern w:val="0"/>
                <w:sz w:val="22"/>
                <w:lang w:val="en-AU" w:eastAsia="en-US"/>
              </w:rPr>
              <w:t>Establish a Migrant Workers’ Taskforce</w:t>
            </w:r>
          </w:p>
        </w:tc>
        <w:tc>
          <w:tcPr>
            <w:tcW w:w="7513" w:type="dxa"/>
            <w:gridSpan w:val="2"/>
            <w:shd w:val="clear" w:color="auto" w:fill="auto"/>
          </w:tcPr>
          <w:p w:rsidR="00A95B9F" w:rsidRPr="00FD45BF" w:rsidRDefault="00A95B9F" w:rsidP="00A95B9F">
            <w:pPr>
              <w:widowControl/>
              <w:spacing w:before="120" w:after="120"/>
              <w:jc w:val="left"/>
              <w:rPr>
                <w:rFonts w:asciiTheme="minorHAnsi" w:eastAsiaTheme="minorHAnsi" w:hAnsiTheme="minorHAnsi" w:cstheme="minorBidi"/>
                <w:kern w:val="0"/>
                <w:sz w:val="22"/>
                <w:lang w:eastAsia="en-US"/>
              </w:rPr>
            </w:pPr>
            <w:r w:rsidRPr="00FD45BF">
              <w:rPr>
                <w:rFonts w:asciiTheme="minorHAnsi" w:eastAsiaTheme="minorHAnsi" w:hAnsiTheme="minorHAnsi" w:cstheme="minorBidi"/>
                <w:kern w:val="0"/>
                <w:sz w:val="22"/>
                <w:lang w:val="en-AU" w:eastAsia="en-US"/>
              </w:rPr>
              <w:t xml:space="preserve">The Migrant Workers’ Taskforce was established in October 2016 and will run for 18 months. </w:t>
            </w:r>
          </w:p>
        </w:tc>
      </w:tr>
      <w:tr w:rsidR="00A95B9F" w:rsidRPr="00FD45BF" w:rsidTr="00A95B9F">
        <w:trPr>
          <w:cantSplit/>
        </w:trPr>
        <w:tc>
          <w:tcPr>
            <w:tcW w:w="14601" w:type="dxa"/>
            <w:gridSpan w:val="3"/>
            <w:tcBorders>
              <w:bottom w:val="single" w:sz="4" w:space="0" w:color="auto"/>
            </w:tcBorders>
            <w:shd w:val="clear" w:color="auto" w:fill="EEECE1" w:themeFill="background2"/>
          </w:tcPr>
          <w:p w:rsidR="00A95B9F" w:rsidRPr="00FD45BF" w:rsidRDefault="00A95B9F" w:rsidP="00A95B9F">
            <w:pPr>
              <w:jc w:val="left"/>
              <w:rPr>
                <w:rFonts w:asciiTheme="minorHAnsi" w:hAnsiTheme="minorHAnsi" w:cstheme="minorHAnsi"/>
                <w:i/>
                <w:color w:val="000000"/>
                <w:sz w:val="22"/>
                <w:lang w:val="en-AU"/>
              </w:rPr>
            </w:pPr>
            <w:r w:rsidRPr="00FD45BF">
              <w:rPr>
                <w:rFonts w:asciiTheme="minorHAnsi" w:hAnsiTheme="minorHAnsi" w:cstheme="minorHAnsi"/>
                <w:i/>
                <w:color w:val="000000"/>
                <w:sz w:val="22"/>
                <w:lang w:val="en-AU"/>
              </w:rPr>
              <w:t>Youth</w:t>
            </w:r>
          </w:p>
        </w:tc>
      </w:tr>
      <w:tr w:rsidR="00A95B9F" w:rsidRPr="00FD45BF" w:rsidTr="00A95B9F">
        <w:trPr>
          <w:cantSplit/>
          <w:trHeight w:val="2772"/>
        </w:trPr>
        <w:tc>
          <w:tcPr>
            <w:tcW w:w="7088" w:type="dxa"/>
            <w:shd w:val="clear" w:color="auto" w:fill="auto"/>
          </w:tcPr>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The Youth Employment Strategy</w:t>
            </w:r>
          </w:p>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Announced in 2015, the Strategy aims to improve youth employment outcomes, with a focus on preventing young people from becoming long-term unemployed. </w:t>
            </w:r>
          </w:p>
        </w:tc>
        <w:tc>
          <w:tcPr>
            <w:tcW w:w="7513" w:type="dxa"/>
            <w:gridSpan w:val="2"/>
            <w:shd w:val="clear" w:color="auto" w:fill="auto"/>
          </w:tcPr>
          <w:p w:rsidR="00A95B9F" w:rsidRPr="00FD45BF" w:rsidRDefault="00A95B9F" w:rsidP="00A95B9F">
            <w:pPr>
              <w:pStyle w:val="TableTextBase"/>
              <w:spacing w:before="120" w:after="120"/>
              <w:rPr>
                <w:rFonts w:asciiTheme="minorHAnsi" w:hAnsiTheme="minorHAnsi" w:cstheme="minorHAnsi"/>
                <w:color w:val="auto"/>
                <w:sz w:val="22"/>
                <w:szCs w:val="22"/>
              </w:rPr>
            </w:pPr>
            <w:r w:rsidRPr="00FD45BF">
              <w:rPr>
                <w:rFonts w:asciiTheme="minorHAnsi" w:hAnsiTheme="minorHAnsi" w:cstheme="minorHAnsi"/>
                <w:color w:val="auto"/>
                <w:sz w:val="22"/>
                <w:szCs w:val="22"/>
              </w:rPr>
              <w:t>Progress on implementing the Strategy to date include:</w:t>
            </w:r>
          </w:p>
          <w:p w:rsidR="00A95B9F" w:rsidRPr="00FD45BF" w:rsidRDefault="00A95B9F" w:rsidP="00A95B9F">
            <w:pPr>
              <w:numPr>
                <w:ilvl w:val="0"/>
                <w:numId w:val="15"/>
              </w:numPr>
              <w:spacing w:before="120" w:after="120"/>
              <w:jc w:val="left"/>
              <w:rPr>
                <w:rFonts w:asciiTheme="minorHAnsi" w:hAnsiTheme="minorHAnsi" w:cstheme="minorHAnsi"/>
                <w:color w:val="000000"/>
                <w:sz w:val="22"/>
                <w:lang w:val="en-GB"/>
              </w:rPr>
            </w:pPr>
            <w:r w:rsidRPr="00FD45BF">
              <w:rPr>
                <w:rFonts w:asciiTheme="minorHAnsi" w:hAnsiTheme="minorHAnsi" w:cstheme="minorHAnsi"/>
                <w:color w:val="000000"/>
                <w:sz w:val="22"/>
              </w:rPr>
              <w:t>Transition to Work, aimed at assisting young people aged 15-21 who have disengaged from work and study and are at risk of long-term welfare dependence which</w:t>
            </w:r>
            <w:r w:rsidRPr="00FD45BF" w:rsidDel="00B81BC6">
              <w:rPr>
                <w:rFonts w:asciiTheme="minorHAnsi" w:hAnsiTheme="minorHAnsi" w:cstheme="minorHAnsi"/>
                <w:color w:val="000000"/>
                <w:sz w:val="22"/>
              </w:rPr>
              <w:t xml:space="preserve"> </w:t>
            </w:r>
            <w:r w:rsidRPr="00FD45BF">
              <w:rPr>
                <w:rFonts w:asciiTheme="minorHAnsi" w:hAnsiTheme="minorHAnsi" w:cstheme="minorHAnsi"/>
                <w:color w:val="000000"/>
                <w:sz w:val="22"/>
              </w:rPr>
              <w:t>commenced February 2016;</w:t>
            </w:r>
          </w:p>
          <w:p w:rsidR="00A95B9F" w:rsidRPr="00FD45BF" w:rsidRDefault="00A95B9F" w:rsidP="00A95B9F">
            <w:pPr>
              <w:numPr>
                <w:ilvl w:val="0"/>
                <w:numId w:val="15"/>
              </w:numPr>
              <w:spacing w:before="120" w:after="120"/>
              <w:jc w:val="left"/>
              <w:rPr>
                <w:rFonts w:asciiTheme="minorHAnsi" w:hAnsiTheme="minorHAnsi" w:cstheme="minorHAnsi"/>
                <w:sz w:val="22"/>
              </w:rPr>
            </w:pPr>
            <w:r w:rsidRPr="00FD45BF">
              <w:rPr>
                <w:rFonts w:asciiTheme="minorHAnsi" w:hAnsiTheme="minorHAnsi" w:cstheme="minorHAnsi"/>
                <w:color w:val="000000"/>
                <w:sz w:val="22"/>
              </w:rPr>
              <w:t xml:space="preserve">Empowering </w:t>
            </w:r>
            <w:proofErr w:type="spellStart"/>
            <w:r w:rsidRPr="00FD45BF">
              <w:rPr>
                <w:rFonts w:asciiTheme="minorHAnsi" w:hAnsiTheme="minorHAnsi" w:cstheme="minorHAnsi"/>
                <w:color w:val="000000"/>
                <w:sz w:val="22"/>
              </w:rPr>
              <w:t>YOUth</w:t>
            </w:r>
            <w:proofErr w:type="spellEnd"/>
            <w:r w:rsidRPr="00FD45BF">
              <w:rPr>
                <w:rFonts w:asciiTheme="minorHAnsi" w:hAnsiTheme="minorHAnsi" w:cstheme="minorHAnsi"/>
                <w:color w:val="000000"/>
                <w:sz w:val="22"/>
              </w:rPr>
              <w:t xml:space="preserve"> Initiatives which fund not-for-profit and non-government organisations to trial innovative approaches to support young people commenced late March 2016; and</w:t>
            </w:r>
          </w:p>
          <w:p w:rsidR="00A95B9F" w:rsidRPr="00FD45BF" w:rsidRDefault="00A95B9F" w:rsidP="00A95B9F">
            <w:pPr>
              <w:numPr>
                <w:ilvl w:val="0"/>
                <w:numId w:val="15"/>
              </w:numPr>
              <w:spacing w:before="120" w:after="120"/>
              <w:jc w:val="left"/>
              <w:rPr>
                <w:rFonts w:asciiTheme="minorHAnsi" w:hAnsiTheme="minorHAnsi" w:cstheme="minorHAnsi"/>
                <w:sz w:val="22"/>
              </w:rPr>
            </w:pPr>
            <w:r w:rsidRPr="00FD45BF">
              <w:rPr>
                <w:rFonts w:asciiTheme="minorHAnsi" w:hAnsiTheme="minorHAnsi" w:cstheme="minorHAnsi"/>
                <w:color w:val="000000"/>
                <w:sz w:val="22"/>
              </w:rPr>
              <w:t>Strengthened participation and mutual obligation requirements</w:t>
            </w:r>
            <w:r w:rsidRPr="00FD45BF">
              <w:rPr>
                <w:rFonts w:asciiTheme="minorHAnsi" w:hAnsiTheme="minorHAnsi" w:cstheme="minorHAnsi"/>
                <w:color w:val="000000"/>
                <w:sz w:val="22"/>
                <w:lang w:val="en-GB"/>
              </w:rPr>
              <w:t xml:space="preserve"> for early school leavers, to help improve outcomes for these young </w:t>
            </w:r>
            <w:r w:rsidRPr="00FD45BF">
              <w:rPr>
                <w:rFonts w:asciiTheme="minorHAnsi" w:hAnsiTheme="minorHAnsi" w:cstheme="minorHAnsi"/>
                <w:color w:val="000000"/>
                <w:sz w:val="22"/>
              </w:rPr>
              <w:t>people</w:t>
            </w:r>
            <w:r w:rsidRPr="00FD45BF">
              <w:rPr>
                <w:rFonts w:asciiTheme="minorHAnsi" w:hAnsiTheme="minorHAnsi" w:cstheme="minorHAnsi"/>
                <w:color w:val="000000"/>
                <w:sz w:val="22"/>
                <w:lang w:val="en-GB"/>
              </w:rPr>
              <w:t xml:space="preserve"> by ensuring they are working or studying, commenced January 2016.</w:t>
            </w:r>
          </w:p>
        </w:tc>
      </w:tr>
      <w:tr w:rsidR="00A95B9F" w:rsidRPr="00FD45BF" w:rsidTr="00A95B9F">
        <w:trPr>
          <w:cantSplit/>
          <w:trHeight w:val="1160"/>
        </w:trPr>
        <w:tc>
          <w:tcPr>
            <w:tcW w:w="7088" w:type="dxa"/>
            <w:shd w:val="clear" w:color="auto" w:fill="auto"/>
          </w:tcPr>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lastRenderedPageBreak/>
              <w:t xml:space="preserve">The Youth Employment Package </w:t>
            </w:r>
          </w:p>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Announced in 2016 (building on the Youth Employment Strategy), will assist young people to gain the employability skills and real work experience that is needed to get a job. </w:t>
            </w:r>
          </w:p>
        </w:tc>
        <w:tc>
          <w:tcPr>
            <w:tcW w:w="7513" w:type="dxa"/>
            <w:gridSpan w:val="2"/>
            <w:shd w:val="clear" w:color="auto" w:fill="auto"/>
          </w:tcPr>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Youth Jobs </w:t>
            </w:r>
            <w:proofErr w:type="spellStart"/>
            <w:r w:rsidRPr="00FD45BF">
              <w:rPr>
                <w:rFonts w:asciiTheme="minorHAnsi" w:hAnsiTheme="minorHAnsi" w:cstheme="minorHAnsi"/>
                <w:color w:val="000000"/>
                <w:sz w:val="22"/>
                <w:lang w:val="en-AU"/>
              </w:rPr>
              <w:t>PaTH</w:t>
            </w:r>
            <w:proofErr w:type="spellEnd"/>
            <w:r w:rsidRPr="00FD45BF">
              <w:rPr>
                <w:rFonts w:asciiTheme="minorHAnsi" w:hAnsiTheme="minorHAnsi" w:cstheme="minorHAnsi"/>
                <w:color w:val="000000"/>
                <w:sz w:val="22"/>
                <w:lang w:val="en-AU"/>
              </w:rPr>
              <w:t xml:space="preserve"> (Prepare, Trial, Hire) for young job seekers has commenced, including t</w:t>
            </w:r>
            <w:r w:rsidRPr="00FD45BF">
              <w:rPr>
                <w:rFonts w:asciiTheme="minorHAnsi" w:hAnsiTheme="minorHAnsi" w:cstheme="minorHAnsi"/>
                <w:color w:val="000000"/>
                <w:sz w:val="22"/>
              </w:rPr>
              <w:t xml:space="preserve">he </w:t>
            </w:r>
            <w:proofErr w:type="spellStart"/>
            <w:r w:rsidRPr="00FD45BF">
              <w:rPr>
                <w:rFonts w:asciiTheme="minorHAnsi" w:hAnsiTheme="minorHAnsi" w:cstheme="minorHAnsi"/>
                <w:color w:val="000000"/>
                <w:sz w:val="22"/>
              </w:rPr>
              <w:t>new</w:t>
            </w:r>
            <w:proofErr w:type="spellEnd"/>
            <w:r w:rsidRPr="00FD45BF">
              <w:rPr>
                <w:rFonts w:asciiTheme="minorHAnsi" w:hAnsiTheme="minorHAnsi" w:cstheme="minorHAnsi"/>
                <w:color w:val="000000"/>
                <w:sz w:val="22"/>
              </w:rPr>
              <w:t xml:space="preserve"> Youth Bonus wage subsidy measure (1 January 2017),  as well as the Employability Skills Training and internships component (both 1 April 2017).</w:t>
            </w:r>
          </w:p>
        </w:tc>
      </w:tr>
      <w:tr w:rsidR="00A95B9F" w:rsidRPr="00FD45BF" w:rsidTr="00A95B9F">
        <w:trPr>
          <w:cantSplit/>
        </w:trPr>
        <w:tc>
          <w:tcPr>
            <w:tcW w:w="14601" w:type="dxa"/>
            <w:gridSpan w:val="3"/>
            <w:tcBorders>
              <w:bottom w:val="single" w:sz="4" w:space="0" w:color="auto"/>
            </w:tcBorders>
            <w:shd w:val="clear" w:color="auto" w:fill="EEECE1" w:themeFill="background2"/>
          </w:tcPr>
          <w:p w:rsidR="00A95B9F" w:rsidRPr="00FD45BF" w:rsidRDefault="00A95B9F" w:rsidP="00A95B9F">
            <w:pPr>
              <w:jc w:val="left"/>
              <w:rPr>
                <w:rFonts w:asciiTheme="minorHAnsi" w:hAnsiTheme="minorHAnsi" w:cstheme="minorHAnsi"/>
                <w:i/>
                <w:color w:val="000000"/>
                <w:sz w:val="22"/>
                <w:lang w:val="en-AU"/>
              </w:rPr>
            </w:pPr>
            <w:r w:rsidRPr="00FD45BF">
              <w:rPr>
                <w:rFonts w:asciiTheme="minorHAnsi" w:hAnsiTheme="minorHAnsi" w:cstheme="minorHAnsi"/>
                <w:sz w:val="22"/>
                <w:lang w:val="en-AU"/>
              </w:rPr>
              <w:br w:type="page"/>
            </w:r>
            <w:r w:rsidRPr="00FD45BF">
              <w:rPr>
                <w:rFonts w:asciiTheme="minorHAnsi" w:hAnsiTheme="minorHAnsi" w:cstheme="minorHAnsi"/>
                <w:color w:val="000000"/>
                <w:sz w:val="22"/>
                <w:lang w:val="en-AU"/>
              </w:rPr>
              <w:br w:type="page"/>
            </w:r>
            <w:r w:rsidRPr="00FD45BF">
              <w:rPr>
                <w:rFonts w:asciiTheme="minorHAnsi" w:hAnsiTheme="minorHAnsi" w:cstheme="minorHAnsi"/>
                <w:i/>
                <w:color w:val="000000"/>
                <w:sz w:val="22"/>
                <w:shd w:val="clear" w:color="auto" w:fill="EEECE1" w:themeFill="background2"/>
                <w:lang w:val="en-AU"/>
              </w:rPr>
              <w:t>Indigenous Australians</w:t>
            </w:r>
          </w:p>
        </w:tc>
      </w:tr>
      <w:tr w:rsidR="00A95B9F" w:rsidRPr="00FD45BF" w:rsidTr="00A95B9F">
        <w:trPr>
          <w:cantSplit/>
        </w:trPr>
        <w:tc>
          <w:tcPr>
            <w:tcW w:w="7088" w:type="dxa"/>
            <w:shd w:val="clear" w:color="auto" w:fill="auto"/>
          </w:tcPr>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Indigenous Advancement Strategy </w:t>
            </w:r>
          </w:p>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Announced in the 2014-15 Budget, the strategy aims to consolidate more than 150 individual programs and services within five streamlined broad-based programs.</w:t>
            </w:r>
          </w:p>
        </w:tc>
        <w:tc>
          <w:tcPr>
            <w:tcW w:w="7513" w:type="dxa"/>
            <w:gridSpan w:val="2"/>
            <w:shd w:val="clear" w:color="auto" w:fill="auto"/>
          </w:tcPr>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The Indigenous Advancement Strategy is generating significant opportunities for Indigenous employment under the Jobs, Land and Economy program:</w:t>
            </w:r>
            <w:r w:rsidRPr="00FD45BF" w:rsidDel="00E36CF8">
              <w:rPr>
                <w:rFonts w:asciiTheme="minorHAnsi" w:hAnsiTheme="minorHAnsi" w:cstheme="minorHAnsi"/>
                <w:color w:val="000000"/>
                <w:sz w:val="22"/>
                <w:lang w:val="en-AU"/>
              </w:rPr>
              <w:t xml:space="preserve"> </w:t>
            </w:r>
          </w:p>
          <w:p w:rsidR="00A95B9F" w:rsidRPr="00FD45BF" w:rsidRDefault="00A95B9F" w:rsidP="00A95B9F">
            <w:pPr>
              <w:numPr>
                <w:ilvl w:val="0"/>
                <w:numId w:val="4"/>
              </w:num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The Community Development Programme (CDP) is delivering improved participation and employment opportunities across remote areas. Vocational Employment and Training Centres have made strong progress in placing Indigenous job seekers into guaranteed jobs and supporting their long term employment. </w:t>
            </w:r>
          </w:p>
          <w:p w:rsidR="00A95B9F" w:rsidRPr="00FD45BF" w:rsidRDefault="00A95B9F" w:rsidP="00A95B9F">
            <w:pPr>
              <w:numPr>
                <w:ilvl w:val="0"/>
                <w:numId w:val="4"/>
              </w:num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In 2015-16 Indigenous employment in the federal public sector increased from 2.2 per cent to 2.4 per cent of the workforce.</w:t>
            </w:r>
          </w:p>
          <w:p w:rsidR="00A95B9F" w:rsidRPr="00FD45BF" w:rsidRDefault="00A95B9F" w:rsidP="00A95B9F">
            <w:pPr>
              <w:numPr>
                <w:ilvl w:val="0"/>
                <w:numId w:val="4"/>
              </w:num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In its first 18 months, the Indigenous Procurement Policy exceeded expectations, prompting the Government (in February 2017) to bring  forward the 3 per cent Indigenous Procurement Policy target from 2020 to the 2016-17 financial year. </w:t>
            </w:r>
          </w:p>
        </w:tc>
      </w:tr>
      <w:tr w:rsidR="00A95B9F" w:rsidRPr="00FD45BF" w:rsidTr="00A95B9F">
        <w:trPr>
          <w:cantSplit/>
        </w:trPr>
        <w:tc>
          <w:tcPr>
            <w:tcW w:w="7088" w:type="dxa"/>
            <w:tcBorders>
              <w:bottom w:val="single" w:sz="4" w:space="0" w:color="auto"/>
            </w:tcBorders>
            <w:shd w:val="clear" w:color="auto" w:fill="auto"/>
          </w:tcPr>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sz w:val="22"/>
                <w:lang w:val="en-AU"/>
              </w:rPr>
              <w:t>Implement requirements to increase Indigenous Employment and Supplier - use that will apply to all new large-scale Australian Government-funded, state-delivered infrastructure projects.</w:t>
            </w:r>
          </w:p>
        </w:tc>
        <w:tc>
          <w:tcPr>
            <w:tcW w:w="7513" w:type="dxa"/>
            <w:gridSpan w:val="2"/>
            <w:tcBorders>
              <w:bottom w:val="single" w:sz="4" w:space="0" w:color="auto"/>
            </w:tcBorders>
            <w:shd w:val="clear" w:color="auto" w:fill="auto"/>
          </w:tcPr>
          <w:p w:rsidR="00A95B9F" w:rsidRPr="00FD45BF" w:rsidRDefault="00A95B9F" w:rsidP="00A95B9F">
            <w:pPr>
              <w:spacing w:before="120" w:after="120"/>
              <w:jc w:val="left"/>
              <w:rPr>
                <w:rFonts w:asciiTheme="minorHAnsi" w:hAnsiTheme="minorHAnsi" w:cstheme="minorHAnsi"/>
                <w:sz w:val="22"/>
                <w:lang w:val="en-AU"/>
              </w:rPr>
            </w:pPr>
            <w:r w:rsidRPr="00FD45BF">
              <w:rPr>
                <w:rFonts w:asciiTheme="minorHAnsi" w:hAnsiTheme="minorHAnsi" w:cstheme="minorHAnsi"/>
                <w:sz w:val="22"/>
                <w:lang w:val="en-AU"/>
              </w:rPr>
              <w:t>This measure will commence in mid-2019.</w:t>
            </w:r>
          </w:p>
          <w:p w:rsidR="00A95B9F" w:rsidRPr="00FD45BF" w:rsidRDefault="00A95B9F" w:rsidP="00A95B9F">
            <w:pPr>
              <w:spacing w:before="120" w:after="120"/>
              <w:jc w:val="left"/>
              <w:rPr>
                <w:rFonts w:asciiTheme="minorHAnsi" w:hAnsiTheme="minorHAnsi" w:cstheme="minorHAnsi"/>
                <w:color w:val="000000"/>
                <w:sz w:val="22"/>
                <w:lang w:val="en-AU"/>
              </w:rPr>
            </w:pPr>
          </w:p>
        </w:tc>
      </w:tr>
      <w:tr w:rsidR="00A95B9F" w:rsidRPr="00FD45BF" w:rsidTr="00A95B9F">
        <w:trPr>
          <w:cantSplit/>
        </w:trPr>
        <w:tc>
          <w:tcPr>
            <w:tcW w:w="7088" w:type="dxa"/>
            <w:tcBorders>
              <w:bottom w:val="single" w:sz="4" w:space="0" w:color="auto"/>
            </w:tcBorders>
            <w:shd w:val="clear" w:color="auto" w:fill="auto"/>
          </w:tcPr>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Indigenous Employment Outcomes Targets for jobactive employment service providers.</w:t>
            </w:r>
          </w:p>
        </w:tc>
        <w:tc>
          <w:tcPr>
            <w:tcW w:w="7513" w:type="dxa"/>
            <w:gridSpan w:val="2"/>
            <w:tcBorders>
              <w:bottom w:val="single" w:sz="4" w:space="0" w:color="auto"/>
            </w:tcBorders>
            <w:shd w:val="clear" w:color="auto" w:fill="auto"/>
          </w:tcPr>
          <w:p w:rsidR="00A95B9F" w:rsidRPr="00FD45BF" w:rsidRDefault="00A95B9F" w:rsidP="00A95B9F">
            <w:pPr>
              <w:spacing w:before="120" w:after="120"/>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This measure is ongoing as part of the jobactive Performance Framework.</w:t>
            </w:r>
          </w:p>
        </w:tc>
      </w:tr>
      <w:tr w:rsidR="00A95B9F" w:rsidRPr="00FD45BF" w:rsidTr="00A95B9F">
        <w:trPr>
          <w:cantSplit/>
        </w:trPr>
        <w:tc>
          <w:tcPr>
            <w:tcW w:w="14601" w:type="dxa"/>
            <w:gridSpan w:val="3"/>
            <w:tcBorders>
              <w:bottom w:val="single" w:sz="4" w:space="0" w:color="auto"/>
            </w:tcBorders>
            <w:shd w:val="clear" w:color="auto" w:fill="EEECE1" w:themeFill="background2"/>
          </w:tcPr>
          <w:p w:rsidR="00A95B9F" w:rsidRPr="00FD45BF" w:rsidRDefault="00A95B9F" w:rsidP="00A95B9F">
            <w:pPr>
              <w:spacing w:before="60"/>
              <w:jc w:val="left"/>
              <w:rPr>
                <w:rFonts w:asciiTheme="minorHAnsi" w:hAnsiTheme="minorHAnsi" w:cstheme="minorHAnsi"/>
                <w:i/>
                <w:color w:val="000000"/>
                <w:sz w:val="22"/>
                <w:lang w:val="en-AU"/>
              </w:rPr>
            </w:pPr>
            <w:r w:rsidRPr="00FD45BF">
              <w:rPr>
                <w:rFonts w:asciiTheme="minorHAnsi" w:hAnsiTheme="minorHAnsi" w:cstheme="minorHAnsi"/>
                <w:i/>
                <w:color w:val="000000"/>
                <w:sz w:val="22"/>
                <w:lang w:val="en-AU"/>
              </w:rPr>
              <w:lastRenderedPageBreak/>
              <w:t>Regional initiatives</w:t>
            </w:r>
          </w:p>
        </w:tc>
      </w:tr>
      <w:tr w:rsidR="00A95B9F" w:rsidRPr="00FD45BF" w:rsidTr="00A95B9F">
        <w:trPr>
          <w:cantSplit/>
          <w:trHeight w:val="1168"/>
        </w:trPr>
        <w:tc>
          <w:tcPr>
            <w:tcW w:w="7088" w:type="dxa"/>
            <w:shd w:val="clear" w:color="auto" w:fill="auto"/>
          </w:tcPr>
          <w:p w:rsidR="00A95B9F" w:rsidRPr="00FD45BF" w:rsidRDefault="00A95B9F" w:rsidP="00A95B9F">
            <w:pPr>
              <w:jc w:val="left"/>
              <w:rPr>
                <w:rFonts w:asciiTheme="minorHAnsi" w:hAnsiTheme="minorHAnsi" w:cstheme="minorHAnsi"/>
                <w:color w:val="000000"/>
                <w:sz w:val="22"/>
                <w:lang w:val="en-AU"/>
              </w:rPr>
            </w:pPr>
            <w:r w:rsidRPr="00FD45BF">
              <w:rPr>
                <w:rFonts w:asciiTheme="minorHAnsi" w:hAnsiTheme="minorHAnsi" w:cstheme="minorHAnsi"/>
                <w:sz w:val="22"/>
                <w:lang w:val="en-AU"/>
              </w:rPr>
              <w:t>The Regional Jobs and Investment Packages (RJIP) aimed at diversifying regional economies, stimulating economic growth and delivering sustainable employment in ten pilot regions.</w:t>
            </w:r>
          </w:p>
        </w:tc>
        <w:tc>
          <w:tcPr>
            <w:tcW w:w="7513" w:type="dxa"/>
            <w:gridSpan w:val="2"/>
            <w:shd w:val="clear" w:color="auto" w:fill="auto"/>
          </w:tcPr>
          <w:p w:rsidR="00A95B9F" w:rsidRPr="00FD45BF" w:rsidRDefault="00A95B9F" w:rsidP="00A95B9F">
            <w:pPr>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RJIP is in the process of being implemented.</w:t>
            </w:r>
          </w:p>
          <w:p w:rsidR="00A95B9F" w:rsidRPr="00FD45BF" w:rsidRDefault="00A95B9F" w:rsidP="00A95B9F">
            <w:pPr>
              <w:numPr>
                <w:ilvl w:val="0"/>
                <w:numId w:val="4"/>
              </w:numPr>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Guidelines have been released; and</w:t>
            </w:r>
          </w:p>
          <w:p w:rsidR="00A95B9F" w:rsidRPr="00FD45BF" w:rsidRDefault="00A95B9F" w:rsidP="00A95B9F">
            <w:pPr>
              <w:numPr>
                <w:ilvl w:val="0"/>
                <w:numId w:val="4"/>
              </w:numPr>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Local Planning Committees are being established and commencing work towards developing Local Investment Plans. </w:t>
            </w:r>
          </w:p>
        </w:tc>
      </w:tr>
      <w:tr w:rsidR="00A95B9F" w:rsidRPr="00FD45BF" w:rsidTr="00A95B9F">
        <w:trPr>
          <w:gridAfter w:val="1"/>
          <w:wAfter w:w="6" w:type="dxa"/>
          <w:cantSplit/>
        </w:trPr>
        <w:tc>
          <w:tcPr>
            <w:tcW w:w="14595" w:type="dxa"/>
            <w:gridSpan w:val="2"/>
            <w:tcBorders>
              <w:bottom w:val="single" w:sz="4" w:space="0" w:color="auto"/>
            </w:tcBorders>
            <w:shd w:val="clear" w:color="auto" w:fill="F2F2F2"/>
          </w:tcPr>
          <w:p w:rsidR="00A95B9F" w:rsidRPr="00FD45BF" w:rsidRDefault="00A95B9F" w:rsidP="00A95B9F">
            <w:pPr>
              <w:jc w:val="left"/>
              <w:rPr>
                <w:rFonts w:asciiTheme="minorHAnsi" w:hAnsiTheme="minorHAnsi" w:cstheme="minorHAnsi"/>
                <w:i/>
                <w:color w:val="000000"/>
                <w:sz w:val="22"/>
                <w:lang w:val="en-AU"/>
              </w:rPr>
            </w:pPr>
            <w:r w:rsidRPr="00FD45BF">
              <w:rPr>
                <w:rFonts w:asciiTheme="minorHAnsi" w:hAnsiTheme="minorHAnsi" w:cstheme="minorHAnsi"/>
                <w:sz w:val="22"/>
              </w:rPr>
              <w:br w:type="page"/>
            </w:r>
            <w:r w:rsidRPr="00FD45BF">
              <w:rPr>
                <w:rFonts w:asciiTheme="minorHAnsi" w:hAnsiTheme="minorHAnsi" w:cstheme="minorHAnsi"/>
                <w:i/>
                <w:color w:val="000000"/>
                <w:sz w:val="22"/>
                <w:shd w:val="clear" w:color="auto" w:fill="EEECE1" w:themeFill="background2"/>
                <w:lang w:val="en-AU"/>
              </w:rPr>
              <w:t>Workers in industries facing major structural change</w:t>
            </w:r>
          </w:p>
        </w:tc>
      </w:tr>
      <w:tr w:rsidR="00A95B9F" w:rsidRPr="00FD45BF" w:rsidTr="00A95B9F">
        <w:trPr>
          <w:gridAfter w:val="1"/>
          <w:wAfter w:w="6" w:type="dxa"/>
          <w:cantSplit/>
          <w:trHeight w:val="990"/>
        </w:trPr>
        <w:tc>
          <w:tcPr>
            <w:tcW w:w="7088" w:type="dxa"/>
            <w:shd w:val="clear" w:color="auto" w:fill="auto"/>
          </w:tcPr>
          <w:p w:rsidR="00A95B9F" w:rsidRPr="00FD45BF" w:rsidRDefault="00A95B9F" w:rsidP="00A95B9F">
            <w:pPr>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The Skills Growth Fund </w:t>
            </w:r>
          </w:p>
          <w:p w:rsidR="00A95B9F" w:rsidRPr="00FD45BF" w:rsidRDefault="00A95B9F" w:rsidP="00A95B9F">
            <w:pPr>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 xml:space="preserve">Supporting the transition of retrenched automotive workers impacted by large scale redundancies through structural adjustment packages. </w:t>
            </w:r>
          </w:p>
        </w:tc>
        <w:tc>
          <w:tcPr>
            <w:tcW w:w="7507" w:type="dxa"/>
            <w:shd w:val="clear" w:color="auto" w:fill="auto"/>
          </w:tcPr>
          <w:p w:rsidR="00A95B9F" w:rsidRPr="00FD45BF" w:rsidRDefault="00A95B9F" w:rsidP="00A95B9F">
            <w:pPr>
              <w:jc w:val="left"/>
              <w:rPr>
                <w:rFonts w:asciiTheme="minorHAnsi" w:hAnsiTheme="minorHAnsi" w:cstheme="minorHAnsi"/>
                <w:color w:val="000000"/>
                <w:sz w:val="22"/>
                <w:lang w:val="en-AU"/>
              </w:rPr>
            </w:pPr>
            <w:r w:rsidRPr="00FD45BF">
              <w:rPr>
                <w:rFonts w:asciiTheme="minorHAnsi" w:hAnsiTheme="minorHAnsi" w:cstheme="minorHAnsi"/>
                <w:color w:val="000000"/>
                <w:sz w:val="22"/>
                <w:lang w:val="en-AU"/>
              </w:rPr>
              <w:t>The Growth Fund is in place. The Government has also provided structural adjustment packages to assist employees in areas where expectations of future employment opportunities for workers in the industry are low or where large scale closures may impact on the local labour market.</w:t>
            </w:r>
          </w:p>
        </w:tc>
      </w:tr>
      <w:tr w:rsidR="00A95B9F" w:rsidRPr="00841094" w:rsidTr="00A95B9F">
        <w:trPr>
          <w:gridAfter w:val="1"/>
          <w:wAfter w:w="6" w:type="dxa"/>
          <w:cantSplit/>
        </w:trPr>
        <w:tc>
          <w:tcPr>
            <w:tcW w:w="14595" w:type="dxa"/>
            <w:gridSpan w:val="2"/>
            <w:tcBorders>
              <w:bottom w:val="single" w:sz="4" w:space="0" w:color="auto"/>
            </w:tcBorders>
            <w:shd w:val="clear" w:color="auto" w:fill="EEECE1" w:themeFill="background2"/>
          </w:tcPr>
          <w:p w:rsidR="00A95B9F" w:rsidRPr="00841094" w:rsidRDefault="00A95B9F" w:rsidP="00A95B9F">
            <w:pPr>
              <w:jc w:val="left"/>
              <w:rPr>
                <w:rFonts w:asciiTheme="minorHAnsi" w:hAnsiTheme="minorHAnsi" w:cstheme="minorHAnsi"/>
                <w:i/>
                <w:color w:val="000000"/>
                <w:sz w:val="22"/>
                <w:lang w:val="en-AU"/>
              </w:rPr>
            </w:pPr>
            <w:r w:rsidRPr="00841094">
              <w:rPr>
                <w:rFonts w:asciiTheme="minorHAnsi" w:hAnsiTheme="minorHAnsi" w:cstheme="minorHAnsi"/>
                <w:i/>
                <w:color w:val="000000"/>
                <w:sz w:val="22"/>
                <w:lang w:val="en-AU"/>
              </w:rPr>
              <w:t>Skills development</w:t>
            </w:r>
          </w:p>
        </w:tc>
      </w:tr>
      <w:tr w:rsidR="00A95B9F" w:rsidRPr="00841094" w:rsidTr="00A95B9F">
        <w:trPr>
          <w:gridAfter w:val="1"/>
          <w:wAfter w:w="6" w:type="dxa"/>
          <w:cantSplit/>
        </w:trPr>
        <w:tc>
          <w:tcPr>
            <w:tcW w:w="7088" w:type="dxa"/>
            <w:shd w:val="clear" w:color="auto" w:fill="auto"/>
          </w:tcPr>
          <w:p w:rsidR="00A95B9F" w:rsidRPr="00841094" w:rsidRDefault="00A95B9F" w:rsidP="00A95B9F">
            <w:pPr>
              <w:jc w:val="left"/>
              <w:rPr>
                <w:rFonts w:asciiTheme="minorHAnsi" w:hAnsiTheme="minorHAnsi" w:cstheme="minorHAnsi"/>
                <w:color w:val="000000"/>
                <w:sz w:val="22"/>
                <w:lang w:val="en-AU"/>
              </w:rPr>
            </w:pPr>
            <w:r>
              <w:rPr>
                <w:rFonts w:asciiTheme="minorHAnsi" w:hAnsiTheme="minorHAnsi" w:cstheme="minorHAnsi"/>
                <w:color w:val="000000"/>
                <w:sz w:val="22"/>
                <w:lang w:val="en-AU"/>
              </w:rPr>
              <w:t xml:space="preserve">Implementation of </w:t>
            </w:r>
            <w:r w:rsidRPr="00841094">
              <w:rPr>
                <w:rFonts w:asciiTheme="minorHAnsi" w:hAnsiTheme="minorHAnsi" w:cstheme="minorHAnsi"/>
                <w:color w:val="000000"/>
                <w:sz w:val="22"/>
                <w:lang w:val="en-AU"/>
              </w:rPr>
              <w:t>Australian Apprenticeship Support Network to deliver a new generation of support services to Australian Apprenticeships participants</w:t>
            </w:r>
            <w:r>
              <w:rPr>
                <w:rFonts w:asciiTheme="minorHAnsi" w:hAnsiTheme="minorHAnsi" w:cstheme="minorHAnsi"/>
                <w:color w:val="000000"/>
                <w:sz w:val="22"/>
                <w:lang w:val="en-AU"/>
              </w:rPr>
              <w:t xml:space="preserve"> aimed at </w:t>
            </w:r>
            <w:r w:rsidRPr="00841094">
              <w:rPr>
                <w:rFonts w:asciiTheme="minorHAnsi" w:hAnsiTheme="minorHAnsi" w:cstheme="minorHAnsi"/>
                <w:color w:val="000000"/>
                <w:sz w:val="22"/>
                <w:lang w:val="en-AU"/>
              </w:rPr>
              <w:t>lift</w:t>
            </w:r>
            <w:r>
              <w:rPr>
                <w:rFonts w:asciiTheme="minorHAnsi" w:hAnsiTheme="minorHAnsi" w:cstheme="minorHAnsi"/>
                <w:color w:val="000000"/>
                <w:sz w:val="22"/>
                <w:lang w:val="en-AU"/>
              </w:rPr>
              <w:t>ing</w:t>
            </w:r>
            <w:r w:rsidRPr="00841094">
              <w:rPr>
                <w:rFonts w:asciiTheme="minorHAnsi" w:hAnsiTheme="minorHAnsi" w:cstheme="minorHAnsi"/>
                <w:color w:val="000000"/>
                <w:sz w:val="22"/>
                <w:lang w:val="en-AU"/>
              </w:rPr>
              <w:t xml:space="preserve"> apprenticeship completion rates.</w:t>
            </w:r>
          </w:p>
        </w:tc>
        <w:tc>
          <w:tcPr>
            <w:tcW w:w="7507" w:type="dxa"/>
            <w:shd w:val="clear" w:color="auto" w:fill="auto"/>
          </w:tcPr>
          <w:p w:rsidR="00A95B9F" w:rsidRDefault="00A95B9F" w:rsidP="00A95B9F">
            <w:pPr>
              <w:jc w:val="left"/>
              <w:rPr>
                <w:rFonts w:asciiTheme="minorHAnsi" w:hAnsiTheme="minorHAnsi" w:cstheme="minorHAnsi"/>
                <w:color w:val="000000"/>
                <w:sz w:val="22"/>
                <w:lang w:val="en-AU"/>
              </w:rPr>
            </w:pPr>
            <w:r w:rsidRPr="00841094">
              <w:rPr>
                <w:rFonts w:asciiTheme="minorHAnsi" w:hAnsiTheme="minorHAnsi" w:cstheme="minorHAnsi"/>
                <w:color w:val="000000"/>
                <w:sz w:val="22"/>
                <w:lang w:val="en-AU"/>
              </w:rPr>
              <w:t xml:space="preserve">The Australian Apprenticeship Support Network commenced on 1 July 2015 and operates from around 400 locations in all states and territories across Australia. </w:t>
            </w:r>
          </w:p>
          <w:p w:rsidR="00A95B9F" w:rsidRPr="00841094" w:rsidRDefault="00A95B9F" w:rsidP="00A95B9F">
            <w:pPr>
              <w:jc w:val="left"/>
              <w:rPr>
                <w:rFonts w:asciiTheme="minorHAnsi" w:hAnsiTheme="minorHAnsi" w:cstheme="minorHAnsi"/>
                <w:color w:val="000000"/>
                <w:sz w:val="22"/>
                <w:lang w:val="en-AU"/>
              </w:rPr>
            </w:pPr>
          </w:p>
        </w:tc>
      </w:tr>
      <w:tr w:rsidR="00A95B9F" w:rsidRPr="00841094" w:rsidTr="00A95B9F">
        <w:trPr>
          <w:gridAfter w:val="1"/>
          <w:wAfter w:w="6" w:type="dxa"/>
          <w:cantSplit/>
        </w:trPr>
        <w:tc>
          <w:tcPr>
            <w:tcW w:w="7088" w:type="dxa"/>
            <w:shd w:val="clear" w:color="auto" w:fill="auto"/>
          </w:tcPr>
          <w:p w:rsidR="00A95B9F" w:rsidRPr="00841094" w:rsidRDefault="00A95B9F" w:rsidP="00A95B9F">
            <w:pPr>
              <w:jc w:val="left"/>
              <w:rPr>
                <w:rFonts w:asciiTheme="minorHAnsi" w:hAnsiTheme="minorHAnsi" w:cstheme="minorHAnsi"/>
                <w:color w:val="000000"/>
                <w:sz w:val="22"/>
                <w:lang w:val="en-AU"/>
              </w:rPr>
            </w:pPr>
            <w:r w:rsidRPr="00841094">
              <w:rPr>
                <w:rFonts w:asciiTheme="minorHAnsi" w:hAnsiTheme="minorHAnsi" w:cstheme="minorHAnsi"/>
                <w:sz w:val="22"/>
                <w:lang w:val="en-AU"/>
              </w:rPr>
              <w:br w:type="page"/>
            </w:r>
            <w:r w:rsidRPr="00841094">
              <w:rPr>
                <w:rFonts w:asciiTheme="minorHAnsi" w:hAnsiTheme="minorHAnsi" w:cstheme="minorHAnsi"/>
                <w:color w:val="000000"/>
                <w:sz w:val="22"/>
                <w:lang w:val="en-AU"/>
              </w:rPr>
              <w:t>New industry led arrangements for training product development and review.</w:t>
            </w:r>
          </w:p>
        </w:tc>
        <w:tc>
          <w:tcPr>
            <w:tcW w:w="7507" w:type="dxa"/>
            <w:shd w:val="clear" w:color="auto" w:fill="auto"/>
          </w:tcPr>
          <w:p w:rsidR="00A95B9F" w:rsidRPr="00841094" w:rsidRDefault="00A95B9F" w:rsidP="00A95B9F">
            <w:pPr>
              <w:jc w:val="left"/>
              <w:rPr>
                <w:rFonts w:asciiTheme="minorHAnsi" w:hAnsiTheme="minorHAnsi" w:cstheme="minorHAnsi"/>
                <w:color w:val="000000"/>
                <w:sz w:val="22"/>
                <w:lang w:val="en-AU"/>
              </w:rPr>
            </w:pPr>
            <w:r w:rsidRPr="00841094">
              <w:rPr>
                <w:rFonts w:asciiTheme="minorHAnsi" w:hAnsiTheme="minorHAnsi" w:cstheme="minorHAnsi"/>
                <w:color w:val="000000"/>
                <w:sz w:val="22"/>
                <w:lang w:val="en-AU"/>
              </w:rPr>
              <w:t>The new arrangements for training product development commenced in January 2016.</w:t>
            </w:r>
          </w:p>
        </w:tc>
      </w:tr>
    </w:tbl>
    <w:p w:rsidR="00DC2A2C" w:rsidRPr="00FD45BF" w:rsidRDefault="00DC2A2C" w:rsidP="00A3361B"/>
    <w:p w:rsidR="00A561E2" w:rsidRPr="005F7E37" w:rsidRDefault="00A561E2" w:rsidP="00AD08D5">
      <w:pPr>
        <w:spacing w:after="240"/>
        <w:rPr>
          <w:rFonts w:asciiTheme="minorHAnsi" w:hAnsiTheme="minorHAnsi" w:cstheme="minorHAnsi"/>
          <w:b/>
          <w:color w:val="000000"/>
          <w:lang w:val="en-AU"/>
        </w:rPr>
        <w:sectPr w:rsidR="00A561E2" w:rsidRPr="005F7E37" w:rsidSect="00413837">
          <w:headerReference w:type="default" r:id="rId13"/>
          <w:footerReference w:type="default" r:id="rId14"/>
          <w:pgSz w:w="16783" w:h="11850" w:orient="landscape"/>
          <w:pgMar w:top="1701" w:right="1134" w:bottom="1134" w:left="1134" w:header="851" w:footer="0" w:gutter="0"/>
          <w:cols w:space="720"/>
          <w:docGrid w:linePitch="326"/>
        </w:sectPr>
      </w:pPr>
    </w:p>
    <w:p w:rsidR="00A561E2" w:rsidRPr="005F7E37" w:rsidRDefault="00A561E2" w:rsidP="000664C6">
      <w:pPr>
        <w:pStyle w:val="Heading2"/>
      </w:pPr>
      <w:bookmarkStart w:id="142" w:name="_Toc452625239"/>
      <w:bookmarkStart w:id="143" w:name="_Toc458449936"/>
      <w:bookmarkStart w:id="144" w:name="_Toc484691726"/>
      <w:bookmarkStart w:id="145" w:name="_Toc485740309"/>
      <w:bookmarkStart w:id="146" w:name="_Toc485740413"/>
      <w:bookmarkStart w:id="147" w:name="_Toc487107042"/>
      <w:bookmarkStart w:id="148" w:name="_Toc487110330"/>
      <w:r w:rsidRPr="005F7E37">
        <w:lastRenderedPageBreak/>
        <w:t>New policy commitments</w:t>
      </w:r>
      <w:bookmarkEnd w:id="142"/>
      <w:bookmarkEnd w:id="143"/>
      <w:bookmarkEnd w:id="144"/>
      <w:bookmarkEnd w:id="145"/>
      <w:bookmarkEnd w:id="146"/>
      <w:bookmarkEnd w:id="147"/>
      <w:bookmarkEnd w:id="148"/>
    </w:p>
    <w:p w:rsidR="00A561E2" w:rsidRPr="005F7E37" w:rsidRDefault="00A561E2" w:rsidP="00DC2A2C">
      <w:pPr>
        <w:spacing w:before="60" w:after="240"/>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following table provides a summary of the key new employment-related measures announced by the Australian Government since </w:t>
      </w:r>
      <w:r w:rsidR="00FC0378">
        <w:rPr>
          <w:rFonts w:asciiTheme="minorHAnsi" w:hAnsiTheme="minorHAnsi" w:cstheme="minorHAnsi"/>
          <w:color w:val="000000"/>
          <w:sz w:val="22"/>
          <w:lang w:val="en-AU"/>
        </w:rPr>
        <w:t xml:space="preserve">the G20 Leaders’ Summit in September 2016 under the Chinese presidency. The Australian Government Budget for 2017-18 outlines commitments to a </w:t>
      </w:r>
      <w:r w:rsidR="00FC0378" w:rsidRPr="000555C1">
        <w:rPr>
          <w:rFonts w:asciiTheme="minorHAnsi" w:eastAsiaTheme="minorHAnsi" w:hAnsiTheme="minorHAnsi" w:cstheme="minorHAnsi"/>
          <w:sz w:val="22"/>
          <w:lang w:eastAsia="en-US"/>
        </w:rPr>
        <w:t>range of measures on regional job creation, skills development and welfare reform consistent with G20 commitments</w:t>
      </w:r>
      <w:r w:rsidR="00FC0378">
        <w:rPr>
          <w:rFonts w:asciiTheme="minorHAnsi" w:hAnsiTheme="minorHAnsi" w:cstheme="minorHAnsi"/>
          <w:color w:val="000000"/>
          <w:sz w:val="22"/>
          <w:lang w:val="en-AU"/>
        </w:rPr>
        <w:t>.</w:t>
      </w:r>
      <w:r w:rsidR="003B35CC">
        <w:rPr>
          <w:rFonts w:asciiTheme="minorHAnsi" w:hAnsiTheme="minorHAnsi" w:cstheme="minorHAnsi"/>
          <w:color w:val="000000"/>
          <w:sz w:val="22"/>
          <w:lang w:val="en-AU"/>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989"/>
      </w:tblGrid>
      <w:tr w:rsidR="00A561E2" w:rsidRPr="005F7E37" w:rsidTr="00351858">
        <w:trPr>
          <w:tblHeader/>
        </w:trPr>
        <w:tc>
          <w:tcPr>
            <w:tcW w:w="1701" w:type="dxa"/>
            <w:shd w:val="clear" w:color="auto" w:fill="EEECE1" w:themeFill="background2"/>
          </w:tcPr>
          <w:p w:rsidR="00A561E2" w:rsidRPr="005F7E37" w:rsidRDefault="00A561E2" w:rsidP="00DC2A2C">
            <w:pPr>
              <w:spacing w:before="60" w:after="60"/>
              <w:jc w:val="left"/>
              <w:rPr>
                <w:rFonts w:asciiTheme="minorHAnsi" w:eastAsia="Times New Roman" w:hAnsiTheme="minorHAnsi" w:cstheme="minorHAnsi"/>
                <w:b/>
                <w:bCs/>
                <w:color w:val="000000"/>
                <w:lang w:val="en-AU"/>
              </w:rPr>
            </w:pPr>
            <w:r w:rsidRPr="005F7E37">
              <w:rPr>
                <w:rFonts w:asciiTheme="minorHAnsi" w:eastAsia="Times New Roman" w:hAnsiTheme="minorHAnsi" w:cstheme="minorHAnsi"/>
                <w:b/>
                <w:bCs/>
                <w:color w:val="000000"/>
                <w:lang w:val="en-AU"/>
              </w:rPr>
              <w:t>New policy measure</w:t>
            </w:r>
          </w:p>
        </w:tc>
        <w:tc>
          <w:tcPr>
            <w:tcW w:w="7989" w:type="dxa"/>
            <w:shd w:val="clear" w:color="auto" w:fill="EEECE1" w:themeFill="background2"/>
          </w:tcPr>
          <w:p w:rsidR="00A561E2" w:rsidRPr="005F7E37" w:rsidRDefault="00A561E2" w:rsidP="00DC2A2C">
            <w:pPr>
              <w:spacing w:before="60" w:after="60"/>
              <w:jc w:val="left"/>
              <w:rPr>
                <w:rFonts w:asciiTheme="minorHAnsi" w:eastAsia="Times New Roman" w:hAnsiTheme="minorHAnsi" w:cstheme="minorHAnsi"/>
                <w:b/>
                <w:bCs/>
                <w:color w:val="000000"/>
                <w:lang w:val="en-AU"/>
              </w:rPr>
            </w:pPr>
            <w:r w:rsidRPr="005F7E37">
              <w:rPr>
                <w:rFonts w:asciiTheme="minorHAnsi" w:eastAsia="Times New Roman" w:hAnsiTheme="minorHAnsi" w:cstheme="minorHAnsi"/>
                <w:b/>
                <w:bCs/>
                <w:color w:val="000000"/>
                <w:lang w:val="en-AU"/>
              </w:rPr>
              <w:t>Description</w:t>
            </w:r>
          </w:p>
        </w:tc>
      </w:tr>
      <w:tr w:rsidR="00A561E2" w:rsidRPr="005F7E37" w:rsidTr="00D67618">
        <w:tc>
          <w:tcPr>
            <w:tcW w:w="1701" w:type="dxa"/>
            <w:shd w:val="clear" w:color="auto" w:fill="auto"/>
          </w:tcPr>
          <w:p w:rsidR="00A561E2" w:rsidRPr="005F7E37" w:rsidRDefault="00A561E2" w:rsidP="00DC2A2C">
            <w:pPr>
              <w:spacing w:before="60" w:after="120"/>
              <w:jc w:val="left"/>
              <w:rPr>
                <w:rFonts w:asciiTheme="minorHAnsi" w:eastAsia="Times New Roman" w:hAnsiTheme="minorHAnsi" w:cstheme="minorHAnsi"/>
                <w:b/>
                <w:bCs/>
                <w:color w:val="000000"/>
                <w:sz w:val="22"/>
                <w:lang w:val="en-AU"/>
              </w:rPr>
            </w:pPr>
            <w:r w:rsidRPr="005F7E37">
              <w:rPr>
                <w:rFonts w:asciiTheme="minorHAnsi" w:eastAsia="Times New Roman" w:hAnsiTheme="minorHAnsi" w:cstheme="minorHAnsi"/>
                <w:bCs/>
                <w:color w:val="000000"/>
                <w:sz w:val="22"/>
                <w:lang w:val="en-AU"/>
              </w:rPr>
              <w:t>A.</w:t>
            </w:r>
            <w:r w:rsidRPr="005F7E37">
              <w:rPr>
                <w:rFonts w:asciiTheme="minorHAnsi" w:eastAsia="Times New Roman" w:hAnsiTheme="minorHAnsi" w:cstheme="minorHAnsi"/>
                <w:b/>
                <w:bCs/>
                <w:color w:val="000000"/>
                <w:sz w:val="22"/>
                <w:lang w:val="en-AU"/>
              </w:rPr>
              <w:t xml:space="preserve"> </w:t>
            </w:r>
            <w:r w:rsidRPr="005F7E37">
              <w:rPr>
                <w:rFonts w:asciiTheme="minorHAnsi" w:eastAsia="Times New Roman" w:hAnsiTheme="minorHAnsi" w:cstheme="minorHAnsi"/>
                <w:bCs/>
                <w:color w:val="000000"/>
                <w:sz w:val="22"/>
                <w:lang w:val="en-AU"/>
              </w:rPr>
              <w:t>Economic strategy</w:t>
            </w:r>
          </w:p>
        </w:tc>
        <w:tc>
          <w:tcPr>
            <w:tcW w:w="7989" w:type="dxa"/>
            <w:shd w:val="clear" w:color="auto" w:fill="auto"/>
          </w:tcPr>
          <w:p w:rsidR="00AD0196" w:rsidRPr="00FD45BF" w:rsidRDefault="00925CD9" w:rsidP="00DC2A2C">
            <w:pPr>
              <w:spacing w:before="60" w:after="120"/>
              <w:jc w:val="left"/>
              <w:rPr>
                <w:rFonts w:asciiTheme="minorHAnsi" w:eastAsia="Times New Roman" w:hAnsiTheme="minorHAnsi" w:cstheme="minorHAnsi"/>
                <w:color w:val="000000"/>
                <w:sz w:val="22"/>
                <w:lang w:val="en-AU"/>
              </w:rPr>
            </w:pPr>
            <w:r w:rsidRPr="00FD45BF">
              <w:rPr>
                <w:rFonts w:asciiTheme="minorHAnsi" w:eastAsia="Times New Roman" w:hAnsiTheme="minorHAnsi" w:cstheme="minorHAnsi"/>
                <w:color w:val="000000"/>
                <w:sz w:val="22"/>
                <w:lang w:val="en-AU"/>
              </w:rPr>
              <w:t>The Government’s economic strategy will facilitate the economy’s smooth transition to broader based growth and ensure all Australians have the opportunity to enjoy the benefits of a prosperous economy. The Government is focused on growing the economy to secure more and better paying jobs through:</w:t>
            </w:r>
          </w:p>
          <w:p w:rsidR="00AD0196" w:rsidRPr="00FD45BF" w:rsidRDefault="00AD0196" w:rsidP="003E10F8">
            <w:pPr>
              <w:pStyle w:val="ListParagraph"/>
              <w:numPr>
                <w:ilvl w:val="0"/>
                <w:numId w:val="3"/>
              </w:numPr>
              <w:spacing w:before="60" w:after="120"/>
              <w:rPr>
                <w:rFonts w:asciiTheme="minorHAnsi" w:hAnsiTheme="minorHAnsi" w:cstheme="minorHAnsi"/>
                <w:sz w:val="22"/>
                <w:szCs w:val="22"/>
              </w:rPr>
            </w:pPr>
            <w:r w:rsidRPr="00FD45BF">
              <w:rPr>
                <w:rFonts w:asciiTheme="minorHAnsi" w:hAnsiTheme="minorHAnsi" w:cstheme="minorHAnsi"/>
                <w:sz w:val="22"/>
                <w:szCs w:val="22"/>
              </w:rPr>
              <w:t>Continued reform to reduce tax and regulatory burden for small and</w:t>
            </w:r>
            <w:r w:rsidR="00043084" w:rsidRPr="00FD45BF">
              <w:rPr>
                <w:rFonts w:asciiTheme="minorHAnsi" w:hAnsiTheme="minorHAnsi" w:cstheme="minorHAnsi"/>
                <w:sz w:val="22"/>
                <w:szCs w:val="22"/>
              </w:rPr>
              <w:t xml:space="preserve"> medium</w:t>
            </w:r>
            <w:r w:rsidR="00043084" w:rsidRPr="00FD45BF">
              <w:rPr>
                <w:rFonts w:asciiTheme="minorHAnsi" w:hAnsiTheme="minorHAnsi" w:cstheme="minorHAnsi"/>
                <w:sz w:val="22"/>
                <w:szCs w:val="22"/>
              </w:rPr>
              <w:noBreakHyphen/>
              <w:t>sized enterprises.</w:t>
            </w:r>
          </w:p>
          <w:p w:rsidR="00A561E2" w:rsidRPr="00FD45BF" w:rsidRDefault="00AD0196" w:rsidP="003E10F8">
            <w:pPr>
              <w:numPr>
                <w:ilvl w:val="0"/>
                <w:numId w:val="3"/>
              </w:numPr>
              <w:spacing w:before="60" w:after="120"/>
              <w:jc w:val="left"/>
              <w:rPr>
                <w:rFonts w:asciiTheme="minorHAnsi" w:eastAsia="Times New Roman" w:hAnsiTheme="minorHAnsi" w:cstheme="minorHAnsi"/>
                <w:color w:val="000000"/>
                <w:sz w:val="22"/>
                <w:lang w:val="en-AU"/>
              </w:rPr>
            </w:pPr>
            <w:r w:rsidRPr="00FD45BF">
              <w:rPr>
                <w:rFonts w:asciiTheme="minorHAnsi" w:hAnsiTheme="minorHAnsi" w:cstheme="minorHAnsi"/>
                <w:sz w:val="22"/>
              </w:rPr>
              <w:t xml:space="preserve">Investment in infrastructure </w:t>
            </w:r>
            <w:r w:rsidR="00043084" w:rsidRPr="00FD45BF">
              <w:rPr>
                <w:rFonts w:asciiTheme="minorHAnsi" w:hAnsiTheme="minorHAnsi" w:cstheme="minorHAnsi"/>
                <w:sz w:val="22"/>
              </w:rPr>
              <w:t xml:space="preserve">to improve productivity, </w:t>
            </w:r>
            <w:r w:rsidRPr="00FD45BF">
              <w:rPr>
                <w:rFonts w:asciiTheme="minorHAnsi" w:hAnsiTheme="minorHAnsi" w:cstheme="minorHAnsi"/>
                <w:sz w:val="22"/>
              </w:rPr>
              <w:t>connections with product markets</w:t>
            </w:r>
            <w:r w:rsidR="00043084" w:rsidRPr="00FD45BF">
              <w:rPr>
                <w:rFonts w:asciiTheme="minorHAnsi" w:hAnsiTheme="minorHAnsi" w:cstheme="minorHAnsi"/>
                <w:color w:val="000000"/>
                <w:sz w:val="22"/>
              </w:rPr>
              <w:t xml:space="preserve"> and create jobs.</w:t>
            </w:r>
          </w:p>
        </w:tc>
      </w:tr>
      <w:tr w:rsidR="00AD4BB5" w:rsidRPr="005F7E37" w:rsidTr="00D67618">
        <w:tc>
          <w:tcPr>
            <w:tcW w:w="1701" w:type="dxa"/>
            <w:shd w:val="clear" w:color="auto" w:fill="auto"/>
          </w:tcPr>
          <w:p w:rsidR="00AD4BB5" w:rsidRPr="005F7E37" w:rsidRDefault="00AD4BB5" w:rsidP="00DC2A2C">
            <w:pPr>
              <w:spacing w:before="60" w:after="120"/>
              <w:jc w:val="left"/>
              <w:rPr>
                <w:rFonts w:asciiTheme="minorHAnsi" w:eastAsia="Times New Roman" w:hAnsiTheme="minorHAnsi" w:cstheme="minorHAnsi"/>
                <w:b/>
                <w:bCs/>
                <w:sz w:val="22"/>
                <w:lang w:val="en-AU"/>
              </w:rPr>
            </w:pPr>
            <w:r w:rsidRPr="005F7E37">
              <w:rPr>
                <w:rFonts w:asciiTheme="minorHAnsi" w:hAnsiTheme="minorHAnsi" w:cstheme="minorHAnsi"/>
                <w:sz w:val="22"/>
                <w:lang w:val="en-AU"/>
              </w:rPr>
              <w:t xml:space="preserve">B. </w:t>
            </w:r>
            <w:r w:rsidR="00AD0196" w:rsidRPr="00430FCE">
              <w:rPr>
                <w:rFonts w:asciiTheme="minorHAnsi" w:eastAsia="Times New Roman" w:hAnsiTheme="minorHAnsi" w:cstheme="minorHAnsi"/>
                <w:bCs/>
                <w:color w:val="000000"/>
                <w:sz w:val="22"/>
                <w:lang w:val="en-AU"/>
              </w:rPr>
              <w:t>Creating jobs and improving skills</w:t>
            </w:r>
          </w:p>
        </w:tc>
        <w:tc>
          <w:tcPr>
            <w:tcW w:w="7989" w:type="dxa"/>
            <w:shd w:val="clear" w:color="auto" w:fill="auto"/>
          </w:tcPr>
          <w:p w:rsidR="00043084" w:rsidRPr="00FD45BF" w:rsidRDefault="00AD0196" w:rsidP="00DC2A2C">
            <w:pPr>
              <w:pStyle w:val="TableTextBase"/>
              <w:spacing w:after="120"/>
              <w:rPr>
                <w:rStyle w:val="Strong"/>
                <w:rFonts w:asciiTheme="minorHAnsi" w:hAnsiTheme="minorHAnsi" w:cstheme="minorHAnsi"/>
                <w:b w:val="0"/>
                <w:bCs w:val="0"/>
                <w:color w:val="auto"/>
                <w:sz w:val="22"/>
                <w:szCs w:val="22"/>
              </w:rPr>
            </w:pPr>
            <w:r w:rsidRPr="00FD45BF">
              <w:rPr>
                <w:rFonts w:asciiTheme="minorHAnsi" w:hAnsiTheme="minorHAnsi" w:cstheme="minorHAnsi"/>
                <w:sz w:val="22"/>
                <w:szCs w:val="22"/>
                <w:lang w:val="en"/>
              </w:rPr>
              <w:t>A new Skilling Australians Fund to support apprentices, trainees, and higher</w:t>
            </w:r>
            <w:r w:rsidRPr="00FD45BF">
              <w:rPr>
                <w:rFonts w:asciiTheme="minorHAnsi" w:hAnsiTheme="minorHAnsi" w:cstheme="minorHAnsi"/>
                <w:sz w:val="22"/>
                <w:szCs w:val="22"/>
                <w:lang w:val="en"/>
              </w:rPr>
              <w:noBreakHyphen/>
              <w:t>level skilled people, with p</w:t>
            </w:r>
            <w:proofErr w:type="spellStart"/>
            <w:r w:rsidRPr="00FD45BF">
              <w:rPr>
                <w:rFonts w:asciiTheme="minorHAnsi" w:hAnsiTheme="minorHAnsi" w:cstheme="minorHAnsi"/>
                <w:color w:val="auto"/>
                <w:sz w:val="22"/>
                <w:szCs w:val="22"/>
              </w:rPr>
              <w:t>riority</w:t>
            </w:r>
            <w:proofErr w:type="spellEnd"/>
            <w:r w:rsidRPr="00FD45BF">
              <w:rPr>
                <w:rFonts w:asciiTheme="minorHAnsi" w:hAnsiTheme="minorHAnsi" w:cstheme="minorHAnsi"/>
                <w:color w:val="auto"/>
                <w:sz w:val="22"/>
                <w:szCs w:val="22"/>
              </w:rPr>
              <w:t xml:space="preserve"> given to occupations in high demand with a reliance on skilled migration pathways, industries and sectors of future growth, trade apprenticeships, and regional and rural areas.</w:t>
            </w:r>
          </w:p>
          <w:p w:rsidR="00043084" w:rsidRPr="00FD45BF" w:rsidRDefault="004C5053" w:rsidP="00DC2A2C">
            <w:pPr>
              <w:pStyle w:val="NormalWeb"/>
              <w:spacing w:before="60" w:beforeAutospacing="0" w:after="120" w:afterAutospacing="0"/>
              <w:rPr>
                <w:rFonts w:asciiTheme="minorHAnsi" w:hAnsiTheme="minorHAnsi" w:cstheme="minorHAnsi"/>
                <w:sz w:val="22"/>
                <w:szCs w:val="22"/>
                <w:lang w:val="en"/>
              </w:rPr>
            </w:pPr>
            <w:r w:rsidRPr="00FD45BF">
              <w:rPr>
                <w:rStyle w:val="Strong"/>
                <w:rFonts w:asciiTheme="minorHAnsi" w:hAnsiTheme="minorHAnsi" w:cstheme="minorHAnsi"/>
                <w:b w:val="0"/>
                <w:sz w:val="22"/>
                <w:szCs w:val="22"/>
                <w:lang w:val="en"/>
              </w:rPr>
              <w:t xml:space="preserve">Further investment </w:t>
            </w:r>
            <w:r w:rsidR="00364C1E" w:rsidRPr="00FD45BF">
              <w:rPr>
                <w:rStyle w:val="Strong"/>
                <w:rFonts w:asciiTheme="minorHAnsi" w:hAnsiTheme="minorHAnsi" w:cstheme="minorHAnsi"/>
                <w:b w:val="0"/>
                <w:sz w:val="22"/>
                <w:szCs w:val="22"/>
                <w:lang w:val="en"/>
              </w:rPr>
              <w:t xml:space="preserve">in education through </w:t>
            </w:r>
            <w:r w:rsidRPr="00FD45BF">
              <w:rPr>
                <w:rStyle w:val="Strong"/>
                <w:rFonts w:asciiTheme="minorHAnsi" w:hAnsiTheme="minorHAnsi" w:cstheme="minorHAnsi"/>
                <w:b w:val="0"/>
                <w:sz w:val="22"/>
                <w:szCs w:val="22"/>
                <w:lang w:val="en"/>
              </w:rPr>
              <w:t xml:space="preserve">the Quality Schools package aimed at delivering </w:t>
            </w:r>
            <w:r w:rsidRPr="00FD45BF">
              <w:rPr>
                <w:rFonts w:asciiTheme="minorHAnsi" w:hAnsiTheme="minorHAnsi" w:cstheme="minorHAnsi"/>
                <w:sz w:val="22"/>
                <w:szCs w:val="22"/>
                <w:lang w:val="en"/>
              </w:rPr>
              <w:t>funding that is fair, transparent, equitable and needs</w:t>
            </w:r>
            <w:r w:rsidRPr="00FD45BF">
              <w:rPr>
                <w:rFonts w:asciiTheme="minorHAnsi" w:hAnsiTheme="minorHAnsi" w:cstheme="minorHAnsi"/>
                <w:sz w:val="22"/>
                <w:szCs w:val="22"/>
                <w:lang w:val="en"/>
              </w:rPr>
              <w:noBreakHyphen/>
              <w:t xml:space="preserve">based, tied to reforms that will make a difference to every child </w:t>
            </w:r>
          </w:p>
          <w:p w:rsidR="00043084" w:rsidRPr="00FD45BF" w:rsidRDefault="00043084" w:rsidP="00DC2A2C">
            <w:pPr>
              <w:pStyle w:val="NormalWeb"/>
              <w:spacing w:before="60" w:beforeAutospacing="0" w:after="120" w:afterAutospacing="0"/>
              <w:rPr>
                <w:rFonts w:asciiTheme="minorHAnsi" w:hAnsiTheme="minorHAnsi" w:cstheme="minorHAnsi"/>
                <w:sz w:val="22"/>
                <w:szCs w:val="22"/>
                <w:lang w:val="en"/>
              </w:rPr>
            </w:pPr>
            <w:r w:rsidRPr="00FD45BF">
              <w:rPr>
                <w:rFonts w:asciiTheme="minorHAnsi" w:hAnsiTheme="minorHAnsi" w:cstheme="minorHAnsi"/>
                <w:sz w:val="22"/>
                <w:szCs w:val="22"/>
                <w:lang w:val="en"/>
              </w:rPr>
              <w:t xml:space="preserve">A </w:t>
            </w:r>
            <w:r w:rsidR="00AD0196" w:rsidRPr="00FD45BF">
              <w:rPr>
                <w:rFonts w:asciiTheme="minorHAnsi" w:hAnsiTheme="minorHAnsi" w:cstheme="minorHAnsi"/>
                <w:sz w:val="22"/>
                <w:szCs w:val="22"/>
                <w:lang w:val="en"/>
              </w:rPr>
              <w:t>Hi</w:t>
            </w:r>
            <w:r w:rsidR="00AD0196" w:rsidRPr="00FD45BF">
              <w:rPr>
                <w:rStyle w:val="Strong"/>
                <w:rFonts w:asciiTheme="minorHAnsi" w:hAnsiTheme="minorHAnsi" w:cstheme="minorHAnsi"/>
                <w:b w:val="0"/>
                <w:sz w:val="22"/>
                <w:szCs w:val="22"/>
                <w:lang w:val="en"/>
              </w:rPr>
              <w:t xml:space="preserve">gher Education Reform Package which </w:t>
            </w:r>
            <w:r w:rsidR="00AD0196" w:rsidRPr="00FD45BF">
              <w:rPr>
                <w:rFonts w:asciiTheme="minorHAnsi" w:hAnsiTheme="minorHAnsi" w:cstheme="minorHAnsi"/>
                <w:sz w:val="22"/>
                <w:szCs w:val="22"/>
                <w:lang w:val="en"/>
              </w:rPr>
              <w:t xml:space="preserve">will deliver a more sustainable sector with more choices for students and increase transparency and accountability in </w:t>
            </w:r>
            <w:r w:rsidR="00DC2A2C" w:rsidRPr="00FD45BF">
              <w:rPr>
                <w:rFonts w:asciiTheme="minorHAnsi" w:hAnsiTheme="minorHAnsi" w:cstheme="minorHAnsi"/>
                <w:sz w:val="22"/>
                <w:szCs w:val="22"/>
                <w:lang w:val="en"/>
              </w:rPr>
              <w:t>higher education; and</w:t>
            </w:r>
          </w:p>
          <w:p w:rsidR="00BD7AB0" w:rsidRPr="00FD45BF" w:rsidRDefault="00AD0196" w:rsidP="00DC2A2C">
            <w:pPr>
              <w:pStyle w:val="NormalWeb"/>
              <w:spacing w:before="60" w:beforeAutospacing="0" w:after="120" w:afterAutospacing="0"/>
              <w:rPr>
                <w:rFonts w:asciiTheme="minorHAnsi" w:hAnsiTheme="minorHAnsi" w:cstheme="minorHAnsi"/>
                <w:sz w:val="22"/>
                <w:szCs w:val="22"/>
                <w:lang w:val="en"/>
              </w:rPr>
            </w:pPr>
            <w:r w:rsidRPr="00FD45BF">
              <w:rPr>
                <w:rFonts w:asciiTheme="minorHAnsi" w:hAnsiTheme="minorHAnsi" w:cstheme="minorHAnsi"/>
                <w:sz w:val="22"/>
                <w:szCs w:val="22"/>
                <w:lang w:val="en"/>
              </w:rPr>
              <w:t>A new Industry Specialist Mentoring for Australian Apprentices program aims to increase retention rates among apprentices, particularly in t</w:t>
            </w:r>
            <w:r w:rsidR="00DC2A2C" w:rsidRPr="00FD45BF">
              <w:rPr>
                <w:rFonts w:asciiTheme="minorHAnsi" w:hAnsiTheme="minorHAnsi" w:cstheme="minorHAnsi"/>
                <w:sz w:val="22"/>
                <w:szCs w:val="22"/>
                <w:lang w:val="en"/>
              </w:rPr>
              <w:t>he first two years of training.</w:t>
            </w:r>
          </w:p>
        </w:tc>
      </w:tr>
      <w:tr w:rsidR="00AD4BB5" w:rsidRPr="005F7E37" w:rsidTr="00D67618">
        <w:tc>
          <w:tcPr>
            <w:tcW w:w="1701" w:type="dxa"/>
            <w:shd w:val="clear" w:color="auto" w:fill="auto"/>
          </w:tcPr>
          <w:p w:rsidR="00AD4BB5" w:rsidRPr="005F7E37" w:rsidRDefault="00AD4BB5" w:rsidP="00DC2A2C">
            <w:pPr>
              <w:spacing w:before="60" w:after="120"/>
              <w:jc w:val="left"/>
              <w:rPr>
                <w:rFonts w:asciiTheme="minorHAnsi" w:eastAsia="Times New Roman" w:hAnsiTheme="minorHAnsi" w:cstheme="minorHAnsi"/>
                <w:bCs/>
                <w:color w:val="000000"/>
                <w:sz w:val="22"/>
                <w:lang w:val="en-AU"/>
              </w:rPr>
            </w:pPr>
            <w:r w:rsidRPr="005F7E37">
              <w:rPr>
                <w:rFonts w:asciiTheme="minorHAnsi" w:hAnsiTheme="minorHAnsi" w:cstheme="minorHAnsi"/>
                <w:sz w:val="22"/>
                <w:lang w:val="en-AU"/>
              </w:rPr>
              <w:t xml:space="preserve">C. </w:t>
            </w:r>
            <w:r w:rsidR="00AD0196">
              <w:rPr>
                <w:rFonts w:asciiTheme="minorHAnsi" w:hAnsiTheme="minorHAnsi" w:cstheme="minorHAnsi"/>
                <w:sz w:val="22"/>
                <w:lang w:val="en-AU"/>
              </w:rPr>
              <w:t>Addressing regional disadvantage</w:t>
            </w:r>
          </w:p>
        </w:tc>
        <w:tc>
          <w:tcPr>
            <w:tcW w:w="7989" w:type="dxa"/>
            <w:shd w:val="clear" w:color="auto" w:fill="auto"/>
          </w:tcPr>
          <w:p w:rsidR="00AD4BB5" w:rsidRPr="00FD45BF" w:rsidRDefault="00BD7AB0" w:rsidP="00DC2A2C">
            <w:pPr>
              <w:spacing w:before="60" w:after="120"/>
              <w:rPr>
                <w:rFonts w:asciiTheme="minorHAnsi" w:hAnsiTheme="minorHAnsi" w:cstheme="minorHAnsi"/>
                <w:sz w:val="22"/>
              </w:rPr>
            </w:pPr>
            <w:r w:rsidRPr="00FD45BF">
              <w:rPr>
                <w:rFonts w:asciiTheme="minorHAnsi" w:hAnsiTheme="minorHAnsi" w:cstheme="minorHAnsi"/>
                <w:sz w:val="22"/>
              </w:rPr>
              <w:t>The Regional Jobs and Investment Package</w:t>
            </w:r>
            <w:r w:rsidR="002A0729" w:rsidRPr="00FD45BF">
              <w:rPr>
                <w:rFonts w:asciiTheme="minorHAnsi" w:hAnsiTheme="minorHAnsi" w:cstheme="minorHAnsi"/>
                <w:sz w:val="22"/>
              </w:rPr>
              <w:t xml:space="preserve"> </w:t>
            </w:r>
            <w:r w:rsidR="002A0729" w:rsidRPr="00FD45BF">
              <w:rPr>
                <w:rFonts w:asciiTheme="minorHAnsi" w:hAnsiTheme="minorHAnsi" w:cstheme="minorHAnsi"/>
                <w:sz w:val="22"/>
                <w:lang w:val="en-CA"/>
              </w:rPr>
              <w:t xml:space="preserve">(RJIP) aims to support regional Australian communities to meet opportunities that will help to secure their economic future. Ten pilot regions have been chosen to be a part of the RJIP. All of these regions </w:t>
            </w:r>
            <w:r w:rsidR="00043084" w:rsidRPr="00FD45BF">
              <w:rPr>
                <w:rFonts w:asciiTheme="minorHAnsi" w:hAnsiTheme="minorHAnsi" w:cstheme="minorHAnsi"/>
                <w:sz w:val="22"/>
                <w:lang w:val="en-CA"/>
              </w:rPr>
              <w:t>were selected for their</w:t>
            </w:r>
            <w:r w:rsidR="002A0729" w:rsidRPr="00FD45BF">
              <w:rPr>
                <w:rFonts w:asciiTheme="minorHAnsi" w:hAnsiTheme="minorHAnsi" w:cstheme="minorHAnsi"/>
                <w:sz w:val="22"/>
                <w:lang w:val="en-CA"/>
              </w:rPr>
              <w:t xml:space="preserve"> untapped potential which, if unlocked could lead to new sources of growth, economic diversity and the opportunity to pursue and expand export markets.</w:t>
            </w:r>
          </w:p>
        </w:tc>
      </w:tr>
      <w:tr w:rsidR="00364C1E" w:rsidRPr="005F7E37" w:rsidTr="00D67618">
        <w:tc>
          <w:tcPr>
            <w:tcW w:w="1701" w:type="dxa"/>
            <w:shd w:val="clear" w:color="auto" w:fill="auto"/>
          </w:tcPr>
          <w:p w:rsidR="00364C1E" w:rsidRPr="005F7E37" w:rsidRDefault="00364C1E" w:rsidP="00DC2A2C">
            <w:pPr>
              <w:spacing w:before="60" w:after="120"/>
              <w:jc w:val="left"/>
              <w:rPr>
                <w:rFonts w:asciiTheme="minorHAnsi" w:hAnsiTheme="minorHAnsi" w:cstheme="minorHAnsi"/>
                <w:sz w:val="22"/>
                <w:lang w:val="en-AU"/>
              </w:rPr>
            </w:pPr>
            <w:r w:rsidRPr="00364C1E">
              <w:rPr>
                <w:rFonts w:asciiTheme="minorHAnsi" w:hAnsiTheme="minorHAnsi" w:cstheme="minorHAnsi"/>
                <w:sz w:val="22"/>
                <w:lang w:val="en-AU"/>
              </w:rPr>
              <w:t>D. Welfare measures and employment services</w:t>
            </w:r>
          </w:p>
        </w:tc>
        <w:tc>
          <w:tcPr>
            <w:tcW w:w="7989" w:type="dxa"/>
            <w:shd w:val="clear" w:color="auto" w:fill="auto"/>
          </w:tcPr>
          <w:p w:rsidR="00364C1E" w:rsidRPr="00FD45BF" w:rsidRDefault="00364C1E" w:rsidP="00DC2A2C">
            <w:pPr>
              <w:spacing w:before="60" w:after="120"/>
              <w:rPr>
                <w:rFonts w:asciiTheme="minorHAnsi" w:hAnsiTheme="minorHAnsi" w:cstheme="minorHAnsi"/>
                <w:sz w:val="22"/>
              </w:rPr>
            </w:pPr>
            <w:r w:rsidRPr="00FD45BF">
              <w:rPr>
                <w:rFonts w:asciiTheme="minorHAnsi" w:hAnsiTheme="minorHAnsi" w:cstheme="minorHAnsi"/>
                <w:sz w:val="22"/>
              </w:rPr>
              <w:t xml:space="preserve">Workforce participation and self-reliance are central to improving long-term wellbeing. </w:t>
            </w:r>
          </w:p>
          <w:p w:rsidR="00364C1E" w:rsidRPr="00FD45BF" w:rsidRDefault="00364C1E" w:rsidP="00DC2A2C">
            <w:pPr>
              <w:spacing w:before="60" w:after="120"/>
              <w:rPr>
                <w:rFonts w:asciiTheme="minorHAnsi" w:hAnsiTheme="minorHAnsi" w:cstheme="minorHAnsi"/>
                <w:sz w:val="22"/>
              </w:rPr>
            </w:pPr>
            <w:r w:rsidRPr="00FD45BF">
              <w:rPr>
                <w:rFonts w:asciiTheme="minorHAnsi" w:hAnsiTheme="minorHAnsi" w:cstheme="minorHAnsi"/>
                <w:sz w:val="22"/>
              </w:rPr>
              <w:t>As part of the 2017-18 Budget, the Government announced welfare reforms to ensure those able to work do so. From 20 September 2018, the following measures will apply to welfare recipients:</w:t>
            </w:r>
          </w:p>
          <w:p w:rsidR="00364C1E" w:rsidRPr="00FD45BF" w:rsidRDefault="00364C1E" w:rsidP="003E10F8">
            <w:pPr>
              <w:pStyle w:val="ListParagraph"/>
              <w:numPr>
                <w:ilvl w:val="0"/>
                <w:numId w:val="19"/>
              </w:numPr>
              <w:spacing w:before="60" w:after="120"/>
              <w:rPr>
                <w:rFonts w:asciiTheme="minorHAnsi" w:hAnsiTheme="minorHAnsi" w:cstheme="minorHAnsi"/>
                <w:sz w:val="22"/>
              </w:rPr>
            </w:pPr>
            <w:r w:rsidRPr="00FD45BF">
              <w:rPr>
                <w:rFonts w:asciiTheme="minorHAnsi" w:hAnsiTheme="minorHAnsi" w:cstheme="minorHAnsi"/>
                <w:sz w:val="22"/>
              </w:rPr>
              <w:t>Strengthening of participation requirements and the introduction of a new compliance framework, with stronger penalties for persistent non-compliance;</w:t>
            </w:r>
          </w:p>
          <w:p w:rsidR="00364C1E" w:rsidRPr="00FD45BF" w:rsidRDefault="00364C1E" w:rsidP="003E10F8">
            <w:pPr>
              <w:pStyle w:val="ListParagraph"/>
              <w:numPr>
                <w:ilvl w:val="0"/>
                <w:numId w:val="19"/>
              </w:numPr>
              <w:spacing w:before="60" w:after="120"/>
              <w:rPr>
                <w:rFonts w:asciiTheme="minorHAnsi" w:hAnsiTheme="minorHAnsi" w:cstheme="minorHAnsi"/>
                <w:sz w:val="22"/>
              </w:rPr>
            </w:pPr>
            <w:r w:rsidRPr="00FD45BF">
              <w:rPr>
                <w:rFonts w:asciiTheme="minorHAnsi" w:hAnsiTheme="minorHAnsi" w:cstheme="minorHAnsi"/>
                <w:sz w:val="22"/>
              </w:rPr>
              <w:t xml:space="preserve">Support for job seekers who have drug and alcohol abuse issues that may be </w:t>
            </w:r>
            <w:r w:rsidRPr="00FD45BF">
              <w:rPr>
                <w:rFonts w:asciiTheme="minorHAnsi" w:hAnsiTheme="minorHAnsi" w:cstheme="minorHAnsi"/>
                <w:sz w:val="22"/>
              </w:rPr>
              <w:lastRenderedPageBreak/>
              <w:t xml:space="preserve">preventing them from finding and maintaining a job. The measure is aimed at encouraging these job seekers to pursue appropriate treatment to help them overcome their barriers to work; and </w:t>
            </w:r>
          </w:p>
          <w:p w:rsidR="00364C1E" w:rsidRPr="00FD45BF" w:rsidRDefault="00364C1E" w:rsidP="003E10F8">
            <w:pPr>
              <w:pStyle w:val="ListParagraph"/>
              <w:numPr>
                <w:ilvl w:val="0"/>
                <w:numId w:val="19"/>
              </w:numPr>
              <w:spacing w:before="60" w:after="120"/>
              <w:rPr>
                <w:rFonts w:asciiTheme="minorHAnsi" w:hAnsiTheme="minorHAnsi" w:cstheme="minorHAnsi"/>
                <w:sz w:val="22"/>
              </w:rPr>
            </w:pPr>
            <w:r w:rsidRPr="00FD45BF">
              <w:rPr>
                <w:rFonts w:asciiTheme="minorHAnsi" w:hAnsiTheme="minorHAnsi" w:cstheme="minorHAnsi"/>
                <w:sz w:val="22"/>
              </w:rPr>
              <w:t>Participation requirements for job seekers aged 55 to the Age Pension age will also be implemented to encourage more mature-age people to actively look for work and join in activities that will boost their chances of getting a job.</w:t>
            </w:r>
          </w:p>
          <w:p w:rsidR="00364C1E" w:rsidRPr="00FD45BF" w:rsidRDefault="00364C1E" w:rsidP="00DC2A2C">
            <w:pPr>
              <w:spacing w:before="60" w:after="120"/>
              <w:rPr>
                <w:rFonts w:asciiTheme="minorHAnsi" w:hAnsiTheme="minorHAnsi" w:cstheme="minorHAnsi"/>
                <w:sz w:val="22"/>
              </w:rPr>
            </w:pPr>
            <w:r w:rsidRPr="00FD45BF">
              <w:rPr>
                <w:rFonts w:asciiTheme="minorHAnsi" w:hAnsiTheme="minorHAnsi" w:cstheme="minorHAnsi"/>
                <w:sz w:val="22"/>
              </w:rPr>
              <w:t>To assist parents, youth and people with disability, the following measures will be implemented:</w:t>
            </w:r>
          </w:p>
          <w:p w:rsidR="00364C1E" w:rsidRPr="00FD45BF" w:rsidRDefault="00357626" w:rsidP="003E10F8">
            <w:pPr>
              <w:pStyle w:val="ListParagraph"/>
              <w:numPr>
                <w:ilvl w:val="0"/>
                <w:numId w:val="20"/>
              </w:numPr>
              <w:spacing w:before="60" w:after="120"/>
              <w:rPr>
                <w:rFonts w:asciiTheme="minorHAnsi" w:hAnsiTheme="minorHAnsi" w:cstheme="minorHAnsi"/>
                <w:sz w:val="22"/>
              </w:rPr>
            </w:pPr>
            <w:r>
              <w:rPr>
                <w:rFonts w:asciiTheme="minorHAnsi" w:hAnsiTheme="minorHAnsi" w:cstheme="minorHAnsi"/>
                <w:sz w:val="22"/>
              </w:rPr>
              <w:t>T</w:t>
            </w:r>
            <w:r w:rsidR="00364C1E" w:rsidRPr="00FD45BF">
              <w:rPr>
                <w:rFonts w:asciiTheme="minorHAnsi" w:hAnsiTheme="minorHAnsi" w:cstheme="minorHAnsi"/>
                <w:sz w:val="22"/>
              </w:rPr>
              <w:t xml:space="preserve">he Jobs for Families Child Care Package announced in 2014, will encourage workforce participation for parents and place downward pressure on child care fees, while supporting early learning opportunities for children; </w:t>
            </w:r>
          </w:p>
          <w:p w:rsidR="00364C1E" w:rsidRPr="00FD45BF" w:rsidRDefault="00364C1E" w:rsidP="003E10F8">
            <w:pPr>
              <w:pStyle w:val="ListParagraph"/>
              <w:numPr>
                <w:ilvl w:val="0"/>
                <w:numId w:val="20"/>
              </w:numPr>
              <w:spacing w:before="60" w:after="120"/>
              <w:rPr>
                <w:rFonts w:asciiTheme="minorHAnsi" w:hAnsiTheme="minorHAnsi" w:cstheme="minorHAnsi"/>
                <w:sz w:val="22"/>
              </w:rPr>
            </w:pPr>
            <w:r w:rsidRPr="00FD45BF">
              <w:rPr>
                <w:rFonts w:asciiTheme="minorHAnsi" w:hAnsiTheme="minorHAnsi" w:cstheme="minorHAnsi"/>
                <w:sz w:val="22"/>
              </w:rPr>
              <w:t xml:space="preserve">$263 million will be invested on the expansion of the </w:t>
            </w:r>
            <w:proofErr w:type="spellStart"/>
            <w:r w:rsidRPr="00FD45BF">
              <w:rPr>
                <w:rFonts w:asciiTheme="minorHAnsi" w:hAnsiTheme="minorHAnsi" w:cstheme="minorHAnsi"/>
                <w:sz w:val="22"/>
              </w:rPr>
              <w:t>ParentsNext</w:t>
            </w:r>
            <w:proofErr w:type="spellEnd"/>
            <w:r w:rsidRPr="00FD45BF">
              <w:rPr>
                <w:rFonts w:asciiTheme="minorHAnsi" w:hAnsiTheme="minorHAnsi" w:cstheme="minorHAnsi"/>
                <w:sz w:val="22"/>
              </w:rPr>
              <w:t xml:space="preserve"> services nationally, to provide parents of young children with tailored support to improve their work readiness; and</w:t>
            </w:r>
          </w:p>
          <w:p w:rsidR="00364C1E" w:rsidRPr="00FD45BF" w:rsidRDefault="00364C1E" w:rsidP="003E10F8">
            <w:pPr>
              <w:pStyle w:val="ListParagraph"/>
              <w:numPr>
                <w:ilvl w:val="0"/>
                <w:numId w:val="20"/>
              </w:numPr>
              <w:spacing w:before="60" w:after="120"/>
              <w:rPr>
                <w:rFonts w:asciiTheme="minorHAnsi" w:hAnsiTheme="minorHAnsi" w:cstheme="minorHAnsi"/>
                <w:sz w:val="22"/>
              </w:rPr>
            </w:pPr>
            <w:r w:rsidRPr="00FD45BF">
              <w:rPr>
                <w:rFonts w:asciiTheme="minorHAnsi" w:hAnsiTheme="minorHAnsi" w:cstheme="minorHAnsi"/>
                <w:sz w:val="22"/>
              </w:rPr>
              <w:t xml:space="preserve">The Youth Jobs </w:t>
            </w:r>
            <w:proofErr w:type="spellStart"/>
            <w:r w:rsidRPr="00FD45BF">
              <w:rPr>
                <w:rFonts w:asciiTheme="minorHAnsi" w:hAnsiTheme="minorHAnsi" w:cstheme="minorHAnsi"/>
                <w:sz w:val="22"/>
              </w:rPr>
              <w:t>PaTH</w:t>
            </w:r>
            <w:proofErr w:type="spellEnd"/>
            <w:r w:rsidRPr="00FD45BF">
              <w:rPr>
                <w:rFonts w:asciiTheme="minorHAnsi" w:hAnsiTheme="minorHAnsi" w:cstheme="minorHAnsi"/>
                <w:sz w:val="22"/>
              </w:rPr>
              <w:t xml:space="preserve"> program (a core element of the Youth Employment Package announced in 2016) will be rolled-out nationally, encouraging more young people to participate in the labour market by preparing them for a job and encouraging businesses to trial and hire young people. </w:t>
            </w:r>
          </w:p>
          <w:p w:rsidR="00364C1E" w:rsidRPr="00FD45BF" w:rsidRDefault="00364C1E" w:rsidP="003E10F8">
            <w:pPr>
              <w:pStyle w:val="ListParagraph"/>
              <w:numPr>
                <w:ilvl w:val="0"/>
                <w:numId w:val="20"/>
              </w:numPr>
              <w:spacing w:before="60" w:after="120"/>
              <w:rPr>
                <w:rFonts w:asciiTheme="minorHAnsi" w:hAnsiTheme="minorHAnsi" w:cstheme="minorHAnsi"/>
                <w:sz w:val="22"/>
              </w:rPr>
            </w:pPr>
            <w:r w:rsidRPr="00FD45BF">
              <w:rPr>
                <w:rFonts w:asciiTheme="minorHAnsi" w:hAnsiTheme="minorHAnsi" w:cstheme="minorHAnsi"/>
                <w:sz w:val="22"/>
              </w:rPr>
              <w:t xml:space="preserve">The National Disability Insurance Scheme will be fully rolled-out, improving the wellbeing and economic and social participation of people with disability and their </w:t>
            </w:r>
            <w:proofErr w:type="spellStart"/>
            <w:r w:rsidRPr="00FD45BF">
              <w:rPr>
                <w:rFonts w:asciiTheme="minorHAnsi" w:hAnsiTheme="minorHAnsi" w:cstheme="minorHAnsi"/>
                <w:sz w:val="22"/>
              </w:rPr>
              <w:t>carers</w:t>
            </w:r>
            <w:proofErr w:type="spellEnd"/>
            <w:r w:rsidRPr="00FD45BF">
              <w:rPr>
                <w:rFonts w:asciiTheme="minorHAnsi" w:hAnsiTheme="minorHAnsi" w:cstheme="minorHAnsi"/>
                <w:sz w:val="22"/>
              </w:rPr>
              <w:t>.</w:t>
            </w:r>
          </w:p>
        </w:tc>
      </w:tr>
      <w:tr w:rsidR="008E2785" w:rsidRPr="005F7E37" w:rsidTr="00D67618">
        <w:trPr>
          <w:trHeight w:val="784"/>
        </w:trPr>
        <w:tc>
          <w:tcPr>
            <w:tcW w:w="1701" w:type="dxa"/>
            <w:tcBorders>
              <w:top w:val="single" w:sz="4" w:space="0" w:color="auto"/>
              <w:left w:val="single" w:sz="4" w:space="0" w:color="auto"/>
              <w:bottom w:val="single" w:sz="4" w:space="0" w:color="auto"/>
              <w:right w:val="single" w:sz="4" w:space="0" w:color="auto"/>
            </w:tcBorders>
            <w:shd w:val="clear" w:color="auto" w:fill="auto"/>
          </w:tcPr>
          <w:p w:rsidR="008E2785" w:rsidRPr="005F7E37" w:rsidRDefault="000B254E" w:rsidP="00DC2A2C">
            <w:pPr>
              <w:spacing w:before="60" w:after="120"/>
              <w:jc w:val="left"/>
              <w:rPr>
                <w:rFonts w:asciiTheme="minorHAnsi" w:eastAsia="Times New Roman" w:hAnsiTheme="minorHAnsi" w:cstheme="minorHAnsi"/>
                <w:bCs/>
                <w:color w:val="000000"/>
                <w:sz w:val="22"/>
                <w:lang w:val="en-AU"/>
              </w:rPr>
            </w:pPr>
            <w:bookmarkStart w:id="149" w:name="_Toc452625240"/>
            <w:r>
              <w:rPr>
                <w:rFonts w:asciiTheme="minorHAnsi" w:eastAsia="Times New Roman" w:hAnsiTheme="minorHAnsi" w:cstheme="minorHAnsi"/>
                <w:bCs/>
                <w:color w:val="000000"/>
                <w:sz w:val="22"/>
                <w:lang w:val="en-AU"/>
              </w:rPr>
              <w:lastRenderedPageBreak/>
              <w:t>E</w:t>
            </w:r>
            <w:r w:rsidR="008E2785" w:rsidRPr="005F7E37">
              <w:rPr>
                <w:rFonts w:asciiTheme="minorHAnsi" w:eastAsia="Times New Roman" w:hAnsiTheme="minorHAnsi" w:cstheme="minorHAnsi"/>
                <w:bCs/>
                <w:color w:val="000000"/>
                <w:sz w:val="22"/>
                <w:lang w:val="en-AU"/>
              </w:rPr>
              <w:t>. Structural Adjustment</w:t>
            </w:r>
          </w:p>
        </w:tc>
        <w:tc>
          <w:tcPr>
            <w:tcW w:w="7989" w:type="dxa"/>
            <w:tcBorders>
              <w:top w:val="single" w:sz="4" w:space="0" w:color="auto"/>
              <w:left w:val="single" w:sz="4" w:space="0" w:color="auto"/>
              <w:bottom w:val="single" w:sz="4" w:space="0" w:color="auto"/>
              <w:right w:val="single" w:sz="4" w:space="0" w:color="auto"/>
            </w:tcBorders>
            <w:shd w:val="clear" w:color="auto" w:fill="auto"/>
          </w:tcPr>
          <w:p w:rsidR="009F6AA1" w:rsidRPr="00FD45BF" w:rsidRDefault="003B35CC" w:rsidP="003E10F8">
            <w:pPr>
              <w:pStyle w:val="ListParagraph"/>
              <w:numPr>
                <w:ilvl w:val="0"/>
                <w:numId w:val="17"/>
              </w:numPr>
              <w:spacing w:before="60" w:after="120"/>
              <w:rPr>
                <w:rFonts w:asciiTheme="minorHAnsi" w:hAnsiTheme="minorHAnsi" w:cstheme="minorHAnsi"/>
                <w:sz w:val="22"/>
              </w:rPr>
            </w:pPr>
            <w:r w:rsidRPr="00FD45BF">
              <w:rPr>
                <w:rFonts w:asciiTheme="minorHAnsi" w:hAnsiTheme="minorHAnsi" w:cstheme="minorHAnsi"/>
                <w:sz w:val="22"/>
                <w:szCs w:val="22"/>
              </w:rPr>
              <w:t>T</w:t>
            </w:r>
            <w:r w:rsidR="00BD7AB0" w:rsidRPr="00FD45BF">
              <w:rPr>
                <w:rFonts w:asciiTheme="minorHAnsi" w:hAnsiTheme="minorHAnsi" w:cstheme="minorHAnsi"/>
                <w:sz w:val="22"/>
                <w:szCs w:val="22"/>
              </w:rPr>
              <w:t xml:space="preserve">argeted structural adjustment packages </w:t>
            </w:r>
            <w:r w:rsidRPr="00FD45BF">
              <w:rPr>
                <w:rFonts w:asciiTheme="minorHAnsi" w:hAnsiTheme="minorHAnsi" w:cstheme="minorHAnsi"/>
                <w:sz w:val="22"/>
                <w:szCs w:val="22"/>
              </w:rPr>
              <w:t>are</w:t>
            </w:r>
            <w:r w:rsidR="009F6AA1" w:rsidRPr="00FD45BF">
              <w:rPr>
                <w:rFonts w:asciiTheme="minorHAnsi" w:hAnsiTheme="minorHAnsi" w:cstheme="minorHAnsi"/>
                <w:sz w:val="22"/>
                <w:szCs w:val="22"/>
              </w:rPr>
              <w:t xml:space="preserve"> provided </w:t>
            </w:r>
            <w:r w:rsidR="00BD7AB0" w:rsidRPr="00FD45BF">
              <w:rPr>
                <w:rFonts w:asciiTheme="minorHAnsi" w:hAnsiTheme="minorHAnsi" w:cstheme="minorHAnsi"/>
                <w:sz w:val="22"/>
                <w:szCs w:val="22"/>
              </w:rPr>
              <w:t>to assist retrenched workers to retrain and transition to new jobs.</w:t>
            </w:r>
          </w:p>
          <w:p w:rsidR="008E2785" w:rsidRPr="00FD45BF" w:rsidRDefault="009F6AA1" w:rsidP="003E10F8">
            <w:pPr>
              <w:pStyle w:val="ListParagraph"/>
              <w:numPr>
                <w:ilvl w:val="0"/>
                <w:numId w:val="17"/>
              </w:numPr>
              <w:spacing w:before="60" w:after="120"/>
              <w:rPr>
                <w:rFonts w:asciiTheme="minorHAnsi" w:hAnsiTheme="minorHAnsi" w:cstheme="minorHAnsi"/>
                <w:sz w:val="22"/>
              </w:rPr>
            </w:pPr>
            <w:r w:rsidRPr="00FD45BF">
              <w:rPr>
                <w:rFonts w:asciiTheme="minorHAnsi" w:hAnsiTheme="minorHAnsi" w:cstheme="minorHAnsi"/>
                <w:color w:val="000000"/>
                <w:sz w:val="22"/>
              </w:rPr>
              <w:t xml:space="preserve">A further </w:t>
            </w:r>
            <w:r w:rsidR="008E2785" w:rsidRPr="00FD45BF">
              <w:rPr>
                <w:rFonts w:asciiTheme="minorHAnsi" w:hAnsiTheme="minorHAnsi" w:cstheme="minorHAnsi"/>
                <w:color w:val="000000"/>
                <w:sz w:val="22"/>
              </w:rPr>
              <w:t>$</w:t>
            </w:r>
            <w:r w:rsidR="00C32AB4" w:rsidRPr="00FD45BF">
              <w:rPr>
                <w:rFonts w:asciiTheme="minorHAnsi" w:hAnsiTheme="minorHAnsi" w:cstheme="minorHAnsi"/>
                <w:color w:val="000000"/>
                <w:sz w:val="22"/>
              </w:rPr>
              <w:t>100</w:t>
            </w:r>
            <w:r w:rsidR="008E2785" w:rsidRPr="00FD45BF">
              <w:rPr>
                <w:rFonts w:asciiTheme="minorHAnsi" w:hAnsiTheme="minorHAnsi" w:cstheme="minorHAnsi"/>
                <w:color w:val="000000"/>
                <w:sz w:val="22"/>
              </w:rPr>
              <w:t xml:space="preserve"> million in a new Advanced Manufacturing Growth </w:t>
            </w:r>
            <w:proofErr w:type="gramStart"/>
            <w:r w:rsidR="008E2785" w:rsidRPr="00FD45BF">
              <w:rPr>
                <w:rFonts w:asciiTheme="minorHAnsi" w:hAnsiTheme="minorHAnsi" w:cstheme="minorHAnsi"/>
                <w:color w:val="000000"/>
                <w:sz w:val="22"/>
              </w:rPr>
              <w:t>Fund,</w:t>
            </w:r>
            <w:proofErr w:type="gramEnd"/>
            <w:r w:rsidR="008E2785" w:rsidRPr="00FD45BF">
              <w:rPr>
                <w:rFonts w:asciiTheme="minorHAnsi" w:hAnsiTheme="minorHAnsi" w:cstheme="minorHAnsi"/>
                <w:color w:val="000000"/>
                <w:sz w:val="22"/>
              </w:rPr>
              <w:t xml:space="preserve"> </w:t>
            </w:r>
            <w:r w:rsidRPr="00FD45BF">
              <w:rPr>
                <w:rFonts w:asciiTheme="minorHAnsi" w:hAnsiTheme="minorHAnsi" w:cstheme="minorHAnsi"/>
                <w:color w:val="000000"/>
                <w:sz w:val="22"/>
              </w:rPr>
              <w:t xml:space="preserve">has been </w:t>
            </w:r>
            <w:r w:rsidR="008E2785" w:rsidRPr="00FD45BF">
              <w:rPr>
                <w:rFonts w:asciiTheme="minorHAnsi" w:hAnsiTheme="minorHAnsi" w:cstheme="minorHAnsi"/>
                <w:color w:val="000000"/>
                <w:sz w:val="22"/>
              </w:rPr>
              <w:t>committed over two years, to provide up to a third of the project cost of capital upgrades to help establish and expand high-value manufacturing in South Australia and Victoria.</w:t>
            </w:r>
          </w:p>
        </w:tc>
      </w:tr>
    </w:tbl>
    <w:p w:rsidR="00A258E7" w:rsidRDefault="00A561E2">
      <w:pPr>
        <w:widowControl/>
        <w:spacing w:after="200" w:line="276" w:lineRule="auto"/>
        <w:jc w:val="left"/>
        <w:rPr>
          <w:rFonts w:asciiTheme="minorHAnsi" w:hAnsiTheme="minorHAnsi" w:cstheme="minorHAnsi"/>
          <w:color w:val="000000"/>
          <w:lang w:val="en-AU"/>
        </w:rPr>
      </w:pPr>
      <w:r w:rsidRPr="005F7E37">
        <w:rPr>
          <w:rFonts w:asciiTheme="minorHAnsi" w:hAnsiTheme="minorHAnsi" w:cstheme="minorHAnsi"/>
          <w:color w:val="000000"/>
          <w:lang w:val="en-AU"/>
        </w:rPr>
        <w:br w:type="page"/>
      </w:r>
      <w:bookmarkStart w:id="150" w:name="_Toc458449937"/>
      <w:bookmarkStart w:id="151" w:name="_Toc484691727"/>
    </w:p>
    <w:p w:rsidR="00A561E2" w:rsidRPr="00A353A8" w:rsidRDefault="00A561E2" w:rsidP="00A353A8">
      <w:pPr>
        <w:pStyle w:val="Heading1"/>
      </w:pPr>
      <w:bookmarkStart w:id="152" w:name="_Toc487107043"/>
      <w:bookmarkStart w:id="153" w:name="_Toc487110331"/>
      <w:r w:rsidRPr="00A353A8">
        <w:lastRenderedPageBreak/>
        <w:t>Multi-year collective commitments</w:t>
      </w:r>
      <w:bookmarkEnd w:id="149"/>
      <w:bookmarkEnd w:id="150"/>
      <w:bookmarkEnd w:id="151"/>
      <w:bookmarkEnd w:id="152"/>
      <w:bookmarkEnd w:id="153"/>
    </w:p>
    <w:p w:rsidR="00A561E2" w:rsidRPr="003B28FD" w:rsidRDefault="00A561E2" w:rsidP="00351858">
      <w:pPr>
        <w:pStyle w:val="Heading2"/>
      </w:pPr>
      <w:bookmarkStart w:id="154" w:name="_Toc452625241"/>
      <w:bookmarkStart w:id="155" w:name="_Toc458449938"/>
      <w:bookmarkStart w:id="156" w:name="_Toc485739909"/>
      <w:bookmarkStart w:id="157" w:name="_Toc485740311"/>
      <w:bookmarkStart w:id="158" w:name="_Toc485740415"/>
      <w:bookmarkStart w:id="159" w:name="_Toc487107044"/>
      <w:bookmarkStart w:id="160" w:name="_Toc487110332"/>
      <w:r w:rsidRPr="003B28FD">
        <w:t>Collective commitment to increase female labour force participation and gender equality</w:t>
      </w:r>
      <w:bookmarkEnd w:id="154"/>
      <w:bookmarkEnd w:id="155"/>
      <w:bookmarkEnd w:id="156"/>
      <w:bookmarkEnd w:id="157"/>
      <w:bookmarkEnd w:id="158"/>
      <w:bookmarkEnd w:id="159"/>
      <w:bookmarkEnd w:id="160"/>
      <w:r w:rsidRPr="003B28FD">
        <w:t xml:space="preserve"> </w:t>
      </w:r>
    </w:p>
    <w:p w:rsidR="00A561E2" w:rsidRPr="005F7E37" w:rsidRDefault="00A561E2" w:rsidP="00737C9B">
      <w:pPr>
        <w:autoSpaceDE w:val="0"/>
        <w:autoSpaceDN w:val="0"/>
        <w:adjustRightInd w:val="0"/>
        <w:spacing w:after="120"/>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 Australian Government is committed to increasing women’s workforce participation, understanding that it will enable Australia to realise its economic potential and help to achieve gender equality. Importantly, the economic security that comes with paid work can increase family wellbeing and</w:t>
      </w:r>
      <w:r w:rsidRPr="00737C9B">
        <w:rPr>
          <w:rFonts w:asciiTheme="minorHAnsi" w:hAnsiTheme="minorHAnsi" w:cstheme="minorHAnsi"/>
          <w:color w:val="000000"/>
          <w:sz w:val="22"/>
          <w:lang w:val="en-AU"/>
        </w:rPr>
        <w:t xml:space="preserve"> </w:t>
      </w:r>
      <w:r w:rsidRPr="005F7E37">
        <w:rPr>
          <w:rFonts w:asciiTheme="minorHAnsi" w:hAnsiTheme="minorHAnsi" w:cstheme="minorHAnsi"/>
          <w:color w:val="000000"/>
          <w:sz w:val="22"/>
          <w:lang w:val="en-AU"/>
        </w:rPr>
        <w:t>reduce women’s vulnerability to poverty, homelessness and family violence.</w:t>
      </w:r>
      <w:r w:rsidRPr="00737C9B">
        <w:rPr>
          <w:rFonts w:asciiTheme="minorHAnsi" w:hAnsiTheme="minorHAnsi" w:cstheme="minorHAnsi"/>
          <w:color w:val="000000"/>
          <w:sz w:val="22"/>
          <w:lang w:val="en-AU"/>
        </w:rPr>
        <w:t xml:space="preserve"> </w:t>
      </w:r>
      <w:r w:rsidRPr="005F7E37">
        <w:rPr>
          <w:rFonts w:asciiTheme="minorHAnsi" w:hAnsiTheme="minorHAnsi" w:cstheme="minorHAnsi"/>
          <w:color w:val="000000"/>
          <w:sz w:val="22"/>
          <w:lang w:val="en-AU"/>
        </w:rPr>
        <w:t>Given the complex factors that drive women’s participation, addressing the barriers and enhancing the enablers for women to participate in paid work requires a multi-faceted policy approach.</w:t>
      </w:r>
    </w:p>
    <w:p w:rsidR="00A561E2" w:rsidRDefault="00A561E2" w:rsidP="00737C9B">
      <w:pPr>
        <w:autoSpaceDE w:val="0"/>
        <w:autoSpaceDN w:val="0"/>
        <w:adjustRightInd w:val="0"/>
        <w:spacing w:after="120"/>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To build upon the existing framework, the Australian Government has introduced a range of initiatives to provide targeted support for women to enter and stay attached to the workforce across key policy areas. These include initiatives designed to improve financial literacy and retirement savings, address long-term welfare reliance, support female advancement in growth industries and encourage entrepreneurs and small business operators to thrive. A summary of these initiatives is provided in the following </w:t>
      </w:r>
    </w:p>
    <w:p w:rsidR="006332F2" w:rsidRDefault="000B254E" w:rsidP="00FA76EC">
      <w:pPr>
        <w:autoSpaceDE w:val="0"/>
        <w:autoSpaceDN w:val="0"/>
        <w:adjustRightInd w:val="0"/>
        <w:spacing w:before="80" w:after="200"/>
        <w:rPr>
          <w:rFonts w:asciiTheme="minorHAnsi" w:hAnsiTheme="minorHAnsi" w:cstheme="minorHAnsi"/>
          <w:color w:val="000000"/>
          <w:sz w:val="22"/>
          <w:lang w:val="en-AU"/>
        </w:rPr>
      </w:pPr>
      <w:r w:rsidRPr="00FA76EC">
        <w:rPr>
          <w:rFonts w:asciiTheme="minorHAnsi" w:hAnsiTheme="minorHAnsi" w:cstheme="minorHAnsi"/>
          <w:color w:val="000000"/>
          <w:sz w:val="22"/>
          <w:lang w:val="en-AU"/>
        </w:rPr>
        <w:t>To meet the G20 goal on women’s workforce participation adopted at the 2014 Brisbane Summit, Australia will need to close the gap between women’s and men’s workforce participation by at least 3 percentage points from 2012 levels, to achieve a gap of 9.1 percentage points</w:t>
      </w:r>
      <w:r w:rsidR="00DB6247" w:rsidRPr="00FA76EC">
        <w:rPr>
          <w:rFonts w:asciiTheme="minorHAnsi" w:hAnsiTheme="minorHAnsi" w:cstheme="minorHAnsi"/>
          <w:color w:val="000000"/>
          <w:sz w:val="22"/>
          <w:lang w:val="en-AU"/>
        </w:rPr>
        <w:t xml:space="preserve"> for persons aged 15-64</w:t>
      </w:r>
      <w:r w:rsidRPr="00FA76EC">
        <w:rPr>
          <w:rFonts w:asciiTheme="minorHAnsi" w:hAnsiTheme="minorHAnsi" w:cstheme="minorHAnsi"/>
          <w:color w:val="000000"/>
          <w:sz w:val="22"/>
          <w:lang w:val="en-AU"/>
        </w:rPr>
        <w:t>. In April 2017, the gender participation gap was 10.7 percentage points.</w:t>
      </w:r>
      <w:r w:rsidR="00D95CC1" w:rsidRPr="00FA76EC">
        <w:rPr>
          <w:rFonts w:asciiTheme="minorHAnsi" w:hAnsiTheme="minorHAnsi" w:cstheme="minorHAnsi"/>
          <w:color w:val="000000"/>
          <w:sz w:val="22"/>
          <w:lang w:val="en-AU"/>
        </w:rPr>
        <w:t xml:space="preserve"> Chart </w:t>
      </w:r>
      <w:r w:rsidR="00AE7362">
        <w:rPr>
          <w:rFonts w:asciiTheme="minorHAnsi" w:hAnsiTheme="minorHAnsi" w:cstheme="minorHAnsi"/>
          <w:color w:val="000000"/>
          <w:sz w:val="22"/>
          <w:lang w:val="en-AU"/>
        </w:rPr>
        <w:t>1</w:t>
      </w:r>
      <w:r w:rsidR="00D95CC1" w:rsidRPr="00FA76EC">
        <w:rPr>
          <w:rFonts w:asciiTheme="minorHAnsi" w:hAnsiTheme="minorHAnsi" w:cstheme="minorHAnsi"/>
          <w:color w:val="000000"/>
          <w:sz w:val="22"/>
          <w:lang w:val="en-AU"/>
        </w:rPr>
        <w:t xml:space="preserve"> below provides a long-term perspective on male and female labour force participation rates in Australia since 1982.</w:t>
      </w:r>
      <w:r w:rsidR="00737C9B">
        <w:rPr>
          <w:rFonts w:asciiTheme="minorHAnsi" w:hAnsiTheme="minorHAnsi" w:cstheme="minorHAnsi"/>
          <w:color w:val="000000"/>
          <w:sz w:val="22"/>
          <w:lang w:val="en-AU"/>
        </w:rPr>
        <w:t xml:space="preserve"> </w:t>
      </w:r>
      <w:r w:rsidR="006332F2" w:rsidRPr="004C198E">
        <w:rPr>
          <w:rFonts w:asciiTheme="minorHAnsi" w:hAnsiTheme="minorHAnsi" w:cstheme="minorHAnsi"/>
          <w:color w:val="000000"/>
          <w:sz w:val="22"/>
          <w:lang w:val="en-AU"/>
        </w:rPr>
        <w:t>OECD data indicates that many G20 countries, including Australia, are progressing well towards the goal. However, the OECD has indicated that all countries will need to either maintain or improve progress over the period to 2025.</w:t>
      </w:r>
    </w:p>
    <w:p w:rsidR="002A3FB0" w:rsidRDefault="00C81E7A" w:rsidP="00351858">
      <w:pPr>
        <w:pStyle w:val="TableHeadingH3"/>
        <w:jc w:val="center"/>
      </w:pPr>
      <w:bookmarkStart w:id="161" w:name="_Toc487107045"/>
      <w:bookmarkStart w:id="162" w:name="_Toc487110333"/>
      <w:r w:rsidRPr="005F7E37">
        <w:t xml:space="preserve">Chart </w:t>
      </w:r>
      <w:r w:rsidR="00AE7362">
        <w:t>1</w:t>
      </w:r>
      <w:r w:rsidR="002A3FB0" w:rsidRPr="005F7E37">
        <w:t>: Male and female labour force participation rates, 1982–2017</w:t>
      </w:r>
      <w:bookmarkEnd w:id="161"/>
      <w:bookmarkEnd w:id="162"/>
    </w:p>
    <w:p w:rsidR="00351858" w:rsidRPr="005F7E37" w:rsidRDefault="00351858" w:rsidP="00351858">
      <w:pPr>
        <w:pStyle w:val="TableHeadingH3"/>
        <w:jc w:val="center"/>
      </w:pPr>
      <w:bookmarkStart w:id="163" w:name="_Toc487107046"/>
      <w:bookmarkStart w:id="164" w:name="_Toc487110334"/>
      <w:r>
        <w:rPr>
          <w:noProof/>
          <w:lang w:eastAsia="en-AU"/>
        </w:rPr>
        <w:drawing>
          <wp:inline distT="0" distB="0" distL="0" distR="0" wp14:anchorId="7352AF68">
            <wp:extent cx="5505450" cy="3103245"/>
            <wp:effectExtent l="0" t="0" r="0" b="1905"/>
            <wp:docPr id="2" name="Picture 2" descr="The chart shows the labour force participation rate for women has risen from 45 per cent in 1982 to 56 per cent in 2017. Over the same period, the labour force participation rate has fallen from 78 per cent to 70 per cent. &#10;&#10;The G20 Gender goal was adopted at the November 2014 Brisbane Summit" title="Chart 1: Male and female labour force participation rates, 1982-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3103245"/>
                    </a:xfrm>
                    <a:prstGeom prst="rect">
                      <a:avLst/>
                    </a:prstGeom>
                    <a:noFill/>
                  </pic:spPr>
                </pic:pic>
              </a:graphicData>
            </a:graphic>
          </wp:inline>
        </w:drawing>
      </w:r>
      <w:bookmarkEnd w:id="163"/>
      <w:bookmarkEnd w:id="164"/>
    </w:p>
    <w:p w:rsidR="002A3FB0" w:rsidRDefault="002A3FB0" w:rsidP="003B28FD">
      <w:pPr>
        <w:rPr>
          <w:rFonts w:asciiTheme="minorHAnsi" w:hAnsiTheme="minorHAnsi" w:cstheme="minorHAnsi"/>
          <w:color w:val="000000"/>
          <w:lang w:val="en-AU"/>
        </w:rPr>
      </w:pPr>
      <w:r w:rsidRPr="005F7E37">
        <w:rPr>
          <w:rFonts w:asciiTheme="minorHAnsi" w:hAnsiTheme="minorHAnsi" w:cstheme="minorHAnsi"/>
          <w:color w:val="000000"/>
          <w:sz w:val="18"/>
          <w:szCs w:val="18"/>
        </w:rPr>
        <w:t xml:space="preserve">Source: Australian Bureau of Statistics, </w:t>
      </w:r>
      <w:r w:rsidRPr="005F7E37">
        <w:rPr>
          <w:rFonts w:asciiTheme="minorHAnsi" w:hAnsiTheme="minorHAnsi" w:cstheme="minorHAnsi"/>
          <w:i/>
          <w:iCs/>
          <w:color w:val="000000"/>
          <w:sz w:val="18"/>
          <w:szCs w:val="18"/>
        </w:rPr>
        <w:t xml:space="preserve">Labour Force, Australia </w:t>
      </w:r>
      <w:r w:rsidRPr="005F7E37">
        <w:rPr>
          <w:rFonts w:asciiTheme="minorHAnsi" w:hAnsiTheme="minorHAnsi" w:cstheme="minorHAnsi"/>
          <w:color w:val="000000"/>
          <w:sz w:val="18"/>
          <w:szCs w:val="18"/>
        </w:rPr>
        <w:t>April 2017 (cat. no. 6202.0), people 15 years and over, trend data</w:t>
      </w:r>
    </w:p>
    <w:p w:rsidR="00FA76EC" w:rsidRDefault="00FA76EC" w:rsidP="00AD08D5">
      <w:pPr>
        <w:autoSpaceDE w:val="0"/>
        <w:autoSpaceDN w:val="0"/>
        <w:adjustRightInd w:val="0"/>
        <w:spacing w:after="240"/>
        <w:rPr>
          <w:rFonts w:asciiTheme="minorHAnsi" w:hAnsiTheme="minorHAnsi" w:cstheme="minorHAnsi"/>
          <w:color w:val="000000"/>
          <w:lang w:val="en-AU"/>
        </w:rPr>
        <w:sectPr w:rsidR="00FA76EC" w:rsidSect="00EC72D7">
          <w:headerReference w:type="default" r:id="rId16"/>
          <w:footerReference w:type="default" r:id="rId17"/>
          <w:pgSz w:w="11850" w:h="16783"/>
          <w:pgMar w:top="1701" w:right="1134" w:bottom="1134" w:left="1134" w:header="851" w:footer="992" w:gutter="0"/>
          <w:cols w:space="720"/>
          <w:docGrid w:linePitch="326"/>
        </w:sectPr>
      </w:pPr>
    </w:p>
    <w:p w:rsidR="00A561E2" w:rsidRPr="005F7E37" w:rsidRDefault="00A561E2" w:rsidP="0029104D">
      <w:pPr>
        <w:pStyle w:val="Heading2"/>
        <w:rPr>
          <w:rFonts w:eastAsia="SimSun"/>
        </w:rPr>
      </w:pPr>
      <w:bookmarkStart w:id="165" w:name="_Toc485739910"/>
      <w:bookmarkStart w:id="166" w:name="_Toc485740312"/>
      <w:bookmarkStart w:id="167" w:name="_Toc485740416"/>
      <w:bookmarkStart w:id="168" w:name="_Toc487107047"/>
      <w:bookmarkStart w:id="169" w:name="_Toc487110335"/>
      <w:r w:rsidRPr="005F7E37">
        <w:rPr>
          <w:rFonts w:eastAsia="SimSun"/>
        </w:rPr>
        <w:lastRenderedPageBreak/>
        <w:t>Key measures introduced in pursuit of the collective commitment to increase female labour force participation</w:t>
      </w:r>
      <w:bookmarkEnd w:id="165"/>
      <w:bookmarkEnd w:id="166"/>
      <w:bookmarkEnd w:id="167"/>
      <w:bookmarkEnd w:id="168"/>
      <w:bookmarkEnd w:id="169"/>
      <w:r w:rsidRPr="005F7E37">
        <w:rPr>
          <w:rFonts w:eastAsia="SimSun"/>
        </w:rPr>
        <w:t xml:space="preserve"> </w:t>
      </w:r>
    </w:p>
    <w:tbl>
      <w:tblPr>
        <w:tblW w:w="14382"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2"/>
        <w:gridCol w:w="5880"/>
      </w:tblGrid>
      <w:tr w:rsidR="00A561E2" w:rsidRPr="005F7E37" w:rsidTr="00351858">
        <w:trPr>
          <w:cantSplit/>
          <w:tblHeader/>
        </w:trPr>
        <w:tc>
          <w:tcPr>
            <w:tcW w:w="8502" w:type="dxa"/>
            <w:tcBorders>
              <w:bottom w:val="single" w:sz="4" w:space="0" w:color="auto"/>
            </w:tcBorders>
            <w:shd w:val="clear" w:color="auto" w:fill="EEECE1" w:themeFill="background2"/>
          </w:tcPr>
          <w:p w:rsidR="00A561E2" w:rsidRPr="005F7E37" w:rsidRDefault="00A561E2" w:rsidP="00234E01">
            <w:pPr>
              <w:jc w:val="left"/>
              <w:rPr>
                <w:rFonts w:asciiTheme="minorHAnsi" w:hAnsiTheme="minorHAnsi" w:cstheme="minorHAnsi"/>
                <w:b/>
                <w:color w:val="000000"/>
                <w:sz w:val="22"/>
                <w:lang w:val="en-AU"/>
              </w:rPr>
            </w:pPr>
            <w:r w:rsidRPr="005F7E37">
              <w:rPr>
                <w:rFonts w:asciiTheme="minorHAnsi" w:hAnsiTheme="minorHAnsi" w:cstheme="minorHAnsi"/>
                <w:b/>
                <w:bCs/>
                <w:color w:val="000000"/>
                <w:sz w:val="22"/>
                <w:lang w:val="en-AU"/>
              </w:rPr>
              <w:t>Policy commitment / description</w:t>
            </w:r>
          </w:p>
        </w:tc>
        <w:tc>
          <w:tcPr>
            <w:tcW w:w="5880" w:type="dxa"/>
            <w:tcBorders>
              <w:bottom w:val="single" w:sz="4" w:space="0" w:color="auto"/>
            </w:tcBorders>
            <w:shd w:val="clear" w:color="auto" w:fill="EEECE1" w:themeFill="background2"/>
          </w:tcPr>
          <w:p w:rsidR="00A561E2" w:rsidRPr="005F7E37" w:rsidRDefault="00A561E2" w:rsidP="00234E01">
            <w:pPr>
              <w:jc w:val="left"/>
              <w:rPr>
                <w:rFonts w:asciiTheme="minorHAnsi" w:hAnsiTheme="minorHAnsi" w:cstheme="minorHAnsi"/>
                <w:b/>
                <w:color w:val="000000"/>
                <w:sz w:val="22"/>
                <w:lang w:val="en-AU"/>
              </w:rPr>
            </w:pPr>
            <w:r w:rsidRPr="005F7E37">
              <w:rPr>
                <w:rFonts w:asciiTheme="minorHAnsi" w:hAnsiTheme="minorHAnsi" w:cstheme="minorHAnsi"/>
                <w:b/>
                <w:bCs/>
                <w:color w:val="000000"/>
                <w:sz w:val="22"/>
                <w:lang w:val="en-AU"/>
              </w:rPr>
              <w:t>Status of implementation and results achieved</w:t>
            </w:r>
          </w:p>
        </w:tc>
      </w:tr>
      <w:tr w:rsidR="00A561E2" w:rsidRPr="005F7E37" w:rsidTr="00351858">
        <w:trPr>
          <w:cantSplit/>
        </w:trPr>
        <w:tc>
          <w:tcPr>
            <w:tcW w:w="14382" w:type="dxa"/>
            <w:gridSpan w:val="2"/>
            <w:tcBorders>
              <w:bottom w:val="single" w:sz="4" w:space="0" w:color="auto"/>
            </w:tcBorders>
            <w:shd w:val="clear" w:color="auto" w:fill="EEECE1" w:themeFill="background2"/>
          </w:tcPr>
          <w:p w:rsidR="00A561E2" w:rsidRPr="005F7E37" w:rsidRDefault="00A561E2" w:rsidP="00234E01">
            <w:pPr>
              <w:jc w:val="left"/>
              <w:rPr>
                <w:rFonts w:asciiTheme="minorHAnsi" w:hAnsiTheme="minorHAnsi" w:cstheme="minorHAnsi"/>
                <w:bCs/>
                <w:i/>
                <w:color w:val="000000"/>
                <w:sz w:val="22"/>
                <w:lang w:val="en-AU" w:eastAsia="tr-TR"/>
              </w:rPr>
            </w:pPr>
            <w:proofErr w:type="spellStart"/>
            <w:r w:rsidRPr="005F7E37">
              <w:rPr>
                <w:rFonts w:asciiTheme="minorHAnsi" w:hAnsiTheme="minorHAnsi" w:cstheme="minorHAnsi"/>
                <w:i/>
                <w:color w:val="000000"/>
                <w:sz w:val="22"/>
                <w:lang w:val="en-AU"/>
              </w:rPr>
              <w:t>i</w:t>
            </w:r>
            <w:proofErr w:type="spellEnd"/>
            <w:r w:rsidRPr="005F7E37">
              <w:rPr>
                <w:rFonts w:asciiTheme="minorHAnsi" w:hAnsiTheme="minorHAnsi" w:cstheme="minorHAnsi"/>
                <w:i/>
                <w:color w:val="000000"/>
                <w:sz w:val="22"/>
                <w:lang w:val="en-AU"/>
              </w:rPr>
              <w:t>) Address unequal treatment of men and women in the labour market (2014 Declaration priorities 5, 6)</w:t>
            </w:r>
          </w:p>
        </w:tc>
      </w:tr>
      <w:tr w:rsidR="00A561E2" w:rsidRPr="005F7E37" w:rsidTr="00351858">
        <w:trPr>
          <w:cantSplit/>
        </w:trPr>
        <w:tc>
          <w:tcPr>
            <w:tcW w:w="8502" w:type="dxa"/>
            <w:tcBorders>
              <w:bottom w:val="single" w:sz="4" w:space="0" w:color="auto"/>
            </w:tcBorders>
            <w:shd w:val="clear" w:color="auto" w:fill="auto"/>
          </w:tcPr>
          <w:p w:rsidR="00A561E2" w:rsidRPr="005F7E37" w:rsidRDefault="00A561E2"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t>Ending violence against women and their children</w:t>
            </w:r>
          </w:p>
          <w:p w:rsidR="00A561E2" w:rsidRPr="005F7E37" w:rsidRDefault="00A561E2" w:rsidP="00234E01">
            <w:pPr>
              <w:autoSpaceDE w:val="0"/>
              <w:autoSpaceDN w:val="0"/>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Ensuring the safety of women and their children at risk of experiencing violence is an immediate and urgent priority for the Australian Government. Building a culture that supports gender equality and reduces violence against women will improve women’s workforce participation and economic security. </w:t>
            </w:r>
          </w:p>
          <w:p w:rsidR="00A561E2" w:rsidRPr="005F7E37" w:rsidRDefault="00793582" w:rsidP="003E10F8">
            <w:pPr>
              <w:numPr>
                <w:ilvl w:val="0"/>
                <w:numId w:val="7"/>
              </w:numPr>
              <w:autoSpaceDE w:val="0"/>
              <w:autoSpaceDN w:val="0"/>
              <w:jc w:val="left"/>
              <w:rPr>
                <w:rFonts w:asciiTheme="minorHAnsi" w:eastAsia="Calibri" w:hAnsiTheme="minorHAnsi" w:cstheme="minorHAnsi"/>
                <w:color w:val="000000"/>
                <w:sz w:val="22"/>
                <w:lang w:val="en-AU" w:eastAsia="en-US"/>
              </w:rPr>
            </w:pPr>
            <w:r>
              <w:rPr>
                <w:rFonts w:asciiTheme="minorHAnsi" w:hAnsiTheme="minorHAnsi" w:cstheme="minorHAnsi"/>
                <w:color w:val="000000"/>
                <w:sz w:val="22"/>
                <w:lang w:val="en-AU"/>
              </w:rPr>
              <w:t>The Australian Government partners with states and t</w:t>
            </w:r>
            <w:r w:rsidR="00A561E2" w:rsidRPr="005F7E37">
              <w:rPr>
                <w:rFonts w:asciiTheme="minorHAnsi" w:hAnsiTheme="minorHAnsi" w:cstheme="minorHAnsi"/>
                <w:color w:val="000000"/>
                <w:sz w:val="22"/>
                <w:lang w:val="en-AU"/>
              </w:rPr>
              <w:t xml:space="preserve">erritories through the </w:t>
            </w:r>
            <w:r w:rsidR="00A561E2" w:rsidRPr="005F7E37">
              <w:rPr>
                <w:rFonts w:asciiTheme="minorHAnsi" w:hAnsiTheme="minorHAnsi" w:cstheme="minorHAnsi"/>
                <w:i/>
                <w:color w:val="000000"/>
                <w:sz w:val="22"/>
                <w:lang w:val="en-AU"/>
              </w:rPr>
              <w:t>National Plan to Reduce Violence against Women and their Children 2010 – 2022</w:t>
            </w:r>
            <w:r w:rsidR="00B3796C" w:rsidRPr="005F7E37">
              <w:rPr>
                <w:rFonts w:asciiTheme="minorHAnsi" w:hAnsiTheme="minorHAnsi" w:cstheme="minorHAnsi"/>
                <w:i/>
                <w:color w:val="000000"/>
                <w:sz w:val="22"/>
                <w:lang w:val="en-AU"/>
              </w:rPr>
              <w:t xml:space="preserve"> </w:t>
            </w:r>
            <w:r w:rsidR="00B3796C" w:rsidRPr="005F7E37">
              <w:rPr>
                <w:rFonts w:asciiTheme="minorHAnsi" w:hAnsiTheme="minorHAnsi" w:cstheme="minorHAnsi"/>
                <w:color w:val="000000"/>
                <w:sz w:val="22"/>
                <w:lang w:val="en-AU"/>
              </w:rPr>
              <w:t>(the National Plan)</w:t>
            </w:r>
            <w:r w:rsidR="00A561E2" w:rsidRPr="005F7E37">
              <w:rPr>
                <w:rFonts w:asciiTheme="minorHAnsi" w:hAnsiTheme="minorHAnsi" w:cstheme="minorHAnsi"/>
                <w:color w:val="000000"/>
                <w:sz w:val="22"/>
                <w:lang w:val="en-AU"/>
              </w:rPr>
              <w:t>.</w:t>
            </w:r>
          </w:p>
          <w:p w:rsidR="00A561E2" w:rsidRPr="005F7E37" w:rsidRDefault="00A561E2" w:rsidP="003E10F8">
            <w:pPr>
              <w:numPr>
                <w:ilvl w:val="0"/>
                <w:numId w:val="7"/>
              </w:numPr>
              <w:autoSpaceDE w:val="0"/>
              <w:autoSpaceDN w:val="0"/>
              <w:jc w:val="left"/>
              <w:rPr>
                <w:rFonts w:asciiTheme="minorHAnsi" w:eastAsia="Calibri" w:hAnsiTheme="minorHAnsi" w:cstheme="minorHAnsi"/>
                <w:color w:val="000000"/>
                <w:sz w:val="22"/>
                <w:lang w:val="en-AU" w:eastAsia="en-US"/>
              </w:rPr>
            </w:pPr>
            <w:r w:rsidRPr="005F7E37">
              <w:rPr>
                <w:rFonts w:asciiTheme="minorHAnsi" w:hAnsiTheme="minorHAnsi" w:cstheme="minorHAnsi"/>
                <w:color w:val="000000"/>
                <w:sz w:val="22"/>
                <w:lang w:val="en-AU"/>
              </w:rPr>
              <w:t>As part of the 2016-17 Budget, the Australian Government committed an additional $100 million to deliver the Third Action Plan of th</w:t>
            </w:r>
            <w:r w:rsidR="00DD5B28" w:rsidRPr="005F7E37">
              <w:rPr>
                <w:rFonts w:asciiTheme="minorHAnsi" w:hAnsiTheme="minorHAnsi" w:cstheme="minorHAnsi"/>
                <w:color w:val="000000"/>
                <w:sz w:val="22"/>
                <w:lang w:val="en-AU"/>
              </w:rPr>
              <w:t xml:space="preserve">e National </w:t>
            </w:r>
            <w:r w:rsidRPr="005F7E37">
              <w:rPr>
                <w:rFonts w:asciiTheme="minorHAnsi" w:hAnsiTheme="minorHAnsi" w:cstheme="minorHAnsi"/>
                <w:color w:val="000000"/>
                <w:sz w:val="22"/>
                <w:lang w:val="en-AU"/>
              </w:rPr>
              <w:t xml:space="preserve">Plan. This builds on the $100 million Women’s Safety Package, launched in September 2015, and on the </w:t>
            </w:r>
            <w:r w:rsidR="00066966">
              <w:rPr>
                <w:rFonts w:asciiTheme="minorHAnsi" w:hAnsiTheme="minorHAnsi" w:cstheme="minorHAnsi"/>
                <w:color w:val="000000"/>
                <w:sz w:val="22"/>
                <w:lang w:val="en-AU"/>
              </w:rPr>
              <w:t xml:space="preserve">Australian </w:t>
            </w:r>
            <w:r w:rsidR="00793582">
              <w:rPr>
                <w:rFonts w:asciiTheme="minorHAnsi" w:hAnsiTheme="minorHAnsi" w:cstheme="minorHAnsi"/>
                <w:color w:val="000000"/>
                <w:sz w:val="22"/>
                <w:lang w:val="en-AU"/>
              </w:rPr>
              <w:t>Governmen</w:t>
            </w:r>
            <w:r w:rsidR="00793582" w:rsidRPr="005F7E37">
              <w:rPr>
                <w:rFonts w:asciiTheme="minorHAnsi" w:hAnsiTheme="minorHAnsi" w:cstheme="minorHAnsi"/>
                <w:color w:val="000000"/>
                <w:sz w:val="22"/>
                <w:lang w:val="en-AU"/>
              </w:rPr>
              <w:t>t’s</w:t>
            </w:r>
            <w:r w:rsidRPr="005F7E37">
              <w:rPr>
                <w:rFonts w:asciiTheme="minorHAnsi" w:hAnsiTheme="minorHAnsi" w:cstheme="minorHAnsi"/>
                <w:color w:val="000000"/>
                <w:sz w:val="22"/>
                <w:lang w:val="en-AU"/>
              </w:rPr>
              <w:t xml:space="preserve"> much broader investments that drive a reduction in violence, including income support, education, </w:t>
            </w:r>
            <w:proofErr w:type="gramStart"/>
            <w:r w:rsidRPr="005F7E37">
              <w:rPr>
                <w:rFonts w:asciiTheme="minorHAnsi" w:hAnsiTheme="minorHAnsi" w:cstheme="minorHAnsi"/>
                <w:color w:val="000000"/>
                <w:sz w:val="22"/>
                <w:lang w:val="en-AU"/>
              </w:rPr>
              <w:t>housing</w:t>
            </w:r>
            <w:proofErr w:type="gramEnd"/>
            <w:r w:rsidRPr="005F7E37">
              <w:rPr>
                <w:rFonts w:asciiTheme="minorHAnsi" w:hAnsiTheme="minorHAnsi" w:cstheme="minorHAnsi"/>
                <w:color w:val="000000"/>
                <w:sz w:val="22"/>
                <w:lang w:val="en-AU"/>
              </w:rPr>
              <w:t xml:space="preserve"> and health measures.</w:t>
            </w:r>
          </w:p>
        </w:tc>
        <w:tc>
          <w:tcPr>
            <w:tcW w:w="5880" w:type="dxa"/>
            <w:tcBorders>
              <w:bottom w:val="single" w:sz="4" w:space="0" w:color="auto"/>
            </w:tcBorders>
            <w:shd w:val="clear" w:color="auto" w:fill="auto"/>
          </w:tcPr>
          <w:p w:rsidR="006E4F37" w:rsidRDefault="00A561E2"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Second Action Plan </w:t>
            </w:r>
            <w:r w:rsidR="00B3796C" w:rsidRPr="005F7E37">
              <w:rPr>
                <w:rFonts w:asciiTheme="minorHAnsi" w:hAnsiTheme="minorHAnsi" w:cstheme="minorHAnsi"/>
                <w:color w:val="000000"/>
                <w:sz w:val="22"/>
                <w:lang w:val="en-AU"/>
              </w:rPr>
              <w:t xml:space="preserve">of </w:t>
            </w:r>
            <w:r w:rsidRPr="005F7E37">
              <w:rPr>
                <w:rFonts w:asciiTheme="minorHAnsi" w:hAnsiTheme="minorHAnsi" w:cstheme="minorHAnsi"/>
                <w:color w:val="000000"/>
                <w:sz w:val="22"/>
                <w:lang w:val="en-AU"/>
              </w:rPr>
              <w:t>the Natio</w:t>
            </w:r>
            <w:r w:rsidR="00DC2A2C">
              <w:rPr>
                <w:rFonts w:asciiTheme="minorHAnsi" w:hAnsiTheme="minorHAnsi" w:cstheme="minorHAnsi"/>
                <w:color w:val="000000"/>
                <w:sz w:val="22"/>
                <w:lang w:val="en-AU"/>
              </w:rPr>
              <w:t>nal Plan ran from 2013 to 2016.</w:t>
            </w:r>
            <w:r w:rsidR="00B3796C" w:rsidRPr="005F7E37" w:rsidDel="00B3796C">
              <w:rPr>
                <w:rFonts w:asciiTheme="minorHAnsi" w:hAnsiTheme="minorHAnsi" w:cstheme="minorHAnsi"/>
                <w:color w:val="000000"/>
                <w:sz w:val="22"/>
                <w:lang w:val="en-AU"/>
              </w:rPr>
              <w:t xml:space="preserve"> </w:t>
            </w:r>
            <w:r w:rsidRPr="005F7E37">
              <w:rPr>
                <w:rFonts w:asciiTheme="minorHAnsi" w:hAnsiTheme="minorHAnsi" w:cstheme="minorHAnsi"/>
                <w:color w:val="000000"/>
                <w:sz w:val="22"/>
                <w:lang w:val="en-AU"/>
              </w:rPr>
              <w:t>Outcomes include agreement</w:t>
            </w:r>
            <w:r w:rsidR="006E4F37">
              <w:rPr>
                <w:rFonts w:asciiTheme="minorHAnsi" w:hAnsiTheme="minorHAnsi" w:cstheme="minorHAnsi"/>
                <w:color w:val="000000"/>
                <w:sz w:val="22"/>
                <w:lang w:val="en-AU"/>
              </w:rPr>
              <w:t xml:space="preserve"> to:</w:t>
            </w:r>
          </w:p>
          <w:p w:rsidR="006E4F37" w:rsidRDefault="00A561E2" w:rsidP="003E10F8">
            <w:pPr>
              <w:pStyle w:val="ListParagraph"/>
              <w:numPr>
                <w:ilvl w:val="0"/>
                <w:numId w:val="18"/>
              </w:numPr>
              <w:rPr>
                <w:rFonts w:asciiTheme="minorHAnsi" w:hAnsiTheme="minorHAnsi" w:cstheme="minorHAnsi"/>
                <w:color w:val="000000"/>
                <w:sz w:val="22"/>
              </w:rPr>
            </w:pPr>
            <w:r w:rsidRPr="00526A8F">
              <w:rPr>
                <w:rFonts w:asciiTheme="minorHAnsi" w:hAnsiTheme="minorHAnsi" w:cstheme="minorHAnsi"/>
                <w:color w:val="000000"/>
                <w:sz w:val="22"/>
              </w:rPr>
              <w:t>National Perpetrator Intervention Standards</w:t>
            </w:r>
            <w:r w:rsidR="006E4F37">
              <w:rPr>
                <w:rFonts w:asciiTheme="minorHAnsi" w:hAnsiTheme="minorHAnsi" w:cstheme="minorHAnsi"/>
                <w:color w:val="000000"/>
                <w:sz w:val="22"/>
              </w:rPr>
              <w:t xml:space="preserve">; </w:t>
            </w:r>
          </w:p>
          <w:p w:rsidR="006E4F37" w:rsidRDefault="006E4F37" w:rsidP="003E10F8">
            <w:pPr>
              <w:pStyle w:val="ListParagraph"/>
              <w:numPr>
                <w:ilvl w:val="0"/>
                <w:numId w:val="18"/>
              </w:numPr>
              <w:rPr>
                <w:rFonts w:asciiTheme="minorHAnsi" w:hAnsiTheme="minorHAnsi" w:cstheme="minorHAnsi"/>
                <w:color w:val="000000"/>
                <w:sz w:val="22"/>
              </w:rPr>
            </w:pPr>
            <w:r>
              <w:rPr>
                <w:rFonts w:asciiTheme="minorHAnsi" w:hAnsiTheme="minorHAnsi" w:cstheme="minorHAnsi"/>
                <w:color w:val="000000"/>
                <w:sz w:val="22"/>
              </w:rPr>
              <w:t>A</w:t>
            </w:r>
            <w:r w:rsidR="00A561E2" w:rsidRPr="00526A8F">
              <w:rPr>
                <w:rFonts w:asciiTheme="minorHAnsi" w:hAnsiTheme="minorHAnsi" w:cstheme="minorHAnsi"/>
                <w:color w:val="000000"/>
                <w:sz w:val="22"/>
              </w:rPr>
              <w:t xml:space="preserve"> National Domestic Violence Order Scheme</w:t>
            </w:r>
            <w:r>
              <w:rPr>
                <w:rFonts w:asciiTheme="minorHAnsi" w:hAnsiTheme="minorHAnsi" w:cstheme="minorHAnsi"/>
                <w:color w:val="000000"/>
                <w:sz w:val="22"/>
              </w:rPr>
              <w:t xml:space="preserve">; </w:t>
            </w:r>
          </w:p>
          <w:p w:rsidR="006E4F37" w:rsidRDefault="006E4F37" w:rsidP="003E10F8">
            <w:pPr>
              <w:pStyle w:val="ListParagraph"/>
              <w:numPr>
                <w:ilvl w:val="0"/>
                <w:numId w:val="18"/>
              </w:numPr>
              <w:rPr>
                <w:rFonts w:asciiTheme="minorHAnsi" w:hAnsiTheme="minorHAnsi" w:cstheme="minorHAnsi"/>
                <w:color w:val="000000"/>
                <w:sz w:val="22"/>
              </w:rPr>
            </w:pPr>
            <w:r>
              <w:rPr>
                <w:rFonts w:asciiTheme="minorHAnsi" w:hAnsiTheme="minorHAnsi" w:cstheme="minorHAnsi"/>
                <w:color w:val="000000"/>
                <w:sz w:val="22"/>
              </w:rPr>
              <w:t>C</w:t>
            </w:r>
            <w:r w:rsidR="00A561E2" w:rsidRPr="00526A8F">
              <w:rPr>
                <w:rFonts w:asciiTheme="minorHAnsi" w:hAnsiTheme="minorHAnsi" w:cstheme="minorHAnsi"/>
                <w:color w:val="000000"/>
                <w:sz w:val="22"/>
              </w:rPr>
              <w:t>ontinuation of “The Line” primary prevention behaviour change campaign for young people aged 12 to 20 years</w:t>
            </w:r>
            <w:r>
              <w:rPr>
                <w:rFonts w:asciiTheme="minorHAnsi" w:hAnsiTheme="minorHAnsi" w:cstheme="minorHAnsi"/>
                <w:color w:val="000000"/>
                <w:sz w:val="22"/>
              </w:rPr>
              <w:t>;</w:t>
            </w:r>
            <w:r w:rsidR="00A561E2" w:rsidRPr="00526A8F">
              <w:rPr>
                <w:rFonts w:asciiTheme="minorHAnsi" w:hAnsiTheme="minorHAnsi" w:cstheme="minorHAnsi"/>
                <w:color w:val="000000"/>
                <w:sz w:val="22"/>
              </w:rPr>
              <w:t xml:space="preserve"> and </w:t>
            </w:r>
          </w:p>
          <w:p w:rsidR="00DD5B28" w:rsidRPr="00DC2A2C" w:rsidRDefault="006E4F37" w:rsidP="003E10F8">
            <w:pPr>
              <w:pStyle w:val="ListParagraph"/>
              <w:numPr>
                <w:ilvl w:val="0"/>
                <w:numId w:val="18"/>
              </w:numPr>
              <w:rPr>
                <w:rFonts w:asciiTheme="minorHAnsi" w:hAnsiTheme="minorHAnsi" w:cstheme="minorHAnsi"/>
                <w:color w:val="000000"/>
                <w:sz w:val="22"/>
              </w:rPr>
            </w:pPr>
            <w:r>
              <w:rPr>
                <w:rFonts w:asciiTheme="minorHAnsi" w:hAnsiTheme="minorHAnsi" w:cstheme="minorHAnsi"/>
                <w:color w:val="000000"/>
                <w:sz w:val="22"/>
              </w:rPr>
              <w:t>C</w:t>
            </w:r>
            <w:r w:rsidR="00A561E2" w:rsidRPr="00526A8F">
              <w:rPr>
                <w:rFonts w:asciiTheme="minorHAnsi" w:hAnsiTheme="minorHAnsi" w:cstheme="minorHAnsi"/>
                <w:color w:val="000000"/>
                <w:sz w:val="22"/>
              </w:rPr>
              <w:t>ommencement of the national campaign to change community attitudes to violence.</w:t>
            </w:r>
          </w:p>
          <w:p w:rsidR="00A561E2" w:rsidRPr="005F7E37" w:rsidRDefault="00DD5B28"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 Third Action Plan 2016-2019 was launched on 28 October 2016. It sets out 36 practical actions acros</w:t>
            </w:r>
            <w:r w:rsidR="00D67618">
              <w:rPr>
                <w:rFonts w:asciiTheme="minorHAnsi" w:hAnsiTheme="minorHAnsi" w:cstheme="minorHAnsi"/>
                <w:color w:val="000000"/>
                <w:sz w:val="22"/>
                <w:lang w:val="en-AU"/>
              </w:rPr>
              <w:t xml:space="preserve">s six national priority areas. </w:t>
            </w:r>
          </w:p>
        </w:tc>
      </w:tr>
      <w:tr w:rsidR="00A561E2" w:rsidRPr="005F7E37" w:rsidTr="00351858">
        <w:trPr>
          <w:cantSplit/>
        </w:trPr>
        <w:tc>
          <w:tcPr>
            <w:tcW w:w="8502" w:type="dxa"/>
            <w:tcBorders>
              <w:bottom w:val="single" w:sz="4" w:space="0" w:color="auto"/>
            </w:tcBorders>
            <w:shd w:val="clear" w:color="auto" w:fill="auto"/>
          </w:tcPr>
          <w:p w:rsidR="00A561E2" w:rsidRPr="005F7E37" w:rsidRDefault="00A561E2"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t>Workplace Gender Equality Reporting</w:t>
            </w:r>
          </w:p>
          <w:p w:rsidR="00A561E2" w:rsidRPr="005F7E37" w:rsidRDefault="00A561E2" w:rsidP="00234E01">
            <w:pPr>
              <w:autoSpaceDE w:val="0"/>
              <w:autoSpaceDN w:val="0"/>
              <w:adjustRightInd w:val="0"/>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Private sector employers with 100 or more employees are required to report annually to the Workplace Gender Equality Agency. The gender reporting framework is designed so that individual organisations can monitor, reflect upon and improve their own gender equality performance.</w:t>
            </w:r>
          </w:p>
          <w:p w:rsidR="00A561E2" w:rsidRPr="005F7E37" w:rsidRDefault="00A561E2" w:rsidP="00234E01">
            <w:pPr>
              <w:autoSpaceDE w:val="0"/>
              <w:autoSpaceDN w:val="0"/>
              <w:adjustRightInd w:val="0"/>
              <w:jc w:val="left"/>
              <w:rPr>
                <w:rFonts w:asciiTheme="minorHAnsi" w:hAnsiTheme="minorHAnsi" w:cstheme="minorHAnsi"/>
                <w:color w:val="000000"/>
                <w:sz w:val="22"/>
                <w:lang w:val="en-AU"/>
              </w:rPr>
            </w:pPr>
          </w:p>
        </w:tc>
        <w:tc>
          <w:tcPr>
            <w:tcW w:w="5880" w:type="dxa"/>
            <w:tcBorders>
              <w:bottom w:val="single" w:sz="4" w:space="0" w:color="auto"/>
            </w:tcBorders>
            <w:shd w:val="clear" w:color="auto" w:fill="auto"/>
          </w:tcPr>
          <w:p w:rsidR="003A6562" w:rsidRPr="005F7E37" w:rsidRDefault="00A561E2" w:rsidP="00526A8F">
            <w:pPr>
              <w:autoSpaceDE w:val="0"/>
              <w:autoSpaceDN w:val="0"/>
              <w:adjustRightInd w:val="0"/>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Changes to the gender reporting requirements were announced on 25 February 2015, and became effective in the 2015-16 reporting year. </w:t>
            </w:r>
          </w:p>
          <w:p w:rsidR="003A6562" w:rsidRPr="005F7E37" w:rsidRDefault="00A561E2" w:rsidP="00351858">
            <w:pPr>
              <w:spacing w:after="840"/>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In 201</w:t>
            </w:r>
            <w:r w:rsidR="003A6562" w:rsidRPr="005F7E37">
              <w:rPr>
                <w:rFonts w:asciiTheme="minorHAnsi" w:hAnsiTheme="minorHAnsi" w:cstheme="minorHAnsi"/>
                <w:color w:val="000000"/>
                <w:sz w:val="22"/>
                <w:lang w:val="en-AU"/>
              </w:rPr>
              <w:t>6</w:t>
            </w:r>
            <w:r w:rsidRPr="005F7E37">
              <w:rPr>
                <w:rFonts w:asciiTheme="minorHAnsi" w:hAnsiTheme="minorHAnsi" w:cstheme="minorHAnsi"/>
                <w:color w:val="000000"/>
                <w:sz w:val="22"/>
                <w:lang w:val="en-AU"/>
              </w:rPr>
              <w:t>, 12,000 employers covering 4 million em</w:t>
            </w:r>
            <w:r w:rsidR="003A6562" w:rsidRPr="005F7E37">
              <w:rPr>
                <w:rFonts w:asciiTheme="minorHAnsi" w:hAnsiTheme="minorHAnsi" w:cstheme="minorHAnsi"/>
                <w:color w:val="000000"/>
                <w:sz w:val="22"/>
                <w:lang w:val="en-AU"/>
              </w:rPr>
              <w:t xml:space="preserve">ployees, representing about 40 per cent of employees in Australia, reported for the third </w:t>
            </w:r>
            <w:r w:rsidRPr="005F7E37">
              <w:rPr>
                <w:rFonts w:asciiTheme="minorHAnsi" w:hAnsiTheme="minorHAnsi" w:cstheme="minorHAnsi"/>
                <w:color w:val="000000"/>
                <w:sz w:val="22"/>
                <w:lang w:val="en-AU"/>
              </w:rPr>
              <w:t xml:space="preserve">year of reporting under the </w:t>
            </w:r>
            <w:r w:rsidRPr="005F7E37">
              <w:rPr>
                <w:rFonts w:asciiTheme="minorHAnsi" w:hAnsiTheme="minorHAnsi" w:cstheme="minorHAnsi"/>
                <w:i/>
                <w:color w:val="000000"/>
                <w:sz w:val="22"/>
                <w:lang w:val="en-AU"/>
              </w:rPr>
              <w:t>Workplace Gender Equality Act</w:t>
            </w:r>
            <w:r w:rsidR="003A6562" w:rsidRPr="005F7E37">
              <w:rPr>
                <w:rFonts w:asciiTheme="minorHAnsi" w:hAnsiTheme="minorHAnsi" w:cstheme="minorHAnsi"/>
                <w:i/>
                <w:color w:val="000000"/>
                <w:sz w:val="22"/>
                <w:lang w:val="en-AU"/>
              </w:rPr>
              <w:t xml:space="preserve"> </w:t>
            </w:r>
            <w:r w:rsidRPr="005F7E37">
              <w:rPr>
                <w:rFonts w:asciiTheme="minorHAnsi" w:hAnsiTheme="minorHAnsi" w:cstheme="minorHAnsi"/>
                <w:i/>
                <w:color w:val="000000"/>
                <w:sz w:val="22"/>
                <w:lang w:val="en-AU"/>
              </w:rPr>
              <w:t>2012</w:t>
            </w:r>
            <w:r w:rsidRPr="005F7E37">
              <w:rPr>
                <w:rFonts w:asciiTheme="minorHAnsi" w:hAnsiTheme="minorHAnsi" w:cstheme="minorHAnsi"/>
                <w:color w:val="000000"/>
                <w:sz w:val="22"/>
                <w:lang w:val="en-AU"/>
              </w:rPr>
              <w:t>. This is the first time-series data on the status of gender equality in Australian private sector workplaces.</w:t>
            </w:r>
          </w:p>
        </w:tc>
      </w:tr>
      <w:tr w:rsidR="00A561E2" w:rsidRPr="005F7E37" w:rsidTr="00351858">
        <w:trPr>
          <w:cantSplit/>
        </w:trPr>
        <w:tc>
          <w:tcPr>
            <w:tcW w:w="14382" w:type="dxa"/>
            <w:gridSpan w:val="2"/>
            <w:tcBorders>
              <w:bottom w:val="single" w:sz="4" w:space="0" w:color="auto"/>
            </w:tcBorders>
            <w:shd w:val="clear" w:color="auto" w:fill="EEECE1" w:themeFill="background2"/>
          </w:tcPr>
          <w:p w:rsidR="00A561E2" w:rsidRPr="005F7E37" w:rsidRDefault="00A561E2" w:rsidP="00234E01">
            <w:pPr>
              <w:jc w:val="left"/>
              <w:rPr>
                <w:rFonts w:asciiTheme="minorHAnsi" w:hAnsiTheme="minorHAnsi" w:cstheme="minorHAnsi"/>
                <w:color w:val="000000"/>
                <w:sz w:val="22"/>
                <w:lang w:val="en-AU"/>
              </w:rPr>
            </w:pPr>
            <w:r w:rsidRPr="005F7E37">
              <w:rPr>
                <w:rFonts w:asciiTheme="minorHAnsi" w:hAnsiTheme="minorHAnsi" w:cstheme="minorHAnsi"/>
                <w:i/>
                <w:color w:val="000000"/>
                <w:sz w:val="22"/>
                <w:lang w:val="en-AU"/>
              </w:rPr>
              <w:lastRenderedPageBreak/>
              <w:t>ii) Promote an enabling environment for gender equality in the labour market (2014 Declaration priorities 1, 2, 4, 10, 11)</w:t>
            </w:r>
          </w:p>
        </w:tc>
      </w:tr>
      <w:tr w:rsidR="00DD5B28" w:rsidRPr="005F7E37" w:rsidTr="00351858">
        <w:trPr>
          <w:cantSplit/>
        </w:trPr>
        <w:tc>
          <w:tcPr>
            <w:tcW w:w="8502" w:type="dxa"/>
            <w:tcBorders>
              <w:bottom w:val="single" w:sz="4" w:space="0" w:color="auto"/>
            </w:tcBorders>
            <w:shd w:val="clear" w:color="auto" w:fill="auto"/>
          </w:tcPr>
          <w:p w:rsidR="00DD5B28" w:rsidRPr="005F7E37" w:rsidRDefault="00DD5B28"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t>National Innovation and Science Agenda</w:t>
            </w:r>
            <w:r w:rsidR="00FA4807">
              <w:rPr>
                <w:rFonts w:asciiTheme="minorHAnsi" w:hAnsiTheme="minorHAnsi" w:cstheme="minorHAnsi"/>
                <w:b/>
                <w:color w:val="000000"/>
                <w:sz w:val="22"/>
                <w:lang w:val="en-AU"/>
              </w:rPr>
              <w:t xml:space="preserve"> (NISA)</w:t>
            </w:r>
          </w:p>
          <w:p w:rsidR="00DD5B28" w:rsidRPr="005F7E37" w:rsidRDefault="00DD5B28"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w:t>
            </w:r>
            <w:r w:rsidR="00FA4807">
              <w:rPr>
                <w:rFonts w:asciiTheme="minorHAnsi" w:hAnsiTheme="minorHAnsi" w:cstheme="minorHAnsi"/>
                <w:color w:val="000000"/>
                <w:sz w:val="22"/>
                <w:lang w:val="en-AU"/>
              </w:rPr>
              <w:t>NISA</w:t>
            </w:r>
            <w:r w:rsidRPr="005F7E37">
              <w:rPr>
                <w:rFonts w:asciiTheme="minorHAnsi" w:hAnsiTheme="minorHAnsi" w:cstheme="minorHAnsi"/>
                <w:color w:val="000000"/>
                <w:sz w:val="22"/>
                <w:lang w:val="en-AU"/>
              </w:rPr>
              <w:t xml:space="preserve"> includes a number of initiatives to encourage women to participate in growth industries, including:</w:t>
            </w:r>
          </w:p>
          <w:p w:rsidR="00DD5B28" w:rsidRPr="005F7E37" w:rsidRDefault="00DD5B28" w:rsidP="003E10F8">
            <w:pPr>
              <w:pStyle w:val="MediumGrid1-Accent21"/>
              <w:numPr>
                <w:ilvl w:val="0"/>
                <w:numId w:val="5"/>
              </w:numPr>
              <w:suppressAutoHyphens w:val="0"/>
              <w:autoSpaceDE/>
              <w:autoSpaceDN/>
              <w:adjustRightInd/>
              <w:spacing w:after="0"/>
              <w:contextualSpacing w:val="0"/>
              <w:textAlignment w:val="auto"/>
              <w:rPr>
                <w:rFonts w:asciiTheme="minorHAnsi" w:hAnsiTheme="minorHAnsi" w:cstheme="minorHAnsi"/>
                <w:color w:val="000000"/>
                <w:sz w:val="22"/>
                <w:szCs w:val="22"/>
                <w:lang w:val="en-AU"/>
              </w:rPr>
            </w:pPr>
            <w:r w:rsidRPr="005F7E37">
              <w:rPr>
                <w:rFonts w:asciiTheme="minorHAnsi" w:hAnsiTheme="minorHAnsi" w:cstheme="minorHAnsi"/>
                <w:color w:val="000000"/>
                <w:sz w:val="22"/>
                <w:szCs w:val="22"/>
                <w:lang w:val="en-AU"/>
              </w:rPr>
              <w:t xml:space="preserve">$64.6 million over four years from 2016-17 to 2019-20, under the  </w:t>
            </w:r>
            <w:r w:rsidRPr="005F7E37">
              <w:rPr>
                <w:rFonts w:asciiTheme="minorHAnsi" w:hAnsiTheme="minorHAnsi" w:cstheme="minorHAnsi"/>
                <w:i/>
                <w:color w:val="000000"/>
                <w:sz w:val="22"/>
                <w:szCs w:val="22"/>
                <w:lang w:val="en-AU"/>
              </w:rPr>
              <w:t>Inspiring all Australians in Digital Literacy and STEM</w:t>
            </w:r>
            <w:r w:rsidRPr="005F7E37">
              <w:rPr>
                <w:rFonts w:asciiTheme="minorHAnsi" w:hAnsiTheme="minorHAnsi" w:cstheme="minorHAnsi"/>
                <w:color w:val="000000"/>
                <w:sz w:val="22"/>
                <w:szCs w:val="22"/>
                <w:lang w:val="en-AU"/>
              </w:rPr>
              <w:t xml:space="preserve"> measure, to improve the teaching and learning of STEM in early childhood centres, preschools and schools</w:t>
            </w:r>
            <w:r w:rsidR="00FA4807">
              <w:rPr>
                <w:rFonts w:asciiTheme="minorHAnsi" w:hAnsiTheme="minorHAnsi" w:cstheme="minorHAnsi"/>
                <w:color w:val="000000"/>
                <w:sz w:val="22"/>
                <w:szCs w:val="22"/>
                <w:lang w:val="en-AU"/>
              </w:rPr>
              <w:t>;</w:t>
            </w:r>
            <w:r w:rsidRPr="005F7E37">
              <w:rPr>
                <w:rFonts w:asciiTheme="minorHAnsi" w:hAnsiTheme="minorHAnsi" w:cstheme="minorHAnsi"/>
                <w:color w:val="000000"/>
                <w:sz w:val="22"/>
                <w:szCs w:val="22"/>
                <w:lang w:val="en-AU"/>
              </w:rPr>
              <w:t xml:space="preserve"> </w:t>
            </w:r>
          </w:p>
          <w:p w:rsidR="00DD5B28" w:rsidRPr="005F7E37" w:rsidRDefault="00DD5B28" w:rsidP="003E10F8">
            <w:pPr>
              <w:pStyle w:val="MediumGrid1-Accent21"/>
              <w:numPr>
                <w:ilvl w:val="0"/>
                <w:numId w:val="5"/>
              </w:numPr>
              <w:suppressAutoHyphens w:val="0"/>
              <w:autoSpaceDE/>
              <w:autoSpaceDN/>
              <w:adjustRightInd/>
              <w:spacing w:after="0"/>
              <w:contextualSpacing w:val="0"/>
              <w:textAlignment w:val="auto"/>
              <w:rPr>
                <w:rFonts w:asciiTheme="minorHAnsi" w:hAnsiTheme="minorHAnsi" w:cstheme="minorHAnsi"/>
                <w:color w:val="000000"/>
                <w:sz w:val="22"/>
                <w:szCs w:val="22"/>
                <w:lang w:val="en-AU"/>
              </w:rPr>
            </w:pPr>
            <w:r w:rsidRPr="005F7E37">
              <w:rPr>
                <w:rFonts w:asciiTheme="minorHAnsi" w:hAnsiTheme="minorHAnsi" w:cstheme="minorHAnsi"/>
                <w:color w:val="000000"/>
                <w:sz w:val="22"/>
                <w:lang w:val="en-AU"/>
              </w:rPr>
              <w:t>$13 million to implement the ‘</w:t>
            </w:r>
            <w:r w:rsidRPr="005F7E37">
              <w:rPr>
                <w:rFonts w:asciiTheme="minorHAnsi" w:hAnsiTheme="minorHAnsi" w:cstheme="minorHAnsi"/>
                <w:i/>
                <w:color w:val="000000"/>
                <w:sz w:val="22"/>
                <w:lang w:val="en-AU"/>
              </w:rPr>
              <w:t>Expanding opportunities for women in STEM and entrepreneurship</w:t>
            </w:r>
            <w:r w:rsidRPr="005F7E37">
              <w:rPr>
                <w:rFonts w:asciiTheme="minorHAnsi" w:hAnsiTheme="minorHAnsi" w:cstheme="minorHAnsi"/>
                <w:color w:val="000000"/>
                <w:sz w:val="22"/>
                <w:lang w:val="en-AU"/>
              </w:rPr>
              <w:t>’ initiative</w:t>
            </w:r>
            <w:r w:rsidR="00FA4807">
              <w:rPr>
                <w:rFonts w:asciiTheme="minorHAnsi" w:hAnsiTheme="minorHAnsi" w:cstheme="minorHAnsi"/>
                <w:color w:val="000000"/>
                <w:sz w:val="22"/>
                <w:lang w:val="en-AU"/>
              </w:rPr>
              <w:t>; and</w:t>
            </w:r>
            <w:r w:rsidRPr="005F7E37">
              <w:rPr>
                <w:rFonts w:asciiTheme="minorHAnsi" w:hAnsiTheme="minorHAnsi" w:cstheme="minorHAnsi"/>
                <w:color w:val="000000"/>
                <w:sz w:val="22"/>
                <w:lang w:val="en-AU"/>
              </w:rPr>
              <w:t xml:space="preserve"> </w:t>
            </w:r>
          </w:p>
          <w:p w:rsidR="003C13AD" w:rsidRPr="005F7E37" w:rsidRDefault="003C13AD" w:rsidP="003E10F8">
            <w:pPr>
              <w:pStyle w:val="MediumGrid1-Accent21"/>
              <w:numPr>
                <w:ilvl w:val="0"/>
                <w:numId w:val="5"/>
              </w:numPr>
              <w:suppressAutoHyphens w:val="0"/>
              <w:autoSpaceDE/>
              <w:autoSpaceDN/>
              <w:adjustRightInd/>
              <w:spacing w:after="0"/>
              <w:contextualSpacing w:val="0"/>
              <w:textAlignment w:val="auto"/>
              <w:rPr>
                <w:rFonts w:asciiTheme="minorHAnsi" w:hAnsiTheme="minorHAnsi" w:cstheme="minorHAnsi"/>
                <w:color w:val="000000"/>
                <w:sz w:val="22"/>
                <w:szCs w:val="22"/>
                <w:lang w:val="en-AU"/>
              </w:rPr>
            </w:pPr>
            <w:r w:rsidRPr="005F7E37">
              <w:rPr>
                <w:rFonts w:asciiTheme="minorHAnsi" w:hAnsiTheme="minorHAnsi" w:cstheme="minorHAnsi"/>
                <w:color w:val="000000"/>
                <w:sz w:val="22"/>
                <w:szCs w:val="22"/>
                <w:lang w:val="en-GB"/>
              </w:rPr>
              <w:t>$31.2 million in internships and post-school career advice to increase support for women and girls to choose to study and work in STEM.</w:t>
            </w:r>
          </w:p>
        </w:tc>
        <w:tc>
          <w:tcPr>
            <w:tcW w:w="5880" w:type="dxa"/>
            <w:tcBorders>
              <w:bottom w:val="single" w:sz="4" w:space="0" w:color="auto"/>
            </w:tcBorders>
            <w:shd w:val="clear" w:color="auto" w:fill="auto"/>
          </w:tcPr>
          <w:p w:rsidR="00DD5B28" w:rsidRPr="005F7E37" w:rsidRDefault="00DD5B28" w:rsidP="00234E01">
            <w:pPr>
              <w:jc w:val="left"/>
              <w:rPr>
                <w:rFonts w:asciiTheme="minorHAnsi" w:eastAsia="Calibri" w:hAnsiTheme="minorHAnsi" w:cstheme="minorHAnsi"/>
                <w:color w:val="000000"/>
                <w:kern w:val="0"/>
                <w:sz w:val="22"/>
                <w:lang w:val="en-AU" w:eastAsia="en-US"/>
              </w:rPr>
            </w:pPr>
            <w:r w:rsidRPr="005F7E37">
              <w:rPr>
                <w:rFonts w:asciiTheme="minorHAnsi" w:eastAsia="Calibri" w:hAnsiTheme="minorHAnsi" w:cstheme="minorHAnsi"/>
                <w:color w:val="000000"/>
                <w:kern w:val="0"/>
                <w:sz w:val="22"/>
                <w:lang w:val="en-AU" w:eastAsia="en-US"/>
              </w:rPr>
              <w:t xml:space="preserve">Funding for these initiatives commenced on 1 July 2016. </w:t>
            </w:r>
          </w:p>
          <w:p w:rsidR="00DD5B28" w:rsidRPr="005F7E37" w:rsidRDefault="00DD5B28" w:rsidP="00234E01">
            <w:pPr>
              <w:jc w:val="left"/>
              <w:rPr>
                <w:rFonts w:asciiTheme="minorHAnsi" w:hAnsiTheme="minorHAnsi" w:cstheme="minorHAnsi"/>
                <w:color w:val="000000"/>
                <w:sz w:val="22"/>
                <w:lang w:val="en-AU"/>
              </w:rPr>
            </w:pPr>
          </w:p>
        </w:tc>
      </w:tr>
      <w:tr w:rsidR="00AD4BB5" w:rsidRPr="005F7E37" w:rsidTr="00351858">
        <w:trPr>
          <w:cantSplit/>
        </w:trPr>
        <w:tc>
          <w:tcPr>
            <w:tcW w:w="8502" w:type="dxa"/>
            <w:tcBorders>
              <w:bottom w:val="single" w:sz="4" w:space="0" w:color="auto"/>
            </w:tcBorders>
            <w:shd w:val="clear" w:color="auto" w:fill="auto"/>
          </w:tcPr>
          <w:p w:rsidR="00AD4BB5" w:rsidRPr="005F7E37" w:rsidRDefault="00AD4BB5" w:rsidP="00234E01">
            <w:pPr>
              <w:jc w:val="left"/>
              <w:rPr>
                <w:rFonts w:asciiTheme="minorHAnsi" w:hAnsiTheme="minorHAnsi" w:cstheme="minorHAnsi"/>
                <w:b/>
                <w:color w:val="000000"/>
                <w:sz w:val="22"/>
                <w:lang w:val="en-GB"/>
              </w:rPr>
            </w:pPr>
            <w:r w:rsidRPr="005F7E37">
              <w:rPr>
                <w:rFonts w:asciiTheme="minorHAnsi" w:hAnsiTheme="minorHAnsi" w:cstheme="minorHAnsi"/>
                <w:b/>
                <w:i/>
                <w:color w:val="000000"/>
                <w:sz w:val="22"/>
                <w:lang w:val="en-GB"/>
              </w:rPr>
              <w:t>Jobs for Families</w:t>
            </w:r>
            <w:r w:rsidRPr="005F7E37">
              <w:rPr>
                <w:rFonts w:asciiTheme="minorHAnsi" w:hAnsiTheme="minorHAnsi" w:cstheme="minorHAnsi"/>
                <w:b/>
                <w:color w:val="000000"/>
                <w:sz w:val="22"/>
                <w:lang w:val="en-GB"/>
              </w:rPr>
              <w:t xml:space="preserve"> Child Care Package</w:t>
            </w:r>
          </w:p>
          <w:p w:rsidR="00AD4BB5" w:rsidRPr="005F7E37" w:rsidRDefault="00AD4BB5" w:rsidP="00FA4807">
            <w:pPr>
              <w:jc w:val="left"/>
              <w:rPr>
                <w:rFonts w:asciiTheme="minorHAnsi" w:hAnsiTheme="minorHAnsi" w:cstheme="minorHAnsi"/>
                <w:color w:val="000000"/>
                <w:sz w:val="22"/>
              </w:rPr>
            </w:pPr>
            <w:r w:rsidRPr="005F7E37">
              <w:rPr>
                <w:rFonts w:asciiTheme="minorHAnsi" w:hAnsiTheme="minorHAnsi" w:cstheme="minorHAnsi"/>
                <w:color w:val="000000"/>
                <w:sz w:val="22"/>
              </w:rPr>
              <w:t xml:space="preserve">The Australian Government will provide more than $2.5 billion to support the implementation of the Jobs for Families Child Care Package. The Package will provide greater choice for around </w:t>
            </w:r>
            <w:r w:rsidR="00E85910">
              <w:rPr>
                <w:rFonts w:asciiTheme="minorHAnsi" w:hAnsiTheme="minorHAnsi" w:cstheme="minorHAnsi"/>
                <w:color w:val="000000"/>
                <w:sz w:val="22"/>
              </w:rPr>
              <w:t>one</w:t>
            </w:r>
            <w:r w:rsidRPr="005F7E37">
              <w:rPr>
                <w:rFonts w:asciiTheme="minorHAnsi" w:hAnsiTheme="minorHAnsi" w:cstheme="minorHAnsi"/>
                <w:color w:val="000000"/>
                <w:sz w:val="22"/>
              </w:rPr>
              <w:t xml:space="preserve"> million families through simpler, more affordable, more flexible and accessible child care. With this additional investment, the Australian Government will spend around $37 billion on child care sup</w:t>
            </w:r>
            <w:r w:rsidR="00D67618">
              <w:rPr>
                <w:rFonts w:asciiTheme="minorHAnsi" w:hAnsiTheme="minorHAnsi" w:cstheme="minorHAnsi"/>
                <w:color w:val="000000"/>
                <w:sz w:val="22"/>
              </w:rPr>
              <w:t xml:space="preserve">port over the next four years. </w:t>
            </w:r>
          </w:p>
        </w:tc>
        <w:tc>
          <w:tcPr>
            <w:tcW w:w="5880" w:type="dxa"/>
            <w:tcBorders>
              <w:bottom w:val="single" w:sz="4" w:space="0" w:color="auto"/>
            </w:tcBorders>
            <w:shd w:val="clear" w:color="auto" w:fill="auto"/>
          </w:tcPr>
          <w:p w:rsidR="00AD4BB5" w:rsidRPr="005F7E37" w:rsidRDefault="00AD4BB5" w:rsidP="00234E01">
            <w:pPr>
              <w:jc w:val="left"/>
              <w:rPr>
                <w:rFonts w:asciiTheme="minorHAnsi" w:hAnsiTheme="minorHAnsi" w:cstheme="minorHAnsi"/>
                <w:color w:val="000000"/>
                <w:sz w:val="22"/>
                <w:lang w:val="en-GB"/>
              </w:rPr>
            </w:pPr>
            <w:r w:rsidRPr="005F7E37">
              <w:rPr>
                <w:rFonts w:asciiTheme="minorHAnsi" w:hAnsiTheme="minorHAnsi" w:cstheme="minorHAnsi"/>
                <w:color w:val="000000"/>
                <w:sz w:val="22"/>
                <w:lang w:val="en-GB"/>
              </w:rPr>
              <w:t xml:space="preserve">The Jobs for Families Child Care Package was legislated in March 2017. </w:t>
            </w:r>
          </w:p>
          <w:p w:rsidR="00AD4BB5" w:rsidRPr="005F7E37" w:rsidRDefault="00AD4BB5" w:rsidP="00234E01">
            <w:pPr>
              <w:jc w:val="left"/>
              <w:rPr>
                <w:rFonts w:asciiTheme="minorHAnsi" w:hAnsiTheme="minorHAnsi" w:cstheme="minorHAnsi"/>
                <w:color w:val="000000"/>
                <w:sz w:val="22"/>
                <w:lang w:val="en-GB"/>
              </w:rPr>
            </w:pPr>
            <w:r w:rsidRPr="005F7E37">
              <w:rPr>
                <w:rFonts w:asciiTheme="minorHAnsi" w:hAnsiTheme="minorHAnsi" w:cstheme="minorHAnsi"/>
                <w:color w:val="000000"/>
                <w:sz w:val="22"/>
                <w:lang w:val="en-GB"/>
              </w:rPr>
              <w:t>The Child Care Subsidy will commence in July 2018.</w:t>
            </w:r>
          </w:p>
          <w:p w:rsidR="00AD4BB5" w:rsidRPr="005F7E37" w:rsidRDefault="00AD4BB5" w:rsidP="00234E01">
            <w:pPr>
              <w:jc w:val="left"/>
              <w:rPr>
                <w:rFonts w:asciiTheme="minorHAnsi" w:eastAsia="Calibri" w:hAnsiTheme="minorHAnsi" w:cstheme="minorHAnsi"/>
                <w:color w:val="000000"/>
                <w:kern w:val="0"/>
                <w:sz w:val="22"/>
                <w:lang w:val="en-AU" w:eastAsia="en-US"/>
              </w:rPr>
            </w:pPr>
            <w:r w:rsidRPr="005F7E37">
              <w:rPr>
                <w:rFonts w:asciiTheme="minorHAnsi" w:hAnsiTheme="minorHAnsi" w:cstheme="minorHAnsi"/>
                <w:color w:val="000000"/>
                <w:sz w:val="22"/>
                <w:lang w:val="en-GB"/>
              </w:rPr>
              <w:t>The Child Care Safety Net has been progressively rolled out since July 2016.</w:t>
            </w:r>
          </w:p>
        </w:tc>
      </w:tr>
      <w:tr w:rsidR="003C13AD" w:rsidRPr="005F7E37" w:rsidTr="00351858">
        <w:trPr>
          <w:cantSplit/>
        </w:trPr>
        <w:tc>
          <w:tcPr>
            <w:tcW w:w="8502" w:type="dxa"/>
            <w:tcBorders>
              <w:bottom w:val="single" w:sz="4" w:space="0" w:color="auto"/>
            </w:tcBorders>
            <w:shd w:val="clear" w:color="auto" w:fill="auto"/>
          </w:tcPr>
          <w:p w:rsidR="003C13AD" w:rsidRPr="005F7E37" w:rsidRDefault="003C13AD" w:rsidP="00234E01">
            <w:pPr>
              <w:jc w:val="left"/>
              <w:rPr>
                <w:rFonts w:asciiTheme="minorHAnsi" w:hAnsiTheme="minorHAnsi" w:cstheme="minorHAnsi"/>
                <w:b/>
                <w:i/>
                <w:color w:val="000000"/>
                <w:sz w:val="22"/>
                <w:lang w:val="en-GB"/>
              </w:rPr>
            </w:pPr>
            <w:proofErr w:type="spellStart"/>
            <w:r w:rsidRPr="005F7E37">
              <w:rPr>
                <w:rFonts w:asciiTheme="minorHAnsi" w:hAnsiTheme="minorHAnsi" w:cstheme="minorHAnsi"/>
                <w:b/>
                <w:i/>
                <w:color w:val="000000"/>
                <w:sz w:val="22"/>
                <w:lang w:val="en-GB"/>
              </w:rPr>
              <w:t>ParentsNext</w:t>
            </w:r>
            <w:proofErr w:type="spellEnd"/>
          </w:p>
          <w:p w:rsidR="003C13AD" w:rsidRPr="005F7E37" w:rsidRDefault="003C13AD" w:rsidP="00FA4807">
            <w:pPr>
              <w:jc w:val="left"/>
              <w:rPr>
                <w:rFonts w:asciiTheme="minorHAnsi" w:hAnsiTheme="minorHAnsi" w:cstheme="minorHAnsi"/>
                <w:color w:val="000000"/>
                <w:sz w:val="22"/>
                <w:lang w:val="en-GB"/>
              </w:rPr>
            </w:pPr>
            <w:proofErr w:type="spellStart"/>
            <w:r w:rsidRPr="005F7E37">
              <w:rPr>
                <w:rFonts w:asciiTheme="minorHAnsi" w:hAnsiTheme="minorHAnsi" w:cstheme="minorHAnsi"/>
                <w:color w:val="000000"/>
                <w:sz w:val="22"/>
                <w:lang w:val="en-GB"/>
              </w:rPr>
              <w:t>ParentsNext</w:t>
            </w:r>
            <w:proofErr w:type="spellEnd"/>
            <w:r w:rsidRPr="005F7E37">
              <w:rPr>
                <w:rFonts w:asciiTheme="minorHAnsi" w:hAnsiTheme="minorHAnsi" w:cstheme="minorHAnsi"/>
                <w:color w:val="000000"/>
                <w:sz w:val="22"/>
                <w:lang w:val="en-GB"/>
              </w:rPr>
              <w:t xml:space="preserve"> is a pre-employment program </w:t>
            </w:r>
            <w:r w:rsidR="006D1F8E">
              <w:rPr>
                <w:rFonts w:asciiTheme="minorHAnsi" w:hAnsiTheme="minorHAnsi" w:cstheme="minorHAnsi"/>
                <w:color w:val="000000"/>
                <w:sz w:val="22"/>
                <w:lang w:val="en-GB"/>
              </w:rPr>
              <w:t xml:space="preserve">aimed at </w:t>
            </w:r>
            <w:r w:rsidR="000C19A3" w:rsidRPr="005F7E37">
              <w:rPr>
                <w:rFonts w:asciiTheme="minorHAnsi" w:hAnsiTheme="minorHAnsi" w:cstheme="minorHAnsi"/>
                <w:color w:val="000000"/>
                <w:sz w:val="22"/>
                <w:lang w:val="en-GB"/>
              </w:rPr>
              <w:t>assist</w:t>
            </w:r>
            <w:r w:rsidR="006D1F8E">
              <w:rPr>
                <w:rFonts w:asciiTheme="minorHAnsi" w:hAnsiTheme="minorHAnsi" w:cstheme="minorHAnsi"/>
                <w:color w:val="000000"/>
                <w:sz w:val="22"/>
                <w:lang w:val="en-GB"/>
              </w:rPr>
              <w:t>ing</w:t>
            </w:r>
            <w:r w:rsidR="000C19A3" w:rsidRPr="005F7E37">
              <w:rPr>
                <w:rFonts w:asciiTheme="minorHAnsi" w:hAnsiTheme="minorHAnsi" w:cstheme="minorHAnsi"/>
                <w:color w:val="000000"/>
                <w:sz w:val="22"/>
                <w:lang w:val="en-GB"/>
              </w:rPr>
              <w:t xml:space="preserve"> parents of young children (</w:t>
            </w:r>
            <w:proofErr w:type="gramStart"/>
            <w:r w:rsidR="000C19A3" w:rsidRPr="005F7E37">
              <w:rPr>
                <w:rFonts w:asciiTheme="minorHAnsi" w:hAnsiTheme="minorHAnsi" w:cstheme="minorHAnsi"/>
                <w:color w:val="000000"/>
                <w:sz w:val="22"/>
                <w:lang w:val="en-GB"/>
              </w:rPr>
              <w:t>under</w:t>
            </w:r>
            <w:proofErr w:type="gramEnd"/>
            <w:r w:rsidR="000C19A3" w:rsidRPr="005F7E37">
              <w:rPr>
                <w:rFonts w:asciiTheme="minorHAnsi" w:hAnsiTheme="minorHAnsi" w:cstheme="minorHAnsi"/>
                <w:color w:val="000000"/>
                <w:sz w:val="22"/>
                <w:lang w:val="en-GB"/>
              </w:rPr>
              <w:t xml:space="preserve"> six years), to plan and prepare for employment before their children are at school.</w:t>
            </w:r>
            <w:r w:rsidR="000C19A3">
              <w:rPr>
                <w:rFonts w:asciiTheme="minorHAnsi" w:hAnsiTheme="minorHAnsi" w:cstheme="minorHAnsi"/>
                <w:color w:val="000000"/>
                <w:sz w:val="22"/>
                <w:lang w:val="en-GB"/>
              </w:rPr>
              <w:t xml:space="preserve"> </w:t>
            </w:r>
            <w:r w:rsidR="000C19A3" w:rsidRPr="004B6E54">
              <w:rPr>
                <w:rFonts w:asciiTheme="minorHAnsi" w:hAnsiTheme="minorHAnsi" w:cstheme="minorHAnsi"/>
                <w:color w:val="000000"/>
                <w:sz w:val="22"/>
                <w:lang w:val="en-GB"/>
              </w:rPr>
              <w:t>It provides personalised assistance to parents to improve their work readiness in a way that first and foremost recognises their role as a parent.</w:t>
            </w:r>
          </w:p>
        </w:tc>
        <w:tc>
          <w:tcPr>
            <w:tcW w:w="5880" w:type="dxa"/>
            <w:tcBorders>
              <w:bottom w:val="single" w:sz="4" w:space="0" w:color="auto"/>
            </w:tcBorders>
            <w:shd w:val="clear" w:color="auto" w:fill="auto"/>
          </w:tcPr>
          <w:p w:rsidR="006D1F8E" w:rsidRPr="00DC2A2C" w:rsidRDefault="006D1F8E" w:rsidP="006D1F8E">
            <w:pPr>
              <w:jc w:val="left"/>
              <w:rPr>
                <w:rFonts w:asciiTheme="minorHAnsi" w:hAnsiTheme="minorHAnsi" w:cstheme="minorHAnsi"/>
                <w:color w:val="000000"/>
                <w:sz w:val="22"/>
                <w:lang w:val="en-GB"/>
              </w:rPr>
            </w:pPr>
            <w:r>
              <w:rPr>
                <w:rFonts w:asciiTheme="minorHAnsi" w:hAnsiTheme="minorHAnsi" w:cstheme="minorHAnsi"/>
                <w:color w:val="000000"/>
                <w:sz w:val="22"/>
                <w:lang w:val="en-GB"/>
              </w:rPr>
              <w:t>Currently</w:t>
            </w:r>
            <w:r w:rsidR="003A6562" w:rsidRPr="005F7E37">
              <w:rPr>
                <w:rFonts w:asciiTheme="minorHAnsi" w:hAnsiTheme="minorHAnsi" w:cstheme="minorHAnsi"/>
                <w:color w:val="000000"/>
                <w:sz w:val="22"/>
                <w:lang w:val="en-GB"/>
              </w:rPr>
              <w:t xml:space="preserve"> operat</w:t>
            </w:r>
            <w:r>
              <w:rPr>
                <w:rFonts w:asciiTheme="minorHAnsi" w:hAnsiTheme="minorHAnsi" w:cstheme="minorHAnsi"/>
                <w:color w:val="000000"/>
                <w:sz w:val="22"/>
                <w:lang w:val="en-GB"/>
              </w:rPr>
              <w:t>ing</w:t>
            </w:r>
            <w:r w:rsidR="003A6562" w:rsidRPr="005F7E37">
              <w:rPr>
                <w:rFonts w:asciiTheme="minorHAnsi" w:hAnsiTheme="minorHAnsi" w:cstheme="minorHAnsi"/>
                <w:color w:val="000000"/>
                <w:sz w:val="22"/>
                <w:lang w:val="en-GB"/>
              </w:rPr>
              <w:t xml:space="preserve"> in 10 Local Government areas</w:t>
            </w:r>
            <w:r>
              <w:rPr>
                <w:rFonts w:asciiTheme="minorHAnsi" w:hAnsiTheme="minorHAnsi" w:cstheme="minorHAnsi"/>
                <w:color w:val="000000"/>
                <w:sz w:val="22"/>
                <w:lang w:val="en-GB"/>
              </w:rPr>
              <w:t xml:space="preserve"> across Australia</w:t>
            </w:r>
            <w:r w:rsidR="003A6562" w:rsidRPr="005F7E37">
              <w:rPr>
                <w:rFonts w:asciiTheme="minorHAnsi" w:hAnsiTheme="minorHAnsi" w:cstheme="minorHAnsi"/>
                <w:color w:val="000000"/>
                <w:sz w:val="22"/>
                <w:lang w:val="en-GB"/>
              </w:rPr>
              <w:t xml:space="preserve">, the Government has committed </w:t>
            </w:r>
            <w:r>
              <w:rPr>
                <w:rFonts w:asciiTheme="minorHAnsi" w:hAnsiTheme="minorHAnsi" w:cstheme="minorHAnsi"/>
                <w:color w:val="000000"/>
                <w:sz w:val="22"/>
                <w:lang w:val="en-GB"/>
              </w:rPr>
              <w:t xml:space="preserve">an additional </w:t>
            </w:r>
            <w:r w:rsidR="003A6562" w:rsidRPr="005F7E37">
              <w:rPr>
                <w:rFonts w:asciiTheme="minorHAnsi" w:hAnsiTheme="minorHAnsi" w:cstheme="minorHAnsi"/>
                <w:color w:val="000000"/>
                <w:sz w:val="22"/>
                <w:lang w:val="en-GB"/>
              </w:rPr>
              <w:t>$263 million to expand the program across Australia from July 2018.</w:t>
            </w:r>
          </w:p>
          <w:p w:rsidR="003C13AD" w:rsidRPr="005F7E37" w:rsidRDefault="006D1F8E" w:rsidP="00234E01">
            <w:pPr>
              <w:jc w:val="left"/>
              <w:rPr>
                <w:rFonts w:asciiTheme="minorHAnsi" w:hAnsiTheme="minorHAnsi" w:cstheme="minorHAnsi"/>
                <w:color w:val="000000"/>
                <w:sz w:val="22"/>
                <w:lang w:val="en-GB"/>
              </w:rPr>
            </w:pPr>
            <w:r>
              <w:rPr>
                <w:rFonts w:asciiTheme="minorHAnsi" w:hAnsiTheme="minorHAnsi" w:cstheme="minorHAnsi"/>
                <w:color w:val="000000"/>
                <w:sz w:val="22"/>
                <w:lang w:val="en-GB"/>
              </w:rPr>
              <w:t xml:space="preserve">Providing a more intensive </w:t>
            </w:r>
            <w:proofErr w:type="spellStart"/>
            <w:r>
              <w:rPr>
                <w:rFonts w:asciiTheme="minorHAnsi" w:hAnsiTheme="minorHAnsi" w:cstheme="minorHAnsi"/>
                <w:color w:val="000000"/>
                <w:sz w:val="22"/>
                <w:lang w:val="en-GB"/>
              </w:rPr>
              <w:t>ParentsNext</w:t>
            </w:r>
            <w:proofErr w:type="spellEnd"/>
            <w:r>
              <w:rPr>
                <w:rFonts w:asciiTheme="minorHAnsi" w:hAnsiTheme="minorHAnsi" w:cstheme="minorHAnsi"/>
                <w:color w:val="000000"/>
                <w:sz w:val="22"/>
                <w:lang w:val="en-GB"/>
              </w:rPr>
              <w:t xml:space="preserve"> service in </w:t>
            </w:r>
            <w:r w:rsidRPr="00336DAE">
              <w:rPr>
                <w:rFonts w:asciiTheme="minorHAnsi" w:hAnsiTheme="minorHAnsi" w:cstheme="minorHAnsi"/>
                <w:color w:val="000000"/>
                <w:sz w:val="22"/>
                <w:lang w:val="en-GB"/>
              </w:rPr>
              <w:t>20 locations with high Indigenous populations will help accelerate progress towards achieving the employment Closing the Gap target</w:t>
            </w:r>
            <w:r>
              <w:rPr>
                <w:rFonts w:asciiTheme="minorHAnsi" w:hAnsiTheme="minorHAnsi" w:cstheme="minorHAnsi"/>
                <w:color w:val="000000"/>
                <w:sz w:val="22"/>
                <w:lang w:val="en-GB"/>
              </w:rPr>
              <w:t>.</w:t>
            </w:r>
          </w:p>
        </w:tc>
      </w:tr>
      <w:tr w:rsidR="003C13AD" w:rsidRPr="005F7E37" w:rsidTr="00351858">
        <w:trPr>
          <w:cantSplit/>
        </w:trPr>
        <w:tc>
          <w:tcPr>
            <w:tcW w:w="14382" w:type="dxa"/>
            <w:gridSpan w:val="2"/>
            <w:tcBorders>
              <w:bottom w:val="single" w:sz="4" w:space="0" w:color="auto"/>
            </w:tcBorders>
            <w:shd w:val="clear" w:color="auto" w:fill="EEECE1" w:themeFill="background2"/>
          </w:tcPr>
          <w:p w:rsidR="003C13AD" w:rsidRPr="005F7E37" w:rsidRDefault="003C13AD" w:rsidP="00234E01">
            <w:pPr>
              <w:jc w:val="left"/>
              <w:rPr>
                <w:rFonts w:asciiTheme="minorHAnsi" w:hAnsiTheme="minorHAnsi" w:cstheme="minorHAnsi"/>
                <w:color w:val="000000"/>
                <w:sz w:val="22"/>
                <w:lang w:val="en-AU"/>
              </w:rPr>
            </w:pPr>
            <w:r w:rsidRPr="005F7E37">
              <w:rPr>
                <w:rFonts w:asciiTheme="minorHAnsi" w:hAnsiTheme="minorHAnsi" w:cstheme="minorHAnsi"/>
                <w:i/>
                <w:color w:val="000000"/>
                <w:sz w:val="22"/>
                <w:lang w:val="en-AU"/>
              </w:rPr>
              <w:t>iii) Make work pay, improve job quality and reduce informality (2014 Declaration priorities 7, 8, 9)</w:t>
            </w:r>
          </w:p>
        </w:tc>
      </w:tr>
      <w:tr w:rsidR="003C13AD" w:rsidRPr="005F7E37" w:rsidTr="00351858">
        <w:trPr>
          <w:cantSplit/>
        </w:trPr>
        <w:tc>
          <w:tcPr>
            <w:tcW w:w="8502" w:type="dxa"/>
            <w:shd w:val="clear" w:color="auto" w:fill="auto"/>
          </w:tcPr>
          <w:p w:rsidR="003C13AD" w:rsidRPr="005F7E37" w:rsidRDefault="003C13AD"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t>Superannuation reform package</w:t>
            </w:r>
          </w:p>
          <w:p w:rsidR="003C13AD" w:rsidRPr="005F7E37" w:rsidRDefault="003C13AD" w:rsidP="00526A8F">
            <w:pPr>
              <w:pStyle w:val="MediumGrid1-Accent21"/>
              <w:suppressAutoHyphens w:val="0"/>
              <w:autoSpaceDE/>
              <w:autoSpaceDN/>
              <w:adjustRightInd/>
              <w:spacing w:after="0"/>
              <w:ind w:left="0"/>
              <w:contextualSpacing w:val="0"/>
              <w:textAlignment w:val="auto"/>
              <w:rPr>
                <w:rFonts w:asciiTheme="minorHAnsi" w:eastAsia="Times New Roman" w:hAnsiTheme="minorHAnsi" w:cstheme="minorHAnsi"/>
                <w:bCs/>
                <w:color w:val="000000"/>
                <w:sz w:val="22"/>
                <w:szCs w:val="22"/>
                <w:lang w:val="en-AU"/>
              </w:rPr>
            </w:pPr>
            <w:r w:rsidRPr="005F7E37">
              <w:rPr>
                <w:rFonts w:asciiTheme="minorHAnsi" w:hAnsiTheme="minorHAnsi" w:cstheme="minorHAnsi"/>
                <w:iCs/>
                <w:color w:val="000000"/>
                <w:sz w:val="22"/>
                <w:szCs w:val="22"/>
                <w:lang w:val="en-AU"/>
              </w:rPr>
              <w:t xml:space="preserve">Priorities to improve the flexibility and equity of the superannuation system include assisting low income earners, and those who take time out of the workforce to raise children or to care for a relative (of whom a high proportion are women) to save for retirement. </w:t>
            </w:r>
          </w:p>
        </w:tc>
        <w:tc>
          <w:tcPr>
            <w:tcW w:w="5880" w:type="dxa"/>
            <w:shd w:val="clear" w:color="auto" w:fill="auto"/>
          </w:tcPr>
          <w:p w:rsidR="003C13AD" w:rsidRPr="005F7E37" w:rsidRDefault="003C13AD"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These measures were announced in the 2016-17 Budget. The changes are to apply from 1 July 2017.</w:t>
            </w:r>
          </w:p>
        </w:tc>
      </w:tr>
      <w:tr w:rsidR="003C13AD" w:rsidRPr="005F7E37" w:rsidTr="00351858">
        <w:trPr>
          <w:cantSplit/>
        </w:trPr>
        <w:tc>
          <w:tcPr>
            <w:tcW w:w="8502" w:type="dxa"/>
            <w:shd w:val="clear" w:color="auto" w:fill="auto"/>
          </w:tcPr>
          <w:p w:rsidR="003C13AD" w:rsidRPr="005F7E37" w:rsidRDefault="003C13AD"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lastRenderedPageBreak/>
              <w:t>Australian Public Service Gender Equality Strategy</w:t>
            </w:r>
          </w:p>
          <w:p w:rsidR="003C13AD" w:rsidRPr="005F7E37" w:rsidRDefault="003C13AD" w:rsidP="00234E01">
            <w:pPr>
              <w:jc w:val="left"/>
              <w:rPr>
                <w:rFonts w:asciiTheme="minorHAnsi" w:hAnsiTheme="minorHAnsi" w:cstheme="minorHAnsi"/>
                <w:color w:val="000000"/>
                <w:sz w:val="22"/>
                <w:lang w:val="en-AU"/>
              </w:rPr>
            </w:pPr>
            <w:r w:rsidRPr="005F7E37">
              <w:rPr>
                <w:rFonts w:asciiTheme="minorHAnsi" w:hAnsiTheme="minorHAnsi" w:cstheme="minorHAnsi"/>
                <w:iCs/>
                <w:color w:val="000000"/>
                <w:sz w:val="22"/>
                <w:lang w:val="en-AU"/>
              </w:rPr>
              <w:t xml:space="preserve">The Strategy, released on 28 April 2016, includes reforms to remove barriers to </w:t>
            </w:r>
            <w:r w:rsidRPr="005F7E37">
              <w:rPr>
                <w:rFonts w:asciiTheme="minorHAnsi" w:hAnsiTheme="minorHAnsi" w:cstheme="minorHAnsi"/>
                <w:color w:val="000000"/>
                <w:sz w:val="22"/>
                <w:lang w:val="en-AU"/>
              </w:rPr>
              <w:t>workforce participation and career progression for women within Australian Government agencies.</w:t>
            </w:r>
          </w:p>
        </w:tc>
        <w:tc>
          <w:tcPr>
            <w:tcW w:w="5880" w:type="dxa"/>
            <w:shd w:val="clear" w:color="auto" w:fill="auto"/>
          </w:tcPr>
          <w:p w:rsidR="003C13AD" w:rsidRPr="005F7E37" w:rsidRDefault="003C13AD" w:rsidP="00234E01">
            <w:pPr>
              <w:jc w:val="left"/>
              <w:rPr>
                <w:rFonts w:asciiTheme="minorHAnsi" w:hAnsiTheme="minorHAnsi" w:cstheme="minorHAnsi"/>
                <w:color w:val="000000"/>
                <w:sz w:val="22"/>
                <w:lang w:val="en-AU"/>
              </w:rPr>
            </w:pPr>
            <w:r w:rsidRPr="005F7E37">
              <w:rPr>
                <w:rFonts w:asciiTheme="minorHAnsi" w:eastAsia="Calibri" w:hAnsiTheme="minorHAnsi" w:cstheme="minorHAnsi"/>
                <w:iCs/>
                <w:color w:val="000000"/>
                <w:kern w:val="0"/>
                <w:sz w:val="22"/>
                <w:lang w:val="en-AU" w:eastAsia="en-US"/>
              </w:rPr>
              <w:t>The Strategy spans 2016–2019.</w:t>
            </w:r>
          </w:p>
        </w:tc>
      </w:tr>
      <w:tr w:rsidR="003C13AD" w:rsidRPr="005F7E37" w:rsidTr="00351858">
        <w:trPr>
          <w:cantSplit/>
        </w:trPr>
        <w:tc>
          <w:tcPr>
            <w:tcW w:w="8502" w:type="dxa"/>
            <w:shd w:val="clear" w:color="auto" w:fill="auto"/>
          </w:tcPr>
          <w:p w:rsidR="003C13AD" w:rsidRPr="005F7E37" w:rsidRDefault="003C13AD"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t>Increasing women’s leadership</w:t>
            </w:r>
          </w:p>
          <w:p w:rsidR="003C13AD" w:rsidRPr="005F7E37" w:rsidRDefault="003C13AD" w:rsidP="00234E01">
            <w:pPr>
              <w:pStyle w:val="MediumGrid1-Accent21"/>
              <w:suppressAutoHyphens w:val="0"/>
              <w:autoSpaceDE/>
              <w:autoSpaceDN/>
              <w:adjustRightInd/>
              <w:spacing w:after="0"/>
              <w:ind w:left="0"/>
              <w:contextualSpacing w:val="0"/>
              <w:textAlignment w:val="auto"/>
              <w:rPr>
                <w:rFonts w:asciiTheme="minorHAnsi" w:eastAsia="Times New Roman" w:hAnsiTheme="minorHAnsi" w:cstheme="minorHAnsi"/>
                <w:bCs/>
                <w:color w:val="000000"/>
                <w:sz w:val="22"/>
                <w:szCs w:val="22"/>
                <w:lang w:val="en-AU"/>
              </w:rPr>
            </w:pPr>
            <w:r w:rsidRPr="005F7E37">
              <w:rPr>
                <w:rFonts w:asciiTheme="minorHAnsi" w:eastAsia="Times New Roman" w:hAnsiTheme="minorHAnsi" w:cstheme="minorHAnsi"/>
                <w:bCs/>
                <w:color w:val="000000"/>
                <w:sz w:val="22"/>
                <w:szCs w:val="22"/>
                <w:lang w:val="en-AU"/>
              </w:rPr>
              <w:t xml:space="preserve">The Government has committed to a new gender diversity target of women holding 50 per cent of Australian Government board positions, with at least 40 per cent representation of women and men on individual boards. This target is supported by the </w:t>
            </w:r>
            <w:proofErr w:type="spellStart"/>
            <w:r w:rsidRPr="005F7E37">
              <w:rPr>
                <w:rFonts w:asciiTheme="minorHAnsi" w:eastAsia="Times New Roman" w:hAnsiTheme="minorHAnsi" w:cstheme="minorHAnsi"/>
                <w:bCs/>
                <w:color w:val="000000"/>
                <w:sz w:val="22"/>
                <w:szCs w:val="22"/>
                <w:lang w:val="en-AU"/>
              </w:rPr>
              <w:t>BoardLinks</w:t>
            </w:r>
            <w:proofErr w:type="spellEnd"/>
            <w:r w:rsidRPr="005F7E37">
              <w:rPr>
                <w:rFonts w:asciiTheme="minorHAnsi" w:eastAsia="Times New Roman" w:hAnsiTheme="minorHAnsi" w:cstheme="minorHAnsi"/>
                <w:bCs/>
                <w:color w:val="000000"/>
                <w:sz w:val="22"/>
                <w:szCs w:val="22"/>
                <w:lang w:val="en-AU"/>
              </w:rPr>
              <w:t xml:space="preserve"> Program, which features a database of suitable women seeking appointment to a Government board. </w:t>
            </w:r>
          </w:p>
        </w:tc>
        <w:tc>
          <w:tcPr>
            <w:tcW w:w="5880" w:type="dxa"/>
            <w:shd w:val="clear" w:color="auto" w:fill="auto"/>
          </w:tcPr>
          <w:p w:rsidR="003C13AD" w:rsidRPr="005F7E37" w:rsidRDefault="003C13AD" w:rsidP="00066966">
            <w:pPr>
              <w:autoSpaceDE w:val="0"/>
              <w:autoSpaceDN w:val="0"/>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 new target applie</w:t>
            </w:r>
            <w:r w:rsidR="00FB33C3">
              <w:rPr>
                <w:rFonts w:asciiTheme="minorHAnsi" w:hAnsiTheme="minorHAnsi" w:cstheme="minorHAnsi"/>
                <w:color w:val="000000"/>
                <w:sz w:val="22"/>
                <w:lang w:val="en-AU"/>
              </w:rPr>
              <w:t>s</w:t>
            </w:r>
            <w:r w:rsidRPr="005F7E37">
              <w:rPr>
                <w:rFonts w:asciiTheme="minorHAnsi" w:hAnsiTheme="minorHAnsi" w:cstheme="minorHAnsi"/>
                <w:color w:val="000000"/>
                <w:sz w:val="22"/>
                <w:lang w:val="en-AU"/>
              </w:rPr>
              <w:t xml:space="preserve"> from 1 July 2016. As at 30 June 2016, women held 40.5 per cent of</w:t>
            </w:r>
            <w:r w:rsidR="00066966">
              <w:rPr>
                <w:rFonts w:asciiTheme="minorHAnsi" w:hAnsiTheme="minorHAnsi" w:cstheme="minorHAnsi"/>
                <w:color w:val="000000"/>
                <w:sz w:val="22"/>
                <w:lang w:val="en-AU"/>
              </w:rPr>
              <w:t xml:space="preserve"> Australian Government</w:t>
            </w:r>
            <w:r w:rsidRPr="005F7E37">
              <w:rPr>
                <w:rFonts w:asciiTheme="minorHAnsi" w:hAnsiTheme="minorHAnsi" w:cstheme="minorHAnsi"/>
                <w:color w:val="000000"/>
                <w:sz w:val="22"/>
                <w:lang w:val="en-AU"/>
              </w:rPr>
              <w:t xml:space="preserve"> board positions, compared to 39.1 per cent the previous year.</w:t>
            </w:r>
          </w:p>
        </w:tc>
      </w:tr>
      <w:tr w:rsidR="003C13AD" w:rsidRPr="005F7E37" w:rsidTr="00351858">
        <w:trPr>
          <w:cantSplit/>
        </w:trPr>
        <w:tc>
          <w:tcPr>
            <w:tcW w:w="14382" w:type="dxa"/>
            <w:gridSpan w:val="2"/>
            <w:tcBorders>
              <w:bottom w:val="single" w:sz="4" w:space="0" w:color="auto"/>
            </w:tcBorders>
            <w:shd w:val="clear" w:color="auto" w:fill="F2F2F2"/>
          </w:tcPr>
          <w:p w:rsidR="003C13AD" w:rsidRPr="005F7E37" w:rsidRDefault="003C13AD"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br w:type="page"/>
            </w:r>
            <w:r w:rsidRPr="00C44100">
              <w:rPr>
                <w:rFonts w:asciiTheme="minorHAnsi" w:hAnsiTheme="minorHAnsi" w:cstheme="minorHAnsi"/>
                <w:i/>
                <w:color w:val="000000"/>
                <w:sz w:val="22"/>
                <w:shd w:val="clear" w:color="auto" w:fill="EEECE1" w:themeFill="background2"/>
                <w:lang w:val="en-AU"/>
              </w:rPr>
              <w:t>iv) Promote entrepreneurship (2014 Declaration policy priority 3)</w:t>
            </w:r>
          </w:p>
        </w:tc>
      </w:tr>
      <w:tr w:rsidR="003C13AD" w:rsidRPr="005F7E37" w:rsidTr="00351858">
        <w:trPr>
          <w:cantSplit/>
        </w:trPr>
        <w:tc>
          <w:tcPr>
            <w:tcW w:w="8502" w:type="dxa"/>
            <w:shd w:val="clear" w:color="auto" w:fill="auto"/>
          </w:tcPr>
          <w:p w:rsidR="003C13AD" w:rsidRPr="005F7E37" w:rsidRDefault="003C13AD" w:rsidP="00234E01">
            <w:pPr>
              <w:pStyle w:val="MediumGrid1-Accent21"/>
              <w:suppressAutoHyphens w:val="0"/>
              <w:autoSpaceDE/>
              <w:autoSpaceDN/>
              <w:adjustRightInd/>
              <w:spacing w:after="0"/>
              <w:ind w:left="0"/>
              <w:contextualSpacing w:val="0"/>
              <w:textAlignment w:val="auto"/>
              <w:rPr>
                <w:rFonts w:asciiTheme="minorHAnsi" w:hAnsiTheme="minorHAnsi" w:cstheme="minorHAnsi"/>
                <w:b/>
                <w:color w:val="000000"/>
                <w:sz w:val="22"/>
                <w:szCs w:val="22"/>
                <w:lang w:val="en-AU"/>
              </w:rPr>
            </w:pPr>
            <w:r w:rsidRPr="005F7E37">
              <w:rPr>
                <w:rFonts w:asciiTheme="minorHAnsi" w:hAnsiTheme="minorHAnsi" w:cstheme="minorHAnsi"/>
                <w:b/>
                <w:color w:val="000000"/>
                <w:sz w:val="22"/>
                <w:szCs w:val="22"/>
                <w:lang w:val="en-AU"/>
              </w:rPr>
              <w:t>Support for Entrepreneurs</w:t>
            </w:r>
          </w:p>
          <w:p w:rsidR="003C13AD" w:rsidRPr="005F7E37" w:rsidRDefault="003C13AD" w:rsidP="00234E01">
            <w:pPr>
              <w:pStyle w:val="MediumGrid1-Accent21"/>
              <w:suppressAutoHyphens w:val="0"/>
              <w:autoSpaceDE/>
              <w:autoSpaceDN/>
              <w:adjustRightInd/>
              <w:spacing w:after="0"/>
              <w:ind w:left="0"/>
              <w:contextualSpacing w:val="0"/>
              <w:textAlignment w:val="auto"/>
              <w:rPr>
                <w:rFonts w:asciiTheme="minorHAnsi" w:hAnsiTheme="minorHAnsi" w:cstheme="minorHAnsi"/>
                <w:color w:val="000000"/>
                <w:sz w:val="22"/>
                <w:szCs w:val="22"/>
                <w:lang w:val="en-AU"/>
              </w:rPr>
            </w:pPr>
            <w:r w:rsidRPr="005F7E37">
              <w:rPr>
                <w:rFonts w:asciiTheme="minorHAnsi" w:hAnsiTheme="minorHAnsi" w:cstheme="minorHAnsi"/>
                <w:color w:val="000000"/>
                <w:sz w:val="22"/>
                <w:szCs w:val="22"/>
                <w:lang w:val="en-AU"/>
              </w:rPr>
              <w:t xml:space="preserve">A range of new initiatives and improvements set out elsewhere in this document will provide practical measures to encourage women to start a business and create their own job. </w:t>
            </w:r>
          </w:p>
        </w:tc>
        <w:tc>
          <w:tcPr>
            <w:tcW w:w="5880" w:type="dxa"/>
            <w:shd w:val="clear" w:color="auto" w:fill="auto"/>
          </w:tcPr>
          <w:p w:rsidR="003C13AD" w:rsidRPr="005F7E37" w:rsidRDefault="003E18C1"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Various measures are underway – reporting on specific programs</w:t>
            </w:r>
            <w:r w:rsidR="00FB33C3">
              <w:rPr>
                <w:rFonts w:asciiTheme="minorHAnsi" w:hAnsiTheme="minorHAnsi" w:cstheme="minorHAnsi"/>
                <w:color w:val="000000"/>
                <w:sz w:val="22"/>
                <w:lang w:val="en-AU"/>
              </w:rPr>
              <w:t xml:space="preserve"> such as the </w:t>
            </w:r>
            <w:proofErr w:type="spellStart"/>
            <w:r w:rsidR="00FB33C3">
              <w:rPr>
                <w:rFonts w:asciiTheme="minorHAnsi" w:hAnsiTheme="minorHAnsi" w:cstheme="minorHAnsi"/>
                <w:color w:val="000000"/>
                <w:sz w:val="22"/>
                <w:lang w:val="en-AU"/>
              </w:rPr>
              <w:t>NISA</w:t>
            </w:r>
            <w:proofErr w:type="spellEnd"/>
            <w:r w:rsidR="00FB33C3">
              <w:rPr>
                <w:rFonts w:asciiTheme="minorHAnsi" w:hAnsiTheme="minorHAnsi" w:cstheme="minorHAnsi"/>
                <w:color w:val="000000"/>
                <w:sz w:val="22"/>
                <w:lang w:val="en-AU"/>
              </w:rPr>
              <w:t xml:space="preserve"> and </w:t>
            </w:r>
            <w:proofErr w:type="spellStart"/>
            <w:r w:rsidR="00FB33C3">
              <w:rPr>
                <w:rFonts w:asciiTheme="minorHAnsi" w:hAnsiTheme="minorHAnsi" w:cstheme="minorHAnsi"/>
                <w:color w:val="000000"/>
                <w:sz w:val="22"/>
                <w:lang w:val="en-AU"/>
              </w:rPr>
              <w:t>NEISare</w:t>
            </w:r>
            <w:proofErr w:type="spellEnd"/>
            <w:r w:rsidRPr="005F7E37">
              <w:rPr>
                <w:rFonts w:asciiTheme="minorHAnsi" w:hAnsiTheme="minorHAnsi" w:cstheme="minorHAnsi"/>
                <w:color w:val="000000"/>
                <w:sz w:val="22"/>
                <w:lang w:val="en-AU"/>
              </w:rPr>
              <w:t xml:space="preserve"> included in earlier areas of reporting.</w:t>
            </w:r>
          </w:p>
        </w:tc>
      </w:tr>
      <w:tr w:rsidR="003C13AD" w:rsidRPr="005F7E37" w:rsidTr="00351858">
        <w:trPr>
          <w:cantSplit/>
        </w:trPr>
        <w:tc>
          <w:tcPr>
            <w:tcW w:w="8502" w:type="dxa"/>
            <w:shd w:val="clear" w:color="auto" w:fill="auto"/>
          </w:tcPr>
          <w:p w:rsidR="003C13AD" w:rsidRPr="005F7E37" w:rsidRDefault="003C13AD"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t>National Financial Literacy Strategy</w:t>
            </w:r>
          </w:p>
          <w:p w:rsidR="003C13AD" w:rsidRPr="005F7E37" w:rsidRDefault="003C13AD" w:rsidP="00234E01">
            <w:pPr>
              <w:pStyle w:val="MediumGrid1-Accent21"/>
              <w:suppressAutoHyphens w:val="0"/>
              <w:autoSpaceDE/>
              <w:autoSpaceDN/>
              <w:adjustRightInd/>
              <w:spacing w:after="0"/>
              <w:ind w:left="0"/>
              <w:contextualSpacing w:val="0"/>
              <w:textAlignment w:val="auto"/>
              <w:rPr>
                <w:rFonts w:asciiTheme="minorHAnsi" w:eastAsia="SimSun" w:hAnsiTheme="minorHAnsi" w:cstheme="minorHAnsi"/>
                <w:color w:val="000000"/>
                <w:kern w:val="2"/>
                <w:sz w:val="22"/>
                <w:szCs w:val="22"/>
                <w:lang w:val="en-AU" w:eastAsia="zh-CN"/>
              </w:rPr>
            </w:pPr>
            <w:r w:rsidRPr="005F7E37">
              <w:rPr>
                <w:rFonts w:asciiTheme="minorHAnsi" w:eastAsia="SimSun" w:hAnsiTheme="minorHAnsi" w:cstheme="minorHAnsi"/>
                <w:color w:val="000000"/>
                <w:kern w:val="2"/>
                <w:sz w:val="22"/>
                <w:szCs w:val="22"/>
                <w:lang w:val="en-AU" w:eastAsia="zh-CN"/>
              </w:rPr>
              <w:t>Women are a key audience under the National Financial Literacy Strategy, which aims to help individuals to make sound financial decisions, based on personal circumstances, to improve their financial wellbeing.</w:t>
            </w:r>
          </w:p>
        </w:tc>
        <w:tc>
          <w:tcPr>
            <w:tcW w:w="5880" w:type="dxa"/>
            <w:shd w:val="clear" w:color="auto" w:fill="auto"/>
          </w:tcPr>
          <w:p w:rsidR="003C13AD" w:rsidRPr="005F7E37" w:rsidRDefault="003C13AD" w:rsidP="00526A8F">
            <w:pPr>
              <w:jc w:val="left"/>
              <w:rPr>
                <w:rFonts w:asciiTheme="minorHAnsi" w:eastAsia="Times New Roman" w:hAnsiTheme="minorHAnsi" w:cstheme="minorHAnsi"/>
                <w:bCs/>
                <w:color w:val="000000"/>
                <w:sz w:val="22"/>
                <w:lang w:val="en-AU"/>
              </w:rPr>
            </w:pPr>
            <w:r w:rsidRPr="005F7E37">
              <w:rPr>
                <w:rFonts w:asciiTheme="minorHAnsi" w:hAnsiTheme="minorHAnsi" w:cstheme="minorHAnsi"/>
                <w:color w:val="000000"/>
                <w:sz w:val="22"/>
                <w:lang w:val="en-AU"/>
              </w:rPr>
              <w:t>The National Financial Literacy Strategy spans 2014–2017. Government actions under the National Strategy include the 2015 launch of the Women's Money Toolkit</w:t>
            </w:r>
            <w:r w:rsidR="00526A8F">
              <w:rPr>
                <w:rFonts w:asciiTheme="minorHAnsi" w:hAnsiTheme="minorHAnsi" w:cstheme="minorHAnsi"/>
                <w:color w:val="000000"/>
                <w:sz w:val="22"/>
                <w:lang w:val="en-AU"/>
              </w:rPr>
              <w:t>.</w:t>
            </w:r>
          </w:p>
        </w:tc>
      </w:tr>
    </w:tbl>
    <w:p w:rsidR="00A561E2" w:rsidRPr="005F7E37" w:rsidRDefault="00A561E2" w:rsidP="00AD08D5">
      <w:pPr>
        <w:pStyle w:val="note"/>
        <w:spacing w:after="240"/>
        <w:ind w:right="-1361"/>
        <w:jc w:val="both"/>
        <w:rPr>
          <w:rFonts w:asciiTheme="minorHAnsi" w:eastAsia="SimSun" w:hAnsiTheme="minorHAnsi" w:cstheme="minorHAnsi"/>
          <w:b/>
          <w:bCs/>
          <w:color w:val="000000"/>
          <w:sz w:val="22"/>
          <w:lang w:val="en-AU" w:eastAsia="zh-CN"/>
        </w:rPr>
      </w:pPr>
    </w:p>
    <w:p w:rsidR="00A561E2" w:rsidRPr="005F7E37" w:rsidRDefault="00A561E2" w:rsidP="00AD08D5">
      <w:pPr>
        <w:spacing w:after="240"/>
        <w:rPr>
          <w:rFonts w:asciiTheme="minorHAnsi" w:hAnsiTheme="minorHAnsi" w:cstheme="minorHAnsi"/>
          <w:color w:val="000000"/>
          <w:lang w:val="en-AU"/>
        </w:rPr>
        <w:sectPr w:rsidR="00A561E2" w:rsidRPr="005F7E37" w:rsidSect="00413837">
          <w:headerReference w:type="default" r:id="rId18"/>
          <w:footerReference w:type="default" r:id="rId19"/>
          <w:pgSz w:w="16783" w:h="11850" w:orient="landscape"/>
          <w:pgMar w:top="1701" w:right="1349" w:bottom="1134" w:left="1134" w:header="851" w:footer="992" w:gutter="0"/>
          <w:cols w:space="720"/>
          <w:docGrid w:linePitch="326"/>
        </w:sectPr>
      </w:pPr>
    </w:p>
    <w:p w:rsidR="00A561E2" w:rsidRPr="005F7E37" w:rsidRDefault="00A561E2" w:rsidP="007743ED">
      <w:pPr>
        <w:pStyle w:val="Heading2"/>
        <w:ind w:left="-1560"/>
      </w:pPr>
      <w:bookmarkStart w:id="170" w:name="_Toc485739911"/>
      <w:bookmarkStart w:id="171" w:name="_Toc485740313"/>
      <w:bookmarkStart w:id="172" w:name="_Toc485740417"/>
      <w:bookmarkStart w:id="173" w:name="_Toc487107048"/>
      <w:bookmarkStart w:id="174" w:name="_Toc487110336"/>
      <w:r w:rsidRPr="005F7E37">
        <w:lastRenderedPageBreak/>
        <w:t>Collective commitment to promote better employment outcomes for youth</w:t>
      </w:r>
      <w:bookmarkEnd w:id="170"/>
      <w:bookmarkEnd w:id="171"/>
      <w:bookmarkEnd w:id="172"/>
      <w:bookmarkEnd w:id="173"/>
      <w:bookmarkEnd w:id="174"/>
    </w:p>
    <w:p w:rsidR="00A561E2" w:rsidRPr="005F7E37" w:rsidRDefault="00A561E2" w:rsidP="00AD08D5">
      <w:pPr>
        <w:autoSpaceDE w:val="0"/>
        <w:autoSpaceDN w:val="0"/>
        <w:adjustRightInd w:val="0"/>
        <w:spacing w:after="240"/>
        <w:ind w:left="-1560"/>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While most Australian youth are either engaged in some form of work or study, a key concern is the number of young people who are disengaged, with 344,900 (or 11.0 per cent of the youth aged 15 to 24) not in work and not attending full-time education in August 2016, compared with 291,300 (or 9.9 per cent) at the onset of the Global Financial Crisis in September 2008. Over the last year, however, the proportion of disengaged youth has declined by 0.6 percentage points.  </w:t>
      </w:r>
    </w:p>
    <w:p w:rsidR="008300BB" w:rsidRPr="005F7E37" w:rsidRDefault="0086062B" w:rsidP="00AD08D5">
      <w:pPr>
        <w:autoSpaceDE w:val="0"/>
        <w:autoSpaceDN w:val="0"/>
        <w:adjustRightInd w:val="0"/>
        <w:spacing w:after="240"/>
        <w:ind w:left="-1560"/>
        <w:rPr>
          <w:rFonts w:asciiTheme="minorHAnsi" w:hAnsiTheme="minorHAnsi" w:cstheme="minorHAnsi"/>
          <w:color w:val="000000"/>
          <w:sz w:val="22"/>
          <w:lang w:val="en-AU"/>
        </w:rPr>
      </w:pPr>
      <w:r w:rsidRPr="005F7E37">
        <w:rPr>
          <w:rFonts w:asciiTheme="minorHAnsi" w:hAnsiTheme="minorHAnsi" w:cstheme="minorHAnsi"/>
          <w:color w:val="000000"/>
          <w:sz w:val="22"/>
          <w:lang w:val="en-AU"/>
        </w:rPr>
        <w:t>Increased</w:t>
      </w:r>
      <w:r w:rsidR="00A561E2" w:rsidRPr="005F7E37">
        <w:rPr>
          <w:rFonts w:asciiTheme="minorHAnsi" w:hAnsiTheme="minorHAnsi" w:cstheme="minorHAnsi"/>
          <w:color w:val="000000"/>
          <w:sz w:val="22"/>
          <w:lang w:val="en-AU"/>
        </w:rPr>
        <w:t xml:space="preserve"> disengagement since September 2008 has been more significant for 20-24 year olds, up from 11.9 per cent to 14.7 per cent in August 2016, although </w:t>
      </w:r>
      <w:r w:rsidRPr="005F7E37">
        <w:rPr>
          <w:rFonts w:asciiTheme="minorHAnsi" w:hAnsiTheme="minorHAnsi" w:cstheme="minorHAnsi"/>
          <w:color w:val="000000"/>
          <w:sz w:val="22"/>
          <w:lang w:val="en-AU"/>
        </w:rPr>
        <w:t xml:space="preserve">this figure </w:t>
      </w:r>
      <w:r w:rsidR="00A561E2" w:rsidRPr="005F7E37">
        <w:rPr>
          <w:rFonts w:asciiTheme="minorHAnsi" w:hAnsiTheme="minorHAnsi" w:cstheme="minorHAnsi"/>
          <w:color w:val="000000"/>
          <w:sz w:val="22"/>
          <w:lang w:val="en-AU"/>
        </w:rPr>
        <w:t>has declined from 15.7 per cent since August 2015. By contrast, the proportion of disengaged 15-19 year olds has decreased by 1.0 percentage point since September 2008, to 6.8 per cent in August 2016. This is likely due to the rise in the compulsory minimum school leaving age.</w:t>
      </w:r>
    </w:p>
    <w:p w:rsidR="003617DE" w:rsidRPr="005F7E37" w:rsidRDefault="00A561E2" w:rsidP="00AD08D5">
      <w:pPr>
        <w:autoSpaceDE w:val="0"/>
        <w:autoSpaceDN w:val="0"/>
        <w:adjustRightInd w:val="0"/>
        <w:spacing w:after="240"/>
        <w:ind w:left="-1560"/>
        <w:rPr>
          <w:rFonts w:asciiTheme="minorHAnsi" w:hAnsiTheme="minorHAnsi" w:cstheme="minorHAnsi"/>
          <w:color w:val="000000"/>
          <w:sz w:val="22"/>
          <w:lang w:val="en-AU"/>
        </w:rPr>
      </w:pPr>
      <w:r w:rsidRPr="005F7E37">
        <w:rPr>
          <w:rFonts w:asciiTheme="minorHAnsi" w:hAnsiTheme="minorHAnsi" w:cstheme="minorHAnsi"/>
          <w:color w:val="000000"/>
          <w:sz w:val="22"/>
          <w:lang w:val="en-AU"/>
        </w:rPr>
        <w:t>While a proportion of the disengaged group may, for various reasons, be voluntarily outside the labour market (for instance, taking a gap year or looking after children, which is more likely to be the case for disengaged women), many are at risk of ultimately failing to make a successful t</w:t>
      </w:r>
      <w:r w:rsidR="00C81E7A" w:rsidRPr="005F7E37">
        <w:rPr>
          <w:rFonts w:asciiTheme="minorHAnsi" w:hAnsiTheme="minorHAnsi" w:cstheme="minorHAnsi"/>
          <w:color w:val="000000"/>
          <w:sz w:val="22"/>
          <w:lang w:val="en-AU"/>
        </w:rPr>
        <w:t xml:space="preserve">ransition to employment. Chart </w:t>
      </w:r>
      <w:r w:rsidR="00AE7362">
        <w:rPr>
          <w:rFonts w:asciiTheme="minorHAnsi" w:hAnsiTheme="minorHAnsi" w:cstheme="minorHAnsi"/>
          <w:color w:val="000000"/>
          <w:sz w:val="22"/>
          <w:lang w:val="en-AU"/>
        </w:rPr>
        <w:t>2</w:t>
      </w:r>
      <w:r w:rsidRPr="005F7E37">
        <w:rPr>
          <w:rFonts w:asciiTheme="minorHAnsi" w:hAnsiTheme="minorHAnsi" w:cstheme="minorHAnsi"/>
          <w:color w:val="000000"/>
          <w:sz w:val="22"/>
          <w:lang w:val="en-AU"/>
        </w:rPr>
        <w:t xml:space="preserve"> shows the trend in the proportion of youth who are not in employment</w:t>
      </w:r>
      <w:r w:rsidR="0086062B" w:rsidRPr="005F7E37">
        <w:rPr>
          <w:rFonts w:asciiTheme="minorHAnsi" w:hAnsiTheme="minorHAnsi" w:cstheme="minorHAnsi"/>
          <w:color w:val="000000"/>
          <w:sz w:val="22"/>
          <w:lang w:val="en-AU"/>
        </w:rPr>
        <w:t>,</w:t>
      </w:r>
      <w:r w:rsidRPr="005F7E37">
        <w:rPr>
          <w:rFonts w:asciiTheme="minorHAnsi" w:hAnsiTheme="minorHAnsi" w:cstheme="minorHAnsi"/>
          <w:color w:val="000000"/>
          <w:sz w:val="22"/>
          <w:lang w:val="en-AU"/>
        </w:rPr>
        <w:t xml:space="preserve"> education or training (NEET), using internationally standardised data published by the OECD. As of 2015 (most recent data), 3.7 per cent of Australians aged 15 to 29 were unemployed and 8.1 per cent were inactive in the labour force.</w:t>
      </w:r>
    </w:p>
    <w:p w:rsidR="00A561E2" w:rsidRPr="007743ED" w:rsidRDefault="00C81E7A" w:rsidP="007743ED">
      <w:pPr>
        <w:pStyle w:val="TableHeadingH3"/>
        <w:ind w:left="-1560"/>
        <w:jc w:val="center"/>
        <w:rPr>
          <w:sz w:val="20"/>
        </w:rPr>
      </w:pPr>
      <w:bookmarkStart w:id="175" w:name="_Toc487107049"/>
      <w:bookmarkStart w:id="176" w:name="_Toc487110337"/>
      <w:r w:rsidRPr="007743ED">
        <w:rPr>
          <w:sz w:val="20"/>
        </w:rPr>
        <w:t xml:space="preserve">Chart </w:t>
      </w:r>
      <w:r w:rsidR="00AE7362" w:rsidRPr="007743ED">
        <w:rPr>
          <w:sz w:val="20"/>
        </w:rPr>
        <w:t>2</w:t>
      </w:r>
      <w:r w:rsidR="00A561E2" w:rsidRPr="007743ED">
        <w:rPr>
          <w:sz w:val="20"/>
        </w:rPr>
        <w:t xml:space="preserve">: Proportion of Australian youth not in education, employment or training and the overall and youth unemployment </w:t>
      </w:r>
      <w:r w:rsidR="003F4B2C" w:rsidRPr="007743ED">
        <w:rPr>
          <w:sz w:val="20"/>
        </w:rPr>
        <w:t>rates, 1997-201</w:t>
      </w:r>
      <w:r w:rsidR="009F00C7" w:rsidRPr="007743ED">
        <w:rPr>
          <w:sz w:val="20"/>
        </w:rPr>
        <w:t>7</w:t>
      </w:r>
      <w:bookmarkEnd w:id="175"/>
      <w:bookmarkEnd w:id="176"/>
    </w:p>
    <w:p w:rsidR="00D32CB0" w:rsidRDefault="00D32CB0" w:rsidP="00D67618">
      <w:pPr>
        <w:autoSpaceDE w:val="0"/>
        <w:autoSpaceDN w:val="0"/>
        <w:adjustRightInd w:val="0"/>
        <w:spacing w:after="120"/>
        <w:ind w:left="-1559"/>
        <w:jc w:val="center"/>
        <w:rPr>
          <w:rFonts w:asciiTheme="minorHAnsi" w:hAnsiTheme="minorHAnsi" w:cstheme="minorHAnsi"/>
          <w:b/>
          <w:color w:val="000000"/>
          <w:lang w:val="en-AU"/>
        </w:rPr>
      </w:pPr>
      <w:r>
        <w:rPr>
          <w:rFonts w:asciiTheme="minorHAnsi" w:hAnsiTheme="minorHAnsi" w:cstheme="minorHAnsi"/>
          <w:b/>
          <w:noProof/>
          <w:color w:val="000000"/>
          <w:lang w:val="en-AU" w:eastAsia="en-AU"/>
        </w:rPr>
        <w:drawing>
          <wp:inline distT="0" distB="0" distL="0" distR="0" wp14:anchorId="222BC237" wp14:editId="03C67EDE">
            <wp:extent cx="4838700" cy="2919066"/>
            <wp:effectExtent l="0" t="0" r="0" b="0"/>
            <wp:docPr id="10" name="Picture 10" descr="The graph shows that the unemployment rate for people aged 15-24 has been consistently higher throughout the period than the overall unemployment rate.&#10;&#10;There is currently 7 percentage points difference between the two unemployment rates.&#10;&#10;The G20 Youth employment goal was adopted at the 2015 Antalya summit. " title="Chart 2: Proportion of Australian youth not in education, employment or training and the overall and youth unemployment rates, 1997-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7746" cy="2918490"/>
                    </a:xfrm>
                    <a:prstGeom prst="rect">
                      <a:avLst/>
                    </a:prstGeom>
                    <a:noFill/>
                  </pic:spPr>
                </pic:pic>
              </a:graphicData>
            </a:graphic>
          </wp:inline>
        </w:drawing>
      </w:r>
    </w:p>
    <w:p w:rsidR="006F663C" w:rsidRDefault="00D32CB0" w:rsidP="006F663C">
      <w:pPr>
        <w:autoSpaceDE w:val="0"/>
        <w:autoSpaceDN w:val="0"/>
        <w:adjustRightInd w:val="0"/>
        <w:ind w:left="-1560"/>
        <w:rPr>
          <w:rFonts w:asciiTheme="minorHAnsi" w:hAnsiTheme="minorHAnsi" w:cstheme="minorHAnsi"/>
          <w:color w:val="000000"/>
          <w:sz w:val="18"/>
          <w:szCs w:val="18"/>
          <w:lang w:val="en-AU"/>
        </w:rPr>
      </w:pPr>
      <w:r w:rsidRPr="005F7E37">
        <w:rPr>
          <w:rFonts w:asciiTheme="minorHAnsi" w:hAnsiTheme="minorHAnsi" w:cstheme="minorHAnsi"/>
          <w:color w:val="000000"/>
          <w:sz w:val="18"/>
          <w:szCs w:val="18"/>
          <w:lang w:val="en-AU"/>
        </w:rPr>
        <w:t>Source</w:t>
      </w:r>
      <w:r>
        <w:rPr>
          <w:rFonts w:asciiTheme="minorHAnsi" w:hAnsiTheme="minorHAnsi" w:cstheme="minorHAnsi"/>
          <w:color w:val="000000"/>
          <w:sz w:val="18"/>
          <w:szCs w:val="18"/>
          <w:lang w:val="en-AU"/>
        </w:rPr>
        <w:t>s</w:t>
      </w:r>
      <w:r w:rsidRPr="005F7E37">
        <w:rPr>
          <w:rFonts w:asciiTheme="minorHAnsi" w:hAnsiTheme="minorHAnsi" w:cstheme="minorHAnsi"/>
          <w:color w:val="000000"/>
          <w:sz w:val="18"/>
          <w:szCs w:val="18"/>
          <w:lang w:val="en-AU"/>
        </w:rPr>
        <w:t>:</w:t>
      </w:r>
      <w:r>
        <w:rPr>
          <w:rFonts w:asciiTheme="minorHAnsi" w:hAnsiTheme="minorHAnsi" w:cstheme="minorHAnsi"/>
          <w:color w:val="000000"/>
          <w:sz w:val="18"/>
          <w:szCs w:val="18"/>
          <w:lang w:val="en-AU"/>
        </w:rPr>
        <w:t xml:space="preserve"> </w:t>
      </w:r>
      <w:r w:rsidRPr="005F2BC2">
        <w:rPr>
          <w:rFonts w:asciiTheme="minorHAnsi" w:hAnsiTheme="minorHAnsi" w:cstheme="minorHAnsi"/>
          <w:sz w:val="20"/>
          <w:szCs w:val="20"/>
        </w:rPr>
        <w:t xml:space="preserve">OECD </w:t>
      </w:r>
      <w:r w:rsidRPr="005F2BC2">
        <w:rPr>
          <w:rFonts w:asciiTheme="minorHAnsi" w:hAnsiTheme="minorHAnsi" w:cstheme="minorHAnsi"/>
          <w:i/>
          <w:sz w:val="20"/>
          <w:szCs w:val="20"/>
        </w:rPr>
        <w:t>Education at a Glance 2014</w:t>
      </w:r>
      <w:r w:rsidRPr="005F2BC2">
        <w:rPr>
          <w:rFonts w:asciiTheme="minorHAnsi" w:hAnsiTheme="minorHAnsi" w:cstheme="minorHAnsi"/>
          <w:sz w:val="20"/>
          <w:szCs w:val="20"/>
        </w:rPr>
        <w:t xml:space="preserve"> (1997-2012), OECD </w:t>
      </w:r>
      <w:r w:rsidRPr="005F2BC2">
        <w:rPr>
          <w:rFonts w:asciiTheme="minorHAnsi" w:hAnsiTheme="minorHAnsi" w:cstheme="minorHAnsi"/>
          <w:i/>
          <w:sz w:val="20"/>
          <w:szCs w:val="20"/>
        </w:rPr>
        <w:t>Education at a Glance 2015 Interim Report</w:t>
      </w:r>
      <w:r w:rsidRPr="005F2BC2">
        <w:rPr>
          <w:rFonts w:asciiTheme="minorHAnsi" w:hAnsiTheme="minorHAnsi" w:cstheme="minorHAnsi"/>
          <w:sz w:val="20"/>
          <w:szCs w:val="20"/>
        </w:rPr>
        <w:t xml:space="preserve"> (201</w:t>
      </w:r>
      <w:r>
        <w:rPr>
          <w:rFonts w:asciiTheme="minorHAnsi" w:hAnsiTheme="minorHAnsi" w:cstheme="minorHAnsi"/>
          <w:sz w:val="20"/>
          <w:szCs w:val="20"/>
        </w:rPr>
        <w:t>3</w:t>
      </w:r>
      <w:r w:rsidRPr="005F2BC2">
        <w:rPr>
          <w:rFonts w:asciiTheme="minorHAnsi" w:hAnsiTheme="minorHAnsi" w:cstheme="minorHAnsi"/>
          <w:sz w:val="20"/>
          <w:szCs w:val="20"/>
        </w:rPr>
        <w:t xml:space="preserve">), OECD </w:t>
      </w:r>
      <w:r>
        <w:rPr>
          <w:rFonts w:asciiTheme="minorHAnsi" w:hAnsiTheme="minorHAnsi" w:cstheme="minorHAnsi"/>
          <w:sz w:val="20"/>
          <w:szCs w:val="20"/>
        </w:rPr>
        <w:t>Data “</w:t>
      </w:r>
      <w:r w:rsidRPr="00A474A8">
        <w:rPr>
          <w:rFonts w:asciiTheme="minorHAnsi" w:hAnsiTheme="minorHAnsi" w:cstheme="minorHAnsi"/>
          <w:sz w:val="20"/>
          <w:szCs w:val="20"/>
        </w:rPr>
        <w:t>Youth not in em</w:t>
      </w:r>
      <w:r>
        <w:rPr>
          <w:rFonts w:asciiTheme="minorHAnsi" w:hAnsiTheme="minorHAnsi" w:cstheme="minorHAnsi"/>
          <w:sz w:val="20"/>
          <w:szCs w:val="20"/>
        </w:rPr>
        <w:t>ployment, education or training” (2015-2016)</w:t>
      </w:r>
      <w:r w:rsidRPr="005F2BC2">
        <w:rPr>
          <w:rFonts w:asciiTheme="minorHAnsi" w:hAnsiTheme="minorHAnsi" w:cstheme="minorHAnsi"/>
          <w:sz w:val="20"/>
          <w:szCs w:val="20"/>
        </w:rPr>
        <w:t>,</w:t>
      </w:r>
      <w:r w:rsidRPr="005F7E37">
        <w:rPr>
          <w:rFonts w:asciiTheme="minorHAnsi" w:hAnsiTheme="minorHAnsi" w:cstheme="minorHAnsi"/>
          <w:color w:val="000000"/>
          <w:sz w:val="18"/>
          <w:szCs w:val="18"/>
          <w:lang w:val="en-AU"/>
        </w:rPr>
        <w:t xml:space="preserve"> ABS, </w:t>
      </w:r>
      <w:r w:rsidRPr="005F7E37">
        <w:rPr>
          <w:rFonts w:asciiTheme="minorHAnsi" w:hAnsiTheme="minorHAnsi" w:cstheme="minorHAnsi"/>
          <w:i/>
          <w:color w:val="000000"/>
          <w:sz w:val="18"/>
          <w:szCs w:val="18"/>
          <w:lang w:val="en-AU"/>
        </w:rPr>
        <w:t>Labour Force, Australia</w:t>
      </w:r>
      <w:r w:rsidRPr="005F7E37">
        <w:rPr>
          <w:rFonts w:asciiTheme="minorHAnsi" w:hAnsiTheme="minorHAnsi" w:cstheme="minorHAnsi"/>
          <w:color w:val="000000"/>
          <w:sz w:val="18"/>
          <w:szCs w:val="18"/>
          <w:lang w:val="en-AU"/>
        </w:rPr>
        <w:t xml:space="preserve">, </w:t>
      </w:r>
      <w:r>
        <w:rPr>
          <w:rFonts w:asciiTheme="minorHAnsi" w:hAnsiTheme="minorHAnsi" w:cstheme="minorHAnsi"/>
          <w:color w:val="000000"/>
          <w:sz w:val="18"/>
          <w:szCs w:val="18"/>
          <w:lang w:val="en-AU"/>
        </w:rPr>
        <w:t>April</w:t>
      </w:r>
      <w:r w:rsidRPr="005F7E37">
        <w:rPr>
          <w:rFonts w:asciiTheme="minorHAnsi" w:hAnsiTheme="minorHAnsi" w:cstheme="minorHAnsi"/>
          <w:color w:val="000000"/>
          <w:sz w:val="18"/>
          <w:szCs w:val="18"/>
          <w:lang w:val="en-AU"/>
        </w:rPr>
        <w:t xml:space="preserve"> 201</w:t>
      </w:r>
      <w:r>
        <w:rPr>
          <w:rFonts w:asciiTheme="minorHAnsi" w:hAnsiTheme="minorHAnsi" w:cstheme="minorHAnsi"/>
          <w:color w:val="000000"/>
          <w:sz w:val="18"/>
          <w:szCs w:val="18"/>
          <w:lang w:val="en-AU"/>
        </w:rPr>
        <w:t>7</w:t>
      </w:r>
      <w:r w:rsidRPr="005F7E37">
        <w:rPr>
          <w:rFonts w:asciiTheme="minorHAnsi" w:hAnsiTheme="minorHAnsi" w:cstheme="minorHAnsi"/>
          <w:color w:val="000000"/>
          <w:sz w:val="18"/>
          <w:szCs w:val="18"/>
          <w:lang w:val="en-AU"/>
        </w:rPr>
        <w:t>, seasonally adjusted data</w:t>
      </w:r>
      <w:r w:rsidR="00D67618">
        <w:rPr>
          <w:rFonts w:asciiTheme="minorHAnsi" w:hAnsiTheme="minorHAnsi" w:cstheme="minorHAnsi"/>
          <w:color w:val="000000"/>
          <w:sz w:val="18"/>
          <w:szCs w:val="18"/>
          <w:lang w:val="en-AU"/>
        </w:rPr>
        <w:t>.</w:t>
      </w:r>
    </w:p>
    <w:p w:rsidR="00D32CB0" w:rsidRDefault="00D32CB0" w:rsidP="007743ED">
      <w:pPr>
        <w:autoSpaceDE w:val="0"/>
        <w:autoSpaceDN w:val="0"/>
        <w:adjustRightInd w:val="0"/>
        <w:spacing w:before="240"/>
        <w:ind w:left="-1560"/>
        <w:rPr>
          <w:rFonts w:asciiTheme="minorHAnsi" w:hAnsiTheme="minorHAnsi" w:cstheme="minorHAnsi"/>
          <w:b/>
          <w:color w:val="000000"/>
          <w:lang w:val="en-AU"/>
        </w:rPr>
      </w:pPr>
      <w:r w:rsidRPr="005F7E37">
        <w:rPr>
          <w:rFonts w:asciiTheme="minorHAnsi" w:hAnsiTheme="minorHAnsi" w:cstheme="minorHAnsi"/>
          <w:color w:val="000000"/>
          <w:sz w:val="22"/>
          <w:lang w:val="en-AU"/>
        </w:rPr>
        <w:t>Australia has a wide range of measures in place to help young people to prepare for employment and support their transitions into the workplace. The following table provides a summary of the implementation of the measures identified in Au</w:t>
      </w:r>
      <w:r w:rsidR="007743ED">
        <w:rPr>
          <w:rFonts w:asciiTheme="minorHAnsi" w:hAnsiTheme="minorHAnsi" w:cstheme="minorHAnsi"/>
          <w:color w:val="000000"/>
          <w:sz w:val="22"/>
          <w:lang w:val="en-AU"/>
        </w:rPr>
        <w:t>stralia’s G20 Employment Plans.</w:t>
      </w:r>
    </w:p>
    <w:p w:rsidR="00A561E2" w:rsidRPr="005F7E37" w:rsidRDefault="00A561E2" w:rsidP="00AD08D5">
      <w:pPr>
        <w:autoSpaceDE w:val="0"/>
        <w:autoSpaceDN w:val="0"/>
        <w:adjustRightInd w:val="0"/>
        <w:spacing w:after="240"/>
        <w:rPr>
          <w:rFonts w:asciiTheme="minorHAnsi" w:hAnsiTheme="minorHAnsi" w:cstheme="minorHAnsi"/>
          <w:color w:val="000000"/>
          <w:lang w:val="en-AU"/>
        </w:rPr>
        <w:sectPr w:rsidR="00A561E2" w:rsidRPr="005F7E37" w:rsidSect="00413837">
          <w:headerReference w:type="default" r:id="rId21"/>
          <w:footerReference w:type="default" r:id="rId22"/>
          <w:pgSz w:w="11850" w:h="16783"/>
          <w:pgMar w:top="1701" w:right="1134" w:bottom="1134" w:left="2552" w:header="851" w:footer="992" w:gutter="0"/>
          <w:cols w:space="720"/>
          <w:docGrid w:linePitch="326"/>
        </w:sectPr>
      </w:pPr>
    </w:p>
    <w:p w:rsidR="00A561E2" w:rsidRPr="005F7E37" w:rsidRDefault="00A561E2" w:rsidP="00A457FC">
      <w:pPr>
        <w:pStyle w:val="Heading2"/>
      </w:pPr>
      <w:bookmarkStart w:id="177" w:name="_Toc485739912"/>
      <w:bookmarkStart w:id="178" w:name="_Toc485740314"/>
      <w:bookmarkStart w:id="179" w:name="_Toc485740418"/>
      <w:bookmarkStart w:id="180" w:name="_Toc487107050"/>
      <w:bookmarkStart w:id="181" w:name="_Toc487110338"/>
      <w:r w:rsidRPr="005F7E37">
        <w:lastRenderedPageBreak/>
        <w:t>Key measures introduced in pursuit of the collective commitment to promote better employment outcomes for youth</w:t>
      </w:r>
      <w:bookmarkEnd w:id="177"/>
      <w:bookmarkEnd w:id="178"/>
      <w:bookmarkEnd w:id="179"/>
      <w:bookmarkEnd w:id="180"/>
      <w:bookmarkEnd w:id="181"/>
    </w:p>
    <w:tbl>
      <w:tblPr>
        <w:tblW w:w="145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7"/>
        <w:gridCol w:w="6368"/>
      </w:tblGrid>
      <w:tr w:rsidR="00A561E2" w:rsidRPr="005F7E37" w:rsidTr="00A457FC">
        <w:trPr>
          <w:tblHeader/>
        </w:trPr>
        <w:tc>
          <w:tcPr>
            <w:tcW w:w="8227" w:type="dxa"/>
            <w:shd w:val="clear" w:color="auto" w:fill="EEECE1" w:themeFill="background2"/>
          </w:tcPr>
          <w:p w:rsidR="00A561E2" w:rsidRPr="005F7E37" w:rsidRDefault="00A561E2" w:rsidP="00234E01">
            <w:pPr>
              <w:jc w:val="left"/>
              <w:rPr>
                <w:rFonts w:asciiTheme="minorHAnsi" w:hAnsiTheme="minorHAnsi" w:cstheme="minorHAnsi"/>
                <w:b/>
                <w:color w:val="000000"/>
                <w:sz w:val="22"/>
                <w:lang w:val="en-AU"/>
              </w:rPr>
            </w:pPr>
            <w:r w:rsidRPr="005F7E37">
              <w:rPr>
                <w:rFonts w:asciiTheme="minorHAnsi" w:hAnsiTheme="minorHAnsi" w:cstheme="minorHAnsi"/>
                <w:b/>
                <w:bCs/>
                <w:color w:val="000000"/>
                <w:sz w:val="22"/>
                <w:lang w:val="en-AU"/>
              </w:rPr>
              <w:t>Policy commitment / description</w:t>
            </w:r>
          </w:p>
        </w:tc>
        <w:tc>
          <w:tcPr>
            <w:tcW w:w="6368" w:type="dxa"/>
            <w:shd w:val="clear" w:color="auto" w:fill="EEECE1" w:themeFill="background2"/>
          </w:tcPr>
          <w:p w:rsidR="00A561E2" w:rsidRPr="005F7E37" w:rsidRDefault="00A561E2" w:rsidP="00234E01">
            <w:pPr>
              <w:jc w:val="left"/>
              <w:rPr>
                <w:rFonts w:asciiTheme="minorHAnsi" w:hAnsiTheme="minorHAnsi" w:cstheme="minorHAnsi"/>
                <w:b/>
                <w:color w:val="000000"/>
                <w:sz w:val="22"/>
                <w:lang w:val="en-AU"/>
              </w:rPr>
            </w:pPr>
            <w:r w:rsidRPr="005F7E37">
              <w:rPr>
                <w:rFonts w:asciiTheme="minorHAnsi" w:hAnsiTheme="minorHAnsi" w:cstheme="minorHAnsi"/>
                <w:b/>
                <w:bCs/>
                <w:color w:val="000000"/>
                <w:sz w:val="22"/>
                <w:lang w:val="en-AU"/>
              </w:rPr>
              <w:t>Status of implementation and results achieved</w:t>
            </w:r>
          </w:p>
        </w:tc>
      </w:tr>
      <w:tr w:rsidR="00A561E2" w:rsidRPr="005F7E37" w:rsidTr="00C44100">
        <w:trPr>
          <w:trHeight w:val="156"/>
        </w:trPr>
        <w:tc>
          <w:tcPr>
            <w:tcW w:w="14595" w:type="dxa"/>
            <w:gridSpan w:val="2"/>
            <w:shd w:val="clear" w:color="auto" w:fill="EEECE1" w:themeFill="background2"/>
            <w:vAlign w:val="center"/>
          </w:tcPr>
          <w:p w:rsidR="00A561E2" w:rsidRPr="005F7E37" w:rsidRDefault="00A561E2" w:rsidP="00234E01">
            <w:pPr>
              <w:jc w:val="left"/>
              <w:rPr>
                <w:rFonts w:asciiTheme="minorHAnsi" w:hAnsiTheme="minorHAnsi" w:cstheme="minorHAnsi"/>
                <w:i/>
                <w:color w:val="000000"/>
                <w:sz w:val="22"/>
                <w:lang w:val="en-AU"/>
              </w:rPr>
            </w:pPr>
            <w:r w:rsidRPr="005F7E37">
              <w:rPr>
                <w:rFonts w:asciiTheme="minorHAnsi" w:hAnsiTheme="minorHAnsi" w:cstheme="minorHAnsi"/>
                <w:bCs/>
                <w:i/>
                <w:color w:val="000000"/>
                <w:sz w:val="22"/>
                <w:lang w:val="en-AU" w:eastAsia="tr-TR"/>
              </w:rPr>
              <w:t>S</w:t>
            </w:r>
            <w:r w:rsidRPr="005F7E37">
              <w:rPr>
                <w:rFonts w:asciiTheme="minorHAnsi" w:hAnsiTheme="minorHAnsi" w:cstheme="minorHAnsi"/>
                <w:i/>
                <w:color w:val="000000"/>
                <w:sz w:val="22"/>
                <w:lang w:val="en-AU"/>
              </w:rPr>
              <w:t>trengthen the education system and prepare all young people for the world of work</w:t>
            </w:r>
          </w:p>
        </w:tc>
      </w:tr>
      <w:tr w:rsidR="00A561E2" w:rsidRPr="005F7E37" w:rsidTr="00413837">
        <w:trPr>
          <w:trHeight w:val="526"/>
        </w:trPr>
        <w:tc>
          <w:tcPr>
            <w:tcW w:w="8227" w:type="dxa"/>
          </w:tcPr>
          <w:p w:rsidR="00A561E2" w:rsidRPr="005F7E37" w:rsidRDefault="00A561E2"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t>Australian Apprenticeship Support Network</w:t>
            </w:r>
          </w:p>
          <w:p w:rsidR="00A561E2" w:rsidRPr="005F7E37" w:rsidRDefault="00A561E2"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 Australian Apprenticeship Support Network will deliver a new generation of support services to Australian Apprenticeships participants to help improve apprenticeship completion rates, investing up to $</w:t>
            </w:r>
            <w:r w:rsidR="00EB7D3E" w:rsidRPr="005F7E37">
              <w:rPr>
                <w:rFonts w:asciiTheme="minorHAnsi" w:hAnsiTheme="minorHAnsi" w:cstheme="minorHAnsi"/>
                <w:color w:val="000000"/>
                <w:sz w:val="22"/>
                <w:lang w:val="en-AU"/>
              </w:rPr>
              <w:t>169</w:t>
            </w:r>
            <w:r w:rsidRPr="005F7E37">
              <w:rPr>
                <w:rFonts w:asciiTheme="minorHAnsi" w:hAnsiTheme="minorHAnsi" w:cstheme="minorHAnsi"/>
                <w:color w:val="000000"/>
                <w:sz w:val="22"/>
                <w:lang w:val="en-AU"/>
              </w:rPr>
              <w:t xml:space="preserve"> million annually.</w:t>
            </w:r>
          </w:p>
        </w:tc>
        <w:tc>
          <w:tcPr>
            <w:tcW w:w="6368" w:type="dxa"/>
          </w:tcPr>
          <w:p w:rsidR="00A561E2" w:rsidRPr="005F7E37" w:rsidRDefault="00A561E2"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Apprenticeship Network has been in place since 1 July 2015 and supports apprentices from a network of </w:t>
            </w:r>
            <w:r w:rsidR="00EB7D3E" w:rsidRPr="005F7E37">
              <w:rPr>
                <w:rFonts w:asciiTheme="minorHAnsi" w:hAnsiTheme="minorHAnsi" w:cstheme="minorHAnsi"/>
                <w:color w:val="000000"/>
                <w:sz w:val="22"/>
                <w:lang w:val="en-AU"/>
              </w:rPr>
              <w:t>around 400</w:t>
            </w:r>
            <w:r w:rsidRPr="005F7E37">
              <w:rPr>
                <w:rFonts w:asciiTheme="minorHAnsi" w:hAnsiTheme="minorHAnsi" w:cstheme="minorHAnsi"/>
                <w:color w:val="000000"/>
                <w:sz w:val="22"/>
                <w:lang w:val="en-AU"/>
              </w:rPr>
              <w:t xml:space="preserve"> locations nationally.</w:t>
            </w:r>
          </w:p>
        </w:tc>
      </w:tr>
      <w:tr w:rsidR="00A561E2" w:rsidRPr="005F7E37" w:rsidTr="00413837">
        <w:trPr>
          <w:trHeight w:val="690"/>
        </w:trPr>
        <w:tc>
          <w:tcPr>
            <w:tcW w:w="8227" w:type="dxa"/>
            <w:vAlign w:val="center"/>
          </w:tcPr>
          <w:p w:rsidR="00A561E2" w:rsidRPr="005F7E37" w:rsidRDefault="00A561E2" w:rsidP="00234E01">
            <w:pPr>
              <w:jc w:val="left"/>
              <w:rPr>
                <w:rFonts w:asciiTheme="minorHAnsi" w:hAnsiTheme="minorHAnsi" w:cstheme="minorHAnsi"/>
                <w:b/>
                <w:color w:val="000000"/>
                <w:sz w:val="22"/>
                <w:lang w:val="en-AU"/>
              </w:rPr>
            </w:pPr>
            <w:r w:rsidRPr="005F7E37">
              <w:rPr>
                <w:rFonts w:asciiTheme="minorHAnsi" w:hAnsiTheme="minorHAnsi" w:cstheme="minorHAnsi"/>
                <w:b/>
                <w:color w:val="000000"/>
                <w:sz w:val="22"/>
                <w:lang w:val="en-AU"/>
              </w:rPr>
              <w:t>Trade Support Loans</w:t>
            </w:r>
          </w:p>
          <w:p w:rsidR="00A561E2" w:rsidRPr="005F7E37" w:rsidRDefault="00A561E2"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 Trade Support Loans program provides financial support to eligible apprentices undertaking a qualification listed on the Trade Support Loans Priority List. This includes key trade occupations such as electricians, plumbers, carpenters, hairdressers and motor mechanics.</w:t>
            </w:r>
          </w:p>
        </w:tc>
        <w:tc>
          <w:tcPr>
            <w:tcW w:w="6368" w:type="dxa"/>
          </w:tcPr>
          <w:p w:rsidR="00A561E2" w:rsidRPr="005F7E37" w:rsidRDefault="00A561E2"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 program commenced on 21 July 2014 and is operating successfully.</w:t>
            </w:r>
          </w:p>
          <w:p w:rsidR="00A561E2" w:rsidRPr="005F7E37" w:rsidRDefault="00A561E2" w:rsidP="00234E01">
            <w:pPr>
              <w:jc w:val="left"/>
              <w:rPr>
                <w:rFonts w:asciiTheme="minorHAnsi" w:hAnsiTheme="minorHAnsi" w:cstheme="minorHAnsi"/>
                <w:color w:val="000000"/>
                <w:sz w:val="22"/>
                <w:lang w:val="en-AU"/>
              </w:rPr>
            </w:pPr>
          </w:p>
        </w:tc>
      </w:tr>
      <w:tr w:rsidR="00AD4BB5" w:rsidRPr="005F7E37" w:rsidTr="00413837">
        <w:trPr>
          <w:trHeight w:val="690"/>
        </w:trPr>
        <w:tc>
          <w:tcPr>
            <w:tcW w:w="8227" w:type="dxa"/>
            <w:tcBorders>
              <w:top w:val="single" w:sz="4" w:space="0" w:color="auto"/>
              <w:left w:val="single" w:sz="4" w:space="0" w:color="auto"/>
              <w:bottom w:val="single" w:sz="4" w:space="0" w:color="auto"/>
              <w:right w:val="single" w:sz="4" w:space="0" w:color="auto"/>
            </w:tcBorders>
            <w:vAlign w:val="center"/>
          </w:tcPr>
          <w:p w:rsidR="00D45576" w:rsidRPr="00D45576" w:rsidRDefault="00D45576" w:rsidP="00D45576">
            <w:pPr>
              <w:jc w:val="left"/>
              <w:rPr>
                <w:rFonts w:asciiTheme="minorHAnsi" w:hAnsiTheme="minorHAnsi" w:cstheme="minorHAnsi"/>
                <w:b/>
                <w:color w:val="000000"/>
                <w:sz w:val="22"/>
              </w:rPr>
            </w:pPr>
            <w:r w:rsidRPr="00D45576">
              <w:rPr>
                <w:rFonts w:asciiTheme="minorHAnsi" w:hAnsiTheme="minorHAnsi" w:cstheme="minorHAnsi"/>
                <w:b/>
                <w:color w:val="000000"/>
                <w:sz w:val="22"/>
                <w:lang w:val="en-GB"/>
              </w:rPr>
              <w:t>The Higher Education Reform Package</w:t>
            </w:r>
            <w:r w:rsidRPr="00D45576" w:rsidDel="00C431C4">
              <w:rPr>
                <w:rFonts w:asciiTheme="minorHAnsi" w:hAnsiTheme="minorHAnsi" w:cstheme="minorHAnsi"/>
                <w:b/>
                <w:color w:val="000000"/>
                <w:sz w:val="22"/>
                <w:lang w:val="en-GB"/>
              </w:rPr>
              <w:t xml:space="preserve"> </w:t>
            </w:r>
          </w:p>
          <w:p w:rsidR="00D45576" w:rsidRPr="00D45576" w:rsidRDefault="00D45576" w:rsidP="00D45576">
            <w:pPr>
              <w:jc w:val="left"/>
              <w:rPr>
                <w:rFonts w:asciiTheme="minorHAnsi" w:hAnsiTheme="minorHAnsi" w:cstheme="minorHAnsi"/>
                <w:color w:val="000000"/>
                <w:sz w:val="22"/>
              </w:rPr>
            </w:pPr>
            <w:r w:rsidRPr="00D45576">
              <w:rPr>
                <w:rFonts w:asciiTheme="minorHAnsi" w:hAnsiTheme="minorHAnsi" w:cstheme="minorHAnsi"/>
                <w:color w:val="000000"/>
                <w:sz w:val="22"/>
              </w:rPr>
              <w:t>Strengthening the higher education system to be sustainable and responsive to the aspirations of the students and the needs of the future workforce.</w:t>
            </w:r>
          </w:p>
          <w:p w:rsidR="00AD4BB5" w:rsidRPr="005F7E37" w:rsidRDefault="00D45576" w:rsidP="003B28FD">
            <w:pPr>
              <w:jc w:val="left"/>
              <w:rPr>
                <w:rFonts w:asciiTheme="minorHAnsi" w:hAnsiTheme="minorHAnsi" w:cstheme="minorHAnsi"/>
                <w:color w:val="000000"/>
                <w:sz w:val="22"/>
                <w:lang w:val="en-AU"/>
              </w:rPr>
            </w:pPr>
            <w:r w:rsidRPr="00D45576">
              <w:rPr>
                <w:rFonts w:asciiTheme="minorHAnsi" w:hAnsiTheme="minorHAnsi" w:cstheme="minorHAnsi"/>
                <w:color w:val="000000"/>
                <w:sz w:val="22"/>
              </w:rPr>
              <w:t xml:space="preserve">The Government is creating new community-owned regional study hubs and expanding support for work experience units to increase accessibility for regional students.  </w:t>
            </w:r>
          </w:p>
        </w:tc>
        <w:tc>
          <w:tcPr>
            <w:tcW w:w="6368" w:type="dxa"/>
            <w:tcBorders>
              <w:top w:val="single" w:sz="4" w:space="0" w:color="auto"/>
              <w:left w:val="single" w:sz="4" w:space="0" w:color="auto"/>
              <w:bottom w:val="single" w:sz="4" w:space="0" w:color="auto"/>
              <w:right w:val="single" w:sz="4" w:space="0" w:color="auto"/>
            </w:tcBorders>
          </w:tcPr>
          <w:p w:rsidR="00AD4BB5" w:rsidRPr="005F7E37" w:rsidRDefault="00AD4BB5" w:rsidP="00D562F9">
            <w:pPr>
              <w:jc w:val="left"/>
              <w:rPr>
                <w:rFonts w:asciiTheme="minorHAnsi" w:hAnsiTheme="minorHAnsi" w:cstheme="minorHAnsi"/>
                <w:color w:val="000000"/>
                <w:sz w:val="22"/>
                <w:lang w:val="en-AU"/>
              </w:rPr>
            </w:pPr>
            <w:r w:rsidRPr="005F7E37">
              <w:rPr>
                <w:rFonts w:asciiTheme="minorHAnsi" w:hAnsiTheme="minorHAnsi" w:cstheme="minorHAnsi"/>
                <w:sz w:val="22"/>
              </w:rPr>
              <w:t xml:space="preserve">In the 2017-18 Budget the Government announced a Higher Education Reform Package to improve sustainability and responsiveness for students. Implementation is currently </w:t>
            </w:r>
            <w:r w:rsidRPr="005F7E37">
              <w:rPr>
                <w:rFonts w:asciiTheme="minorHAnsi" w:hAnsiTheme="minorHAnsi" w:cstheme="minorHAnsi"/>
                <w:sz w:val="22"/>
                <w:lang w:val="en-GB"/>
              </w:rPr>
              <w:t xml:space="preserve">In progress. </w:t>
            </w:r>
          </w:p>
        </w:tc>
      </w:tr>
      <w:tr w:rsidR="00A561E2" w:rsidRPr="005F7E37" w:rsidTr="00C44100">
        <w:trPr>
          <w:trHeight w:val="182"/>
        </w:trPr>
        <w:tc>
          <w:tcPr>
            <w:tcW w:w="14595" w:type="dxa"/>
            <w:gridSpan w:val="2"/>
            <w:shd w:val="clear" w:color="auto" w:fill="EEECE1" w:themeFill="background2"/>
            <w:vAlign w:val="center"/>
          </w:tcPr>
          <w:p w:rsidR="00A561E2" w:rsidRPr="005F7E37" w:rsidRDefault="00A561E2" w:rsidP="00234E01">
            <w:pPr>
              <w:jc w:val="left"/>
              <w:rPr>
                <w:rFonts w:asciiTheme="minorHAnsi" w:hAnsiTheme="minorHAnsi" w:cstheme="minorHAnsi"/>
                <w:i/>
                <w:color w:val="000000"/>
                <w:sz w:val="22"/>
                <w:lang w:val="en-AU"/>
              </w:rPr>
            </w:pPr>
            <w:r w:rsidRPr="005F7E37">
              <w:rPr>
                <w:rFonts w:asciiTheme="minorHAnsi" w:hAnsiTheme="minorHAnsi" w:cstheme="minorHAnsi"/>
                <w:bCs/>
                <w:i/>
                <w:color w:val="000000"/>
                <w:sz w:val="22"/>
                <w:lang w:val="en-AU" w:eastAsia="tr-TR"/>
              </w:rPr>
              <w:t>Provide effective support to unemployed young people to find work</w:t>
            </w:r>
          </w:p>
        </w:tc>
      </w:tr>
      <w:tr w:rsidR="00A561E2" w:rsidRPr="005F7E37" w:rsidTr="00413837">
        <w:trPr>
          <w:trHeight w:val="582"/>
        </w:trPr>
        <w:tc>
          <w:tcPr>
            <w:tcW w:w="8227" w:type="dxa"/>
          </w:tcPr>
          <w:p w:rsidR="00A561E2" w:rsidRPr="005F7E37" w:rsidRDefault="00A561E2" w:rsidP="00560FDA">
            <w:pPr>
              <w:jc w:val="left"/>
              <w:rPr>
                <w:rFonts w:asciiTheme="minorHAnsi" w:hAnsiTheme="minorHAnsi" w:cstheme="minorHAnsi"/>
                <w:color w:val="000000"/>
                <w:sz w:val="22"/>
                <w:lang w:val="en-AU"/>
              </w:rPr>
            </w:pPr>
            <w:r w:rsidRPr="005F7E37">
              <w:rPr>
                <w:rFonts w:asciiTheme="minorHAnsi" w:hAnsiTheme="minorHAnsi" w:cstheme="minorHAnsi"/>
                <w:b/>
                <w:color w:val="000000"/>
                <w:sz w:val="22"/>
                <w:lang w:val="en-AU"/>
              </w:rPr>
              <w:t>Youth Employment Strategy</w:t>
            </w:r>
            <w:r w:rsidRPr="005F7E37">
              <w:rPr>
                <w:rFonts w:asciiTheme="minorHAnsi" w:hAnsiTheme="minorHAnsi" w:cstheme="minorHAnsi"/>
                <w:color w:val="000000"/>
                <w:sz w:val="22"/>
                <w:lang w:val="en-AU"/>
              </w:rPr>
              <w:t>,</w:t>
            </w:r>
            <w:r w:rsidRPr="005F7E37">
              <w:rPr>
                <w:rFonts w:asciiTheme="minorHAnsi" w:hAnsiTheme="minorHAnsi" w:cstheme="minorHAnsi"/>
                <w:b/>
                <w:color w:val="000000"/>
                <w:sz w:val="22"/>
                <w:lang w:val="en-AU"/>
              </w:rPr>
              <w:t xml:space="preserve"> </w:t>
            </w:r>
            <w:r w:rsidRPr="005F7E37">
              <w:rPr>
                <w:rFonts w:asciiTheme="minorHAnsi" w:hAnsiTheme="minorHAnsi" w:cstheme="minorHAnsi"/>
                <w:color w:val="000000"/>
                <w:sz w:val="22"/>
                <w:lang w:val="en-AU"/>
              </w:rPr>
              <w:t xml:space="preserve">including the </w:t>
            </w:r>
            <w:r w:rsidR="00560FDA">
              <w:rPr>
                <w:rFonts w:asciiTheme="minorHAnsi" w:hAnsiTheme="minorHAnsi" w:cstheme="minorHAnsi"/>
                <w:color w:val="000000"/>
                <w:sz w:val="22"/>
                <w:lang w:val="en-AU"/>
              </w:rPr>
              <w:t>T</w:t>
            </w:r>
            <w:r w:rsidRPr="005F7E37">
              <w:rPr>
                <w:rFonts w:asciiTheme="minorHAnsi" w:hAnsiTheme="minorHAnsi" w:cstheme="minorHAnsi"/>
                <w:color w:val="000000"/>
                <w:sz w:val="22"/>
                <w:lang w:val="en-AU"/>
              </w:rPr>
              <w:t xml:space="preserve">ransition to Work service and Empowering </w:t>
            </w:r>
            <w:proofErr w:type="spellStart"/>
            <w:r w:rsidRPr="005F7E37">
              <w:rPr>
                <w:rFonts w:asciiTheme="minorHAnsi" w:hAnsiTheme="minorHAnsi" w:cstheme="minorHAnsi"/>
                <w:color w:val="000000"/>
                <w:sz w:val="22"/>
                <w:lang w:val="en-AU"/>
              </w:rPr>
              <w:t>YOUth</w:t>
            </w:r>
            <w:proofErr w:type="spellEnd"/>
            <w:r w:rsidRPr="005F7E37">
              <w:rPr>
                <w:rFonts w:asciiTheme="minorHAnsi" w:hAnsiTheme="minorHAnsi" w:cstheme="minorHAnsi"/>
                <w:color w:val="000000"/>
                <w:sz w:val="22"/>
                <w:lang w:val="en-AU"/>
              </w:rPr>
              <w:t xml:space="preserve"> Initiatives</w:t>
            </w:r>
            <w:r w:rsidRPr="005F7E37">
              <w:rPr>
                <w:rFonts w:asciiTheme="minorHAnsi" w:eastAsia="Times New Roman" w:hAnsiTheme="minorHAnsi" w:cstheme="minorHAnsi"/>
                <w:color w:val="000000"/>
                <w:kern w:val="0"/>
                <w:sz w:val="22"/>
                <w:lang w:val="en-AU" w:eastAsia="en-US"/>
              </w:rPr>
              <w:t xml:space="preserve"> described earlier in this document.</w:t>
            </w:r>
          </w:p>
        </w:tc>
        <w:tc>
          <w:tcPr>
            <w:tcW w:w="6368" w:type="dxa"/>
          </w:tcPr>
          <w:p w:rsidR="00A561E2" w:rsidRPr="005F7E37" w:rsidRDefault="00A561E2"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Elements of the Youth Employment Strategy have been progressively implemented since 1 January 2016.</w:t>
            </w:r>
          </w:p>
        </w:tc>
      </w:tr>
      <w:tr w:rsidR="00AD4BB5" w:rsidRPr="005F7E37" w:rsidTr="00413837">
        <w:trPr>
          <w:trHeight w:val="700"/>
        </w:trPr>
        <w:tc>
          <w:tcPr>
            <w:tcW w:w="8227" w:type="dxa"/>
            <w:tcBorders>
              <w:top w:val="single" w:sz="4" w:space="0" w:color="auto"/>
              <w:left w:val="single" w:sz="4" w:space="0" w:color="auto"/>
              <w:bottom w:val="single" w:sz="4" w:space="0" w:color="auto"/>
              <w:right w:val="single" w:sz="4" w:space="0" w:color="auto"/>
            </w:tcBorders>
          </w:tcPr>
          <w:p w:rsidR="00AD4BB5" w:rsidRPr="005F7E37" w:rsidRDefault="00AD4BB5" w:rsidP="00234E01">
            <w:pPr>
              <w:jc w:val="left"/>
              <w:rPr>
                <w:rFonts w:asciiTheme="minorHAnsi" w:hAnsiTheme="minorHAnsi" w:cstheme="minorHAnsi"/>
                <w:b/>
                <w:color w:val="000000"/>
                <w:sz w:val="22"/>
                <w:lang w:val="en-GB"/>
              </w:rPr>
            </w:pPr>
            <w:r w:rsidRPr="005F7E37">
              <w:rPr>
                <w:rFonts w:asciiTheme="minorHAnsi" w:hAnsiTheme="minorHAnsi" w:cstheme="minorHAnsi"/>
                <w:b/>
                <w:color w:val="000000"/>
                <w:sz w:val="22"/>
                <w:lang w:val="en-GB"/>
              </w:rPr>
              <w:t>Youth Employment Package</w:t>
            </w:r>
          </w:p>
          <w:p w:rsidR="00AD4BB5" w:rsidRPr="00C82AFC" w:rsidRDefault="00AD4BB5" w:rsidP="00A457FC">
            <w:pPr>
              <w:spacing w:after="240"/>
              <w:rPr>
                <w:rFonts w:asciiTheme="minorHAnsi" w:hAnsiTheme="minorHAnsi" w:cstheme="minorHAnsi"/>
                <w:color w:val="000000"/>
                <w:sz w:val="22"/>
              </w:rPr>
            </w:pPr>
            <w:r w:rsidRPr="00C82AFC">
              <w:rPr>
                <w:rFonts w:asciiTheme="minorHAnsi" w:hAnsiTheme="minorHAnsi" w:cstheme="minorHAnsi"/>
                <w:color w:val="000000"/>
                <w:sz w:val="22"/>
                <w:lang w:val="en-GB"/>
              </w:rPr>
              <w:t xml:space="preserve">The Youth Employment Package helps young people by giving them the skills that employers want, opportunities for work experience and support for the move from welfare to work. The package includes a flexible, three stage Youth Jobs </w:t>
            </w:r>
            <w:proofErr w:type="spellStart"/>
            <w:r w:rsidRPr="00C82AFC">
              <w:rPr>
                <w:rFonts w:asciiTheme="minorHAnsi" w:hAnsiTheme="minorHAnsi" w:cstheme="minorHAnsi"/>
                <w:color w:val="000000"/>
                <w:sz w:val="22"/>
                <w:lang w:val="en-GB"/>
              </w:rPr>
              <w:t>PaTH</w:t>
            </w:r>
            <w:proofErr w:type="spellEnd"/>
            <w:r w:rsidRPr="00C82AFC">
              <w:rPr>
                <w:rFonts w:asciiTheme="minorHAnsi" w:hAnsiTheme="minorHAnsi" w:cstheme="minorHAnsi"/>
                <w:color w:val="000000"/>
                <w:sz w:val="22"/>
                <w:lang w:val="en-GB"/>
              </w:rPr>
              <w:t xml:space="preserve"> (Prepare-Trial-Hire) program and measures to encourage entrepreneurship and self-employment.</w:t>
            </w:r>
          </w:p>
        </w:tc>
        <w:tc>
          <w:tcPr>
            <w:tcW w:w="6368" w:type="dxa"/>
            <w:tcBorders>
              <w:top w:val="single" w:sz="4" w:space="0" w:color="auto"/>
              <w:left w:val="single" w:sz="4" w:space="0" w:color="auto"/>
              <w:bottom w:val="single" w:sz="4" w:space="0" w:color="auto"/>
              <w:right w:val="single" w:sz="4" w:space="0" w:color="auto"/>
            </w:tcBorders>
          </w:tcPr>
          <w:p w:rsidR="00AD4BB5" w:rsidRPr="005F7E37" w:rsidRDefault="00AD4BB5" w:rsidP="00234E01">
            <w:pPr>
              <w:jc w:val="left"/>
              <w:rPr>
                <w:rFonts w:asciiTheme="minorHAnsi" w:hAnsiTheme="minorHAnsi" w:cstheme="minorHAnsi"/>
                <w:color w:val="000000"/>
                <w:sz w:val="22"/>
                <w:lang w:val="en-GB"/>
              </w:rPr>
            </w:pPr>
            <w:r w:rsidRPr="005F7E37">
              <w:rPr>
                <w:rFonts w:asciiTheme="minorHAnsi" w:hAnsiTheme="minorHAnsi" w:cstheme="minorHAnsi"/>
                <w:sz w:val="22"/>
              </w:rPr>
              <w:t>The measures comprising the Youth Employment Package were implemented between December 2016 and April 2017.</w:t>
            </w:r>
          </w:p>
          <w:p w:rsidR="00AD4BB5" w:rsidRPr="005F7E37" w:rsidRDefault="00AD4BB5" w:rsidP="00234E01">
            <w:pPr>
              <w:jc w:val="left"/>
              <w:rPr>
                <w:rFonts w:asciiTheme="minorHAnsi" w:hAnsiTheme="minorHAnsi" w:cstheme="minorHAnsi"/>
                <w:color w:val="000000"/>
                <w:sz w:val="22"/>
                <w:lang w:val="en-AU"/>
              </w:rPr>
            </w:pPr>
          </w:p>
        </w:tc>
      </w:tr>
      <w:tr w:rsidR="00A561E2" w:rsidRPr="005F7E37" w:rsidTr="00C44100">
        <w:trPr>
          <w:trHeight w:val="191"/>
        </w:trPr>
        <w:tc>
          <w:tcPr>
            <w:tcW w:w="14595" w:type="dxa"/>
            <w:gridSpan w:val="2"/>
            <w:shd w:val="clear" w:color="auto" w:fill="EEECE1" w:themeFill="background2"/>
            <w:vAlign w:val="center"/>
          </w:tcPr>
          <w:p w:rsidR="00A561E2" w:rsidRPr="005F7E37" w:rsidRDefault="00A561E2" w:rsidP="00234E01">
            <w:pPr>
              <w:jc w:val="left"/>
              <w:rPr>
                <w:rFonts w:asciiTheme="minorHAnsi" w:hAnsiTheme="minorHAnsi" w:cstheme="minorHAnsi"/>
                <w:color w:val="000000"/>
                <w:sz w:val="22"/>
                <w:lang w:val="en-AU"/>
              </w:rPr>
            </w:pPr>
            <w:r w:rsidRPr="005F7E37">
              <w:rPr>
                <w:rFonts w:asciiTheme="minorHAnsi" w:hAnsiTheme="minorHAnsi" w:cstheme="minorHAnsi"/>
                <w:b/>
                <w:bCs/>
                <w:color w:val="000000"/>
                <w:sz w:val="22"/>
                <w:lang w:val="en-AU" w:eastAsia="tr-TR"/>
              </w:rPr>
              <w:lastRenderedPageBreak/>
              <w:t>Improve job opportunities</w:t>
            </w:r>
          </w:p>
        </w:tc>
      </w:tr>
      <w:tr w:rsidR="000C19A3" w:rsidRPr="005F7E37" w:rsidTr="00413837">
        <w:trPr>
          <w:trHeight w:val="700"/>
        </w:trPr>
        <w:tc>
          <w:tcPr>
            <w:tcW w:w="8227" w:type="dxa"/>
            <w:vAlign w:val="center"/>
          </w:tcPr>
          <w:p w:rsidR="000C19A3" w:rsidRPr="005F7E37" w:rsidRDefault="000C19A3" w:rsidP="00FB24B3">
            <w:pPr>
              <w:jc w:val="left"/>
              <w:rPr>
                <w:rFonts w:asciiTheme="minorHAnsi" w:hAnsiTheme="minorHAnsi" w:cstheme="minorHAnsi"/>
                <w:b/>
                <w:bCs/>
                <w:color w:val="000000"/>
                <w:sz w:val="22"/>
                <w:lang w:val="en-AU"/>
              </w:rPr>
            </w:pPr>
            <w:r w:rsidRPr="005F7E37">
              <w:rPr>
                <w:rFonts w:asciiTheme="minorHAnsi" w:hAnsiTheme="minorHAnsi" w:cstheme="minorHAnsi"/>
                <w:b/>
                <w:color w:val="000000"/>
                <w:sz w:val="22"/>
                <w:lang w:val="en-AU"/>
              </w:rPr>
              <w:t>National Work Experience Programme</w:t>
            </w:r>
          </w:p>
          <w:p w:rsidR="000C19A3" w:rsidRPr="005F7E37" w:rsidRDefault="000C19A3" w:rsidP="00FB24B3">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The National Work Experience Programme assist</w:t>
            </w:r>
            <w:r>
              <w:rPr>
                <w:rFonts w:asciiTheme="minorHAnsi" w:hAnsiTheme="minorHAnsi" w:cstheme="minorHAnsi"/>
                <w:color w:val="000000"/>
                <w:sz w:val="22"/>
                <w:lang w:val="en-AU"/>
              </w:rPr>
              <w:t>s</w:t>
            </w:r>
            <w:r w:rsidRPr="005F7E37">
              <w:rPr>
                <w:rFonts w:asciiTheme="minorHAnsi" w:hAnsiTheme="minorHAnsi" w:cstheme="minorHAnsi"/>
                <w:color w:val="000000"/>
                <w:sz w:val="22"/>
                <w:lang w:val="en-AU"/>
              </w:rPr>
              <w:t xml:space="preserve"> young job seekers in particular to develop practical skills, gain workplace experience and better connect them with real jobs.</w:t>
            </w:r>
          </w:p>
          <w:p w:rsidR="000C19A3" w:rsidRPr="005F7E37" w:rsidRDefault="000C19A3"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Programme will </w:t>
            </w:r>
            <w:r>
              <w:rPr>
                <w:rFonts w:asciiTheme="minorHAnsi" w:hAnsiTheme="minorHAnsi" w:cstheme="minorHAnsi"/>
                <w:color w:val="000000"/>
                <w:sz w:val="22"/>
                <w:lang w:val="en-AU"/>
              </w:rPr>
              <w:t>be expanded from 6,000 to 10,000 places per year from July 2018, at the same time that financial incentives will be introduced to encourage more businesses to offer work experience placements</w:t>
            </w:r>
            <w:r w:rsidRPr="005F7E37">
              <w:rPr>
                <w:rFonts w:asciiTheme="minorHAnsi" w:hAnsiTheme="minorHAnsi" w:cstheme="minorHAnsi"/>
                <w:color w:val="000000"/>
                <w:sz w:val="22"/>
                <w:lang w:val="en-AU"/>
              </w:rPr>
              <w:t>.</w:t>
            </w:r>
          </w:p>
        </w:tc>
        <w:tc>
          <w:tcPr>
            <w:tcW w:w="6368" w:type="dxa"/>
          </w:tcPr>
          <w:p w:rsidR="000C19A3" w:rsidRPr="005F7E37" w:rsidRDefault="000C19A3" w:rsidP="00234E01">
            <w:pPr>
              <w:jc w:val="left"/>
              <w:rPr>
                <w:rFonts w:asciiTheme="minorHAnsi" w:hAnsiTheme="minorHAnsi" w:cstheme="minorHAnsi"/>
                <w:color w:val="000000"/>
                <w:sz w:val="22"/>
                <w:lang w:val="en-AU"/>
              </w:rPr>
            </w:pPr>
            <w:r w:rsidRPr="005F7E37">
              <w:rPr>
                <w:rFonts w:asciiTheme="minorHAnsi" w:hAnsiTheme="minorHAnsi" w:cstheme="minorHAnsi"/>
                <w:color w:val="000000"/>
                <w:sz w:val="22"/>
                <w:lang w:val="en-AU"/>
              </w:rPr>
              <w:t xml:space="preserve">The </w:t>
            </w:r>
            <w:r>
              <w:rPr>
                <w:rFonts w:asciiTheme="minorHAnsi" w:hAnsiTheme="minorHAnsi" w:cstheme="minorHAnsi"/>
                <w:color w:val="000000"/>
                <w:sz w:val="22"/>
                <w:lang w:val="en-AU"/>
              </w:rPr>
              <w:t xml:space="preserve">Programme commenced </w:t>
            </w:r>
            <w:r w:rsidRPr="005F7E37">
              <w:rPr>
                <w:rFonts w:asciiTheme="minorHAnsi" w:hAnsiTheme="minorHAnsi" w:cstheme="minorHAnsi"/>
                <w:color w:val="000000"/>
                <w:sz w:val="22"/>
                <w:lang w:val="en-AU"/>
              </w:rPr>
              <w:t>on 1 October 2015</w:t>
            </w:r>
            <w:r>
              <w:rPr>
                <w:rFonts w:asciiTheme="minorHAnsi" w:hAnsiTheme="minorHAnsi" w:cstheme="minorHAnsi"/>
                <w:color w:val="000000"/>
                <w:sz w:val="22"/>
                <w:lang w:val="en-AU"/>
              </w:rPr>
              <w:t>, while enhancements will take effect on 1 July 2018</w:t>
            </w:r>
            <w:r w:rsidRPr="005F7E37">
              <w:rPr>
                <w:rFonts w:asciiTheme="minorHAnsi" w:hAnsiTheme="minorHAnsi" w:cstheme="minorHAnsi"/>
                <w:color w:val="000000"/>
                <w:sz w:val="22"/>
                <w:lang w:val="en-AU"/>
              </w:rPr>
              <w:t>.</w:t>
            </w:r>
          </w:p>
        </w:tc>
      </w:tr>
    </w:tbl>
    <w:p w:rsidR="00A561E2" w:rsidRPr="005F7E37" w:rsidRDefault="00A561E2" w:rsidP="00AD08D5">
      <w:pPr>
        <w:autoSpaceDE w:val="0"/>
        <w:autoSpaceDN w:val="0"/>
        <w:adjustRightInd w:val="0"/>
        <w:spacing w:after="240"/>
        <w:rPr>
          <w:rFonts w:asciiTheme="minorHAnsi" w:hAnsiTheme="minorHAnsi" w:cstheme="minorHAnsi"/>
          <w:color w:val="000000"/>
          <w:lang w:val="en-AU"/>
        </w:rPr>
        <w:sectPr w:rsidR="00A561E2" w:rsidRPr="005F7E37" w:rsidSect="00413837">
          <w:headerReference w:type="default" r:id="rId23"/>
          <w:footerReference w:type="default" r:id="rId24"/>
          <w:pgSz w:w="16783" w:h="11850" w:orient="landscape"/>
          <w:pgMar w:top="2835" w:right="1134" w:bottom="1134" w:left="1134" w:header="851" w:footer="992" w:gutter="0"/>
          <w:cols w:space="720"/>
          <w:docGrid w:linePitch="326"/>
        </w:sectPr>
      </w:pPr>
    </w:p>
    <w:p w:rsidR="00C85267" w:rsidRPr="003B28FD" w:rsidRDefault="00C85267" w:rsidP="00A457FC">
      <w:pPr>
        <w:pStyle w:val="Heading2"/>
      </w:pPr>
      <w:bookmarkStart w:id="182" w:name="_Toc485739913"/>
      <w:bookmarkStart w:id="183" w:name="_Toc485740315"/>
      <w:bookmarkStart w:id="184" w:name="_Toc485740419"/>
      <w:bookmarkStart w:id="185" w:name="_Toc487107051"/>
      <w:bookmarkStart w:id="186" w:name="_Toc487110339"/>
      <w:r w:rsidRPr="003B28FD">
        <w:lastRenderedPageBreak/>
        <w:t>Commitment to promote safer and healthier workplaces</w:t>
      </w:r>
      <w:bookmarkEnd w:id="182"/>
      <w:bookmarkEnd w:id="183"/>
      <w:bookmarkEnd w:id="184"/>
      <w:bookmarkEnd w:id="185"/>
      <w:bookmarkEnd w:id="186"/>
    </w:p>
    <w:p w:rsidR="00A612B1" w:rsidRPr="00A612B1" w:rsidRDefault="002C3C6B" w:rsidP="00A612B1">
      <w:pPr>
        <w:spacing w:after="240"/>
        <w:ind w:left="-1276"/>
        <w:rPr>
          <w:color w:val="000000"/>
          <w:sz w:val="22"/>
        </w:rPr>
      </w:pPr>
      <w:r w:rsidRPr="00A612B1">
        <w:rPr>
          <w:color w:val="000000"/>
          <w:sz w:val="22"/>
        </w:rPr>
        <w:t xml:space="preserve">A range of actions taken under </w:t>
      </w:r>
      <w:r w:rsidRPr="00A612B1">
        <w:rPr>
          <w:i/>
          <w:color w:val="000000"/>
          <w:sz w:val="22"/>
        </w:rPr>
        <w:t xml:space="preserve">Australia’s Work Health and Safety Strategy 2012-2022 </w:t>
      </w:r>
      <w:r w:rsidRPr="00A612B1">
        <w:rPr>
          <w:color w:val="000000"/>
          <w:sz w:val="22"/>
        </w:rPr>
        <w:t xml:space="preserve">are relevant to the recommendations of the G20 Labour and Employment Ministers set out in their 2014 </w:t>
      </w:r>
      <w:r w:rsidRPr="00A612B1">
        <w:rPr>
          <w:i/>
          <w:color w:val="000000"/>
          <w:sz w:val="22"/>
        </w:rPr>
        <w:t>G20 Statement on Safer and Healthier Workplaces</w:t>
      </w:r>
      <w:r w:rsidRPr="00A612B1">
        <w:rPr>
          <w:color w:val="000000"/>
          <w:sz w:val="22"/>
        </w:rPr>
        <w:t xml:space="preserve">. </w:t>
      </w:r>
    </w:p>
    <w:p w:rsidR="002C3C6B" w:rsidRDefault="002C3C6B" w:rsidP="00A612B1">
      <w:pPr>
        <w:spacing w:after="240"/>
        <w:ind w:left="-1276"/>
        <w:rPr>
          <w:rFonts w:asciiTheme="minorHAnsi" w:hAnsiTheme="minorHAnsi" w:cs="Calibri"/>
          <w:color w:val="000000"/>
          <w:sz w:val="22"/>
        </w:rPr>
      </w:pPr>
      <w:r w:rsidRPr="00A612B1">
        <w:rPr>
          <w:rFonts w:cs="Calibri"/>
          <w:color w:val="000000"/>
          <w:sz w:val="22"/>
        </w:rPr>
        <w:t>Australia has steadily improved its work health and safety performanc</w:t>
      </w:r>
      <w:r w:rsidR="00AE7362">
        <w:rPr>
          <w:rFonts w:cs="Calibri"/>
          <w:color w:val="000000"/>
          <w:sz w:val="22"/>
        </w:rPr>
        <w:t>e over the last decade (Chart 3</w:t>
      </w:r>
      <w:r w:rsidRPr="00A612B1">
        <w:rPr>
          <w:rFonts w:cs="Calibri"/>
          <w:color w:val="000000"/>
          <w:sz w:val="22"/>
        </w:rPr>
        <w:t xml:space="preserve">). Between 2007 and 2015, there was a 44 per cent decrease in the incidence rate of traumatic injury fatalities. The rate of serious workers’ compensation claims for injury and disease has also declined by </w:t>
      </w:r>
      <w:r w:rsidRPr="00A612B1">
        <w:rPr>
          <w:rFonts w:cs="Calibri"/>
          <w:color w:val="000000"/>
          <w:sz w:val="22"/>
        </w:rPr>
        <w:br/>
        <w:t xml:space="preserve">38 per cent, </w:t>
      </w:r>
      <w:r w:rsidRPr="00F80B32">
        <w:rPr>
          <w:rFonts w:asciiTheme="minorHAnsi" w:hAnsiTheme="minorHAnsi" w:cs="Calibri"/>
          <w:color w:val="000000"/>
          <w:sz w:val="22"/>
        </w:rPr>
        <w:t>from 16 claims per 1000 employees in 2000-01 to 10 claims per 1000 employees in 2014-15</w:t>
      </w:r>
      <w:r w:rsidR="00E37D82">
        <w:rPr>
          <w:rFonts w:asciiTheme="minorHAnsi" w:hAnsiTheme="minorHAnsi" w:cs="Calibri"/>
          <w:color w:val="000000"/>
          <w:sz w:val="22"/>
        </w:rPr>
        <w:t>.</w:t>
      </w:r>
    </w:p>
    <w:p w:rsidR="00032CAD" w:rsidRDefault="00F80B32" w:rsidP="00A457FC">
      <w:pPr>
        <w:pStyle w:val="TableHeadingH3"/>
        <w:rPr>
          <w:sz w:val="20"/>
        </w:rPr>
      </w:pPr>
      <w:bookmarkStart w:id="187" w:name="_Toc487107052"/>
      <w:bookmarkStart w:id="188" w:name="_Toc487110340"/>
      <w:r w:rsidRPr="00A457FC">
        <w:rPr>
          <w:sz w:val="20"/>
        </w:rPr>
        <w:t xml:space="preserve">Chart </w:t>
      </w:r>
      <w:r w:rsidR="00AE7362" w:rsidRPr="00A457FC">
        <w:rPr>
          <w:sz w:val="20"/>
        </w:rPr>
        <w:t>3</w:t>
      </w:r>
      <w:r w:rsidRPr="00A457FC">
        <w:rPr>
          <w:sz w:val="20"/>
        </w:rPr>
        <w:t>: Worker fatalities: number of fatalities and fatality rate, 2003 to 2015</w:t>
      </w:r>
      <w:bookmarkEnd w:id="187"/>
      <w:bookmarkEnd w:id="188"/>
    </w:p>
    <w:p w:rsidR="00A457FC" w:rsidRDefault="00A457FC" w:rsidP="00E91361">
      <w:pPr>
        <w:ind w:left="-1276"/>
      </w:pPr>
      <w:bookmarkStart w:id="189" w:name="_Toc487107053"/>
      <w:bookmarkStart w:id="190" w:name="_Toc487110341"/>
      <w:r w:rsidRPr="00E91361">
        <w:rPr>
          <w:noProof/>
          <w:lang w:val="en-AU" w:eastAsia="en-AU"/>
        </w:rPr>
        <w:drawing>
          <wp:inline distT="0" distB="0" distL="0" distR="0" wp14:anchorId="2F0E2BFE" wp14:editId="4DBA7914">
            <wp:extent cx="6041390" cy="3365500"/>
            <wp:effectExtent l="0" t="0" r="0" b="6350"/>
            <wp:docPr id="3" name="Picture 3" descr="The chart shows that both the number of deaths and the deaths per 100,000 workers have fallen since a peak in 2007. In 2015 there were approximately 200 worker fatalities (1.6 per 100,000), down from more than 300 fatalities (3 per 100,000) in 2007." title="Chart 3: Worker fatalities: number of fatalities and fatality rate, 2003 to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41390" cy="3365500"/>
                    </a:xfrm>
                    <a:prstGeom prst="rect">
                      <a:avLst/>
                    </a:prstGeom>
                    <a:noFill/>
                  </pic:spPr>
                </pic:pic>
              </a:graphicData>
            </a:graphic>
          </wp:inline>
        </w:drawing>
      </w:r>
      <w:bookmarkEnd w:id="189"/>
      <w:bookmarkEnd w:id="190"/>
    </w:p>
    <w:p w:rsidR="00C85267" w:rsidRPr="00F80B32" w:rsidRDefault="00FA6F5F" w:rsidP="00032CAD">
      <w:pPr>
        <w:keepNext/>
        <w:spacing w:after="240"/>
        <w:ind w:hanging="1260"/>
        <w:jc w:val="center"/>
        <w:rPr>
          <w:rFonts w:asciiTheme="minorHAnsi" w:hAnsiTheme="minorHAnsi" w:cstheme="minorHAnsi"/>
          <w:color w:val="000000"/>
        </w:rPr>
      </w:pPr>
      <w:r w:rsidRPr="00F80B32">
        <w:rPr>
          <w:rFonts w:asciiTheme="minorHAnsi" w:hAnsiTheme="minorHAnsi"/>
          <w:color w:val="000000"/>
          <w:sz w:val="18"/>
          <w:szCs w:val="18"/>
        </w:rPr>
        <w:t xml:space="preserve">Safe Work Australia, </w:t>
      </w:r>
      <w:r w:rsidRPr="00F80B32">
        <w:rPr>
          <w:rFonts w:asciiTheme="minorHAnsi" w:hAnsiTheme="minorHAnsi"/>
          <w:i/>
          <w:iCs/>
          <w:color w:val="000000"/>
          <w:sz w:val="18"/>
          <w:szCs w:val="18"/>
        </w:rPr>
        <w:t>Work-related Traumatic Injury Fatalities Australia, 2015</w:t>
      </w:r>
      <w:r w:rsidRPr="00F80B32">
        <w:rPr>
          <w:rFonts w:asciiTheme="minorHAnsi" w:hAnsiTheme="minorHAnsi"/>
          <w:color w:val="000000"/>
          <w:sz w:val="18"/>
          <w:szCs w:val="18"/>
        </w:rPr>
        <w:t xml:space="preserve"> (published October 2016)</w:t>
      </w:r>
    </w:p>
    <w:p w:rsidR="00C85267" w:rsidRPr="005F7E37" w:rsidRDefault="00C85267" w:rsidP="00AD08D5">
      <w:pPr>
        <w:spacing w:after="240"/>
        <w:rPr>
          <w:rFonts w:asciiTheme="minorHAnsi" w:hAnsiTheme="minorHAnsi" w:cstheme="minorHAnsi"/>
          <w:b/>
          <w:bCs/>
          <w:color w:val="000000"/>
        </w:rPr>
        <w:sectPr w:rsidR="00C85267" w:rsidRPr="005F7E37" w:rsidSect="00AD53DD">
          <w:headerReference w:type="default" r:id="rId26"/>
          <w:footerReference w:type="default" r:id="rId27"/>
          <w:pgSz w:w="11906" w:h="16838"/>
          <w:pgMar w:top="1508" w:right="1302" w:bottom="1134" w:left="2441" w:header="708" w:footer="708" w:gutter="0"/>
          <w:cols w:space="708"/>
          <w:docGrid w:linePitch="360"/>
        </w:sectPr>
      </w:pPr>
    </w:p>
    <w:p w:rsidR="00C85267" w:rsidRPr="005F7E37" w:rsidRDefault="00C85267" w:rsidP="00A457FC">
      <w:pPr>
        <w:pStyle w:val="Heading2"/>
      </w:pPr>
      <w:bookmarkStart w:id="191" w:name="_Toc485739914"/>
      <w:bookmarkStart w:id="192" w:name="_Toc485740316"/>
      <w:bookmarkStart w:id="193" w:name="_Toc485740420"/>
      <w:bookmarkStart w:id="194" w:name="_Toc487107054"/>
      <w:bookmarkStart w:id="195" w:name="_Toc487110342"/>
      <w:r w:rsidRPr="005F7E37">
        <w:lastRenderedPageBreak/>
        <w:t>Key measures introduced in pursuit of safer and healthier workplaces</w:t>
      </w:r>
      <w:bookmarkEnd w:id="191"/>
      <w:bookmarkEnd w:id="192"/>
      <w:bookmarkEnd w:id="193"/>
      <w:bookmarkEnd w:id="194"/>
      <w:bookmarkEnd w:id="195"/>
    </w:p>
    <w:tbl>
      <w:tblPr>
        <w:tblW w:w="143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8"/>
        <w:gridCol w:w="7"/>
        <w:gridCol w:w="7222"/>
      </w:tblGrid>
      <w:tr w:rsidR="00C44100" w:rsidRPr="005F7E37" w:rsidTr="00A457FC">
        <w:trPr>
          <w:trHeight w:val="145"/>
          <w:tblHeader/>
        </w:trPr>
        <w:tc>
          <w:tcPr>
            <w:tcW w:w="7095" w:type="dxa"/>
            <w:gridSpan w:val="2"/>
            <w:shd w:val="clear" w:color="auto" w:fill="EEECE1" w:themeFill="background2"/>
          </w:tcPr>
          <w:p w:rsidR="00C44100" w:rsidRPr="00C44100" w:rsidRDefault="00C44100" w:rsidP="00234E01">
            <w:pPr>
              <w:jc w:val="left"/>
              <w:rPr>
                <w:rFonts w:asciiTheme="minorHAnsi" w:hAnsiTheme="minorHAnsi" w:cstheme="minorHAnsi"/>
                <w:b/>
                <w:bCs/>
                <w:i/>
                <w:color w:val="000000"/>
                <w:lang w:val="en-GB" w:eastAsia="tr-TR"/>
              </w:rPr>
            </w:pPr>
            <w:r w:rsidRPr="00C44100">
              <w:rPr>
                <w:rFonts w:asciiTheme="minorHAnsi" w:hAnsiTheme="minorHAnsi" w:cstheme="minorHAnsi"/>
                <w:b/>
                <w:bCs/>
                <w:color w:val="000000"/>
                <w:lang w:val="en-GB"/>
              </w:rPr>
              <w:t>Policy commitment / description</w:t>
            </w:r>
          </w:p>
        </w:tc>
        <w:tc>
          <w:tcPr>
            <w:tcW w:w="7222" w:type="dxa"/>
            <w:shd w:val="clear" w:color="auto" w:fill="EEECE1" w:themeFill="background2"/>
          </w:tcPr>
          <w:p w:rsidR="00C44100" w:rsidRPr="00C44100" w:rsidRDefault="00C44100" w:rsidP="00C44100">
            <w:pPr>
              <w:jc w:val="left"/>
              <w:rPr>
                <w:rFonts w:asciiTheme="minorHAnsi" w:hAnsiTheme="minorHAnsi" w:cstheme="minorHAnsi"/>
                <w:b/>
                <w:bCs/>
                <w:i/>
                <w:color w:val="000000"/>
                <w:lang w:val="en-GB" w:eastAsia="tr-TR"/>
              </w:rPr>
            </w:pPr>
            <w:r w:rsidRPr="005F7E37">
              <w:rPr>
                <w:rFonts w:asciiTheme="minorHAnsi" w:hAnsiTheme="minorHAnsi" w:cstheme="minorHAnsi"/>
                <w:b/>
                <w:bCs/>
                <w:color w:val="000000"/>
                <w:lang w:val="en-GB"/>
              </w:rPr>
              <w:t>Status of implementation and results achieved</w:t>
            </w:r>
          </w:p>
        </w:tc>
      </w:tr>
      <w:tr w:rsidR="00C44100" w:rsidRPr="005F7E37" w:rsidTr="00C44100">
        <w:trPr>
          <w:trHeight w:val="145"/>
        </w:trPr>
        <w:tc>
          <w:tcPr>
            <w:tcW w:w="14317" w:type="dxa"/>
            <w:gridSpan w:val="3"/>
            <w:shd w:val="clear" w:color="auto" w:fill="EEECE1" w:themeFill="background2"/>
            <w:vAlign w:val="center"/>
          </w:tcPr>
          <w:p w:rsidR="00C44100" w:rsidRPr="00C44100" w:rsidRDefault="00C44100" w:rsidP="00234E01">
            <w:pPr>
              <w:jc w:val="left"/>
              <w:rPr>
                <w:rFonts w:asciiTheme="minorHAnsi" w:hAnsiTheme="minorHAnsi" w:cstheme="minorHAnsi"/>
                <w:b/>
                <w:bCs/>
                <w:i/>
                <w:color w:val="000000"/>
                <w:lang w:val="en-GB" w:eastAsia="tr-TR"/>
              </w:rPr>
            </w:pPr>
            <w:r w:rsidRPr="00C44100">
              <w:rPr>
                <w:rFonts w:asciiTheme="minorHAnsi" w:hAnsiTheme="minorHAnsi" w:cstheme="minorHAnsi"/>
                <w:b/>
                <w:bCs/>
                <w:i/>
                <w:color w:val="000000"/>
                <w:lang w:val="en-GB" w:eastAsia="tr-TR"/>
              </w:rPr>
              <w:t>Ongoing assessments and effective incentives and advisory services provided by national safety and health bodies</w:t>
            </w:r>
          </w:p>
        </w:tc>
      </w:tr>
      <w:tr w:rsidR="00C44100" w:rsidRPr="005F7E37" w:rsidTr="00AD53DD">
        <w:trPr>
          <w:trHeight w:val="1298"/>
        </w:trPr>
        <w:tc>
          <w:tcPr>
            <w:tcW w:w="7088" w:type="dxa"/>
          </w:tcPr>
          <w:p w:rsidR="00C44100" w:rsidRPr="005F7E37" w:rsidRDefault="00C44100" w:rsidP="00234E01">
            <w:pPr>
              <w:jc w:val="left"/>
              <w:rPr>
                <w:rFonts w:asciiTheme="minorHAnsi" w:hAnsiTheme="minorHAnsi" w:cstheme="minorHAnsi"/>
                <w:color w:val="000000"/>
                <w:sz w:val="22"/>
              </w:rPr>
            </w:pPr>
            <w:r w:rsidRPr="005F7E37">
              <w:rPr>
                <w:rFonts w:asciiTheme="minorHAnsi" w:hAnsiTheme="minorHAnsi" w:cstheme="minorHAnsi"/>
                <w:color w:val="000000"/>
                <w:sz w:val="22"/>
              </w:rPr>
              <w:t xml:space="preserve">Australia has a range of work health and safety (WHS) bodies focused on providing advice and guidance to worker and employers to improve work health and safety outcomes. </w:t>
            </w:r>
          </w:p>
          <w:p w:rsidR="00C44100" w:rsidRPr="005F7E37" w:rsidRDefault="00C44100" w:rsidP="00234E01">
            <w:pPr>
              <w:jc w:val="left"/>
              <w:rPr>
                <w:rFonts w:asciiTheme="minorHAnsi" w:hAnsiTheme="minorHAnsi" w:cstheme="minorHAnsi"/>
                <w:color w:val="000000"/>
                <w:sz w:val="22"/>
                <w:lang w:val="en-GB"/>
              </w:rPr>
            </w:pPr>
          </w:p>
        </w:tc>
        <w:tc>
          <w:tcPr>
            <w:tcW w:w="7229" w:type="dxa"/>
            <w:gridSpan w:val="2"/>
          </w:tcPr>
          <w:p w:rsidR="00C44100" w:rsidRPr="005F7E37" w:rsidRDefault="00C44100" w:rsidP="00234E01">
            <w:pPr>
              <w:jc w:val="left"/>
              <w:rPr>
                <w:rFonts w:asciiTheme="minorHAnsi" w:hAnsiTheme="minorHAnsi" w:cstheme="minorHAnsi"/>
                <w:color w:val="000000"/>
                <w:sz w:val="22"/>
                <w:u w:val="single"/>
              </w:rPr>
            </w:pPr>
            <w:r w:rsidRPr="005F7E37">
              <w:rPr>
                <w:rFonts w:asciiTheme="minorHAnsi" w:hAnsiTheme="minorHAnsi" w:cstheme="minorHAnsi"/>
                <w:color w:val="000000"/>
                <w:sz w:val="22"/>
              </w:rPr>
              <w:t>In addition to Safe Work Australia</w:t>
            </w:r>
            <w:r>
              <w:rPr>
                <w:rFonts w:asciiTheme="minorHAnsi" w:hAnsiTheme="minorHAnsi" w:cstheme="minorHAnsi"/>
                <w:color w:val="000000"/>
                <w:sz w:val="22"/>
              </w:rPr>
              <w:t xml:space="preserve"> (SWA)</w:t>
            </w:r>
            <w:r w:rsidRPr="005F7E37">
              <w:rPr>
                <w:rFonts w:asciiTheme="minorHAnsi" w:hAnsiTheme="minorHAnsi" w:cstheme="minorHAnsi"/>
                <w:color w:val="000000"/>
                <w:sz w:val="22"/>
              </w:rPr>
              <w:t xml:space="preserve">, which leads the development of national policy to improve WHS and workers’ compensation arrangements, there are a range of safety regulators responsible for specific industries (including mining, maritime, construction, road, rail and air) and specific issues (such as regulation of hazardous chemicals, explosives and asbestos). </w:t>
            </w:r>
          </w:p>
        </w:tc>
      </w:tr>
      <w:tr w:rsidR="00C44100" w:rsidRPr="005F7E37" w:rsidTr="00C44100">
        <w:trPr>
          <w:trHeight w:val="64"/>
        </w:trPr>
        <w:tc>
          <w:tcPr>
            <w:tcW w:w="14317" w:type="dxa"/>
            <w:gridSpan w:val="3"/>
            <w:shd w:val="clear" w:color="auto" w:fill="EEECE1" w:themeFill="background2"/>
            <w:vAlign w:val="center"/>
          </w:tcPr>
          <w:p w:rsidR="00C44100" w:rsidRPr="005F7E37" w:rsidRDefault="00C44100" w:rsidP="00234E01">
            <w:pPr>
              <w:shd w:val="clear" w:color="auto" w:fill="F2F2F2"/>
              <w:jc w:val="left"/>
              <w:rPr>
                <w:rFonts w:asciiTheme="minorHAnsi" w:hAnsiTheme="minorHAnsi" w:cstheme="minorHAnsi"/>
                <w:b/>
                <w:i/>
                <w:color w:val="000000"/>
                <w:sz w:val="22"/>
                <w:lang w:val="en-GB"/>
              </w:rPr>
            </w:pPr>
            <w:r w:rsidRPr="005F7E37">
              <w:rPr>
                <w:rFonts w:asciiTheme="minorHAnsi" w:hAnsiTheme="minorHAnsi" w:cstheme="minorHAnsi"/>
                <w:b/>
                <w:i/>
                <w:color w:val="000000"/>
                <w:sz w:val="22"/>
                <w:lang w:val="en-GB"/>
              </w:rPr>
              <w:t>Strengthened legislation and resource for prevention and compensation, training, compliance assistance and enforcement efforts</w:t>
            </w:r>
          </w:p>
        </w:tc>
      </w:tr>
      <w:tr w:rsidR="00C44100" w:rsidRPr="005F7E37" w:rsidTr="00AD53DD">
        <w:trPr>
          <w:trHeight w:val="795"/>
        </w:trPr>
        <w:tc>
          <w:tcPr>
            <w:tcW w:w="7088" w:type="dxa"/>
            <w:shd w:val="clear" w:color="auto" w:fill="auto"/>
          </w:tcPr>
          <w:p w:rsidR="00C44100" w:rsidRPr="005F7E37" w:rsidRDefault="00C44100" w:rsidP="0012509C">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t xml:space="preserve">The </w:t>
            </w:r>
            <w:r w:rsidRPr="005F7E37">
              <w:rPr>
                <w:rFonts w:asciiTheme="minorHAnsi" w:hAnsiTheme="minorHAnsi" w:cstheme="minorHAnsi"/>
                <w:i/>
                <w:color w:val="000000"/>
                <w:sz w:val="22"/>
              </w:rPr>
              <w:t>Inter-Governmental</w:t>
            </w:r>
            <w:r w:rsidRPr="005F7E37">
              <w:rPr>
                <w:rFonts w:asciiTheme="minorHAnsi" w:hAnsiTheme="minorHAnsi" w:cstheme="minorHAnsi"/>
                <w:color w:val="000000"/>
                <w:sz w:val="22"/>
              </w:rPr>
              <w:t xml:space="preserve"> </w:t>
            </w:r>
            <w:r w:rsidRPr="005F7E37">
              <w:rPr>
                <w:rFonts w:asciiTheme="minorHAnsi" w:hAnsiTheme="minorHAnsi" w:cstheme="minorHAnsi"/>
                <w:i/>
                <w:color w:val="000000"/>
                <w:sz w:val="22"/>
                <w:lang w:val="en-GB"/>
              </w:rPr>
              <w:t>Agreement for Regulatory and Operational Reform in Occupational Health and Safety</w:t>
            </w:r>
            <w:r w:rsidRPr="005F7E37">
              <w:rPr>
                <w:rFonts w:asciiTheme="minorHAnsi" w:hAnsiTheme="minorHAnsi" w:cstheme="minorHAnsi"/>
                <w:color w:val="000000"/>
                <w:sz w:val="22"/>
              </w:rPr>
              <w:t xml:space="preserve">, which was adopted in 2008, committed all states, territories and the </w:t>
            </w:r>
            <w:r w:rsidRPr="002E597C">
              <w:rPr>
                <w:rFonts w:asciiTheme="minorHAnsi" w:hAnsiTheme="minorHAnsi" w:cstheme="minorHAnsi"/>
                <w:color w:val="000000"/>
                <w:sz w:val="22"/>
              </w:rPr>
              <w:t>Commonwealth to</w:t>
            </w:r>
            <w:r w:rsidRPr="005F7E37">
              <w:rPr>
                <w:rFonts w:asciiTheme="minorHAnsi" w:hAnsiTheme="minorHAnsi" w:cstheme="minorHAnsi"/>
                <w:color w:val="000000"/>
                <w:sz w:val="22"/>
              </w:rPr>
              <w:t xml:space="preserve"> adopt uniform WHS laws comprised of a model Act, supported by model Regulations and Codes of Practice complemented by a nationally consistent approach to compliance and enforcement.</w:t>
            </w:r>
          </w:p>
        </w:tc>
        <w:tc>
          <w:tcPr>
            <w:tcW w:w="7229" w:type="dxa"/>
            <w:gridSpan w:val="2"/>
          </w:tcPr>
          <w:p w:rsidR="00C44100" w:rsidRPr="005F7E37" w:rsidRDefault="00C44100" w:rsidP="00234E01">
            <w:pPr>
              <w:jc w:val="left"/>
              <w:rPr>
                <w:rFonts w:asciiTheme="minorHAnsi" w:hAnsiTheme="minorHAnsi" w:cstheme="minorHAnsi"/>
                <w:color w:val="000000"/>
                <w:sz w:val="22"/>
              </w:rPr>
            </w:pPr>
            <w:r w:rsidRPr="005F7E37">
              <w:rPr>
                <w:rFonts w:asciiTheme="minorHAnsi" w:hAnsiTheme="minorHAnsi" w:cstheme="minorHAnsi"/>
                <w:color w:val="000000"/>
                <w:sz w:val="22"/>
              </w:rPr>
              <w:t xml:space="preserve">The model WHS laws commenced in the </w:t>
            </w:r>
            <w:r w:rsidR="002E597C">
              <w:rPr>
                <w:rFonts w:asciiTheme="minorHAnsi" w:hAnsiTheme="minorHAnsi" w:cstheme="minorHAnsi"/>
                <w:color w:val="000000"/>
                <w:sz w:val="22"/>
              </w:rPr>
              <w:t>Commonwealth</w:t>
            </w:r>
            <w:r w:rsidRPr="005F7E37">
              <w:rPr>
                <w:rFonts w:asciiTheme="minorHAnsi" w:hAnsiTheme="minorHAnsi" w:cstheme="minorHAnsi"/>
                <w:color w:val="000000"/>
                <w:sz w:val="22"/>
              </w:rPr>
              <w:t xml:space="preserve">, New South Wales, Queensland, the Northern Territory and the Australian Capital Territory on </w:t>
            </w:r>
            <w:r w:rsidRPr="005F7E37">
              <w:rPr>
                <w:rFonts w:asciiTheme="minorHAnsi" w:hAnsiTheme="minorHAnsi" w:cstheme="minorHAnsi"/>
                <w:color w:val="000000"/>
                <w:sz w:val="22"/>
              </w:rPr>
              <w:br/>
              <w:t>1 January 2012, and in in Tasmania and South Australia on 1 January 2013. Western Australia and Victoria have yet to implement the model WHS framework, however in both jurisdictions work health and safety is governe</w:t>
            </w:r>
            <w:r>
              <w:rPr>
                <w:rFonts w:asciiTheme="minorHAnsi" w:hAnsiTheme="minorHAnsi" w:cstheme="minorHAnsi"/>
                <w:color w:val="000000"/>
                <w:sz w:val="22"/>
              </w:rPr>
              <w:t xml:space="preserve">d by a similar system of laws. </w:t>
            </w:r>
          </w:p>
          <w:p w:rsidR="00C44100" w:rsidRPr="0012509C" w:rsidRDefault="00C44100" w:rsidP="009A1159">
            <w:pPr>
              <w:jc w:val="left"/>
              <w:rPr>
                <w:rFonts w:asciiTheme="minorHAnsi" w:hAnsiTheme="minorHAnsi" w:cstheme="minorHAnsi"/>
                <w:color w:val="000000"/>
                <w:sz w:val="22"/>
              </w:rPr>
            </w:pPr>
            <w:r w:rsidRPr="005F7E37">
              <w:rPr>
                <w:rFonts w:asciiTheme="minorHAnsi" w:hAnsiTheme="minorHAnsi" w:cstheme="minorHAnsi"/>
                <w:color w:val="000000"/>
                <w:sz w:val="22"/>
              </w:rPr>
              <w:t xml:space="preserve">In 2014 and 2015, </w:t>
            </w:r>
            <w:r w:rsidR="009A1159">
              <w:rPr>
                <w:rFonts w:asciiTheme="minorHAnsi" w:hAnsiTheme="minorHAnsi" w:cstheme="minorHAnsi"/>
                <w:color w:val="000000"/>
                <w:sz w:val="22"/>
              </w:rPr>
              <w:t>federal</w:t>
            </w:r>
            <w:r w:rsidRPr="005F7E37">
              <w:rPr>
                <w:rFonts w:asciiTheme="minorHAnsi" w:hAnsiTheme="minorHAnsi" w:cstheme="minorHAnsi"/>
                <w:color w:val="000000"/>
                <w:sz w:val="22"/>
              </w:rPr>
              <w:t xml:space="preserve">, state and territory governments agreed to a number of changes to improve the model WHS laws, in particular, to reduce their regulatory burden on business. These changes to the model WHS laws were made on 21 March 2016 are now </w:t>
            </w:r>
            <w:r>
              <w:rPr>
                <w:rFonts w:asciiTheme="minorHAnsi" w:hAnsiTheme="minorHAnsi" w:cstheme="minorHAnsi"/>
                <w:color w:val="000000"/>
                <w:sz w:val="22"/>
              </w:rPr>
              <w:t>being</w:t>
            </w:r>
            <w:r w:rsidRPr="005F7E37">
              <w:rPr>
                <w:rFonts w:asciiTheme="minorHAnsi" w:hAnsiTheme="minorHAnsi" w:cstheme="minorHAnsi"/>
                <w:color w:val="000000"/>
                <w:sz w:val="22"/>
              </w:rPr>
              <w:t xml:space="preserve"> implemented by each jurisdiction t</w:t>
            </w:r>
            <w:r>
              <w:rPr>
                <w:rFonts w:asciiTheme="minorHAnsi" w:hAnsiTheme="minorHAnsi" w:cstheme="minorHAnsi"/>
                <w:color w:val="000000"/>
                <w:sz w:val="22"/>
              </w:rPr>
              <w:t>hat has adopted the model laws.</w:t>
            </w:r>
          </w:p>
        </w:tc>
      </w:tr>
      <w:tr w:rsidR="00C44100" w:rsidRPr="005F7E37" w:rsidTr="00AD53DD">
        <w:trPr>
          <w:trHeight w:val="827"/>
        </w:trPr>
        <w:tc>
          <w:tcPr>
            <w:tcW w:w="7088" w:type="dxa"/>
            <w:tcBorders>
              <w:top w:val="single" w:sz="4" w:space="0" w:color="auto"/>
              <w:left w:val="single" w:sz="4" w:space="0" w:color="auto"/>
              <w:bottom w:val="single" w:sz="4" w:space="0" w:color="auto"/>
              <w:right w:val="single" w:sz="4" w:space="0" w:color="auto"/>
            </w:tcBorders>
            <w:shd w:val="clear" w:color="auto" w:fill="auto"/>
          </w:tcPr>
          <w:p w:rsidR="00C44100" w:rsidRPr="005F7E37" w:rsidRDefault="00C44100" w:rsidP="00234E01">
            <w:pPr>
              <w:jc w:val="left"/>
              <w:rPr>
                <w:rFonts w:asciiTheme="minorHAnsi" w:hAnsiTheme="minorHAnsi" w:cstheme="minorHAnsi"/>
                <w:color w:val="000000"/>
                <w:sz w:val="22"/>
              </w:rPr>
            </w:pPr>
            <w:r w:rsidRPr="005F7E37">
              <w:rPr>
                <w:rFonts w:asciiTheme="minorHAnsi" w:hAnsiTheme="minorHAnsi" w:cstheme="minorHAnsi"/>
                <w:color w:val="000000"/>
                <w:sz w:val="22"/>
              </w:rPr>
              <w:t xml:space="preserve">Australian WHS laws are supported by Codes of Practice and non-statutory guidance material to assist duty holders with compliance. </w:t>
            </w:r>
          </w:p>
        </w:tc>
        <w:tc>
          <w:tcPr>
            <w:tcW w:w="7229" w:type="dxa"/>
            <w:gridSpan w:val="2"/>
            <w:tcBorders>
              <w:top w:val="single" w:sz="4" w:space="0" w:color="auto"/>
              <w:left w:val="single" w:sz="4" w:space="0" w:color="auto"/>
              <w:bottom w:val="single" w:sz="4" w:space="0" w:color="auto"/>
              <w:right w:val="single" w:sz="4" w:space="0" w:color="auto"/>
            </w:tcBorders>
            <w:shd w:val="clear" w:color="auto" w:fill="auto"/>
          </w:tcPr>
          <w:p w:rsidR="00C44100" w:rsidRPr="005F7E37" w:rsidRDefault="00C44100" w:rsidP="00234E01">
            <w:pPr>
              <w:jc w:val="left"/>
              <w:rPr>
                <w:rFonts w:asciiTheme="minorHAnsi" w:hAnsiTheme="minorHAnsi" w:cstheme="minorHAnsi"/>
                <w:color w:val="000000"/>
                <w:sz w:val="22"/>
              </w:rPr>
            </w:pPr>
            <w:r w:rsidRPr="005F7E37">
              <w:rPr>
                <w:rFonts w:asciiTheme="minorHAnsi" w:hAnsiTheme="minorHAnsi" w:cstheme="minorHAnsi"/>
                <w:color w:val="000000"/>
                <w:sz w:val="22"/>
              </w:rPr>
              <w:t xml:space="preserve">SWA is responsible for producing these documents and ensuring that they are clear and practical. SWA has recently revised the Model Codes of Practice for a range of work practices. </w:t>
            </w:r>
          </w:p>
        </w:tc>
      </w:tr>
      <w:tr w:rsidR="00C44100" w:rsidRPr="005F7E37" w:rsidTr="00AD53DD">
        <w:trPr>
          <w:trHeight w:val="270"/>
        </w:trPr>
        <w:tc>
          <w:tcPr>
            <w:tcW w:w="7088" w:type="dxa"/>
            <w:tcBorders>
              <w:top w:val="single" w:sz="4" w:space="0" w:color="auto"/>
              <w:left w:val="single" w:sz="4" w:space="0" w:color="auto"/>
              <w:bottom w:val="single" w:sz="4" w:space="0" w:color="auto"/>
              <w:right w:val="single" w:sz="4" w:space="0" w:color="auto"/>
            </w:tcBorders>
            <w:shd w:val="clear" w:color="auto" w:fill="auto"/>
          </w:tcPr>
          <w:p w:rsidR="00C44100" w:rsidRPr="005F7E37" w:rsidRDefault="00C44100" w:rsidP="002E597C">
            <w:pPr>
              <w:jc w:val="left"/>
              <w:rPr>
                <w:rFonts w:asciiTheme="minorHAnsi" w:hAnsiTheme="minorHAnsi" w:cstheme="minorHAnsi"/>
                <w:color w:val="000000"/>
                <w:sz w:val="22"/>
              </w:rPr>
            </w:pPr>
            <w:r w:rsidRPr="005F7E37">
              <w:rPr>
                <w:rFonts w:asciiTheme="minorHAnsi" w:hAnsiTheme="minorHAnsi" w:cstheme="minorHAnsi"/>
                <w:color w:val="000000"/>
                <w:sz w:val="22"/>
              </w:rPr>
              <w:t xml:space="preserve">Australia </w:t>
            </w:r>
            <w:r>
              <w:rPr>
                <w:rFonts w:asciiTheme="minorHAnsi" w:hAnsiTheme="minorHAnsi" w:cstheme="minorHAnsi"/>
                <w:color w:val="000000"/>
                <w:sz w:val="22"/>
              </w:rPr>
              <w:t xml:space="preserve">has commenced </w:t>
            </w:r>
            <w:r w:rsidRPr="005F7E37">
              <w:rPr>
                <w:rFonts w:asciiTheme="minorHAnsi" w:hAnsiTheme="minorHAnsi" w:cstheme="minorHAnsi"/>
                <w:color w:val="000000"/>
                <w:sz w:val="22"/>
              </w:rPr>
              <w:t xml:space="preserve">a review of the </w:t>
            </w:r>
            <w:r>
              <w:rPr>
                <w:rFonts w:asciiTheme="minorHAnsi" w:hAnsiTheme="minorHAnsi" w:cstheme="minorHAnsi"/>
                <w:color w:val="000000"/>
                <w:sz w:val="22"/>
              </w:rPr>
              <w:t xml:space="preserve">National Instruments that are used to assess competency to undertake the </w:t>
            </w:r>
            <w:r w:rsidRPr="005F7E37">
              <w:rPr>
                <w:rFonts w:asciiTheme="minorHAnsi" w:hAnsiTheme="minorHAnsi" w:cstheme="minorHAnsi"/>
                <w:color w:val="000000"/>
                <w:sz w:val="22"/>
              </w:rPr>
              <w:t>29</w:t>
            </w:r>
            <w:r>
              <w:rPr>
                <w:rFonts w:asciiTheme="minorHAnsi" w:hAnsiTheme="minorHAnsi" w:cstheme="minorHAnsi"/>
                <w:color w:val="000000"/>
                <w:sz w:val="22"/>
              </w:rPr>
              <w:t xml:space="preserve"> classes</w:t>
            </w:r>
            <w:r w:rsidRPr="005F7E37">
              <w:rPr>
                <w:rFonts w:asciiTheme="minorHAnsi" w:hAnsiTheme="minorHAnsi" w:cstheme="minorHAnsi"/>
                <w:color w:val="000000"/>
                <w:sz w:val="22"/>
              </w:rPr>
              <w:t xml:space="preserve"> of high risk work activities that require a license under the model WHS </w:t>
            </w:r>
            <w:r>
              <w:rPr>
                <w:rFonts w:asciiTheme="minorHAnsi" w:hAnsiTheme="minorHAnsi" w:cstheme="minorHAnsi"/>
                <w:color w:val="000000"/>
                <w:sz w:val="22"/>
              </w:rPr>
              <w:t>legislation</w:t>
            </w:r>
            <w:r w:rsidRPr="005F7E37">
              <w:rPr>
                <w:rFonts w:asciiTheme="minorHAnsi" w:hAnsiTheme="minorHAnsi" w:cstheme="minorHAnsi"/>
                <w:color w:val="000000"/>
                <w:sz w:val="22"/>
              </w:rPr>
              <w:t>.</w:t>
            </w:r>
          </w:p>
        </w:tc>
        <w:tc>
          <w:tcPr>
            <w:tcW w:w="7229" w:type="dxa"/>
            <w:gridSpan w:val="2"/>
            <w:tcBorders>
              <w:top w:val="single" w:sz="4" w:space="0" w:color="auto"/>
              <w:left w:val="single" w:sz="4" w:space="0" w:color="auto"/>
              <w:right w:val="single" w:sz="4" w:space="0" w:color="auto"/>
            </w:tcBorders>
            <w:shd w:val="clear" w:color="auto" w:fill="auto"/>
          </w:tcPr>
          <w:p w:rsidR="00C44100" w:rsidRPr="005F7E37" w:rsidRDefault="00C44100" w:rsidP="00234E01">
            <w:pPr>
              <w:jc w:val="left"/>
              <w:rPr>
                <w:rFonts w:asciiTheme="minorHAnsi" w:hAnsiTheme="minorHAnsi" w:cstheme="minorHAnsi"/>
                <w:color w:val="000000"/>
                <w:sz w:val="22"/>
              </w:rPr>
            </w:pPr>
            <w:r w:rsidRPr="005F7E37">
              <w:rPr>
                <w:rFonts w:asciiTheme="minorHAnsi" w:hAnsiTheme="minorHAnsi" w:cstheme="minorHAnsi"/>
                <w:color w:val="000000"/>
                <w:sz w:val="22"/>
              </w:rPr>
              <w:t>This review is commence</w:t>
            </w:r>
            <w:r>
              <w:rPr>
                <w:rFonts w:asciiTheme="minorHAnsi" w:hAnsiTheme="minorHAnsi" w:cstheme="minorHAnsi"/>
                <w:color w:val="000000"/>
                <w:sz w:val="22"/>
              </w:rPr>
              <w:t>d</w:t>
            </w:r>
            <w:r w:rsidRPr="005F7E37">
              <w:rPr>
                <w:rFonts w:asciiTheme="minorHAnsi" w:hAnsiTheme="minorHAnsi" w:cstheme="minorHAnsi"/>
                <w:color w:val="000000"/>
                <w:sz w:val="22"/>
              </w:rPr>
              <w:t xml:space="preserve"> in 2017.</w:t>
            </w:r>
          </w:p>
        </w:tc>
      </w:tr>
      <w:tr w:rsidR="007E35E6" w:rsidRPr="005F7E37" w:rsidTr="00AD53DD">
        <w:trPr>
          <w:trHeight w:val="270"/>
        </w:trPr>
        <w:tc>
          <w:tcPr>
            <w:tcW w:w="7088" w:type="dxa"/>
            <w:tcBorders>
              <w:top w:val="single" w:sz="4" w:space="0" w:color="auto"/>
              <w:left w:val="single" w:sz="4" w:space="0" w:color="auto"/>
              <w:bottom w:val="single" w:sz="4" w:space="0" w:color="auto"/>
              <w:right w:val="single" w:sz="4" w:space="0" w:color="auto"/>
            </w:tcBorders>
            <w:shd w:val="clear" w:color="auto" w:fill="auto"/>
          </w:tcPr>
          <w:p w:rsidR="007E35E6" w:rsidRPr="005F7E37" w:rsidRDefault="007E35E6" w:rsidP="00234E01">
            <w:pPr>
              <w:jc w:val="left"/>
              <w:rPr>
                <w:rFonts w:asciiTheme="minorHAnsi" w:hAnsiTheme="minorHAnsi" w:cstheme="minorHAnsi"/>
                <w:color w:val="000000"/>
                <w:sz w:val="22"/>
              </w:rPr>
            </w:pPr>
            <w:r w:rsidRPr="005F7E37">
              <w:rPr>
                <w:rFonts w:asciiTheme="minorHAnsi" w:hAnsiTheme="minorHAnsi" w:cstheme="minorHAnsi"/>
                <w:color w:val="000000"/>
                <w:sz w:val="22"/>
              </w:rPr>
              <w:lastRenderedPageBreak/>
              <w:t>The Australian Government Building and Construction WHS Accreditation Scheme</w:t>
            </w:r>
          </w:p>
        </w:tc>
        <w:tc>
          <w:tcPr>
            <w:tcW w:w="7229" w:type="dxa"/>
            <w:gridSpan w:val="2"/>
            <w:tcBorders>
              <w:left w:val="single" w:sz="4" w:space="0" w:color="auto"/>
              <w:bottom w:val="single" w:sz="4" w:space="0" w:color="auto"/>
              <w:right w:val="single" w:sz="4" w:space="0" w:color="auto"/>
            </w:tcBorders>
            <w:shd w:val="clear" w:color="auto" w:fill="auto"/>
          </w:tcPr>
          <w:p w:rsidR="007E35E6" w:rsidRPr="005F7E37" w:rsidRDefault="007E35E6" w:rsidP="00234E01">
            <w:pPr>
              <w:jc w:val="left"/>
              <w:rPr>
                <w:rFonts w:asciiTheme="minorHAnsi" w:hAnsiTheme="minorHAnsi" w:cstheme="minorHAnsi"/>
                <w:color w:val="000000"/>
                <w:sz w:val="22"/>
              </w:rPr>
            </w:pPr>
            <w:r w:rsidRPr="005F7E37">
              <w:rPr>
                <w:rFonts w:asciiTheme="minorHAnsi" w:hAnsiTheme="minorHAnsi" w:cstheme="minorHAnsi"/>
                <w:color w:val="000000"/>
                <w:sz w:val="22"/>
                <w:lang w:val="en"/>
              </w:rPr>
              <w:t xml:space="preserve">Over 400 companies, representing around </w:t>
            </w:r>
            <w:r>
              <w:rPr>
                <w:rFonts w:asciiTheme="minorHAnsi" w:hAnsiTheme="minorHAnsi" w:cstheme="minorHAnsi"/>
                <w:color w:val="000000"/>
                <w:sz w:val="22"/>
                <w:lang w:val="en"/>
              </w:rPr>
              <w:t xml:space="preserve">40 to </w:t>
            </w:r>
            <w:r w:rsidRPr="005F7E37">
              <w:rPr>
                <w:rFonts w:asciiTheme="minorHAnsi" w:hAnsiTheme="minorHAnsi" w:cstheme="minorHAnsi"/>
                <w:color w:val="000000"/>
                <w:sz w:val="22"/>
                <w:lang w:val="en"/>
              </w:rPr>
              <w:t>50 per cent of construction industry turnover, have been accredited by the Office of the Federal Safety Commissioner, leading to safety improvements across the industry.</w:t>
            </w:r>
          </w:p>
        </w:tc>
      </w:tr>
      <w:tr w:rsidR="007E35E6" w:rsidRPr="005F7E37" w:rsidTr="00C44100">
        <w:trPr>
          <w:trHeight w:val="64"/>
        </w:trPr>
        <w:tc>
          <w:tcPr>
            <w:tcW w:w="14317" w:type="dxa"/>
            <w:gridSpan w:val="3"/>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E35E6" w:rsidRPr="005F7E37" w:rsidRDefault="007E35E6" w:rsidP="00234E01">
            <w:pPr>
              <w:shd w:val="clear" w:color="auto" w:fill="F2F2F2"/>
              <w:jc w:val="left"/>
              <w:rPr>
                <w:rFonts w:asciiTheme="minorHAnsi" w:hAnsiTheme="minorHAnsi" w:cstheme="minorHAnsi"/>
                <w:b/>
                <w:i/>
                <w:color w:val="000000"/>
                <w:sz w:val="22"/>
                <w:lang w:val="en-GB"/>
              </w:rPr>
            </w:pPr>
            <w:r w:rsidRPr="005F7E37">
              <w:rPr>
                <w:rFonts w:asciiTheme="minorHAnsi" w:hAnsiTheme="minorHAnsi" w:cstheme="minorHAnsi"/>
                <w:b/>
                <w:i/>
                <w:color w:val="000000"/>
                <w:sz w:val="22"/>
                <w:lang w:val="en-GB"/>
              </w:rPr>
              <w:t xml:space="preserve">Improved data collection and use of empirical data to inform program </w:t>
            </w:r>
            <w:r w:rsidRPr="00C44100">
              <w:rPr>
                <w:rFonts w:asciiTheme="minorHAnsi" w:hAnsiTheme="minorHAnsi" w:cstheme="minorHAnsi"/>
                <w:b/>
                <w:i/>
                <w:color w:val="000000"/>
                <w:sz w:val="22"/>
                <w:shd w:val="clear" w:color="auto" w:fill="EEECE1" w:themeFill="background2"/>
                <w:lang w:val="en-GB"/>
              </w:rPr>
              <w:t>design and effectively target enforcement and outreach efforts</w:t>
            </w:r>
          </w:p>
        </w:tc>
      </w:tr>
      <w:tr w:rsidR="007E35E6" w:rsidRPr="005F7E37" w:rsidTr="0012509C">
        <w:trPr>
          <w:trHeight w:val="1169"/>
        </w:trPr>
        <w:tc>
          <w:tcPr>
            <w:tcW w:w="7088" w:type="dxa"/>
            <w:tcBorders>
              <w:top w:val="single" w:sz="4" w:space="0" w:color="auto"/>
              <w:left w:val="single" w:sz="4" w:space="0" w:color="auto"/>
              <w:bottom w:val="single" w:sz="4" w:space="0" w:color="auto"/>
              <w:right w:val="single" w:sz="4" w:space="0" w:color="auto"/>
            </w:tcBorders>
          </w:tcPr>
          <w:p w:rsidR="007E35E6" w:rsidRPr="0012509C" w:rsidRDefault="007E35E6" w:rsidP="0012509C">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t xml:space="preserve">A key objective for the Australian Government is to have high quality nationally significant work health and safety and workers’ compensation data. This data collection work is undertaken by SWA under its </w:t>
            </w:r>
            <w:r w:rsidRPr="005F7E37">
              <w:rPr>
                <w:rFonts w:asciiTheme="minorHAnsi" w:hAnsiTheme="minorHAnsi" w:cstheme="minorHAnsi"/>
                <w:i/>
                <w:color w:val="000000"/>
                <w:sz w:val="22"/>
              </w:rPr>
              <w:t>Research, Evaluation and Data Strategy 2013-2017</w:t>
            </w:r>
            <w:r w:rsidR="0012509C">
              <w:rPr>
                <w:rFonts w:asciiTheme="minorHAnsi" w:hAnsiTheme="minorHAnsi" w:cstheme="minorHAnsi"/>
                <w:color w:val="000000"/>
                <w:sz w:val="22"/>
              </w:rPr>
              <w:t>.</w:t>
            </w:r>
          </w:p>
        </w:tc>
        <w:tc>
          <w:tcPr>
            <w:tcW w:w="7229" w:type="dxa"/>
            <w:gridSpan w:val="2"/>
            <w:tcBorders>
              <w:top w:val="single" w:sz="4" w:space="0" w:color="auto"/>
              <w:left w:val="single" w:sz="4" w:space="0" w:color="auto"/>
              <w:bottom w:val="single" w:sz="4" w:space="0" w:color="auto"/>
              <w:right w:val="single" w:sz="4" w:space="0" w:color="auto"/>
            </w:tcBorders>
          </w:tcPr>
          <w:p w:rsidR="007E35E6" w:rsidRPr="005F7E37" w:rsidRDefault="007E35E6" w:rsidP="0012509C">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t>The SWA undertakes data collection work and publishes a range of statistical reports.</w:t>
            </w:r>
          </w:p>
        </w:tc>
      </w:tr>
      <w:tr w:rsidR="00C85267" w:rsidRPr="005F7E37" w:rsidTr="00AD53DD">
        <w:trPr>
          <w:trHeight w:val="311"/>
        </w:trPr>
        <w:tc>
          <w:tcPr>
            <w:tcW w:w="143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C85267" w:rsidRPr="005F7E37" w:rsidRDefault="00C85267" w:rsidP="00234E01">
            <w:pPr>
              <w:shd w:val="clear" w:color="auto" w:fill="F2F2F2"/>
              <w:jc w:val="left"/>
              <w:rPr>
                <w:rFonts w:asciiTheme="minorHAnsi" w:hAnsiTheme="minorHAnsi" w:cstheme="minorHAnsi"/>
                <w:b/>
                <w:i/>
                <w:color w:val="000000"/>
                <w:sz w:val="22"/>
                <w:lang w:val="en-GB"/>
              </w:rPr>
            </w:pPr>
            <w:r w:rsidRPr="005F7E37">
              <w:rPr>
                <w:rFonts w:asciiTheme="minorHAnsi" w:hAnsiTheme="minorHAnsi" w:cstheme="minorHAnsi"/>
                <w:b/>
                <w:color w:val="000000"/>
                <w:sz w:val="22"/>
              </w:rPr>
              <w:br w:type="page"/>
            </w:r>
            <w:r w:rsidRPr="00C44100">
              <w:rPr>
                <w:rFonts w:asciiTheme="minorHAnsi" w:hAnsiTheme="minorHAnsi" w:cstheme="minorHAnsi"/>
                <w:b/>
                <w:i/>
                <w:color w:val="000000"/>
                <w:sz w:val="22"/>
                <w:shd w:val="clear" w:color="auto" w:fill="EEECE1" w:themeFill="background2"/>
                <w:lang w:val="en-GB"/>
              </w:rPr>
              <w:t xml:space="preserve">Action taken to improve OSH conditions for vulnerable </w:t>
            </w:r>
            <w:r w:rsidR="00C44100">
              <w:rPr>
                <w:rFonts w:asciiTheme="minorHAnsi" w:hAnsiTheme="minorHAnsi" w:cstheme="minorHAnsi"/>
                <w:b/>
                <w:i/>
                <w:color w:val="000000"/>
                <w:sz w:val="22"/>
                <w:shd w:val="clear" w:color="auto" w:fill="EEECE1" w:themeFill="background2"/>
                <w:lang w:val="en-GB"/>
              </w:rPr>
              <w:t>workers and in high-risk sectors</w:t>
            </w:r>
          </w:p>
        </w:tc>
      </w:tr>
      <w:tr w:rsidR="007E35E6" w:rsidRPr="005F7E37" w:rsidTr="00AD53DD">
        <w:trPr>
          <w:trHeight w:val="1366"/>
        </w:trPr>
        <w:tc>
          <w:tcPr>
            <w:tcW w:w="7088" w:type="dxa"/>
            <w:tcBorders>
              <w:top w:val="single" w:sz="4" w:space="0" w:color="auto"/>
              <w:left w:val="single" w:sz="4" w:space="0" w:color="auto"/>
              <w:bottom w:val="single" w:sz="4" w:space="0" w:color="auto"/>
              <w:right w:val="single" w:sz="4" w:space="0" w:color="auto"/>
            </w:tcBorders>
          </w:tcPr>
          <w:p w:rsidR="007E35E6" w:rsidRPr="005F7E37" w:rsidRDefault="007E35E6" w:rsidP="00FB24B3">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t xml:space="preserve">Young workers have been identified as one of the groups of vulnerable workers under </w:t>
            </w:r>
            <w:r w:rsidRPr="005F7E37">
              <w:rPr>
                <w:rFonts w:asciiTheme="minorHAnsi" w:hAnsiTheme="minorHAnsi" w:cstheme="minorHAnsi"/>
                <w:i/>
                <w:color w:val="000000"/>
                <w:sz w:val="22"/>
              </w:rPr>
              <w:t>Australia’s Work Health and Safety Strategy 2012-2022</w:t>
            </w:r>
            <w:r w:rsidRPr="005F7E37">
              <w:rPr>
                <w:rFonts w:asciiTheme="minorHAnsi" w:hAnsiTheme="minorHAnsi" w:cstheme="minorHAnsi"/>
                <w:color w:val="000000"/>
                <w:sz w:val="22"/>
              </w:rPr>
              <w:t>.</w:t>
            </w:r>
          </w:p>
          <w:p w:rsidR="007E35E6" w:rsidRPr="005F7E37" w:rsidRDefault="007E35E6" w:rsidP="00234E01">
            <w:pPr>
              <w:shd w:val="clear" w:color="auto" w:fill="FFFFFF"/>
              <w:jc w:val="left"/>
              <w:rPr>
                <w:rFonts w:asciiTheme="minorHAnsi" w:hAnsiTheme="minorHAnsi" w:cstheme="minorHAnsi"/>
                <w:color w:val="000000"/>
                <w:sz w:val="22"/>
              </w:rPr>
            </w:pPr>
          </w:p>
        </w:tc>
        <w:tc>
          <w:tcPr>
            <w:tcW w:w="7229" w:type="dxa"/>
            <w:gridSpan w:val="2"/>
            <w:tcBorders>
              <w:top w:val="single" w:sz="4" w:space="0" w:color="auto"/>
              <w:left w:val="single" w:sz="4" w:space="0" w:color="auto"/>
              <w:right w:val="single" w:sz="4" w:space="0" w:color="auto"/>
            </w:tcBorders>
          </w:tcPr>
          <w:p w:rsidR="007E35E6" w:rsidRPr="005F7E37" w:rsidRDefault="007E35E6" w:rsidP="00525FAC">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t xml:space="preserve">SWA is working with regulators and industry to find practical ways to raise awareness in young workers of the hazards they face in the workplace on a daily basis. </w:t>
            </w:r>
            <w:r>
              <w:rPr>
                <w:rFonts w:asciiTheme="minorHAnsi" w:hAnsiTheme="minorHAnsi" w:cstheme="minorHAnsi"/>
                <w:color w:val="000000"/>
                <w:sz w:val="22"/>
              </w:rPr>
              <w:t xml:space="preserve"> SWA is also developing information targeted at migrant workers and their employers, ensuring better collaboration between regulatory agencies and improving data collection on migrant workers.</w:t>
            </w:r>
          </w:p>
        </w:tc>
      </w:tr>
      <w:tr w:rsidR="007E35E6" w:rsidRPr="005F7E37" w:rsidTr="00AD53DD">
        <w:trPr>
          <w:trHeight w:val="690"/>
        </w:trPr>
        <w:tc>
          <w:tcPr>
            <w:tcW w:w="7088" w:type="dxa"/>
            <w:tcBorders>
              <w:top w:val="single" w:sz="4" w:space="0" w:color="auto"/>
              <w:left w:val="single" w:sz="4" w:space="0" w:color="auto"/>
              <w:bottom w:val="single" w:sz="4" w:space="0" w:color="auto"/>
              <w:right w:val="single" w:sz="4" w:space="0" w:color="auto"/>
            </w:tcBorders>
          </w:tcPr>
          <w:p w:rsidR="007E35E6" w:rsidRPr="005F7E37" w:rsidRDefault="007E35E6" w:rsidP="00FB24B3">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br w:type="page"/>
              <w:t xml:space="preserve">In </w:t>
            </w:r>
            <w:r w:rsidRPr="005F7E37">
              <w:rPr>
                <w:rFonts w:asciiTheme="minorHAnsi" w:hAnsiTheme="minorHAnsi" w:cstheme="minorHAnsi"/>
                <w:i/>
                <w:color w:val="000000"/>
                <w:sz w:val="22"/>
              </w:rPr>
              <w:t>Australia’s Work Health and Safety Strategy 2012-2022</w:t>
            </w:r>
            <w:r w:rsidRPr="005F7E37">
              <w:rPr>
                <w:rFonts w:asciiTheme="minorHAnsi" w:hAnsiTheme="minorHAnsi" w:cstheme="minorHAnsi"/>
                <w:color w:val="000000"/>
                <w:sz w:val="22"/>
              </w:rPr>
              <w:t xml:space="preserve">, the agriculture and road transport industries are identified as high risk sectors for all Australian jurisdictions to focus on during the first five years of the strategy. </w:t>
            </w:r>
          </w:p>
          <w:p w:rsidR="007E35E6" w:rsidRPr="005F7E37" w:rsidRDefault="007E35E6" w:rsidP="00234E01">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t xml:space="preserve"> </w:t>
            </w:r>
          </w:p>
        </w:tc>
        <w:tc>
          <w:tcPr>
            <w:tcW w:w="7229" w:type="dxa"/>
            <w:gridSpan w:val="2"/>
            <w:tcBorders>
              <w:left w:val="single" w:sz="4" w:space="0" w:color="auto"/>
              <w:bottom w:val="single" w:sz="4" w:space="0" w:color="auto"/>
              <w:right w:val="single" w:sz="4" w:space="0" w:color="auto"/>
            </w:tcBorders>
          </w:tcPr>
          <w:p w:rsidR="007E35E6" w:rsidRPr="005F7E37" w:rsidRDefault="007E35E6" w:rsidP="00FB24B3">
            <w:pPr>
              <w:jc w:val="left"/>
              <w:rPr>
                <w:rFonts w:asciiTheme="minorHAnsi" w:hAnsiTheme="minorHAnsi" w:cstheme="minorHAnsi"/>
                <w:color w:val="000000"/>
                <w:sz w:val="22"/>
              </w:rPr>
            </w:pPr>
            <w:r w:rsidRPr="005F7E37">
              <w:rPr>
                <w:rFonts w:asciiTheme="minorHAnsi" w:hAnsiTheme="minorHAnsi" w:cstheme="minorHAnsi"/>
                <w:i/>
                <w:color w:val="000000"/>
                <w:sz w:val="22"/>
              </w:rPr>
              <w:t>A National Agriculture Activity Plan 2014-2019</w:t>
            </w:r>
            <w:r w:rsidRPr="005F7E37">
              <w:rPr>
                <w:rFonts w:asciiTheme="minorHAnsi" w:hAnsiTheme="minorHAnsi" w:cstheme="minorHAnsi"/>
                <w:color w:val="000000"/>
                <w:sz w:val="22"/>
              </w:rPr>
              <w:t xml:space="preserve"> has been developed specifically to improve work health and safety outcomes for this industry, with further targeted activities and programs to be implemented. In addition guidance material has been developed to support rural workplaces.</w:t>
            </w:r>
          </w:p>
          <w:p w:rsidR="007E35E6" w:rsidRPr="005F7E37" w:rsidRDefault="007E35E6" w:rsidP="00FB24B3">
            <w:pPr>
              <w:jc w:val="left"/>
              <w:rPr>
                <w:rFonts w:asciiTheme="minorHAnsi" w:hAnsiTheme="minorHAnsi" w:cstheme="minorHAnsi"/>
                <w:color w:val="000000"/>
                <w:sz w:val="22"/>
                <w:lang w:val="en-GB"/>
              </w:rPr>
            </w:pPr>
          </w:p>
          <w:p w:rsidR="007E35E6" w:rsidRPr="005F7E37" w:rsidRDefault="007E35E6" w:rsidP="00793582">
            <w:pPr>
              <w:jc w:val="left"/>
              <w:rPr>
                <w:rFonts w:asciiTheme="minorHAnsi" w:hAnsiTheme="minorHAnsi" w:cstheme="minorHAnsi"/>
                <w:color w:val="000000"/>
                <w:sz w:val="22"/>
              </w:rPr>
            </w:pPr>
            <w:r w:rsidRPr="005F7E37">
              <w:rPr>
                <w:rFonts w:asciiTheme="minorHAnsi" w:hAnsiTheme="minorHAnsi" w:cstheme="minorHAnsi"/>
                <w:color w:val="000000"/>
                <w:sz w:val="22"/>
              </w:rPr>
              <w:t xml:space="preserve">The </w:t>
            </w:r>
            <w:r w:rsidRPr="005F7E37">
              <w:rPr>
                <w:rFonts w:asciiTheme="minorHAnsi" w:hAnsiTheme="minorHAnsi" w:cstheme="minorHAnsi"/>
                <w:i/>
                <w:color w:val="000000"/>
                <w:sz w:val="22"/>
              </w:rPr>
              <w:t>National Road Safety Strategy 2011-2020</w:t>
            </w:r>
            <w:r w:rsidRPr="005F7E37">
              <w:rPr>
                <w:rFonts w:asciiTheme="minorHAnsi" w:hAnsiTheme="minorHAnsi" w:cstheme="minorHAnsi"/>
                <w:color w:val="000000"/>
                <w:sz w:val="22"/>
              </w:rPr>
              <w:t xml:space="preserve"> sets out the commitment of the </w:t>
            </w:r>
            <w:r w:rsidR="00066966">
              <w:rPr>
                <w:rFonts w:asciiTheme="minorHAnsi" w:hAnsiTheme="minorHAnsi" w:cstheme="minorHAnsi"/>
                <w:color w:val="000000"/>
                <w:sz w:val="22"/>
              </w:rPr>
              <w:t>Australian Government</w:t>
            </w:r>
            <w:r w:rsidRPr="005F7E37">
              <w:rPr>
                <w:rFonts w:asciiTheme="minorHAnsi" w:hAnsiTheme="minorHAnsi" w:cstheme="minorHAnsi"/>
                <w:color w:val="000000"/>
                <w:sz w:val="22"/>
              </w:rPr>
              <w:t xml:space="preserve">, </w:t>
            </w:r>
            <w:r w:rsidR="00793582">
              <w:rPr>
                <w:rFonts w:asciiTheme="minorHAnsi" w:hAnsiTheme="minorHAnsi" w:cstheme="minorHAnsi"/>
                <w:color w:val="000000"/>
                <w:sz w:val="22"/>
              </w:rPr>
              <w:t>states and t</w:t>
            </w:r>
            <w:r w:rsidRPr="005F7E37">
              <w:rPr>
                <w:rFonts w:asciiTheme="minorHAnsi" w:hAnsiTheme="minorHAnsi" w:cstheme="minorHAnsi"/>
                <w:color w:val="000000"/>
                <w:sz w:val="22"/>
              </w:rPr>
              <w:t xml:space="preserve">erritories to an agreed set of national road safety goals, objectives and actions. This is complemented by a </w:t>
            </w:r>
            <w:r w:rsidRPr="005F7E37">
              <w:rPr>
                <w:rFonts w:asciiTheme="minorHAnsi" w:hAnsiTheme="minorHAnsi" w:cstheme="minorHAnsi"/>
                <w:i/>
                <w:color w:val="000000"/>
                <w:sz w:val="22"/>
              </w:rPr>
              <w:t>National Road Safety Action Plan 2015-2017</w:t>
            </w:r>
            <w:r w:rsidRPr="005F7E37">
              <w:rPr>
                <w:rFonts w:asciiTheme="minorHAnsi" w:hAnsiTheme="minorHAnsi" w:cstheme="minorHAnsi"/>
                <w:color w:val="000000"/>
                <w:sz w:val="22"/>
              </w:rPr>
              <w:t xml:space="preserve">. Australia has also developed Heavy Vehicle National Laws that have been adopted by the Australian Capital Territory, New South Wales, Queensland, South Australia, Tasmania and Victoria. </w:t>
            </w:r>
          </w:p>
        </w:tc>
      </w:tr>
      <w:tr w:rsidR="007E35E6" w:rsidRPr="005F7E37" w:rsidTr="00C44100">
        <w:trPr>
          <w:trHeight w:val="240"/>
        </w:trPr>
        <w:tc>
          <w:tcPr>
            <w:tcW w:w="14317" w:type="dxa"/>
            <w:gridSpan w:val="3"/>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7E35E6" w:rsidRPr="005F7E37" w:rsidRDefault="007E35E6" w:rsidP="00234E01">
            <w:pPr>
              <w:shd w:val="clear" w:color="auto" w:fill="F2F2F2"/>
              <w:jc w:val="left"/>
              <w:rPr>
                <w:rFonts w:asciiTheme="minorHAnsi" w:hAnsiTheme="minorHAnsi" w:cstheme="minorHAnsi"/>
                <w:b/>
                <w:i/>
                <w:color w:val="000000"/>
                <w:sz w:val="22"/>
                <w:lang w:val="en-GB"/>
              </w:rPr>
            </w:pPr>
            <w:r w:rsidRPr="005F7E37">
              <w:rPr>
                <w:rFonts w:asciiTheme="minorHAnsi" w:hAnsiTheme="minorHAnsi" w:cstheme="minorHAnsi"/>
                <w:b/>
                <w:color w:val="000000"/>
                <w:sz w:val="22"/>
              </w:rPr>
              <w:br w:type="page"/>
            </w:r>
            <w:r w:rsidRPr="00C44100">
              <w:rPr>
                <w:rFonts w:asciiTheme="minorHAnsi" w:hAnsiTheme="minorHAnsi" w:cstheme="minorHAnsi"/>
                <w:b/>
                <w:i/>
                <w:color w:val="000000"/>
                <w:sz w:val="22"/>
                <w:shd w:val="clear" w:color="auto" w:fill="EEECE1" w:themeFill="background2"/>
                <w:lang w:val="en-GB"/>
              </w:rPr>
              <w:t>Raised awareness of the importance of OSH particularly among small and medium enterprises</w:t>
            </w:r>
          </w:p>
        </w:tc>
      </w:tr>
      <w:tr w:rsidR="007E35E6" w:rsidRPr="005F7E37" w:rsidTr="00AD53DD">
        <w:trPr>
          <w:trHeight w:val="699"/>
        </w:trPr>
        <w:tc>
          <w:tcPr>
            <w:tcW w:w="7088" w:type="dxa"/>
            <w:tcBorders>
              <w:top w:val="single" w:sz="4" w:space="0" w:color="auto"/>
              <w:left w:val="single" w:sz="4" w:space="0" w:color="auto"/>
              <w:bottom w:val="single" w:sz="4" w:space="0" w:color="auto"/>
              <w:right w:val="single" w:sz="4" w:space="0" w:color="auto"/>
            </w:tcBorders>
          </w:tcPr>
          <w:p w:rsidR="007E35E6" w:rsidRPr="005F7E37" w:rsidRDefault="007E35E6" w:rsidP="00066966">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lastRenderedPageBreak/>
              <w:t xml:space="preserve">In April 2014, the </w:t>
            </w:r>
            <w:r w:rsidR="00066966">
              <w:rPr>
                <w:rFonts w:asciiTheme="minorHAnsi" w:hAnsiTheme="minorHAnsi" w:cstheme="minorHAnsi"/>
                <w:color w:val="000000"/>
                <w:sz w:val="22"/>
              </w:rPr>
              <w:t>Australian Government</w:t>
            </w:r>
            <w:r w:rsidRPr="005F7E37">
              <w:rPr>
                <w:rFonts w:asciiTheme="minorHAnsi" w:hAnsiTheme="minorHAnsi" w:cstheme="minorHAnsi"/>
                <w:color w:val="000000"/>
                <w:sz w:val="22"/>
              </w:rPr>
              <w:t xml:space="preserve">, states and territories asked SWA to assist small business to have access to clear, concise, practical material without compromising safety standards or imposing any further regulatory burden. </w:t>
            </w:r>
          </w:p>
        </w:tc>
        <w:tc>
          <w:tcPr>
            <w:tcW w:w="7229" w:type="dxa"/>
            <w:gridSpan w:val="2"/>
            <w:tcBorders>
              <w:top w:val="single" w:sz="4" w:space="0" w:color="auto"/>
              <w:left w:val="single" w:sz="4" w:space="0" w:color="auto"/>
              <w:bottom w:val="single" w:sz="4" w:space="0" w:color="auto"/>
              <w:right w:val="single" w:sz="4" w:space="0" w:color="auto"/>
            </w:tcBorders>
          </w:tcPr>
          <w:p w:rsidR="007E35E6" w:rsidRPr="005F7E37" w:rsidRDefault="007E35E6" w:rsidP="00FB24B3">
            <w:pPr>
              <w:jc w:val="left"/>
              <w:rPr>
                <w:rFonts w:asciiTheme="minorHAnsi" w:hAnsiTheme="minorHAnsi" w:cstheme="minorHAnsi"/>
                <w:color w:val="000000"/>
                <w:sz w:val="22"/>
                <w:lang w:val="en"/>
              </w:rPr>
            </w:pPr>
            <w:r w:rsidRPr="005F7E37">
              <w:rPr>
                <w:rFonts w:asciiTheme="minorHAnsi" w:hAnsiTheme="minorHAnsi" w:cstheme="minorHAnsi"/>
                <w:color w:val="000000"/>
                <w:sz w:val="22"/>
                <w:lang w:val="en"/>
              </w:rPr>
              <w:t>SWA has redeveloped guidance and fact sheets to help small business owners understand their work health and safety obligations. A suite of case studies from small business owners and regulators to share success stories in achieving positive work health and safety outcomes has also been developed.</w:t>
            </w:r>
          </w:p>
          <w:p w:rsidR="00687839" w:rsidRDefault="007E35E6" w:rsidP="00687839">
            <w:pPr>
              <w:jc w:val="left"/>
              <w:rPr>
                <w:rFonts w:asciiTheme="minorHAnsi" w:hAnsiTheme="minorHAnsi" w:cstheme="minorHAnsi"/>
                <w:color w:val="000000"/>
                <w:sz w:val="22"/>
                <w:lang w:val="en"/>
              </w:rPr>
            </w:pPr>
            <w:r w:rsidRPr="005F7E37">
              <w:rPr>
                <w:rFonts w:asciiTheme="minorHAnsi" w:hAnsiTheme="minorHAnsi" w:cstheme="minorHAnsi"/>
                <w:color w:val="000000"/>
                <w:sz w:val="22"/>
                <w:lang w:val="en"/>
              </w:rPr>
              <w:t xml:space="preserve">Work health and safety regulators across Australia offer a range of free services tailored to meet the individual needs of small businesses, such as access to safety advisors and one-on-one consultations on achieving health and safety in the workplace. </w:t>
            </w:r>
          </w:p>
          <w:p w:rsidR="007E35E6" w:rsidRPr="005F7E37" w:rsidRDefault="007E35E6" w:rsidP="00687839">
            <w:pPr>
              <w:jc w:val="left"/>
              <w:rPr>
                <w:rFonts w:asciiTheme="minorHAnsi" w:hAnsiTheme="minorHAnsi" w:cstheme="minorHAnsi"/>
                <w:color w:val="000000"/>
                <w:sz w:val="22"/>
              </w:rPr>
            </w:pPr>
            <w:r>
              <w:rPr>
                <w:rFonts w:asciiTheme="minorHAnsi" w:hAnsiTheme="minorHAnsi" w:cstheme="minorHAnsi"/>
                <w:color w:val="000000"/>
                <w:sz w:val="22"/>
              </w:rPr>
              <w:t xml:space="preserve">The Australian government’s website for business information </w:t>
            </w:r>
            <w:hyperlink r:id="rId28" w:history="1">
              <w:r w:rsidRPr="00687839">
                <w:rPr>
                  <w:rStyle w:val="Hyperlink"/>
                  <w:rFonts w:asciiTheme="minorHAnsi" w:hAnsiTheme="minorHAnsi" w:cstheme="minorHAnsi"/>
                  <w:sz w:val="22"/>
                </w:rPr>
                <w:t>business.gov.au</w:t>
              </w:r>
            </w:hyperlink>
            <w:proofErr w:type="gramStart"/>
            <w:r>
              <w:rPr>
                <w:rFonts w:asciiTheme="minorHAnsi" w:hAnsiTheme="minorHAnsi" w:cstheme="minorHAnsi"/>
                <w:color w:val="000000"/>
                <w:sz w:val="22"/>
              </w:rPr>
              <w:t>,</w:t>
            </w:r>
            <w:proofErr w:type="gramEnd"/>
            <w:r>
              <w:rPr>
                <w:rFonts w:asciiTheme="minorHAnsi" w:hAnsiTheme="minorHAnsi" w:cstheme="minorHAnsi"/>
                <w:color w:val="000000"/>
                <w:sz w:val="22"/>
              </w:rPr>
              <w:t xml:space="preserve"> provides basic WHS information for business owners and links to SWA’s website for fact sheets, more detailed explanation of the legislation, WHS regulator contacts and research contacts and research and statistics including industry based data.</w:t>
            </w:r>
          </w:p>
        </w:tc>
      </w:tr>
      <w:tr w:rsidR="007E35E6" w:rsidRPr="005F7E37" w:rsidTr="00AD53DD">
        <w:trPr>
          <w:trHeight w:val="266"/>
        </w:trPr>
        <w:tc>
          <w:tcPr>
            <w:tcW w:w="1431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7E35E6" w:rsidRPr="005F7E37" w:rsidRDefault="007E35E6" w:rsidP="00234E01">
            <w:pPr>
              <w:shd w:val="clear" w:color="auto" w:fill="F2F2F2"/>
              <w:jc w:val="left"/>
              <w:rPr>
                <w:rFonts w:asciiTheme="minorHAnsi" w:hAnsiTheme="minorHAnsi" w:cstheme="minorHAnsi"/>
                <w:b/>
                <w:i/>
                <w:color w:val="000000"/>
                <w:sz w:val="22"/>
                <w:lang w:val="en-GB"/>
              </w:rPr>
            </w:pPr>
            <w:r w:rsidRPr="005F7E37">
              <w:rPr>
                <w:rFonts w:asciiTheme="minorHAnsi" w:hAnsiTheme="minorHAnsi" w:cstheme="minorHAnsi"/>
                <w:color w:val="000000"/>
                <w:sz w:val="22"/>
              </w:rPr>
              <w:br w:type="page"/>
            </w:r>
            <w:r w:rsidRPr="00C44100">
              <w:rPr>
                <w:rFonts w:asciiTheme="minorHAnsi" w:hAnsiTheme="minorHAnsi" w:cstheme="minorHAnsi"/>
                <w:b/>
                <w:i/>
                <w:color w:val="000000"/>
                <w:sz w:val="22"/>
                <w:shd w:val="clear" w:color="auto" w:fill="EEECE1" w:themeFill="background2"/>
                <w:lang w:val="en-GB"/>
              </w:rPr>
              <w:t>Sharing of best practices among G20 members and support for exchanges of information, sharing of relevant technologies and coordinating technical cooperation, and partnering with the ILO to improve global OSH</w:t>
            </w:r>
          </w:p>
        </w:tc>
      </w:tr>
      <w:tr w:rsidR="007E35E6" w:rsidRPr="005F7E37" w:rsidTr="00AD53DD">
        <w:trPr>
          <w:trHeight w:val="690"/>
        </w:trPr>
        <w:tc>
          <w:tcPr>
            <w:tcW w:w="7088" w:type="dxa"/>
            <w:tcBorders>
              <w:top w:val="single" w:sz="4" w:space="0" w:color="auto"/>
              <w:left w:val="single" w:sz="4" w:space="0" w:color="auto"/>
              <w:bottom w:val="single" w:sz="4" w:space="0" w:color="auto"/>
              <w:right w:val="single" w:sz="4" w:space="0" w:color="auto"/>
            </w:tcBorders>
          </w:tcPr>
          <w:p w:rsidR="007E35E6" w:rsidRPr="005F7E37" w:rsidRDefault="007E35E6" w:rsidP="00FB24B3">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t>Australia is committed to sharing its WHS knowledge internationally and liaises on WHS and workers’ compensation matters through its various work health and safety agencies.</w:t>
            </w:r>
          </w:p>
          <w:p w:rsidR="007E35E6" w:rsidRPr="005F7E37" w:rsidRDefault="007E35E6" w:rsidP="00234E01">
            <w:pPr>
              <w:shd w:val="clear" w:color="auto" w:fill="FFFFFF"/>
              <w:jc w:val="left"/>
              <w:rPr>
                <w:rFonts w:asciiTheme="minorHAnsi" w:hAnsiTheme="minorHAnsi" w:cstheme="minorHAnsi"/>
                <w:b/>
                <w:color w:val="000000"/>
                <w:sz w:val="22"/>
                <w:lang w:val="en-GB"/>
              </w:rPr>
            </w:pPr>
          </w:p>
        </w:tc>
        <w:tc>
          <w:tcPr>
            <w:tcW w:w="7229" w:type="dxa"/>
            <w:gridSpan w:val="2"/>
            <w:tcBorders>
              <w:top w:val="single" w:sz="4" w:space="0" w:color="auto"/>
              <w:left w:val="single" w:sz="4" w:space="0" w:color="auto"/>
              <w:bottom w:val="single" w:sz="4" w:space="0" w:color="auto"/>
              <w:right w:val="single" w:sz="4" w:space="0" w:color="auto"/>
            </w:tcBorders>
            <w:shd w:val="clear" w:color="auto" w:fill="auto"/>
          </w:tcPr>
          <w:p w:rsidR="007E35E6" w:rsidRPr="005F7E37" w:rsidRDefault="007E35E6" w:rsidP="00FB24B3">
            <w:pPr>
              <w:jc w:val="left"/>
              <w:rPr>
                <w:rFonts w:asciiTheme="minorHAnsi" w:hAnsiTheme="minorHAnsi" w:cstheme="minorHAnsi"/>
                <w:color w:val="000000"/>
                <w:sz w:val="22"/>
              </w:rPr>
            </w:pPr>
            <w:r w:rsidRPr="005F7E37">
              <w:rPr>
                <w:rFonts w:asciiTheme="minorHAnsi" w:hAnsiTheme="minorHAnsi" w:cstheme="minorHAnsi"/>
                <w:color w:val="000000"/>
                <w:sz w:val="22"/>
              </w:rPr>
              <w:t>Examples of this knowledge sharing include:</w:t>
            </w:r>
          </w:p>
          <w:p w:rsidR="007E35E6" w:rsidRPr="005F7E37" w:rsidRDefault="007E35E6" w:rsidP="003E10F8">
            <w:pPr>
              <w:pStyle w:val="ListParagraph"/>
              <w:numPr>
                <w:ilvl w:val="0"/>
                <w:numId w:val="10"/>
              </w:numPr>
              <w:ind w:left="360"/>
              <w:contextualSpacing w:val="0"/>
              <w:rPr>
                <w:rFonts w:asciiTheme="minorHAnsi" w:hAnsiTheme="minorHAnsi" w:cstheme="minorHAnsi"/>
                <w:color w:val="000000"/>
                <w:sz w:val="22"/>
                <w:szCs w:val="22"/>
              </w:rPr>
            </w:pPr>
            <w:r w:rsidRPr="005F7E37">
              <w:rPr>
                <w:rFonts w:asciiTheme="minorHAnsi" w:hAnsiTheme="minorHAnsi" w:cstheme="minorHAnsi"/>
                <w:color w:val="000000"/>
                <w:sz w:val="22"/>
                <w:szCs w:val="22"/>
              </w:rPr>
              <w:t>SWA actively participates on the United Nations Subcommittee of Experts on the Globally Harmonised System of Classification and Labelling of Chemicals. Its Chief Executive Officer is also a member of Singapore’s International Advisory Panel on Workplace Safety and Health, and of the G20 Occupational Safety and Health Experts Network.</w:t>
            </w:r>
          </w:p>
          <w:p w:rsidR="007E35E6" w:rsidRPr="00687839" w:rsidRDefault="007E35E6" w:rsidP="003E10F8">
            <w:pPr>
              <w:pStyle w:val="ListParagraph"/>
              <w:numPr>
                <w:ilvl w:val="0"/>
                <w:numId w:val="9"/>
              </w:numPr>
              <w:ind w:left="360"/>
              <w:contextualSpacing w:val="0"/>
              <w:rPr>
                <w:rFonts w:asciiTheme="minorHAnsi" w:hAnsiTheme="minorHAnsi" w:cstheme="minorHAnsi"/>
                <w:color w:val="000000"/>
                <w:sz w:val="22"/>
                <w:szCs w:val="22"/>
              </w:rPr>
            </w:pPr>
            <w:r w:rsidRPr="005F7E37">
              <w:rPr>
                <w:rFonts w:asciiTheme="minorHAnsi" w:hAnsiTheme="minorHAnsi" w:cstheme="minorHAnsi"/>
                <w:color w:val="000000"/>
                <w:sz w:val="22"/>
                <w:szCs w:val="22"/>
              </w:rPr>
              <w:t>Australia is regarded as an international leader on asbestos management, and the Asbestos Safety and Eradication Agency hosts an annual international conference on this issue.</w:t>
            </w:r>
            <w:r w:rsidR="00687839">
              <w:rPr>
                <w:rFonts w:asciiTheme="minorHAnsi" w:hAnsiTheme="minorHAnsi" w:cstheme="minorHAnsi"/>
                <w:color w:val="000000"/>
                <w:sz w:val="22"/>
                <w:szCs w:val="22"/>
              </w:rPr>
              <w:t xml:space="preserve"> It has also hosted international delegates for bilateral meetings.</w:t>
            </w:r>
          </w:p>
        </w:tc>
      </w:tr>
      <w:tr w:rsidR="007E35E6" w:rsidRPr="005F7E37" w:rsidTr="00AD53DD">
        <w:trPr>
          <w:trHeight w:val="832"/>
        </w:trPr>
        <w:tc>
          <w:tcPr>
            <w:tcW w:w="7088" w:type="dxa"/>
            <w:tcBorders>
              <w:top w:val="single" w:sz="4" w:space="0" w:color="auto"/>
              <w:left w:val="single" w:sz="4" w:space="0" w:color="auto"/>
              <w:bottom w:val="single" w:sz="4" w:space="0" w:color="auto"/>
              <w:right w:val="single" w:sz="4" w:space="0" w:color="auto"/>
            </w:tcBorders>
          </w:tcPr>
          <w:p w:rsidR="007E35E6" w:rsidRPr="005F7E37" w:rsidRDefault="007E35E6" w:rsidP="00234E01">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lastRenderedPageBreak/>
              <w:t>Australia is party to a number of ILO conventions relating to WHS and workers’ compensation.</w:t>
            </w:r>
          </w:p>
        </w:tc>
        <w:tc>
          <w:tcPr>
            <w:tcW w:w="7229" w:type="dxa"/>
            <w:gridSpan w:val="2"/>
            <w:tcBorders>
              <w:top w:val="single" w:sz="4" w:space="0" w:color="auto"/>
              <w:left w:val="single" w:sz="4" w:space="0" w:color="auto"/>
              <w:bottom w:val="single" w:sz="4" w:space="0" w:color="auto"/>
              <w:right w:val="single" w:sz="4" w:space="0" w:color="auto"/>
            </w:tcBorders>
          </w:tcPr>
          <w:p w:rsidR="007E35E6" w:rsidRPr="005F7E37" w:rsidRDefault="007E35E6" w:rsidP="00234E01">
            <w:pPr>
              <w:shd w:val="clear" w:color="auto" w:fill="FFFFFF"/>
              <w:jc w:val="left"/>
              <w:rPr>
                <w:rFonts w:asciiTheme="minorHAnsi" w:hAnsiTheme="minorHAnsi" w:cstheme="minorHAnsi"/>
                <w:color w:val="000000"/>
                <w:sz w:val="22"/>
              </w:rPr>
            </w:pPr>
            <w:r w:rsidRPr="005F7E37">
              <w:rPr>
                <w:rFonts w:asciiTheme="minorHAnsi" w:hAnsiTheme="minorHAnsi" w:cstheme="minorHAnsi"/>
                <w:color w:val="000000"/>
                <w:sz w:val="22"/>
              </w:rPr>
              <w:t xml:space="preserve">Australia continues to report to the ILO on compliance with these conventions. SWA is also one of the </w:t>
            </w:r>
            <w:proofErr w:type="spellStart"/>
            <w:r w:rsidRPr="005F7E37">
              <w:rPr>
                <w:rFonts w:asciiTheme="minorHAnsi" w:hAnsiTheme="minorHAnsi" w:cstheme="minorHAnsi"/>
                <w:color w:val="000000"/>
                <w:sz w:val="22"/>
              </w:rPr>
              <w:t>ILO’s</w:t>
            </w:r>
            <w:proofErr w:type="spellEnd"/>
            <w:r w:rsidRPr="005F7E37">
              <w:rPr>
                <w:rFonts w:asciiTheme="minorHAnsi" w:hAnsiTheme="minorHAnsi" w:cstheme="minorHAnsi"/>
                <w:color w:val="000000"/>
                <w:sz w:val="22"/>
              </w:rPr>
              <w:t xml:space="preserve"> designated National </w:t>
            </w:r>
            <w:proofErr w:type="spellStart"/>
            <w:r w:rsidRPr="005F7E37">
              <w:rPr>
                <w:rFonts w:asciiTheme="minorHAnsi" w:hAnsiTheme="minorHAnsi" w:cstheme="minorHAnsi"/>
                <w:color w:val="000000"/>
                <w:sz w:val="22"/>
              </w:rPr>
              <w:t>Centres</w:t>
            </w:r>
            <w:proofErr w:type="spellEnd"/>
            <w:r w:rsidRPr="005F7E37">
              <w:rPr>
                <w:rFonts w:asciiTheme="minorHAnsi" w:hAnsiTheme="minorHAnsi" w:cstheme="minorHAnsi"/>
                <w:color w:val="000000"/>
                <w:sz w:val="22"/>
              </w:rPr>
              <w:t xml:space="preserve"> that contributes to the exchange of information among persons responsible for establishing and implementing national WHS policies and programs. </w:t>
            </w:r>
          </w:p>
        </w:tc>
      </w:tr>
    </w:tbl>
    <w:p w:rsidR="008258D2" w:rsidRPr="005F7E37" w:rsidRDefault="008258D2" w:rsidP="00A457FC">
      <w:pPr>
        <w:autoSpaceDE w:val="0"/>
        <w:autoSpaceDN w:val="0"/>
        <w:adjustRightInd w:val="0"/>
        <w:jc w:val="left"/>
        <w:rPr>
          <w:rFonts w:asciiTheme="minorHAnsi" w:hAnsiTheme="minorHAnsi" w:cstheme="minorHAnsi"/>
          <w:b/>
          <w:color w:val="000000"/>
          <w:lang w:val="en-GB"/>
        </w:rPr>
      </w:pPr>
    </w:p>
    <w:sectPr w:rsidR="008258D2" w:rsidRPr="005F7E37" w:rsidSect="00E216CB">
      <w:headerReference w:type="default" r:id="rId29"/>
      <w:footerReference w:type="default" r:id="rId30"/>
      <w:pgSz w:w="16783" w:h="11850" w:orient="landscape"/>
      <w:pgMar w:top="1440" w:right="1440" w:bottom="1440" w:left="1440" w:header="851" w:footer="992"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822" w:rsidRDefault="00616822" w:rsidP="00E216CB">
      <w:r>
        <w:separator/>
      </w:r>
    </w:p>
  </w:endnote>
  <w:endnote w:type="continuationSeparator" w:id="0">
    <w:p w:rsidR="00616822" w:rsidRDefault="00616822" w:rsidP="00E2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588612"/>
      <w:docPartObj>
        <w:docPartGallery w:val="Page Numbers (Bottom of Page)"/>
        <w:docPartUnique/>
      </w:docPartObj>
    </w:sdtPr>
    <w:sdtEndPr>
      <w:rPr>
        <w:noProof/>
      </w:rPr>
    </w:sdtEndPr>
    <w:sdtContent>
      <w:p w:rsidR="0029104D" w:rsidRDefault="0029104D">
        <w:pPr>
          <w:pStyle w:val="Footer"/>
          <w:jc w:val="right"/>
        </w:pPr>
        <w:r>
          <w:fldChar w:fldCharType="begin"/>
        </w:r>
        <w:r>
          <w:instrText xml:space="preserve"> PAGE   \* MERGEFORMAT </w:instrText>
        </w:r>
        <w:r>
          <w:fldChar w:fldCharType="separate"/>
        </w:r>
        <w:r w:rsidR="00D17470">
          <w:rPr>
            <w:noProof/>
          </w:rPr>
          <w:t>5</w:t>
        </w:r>
        <w:r>
          <w:rPr>
            <w:noProof/>
          </w:rPr>
          <w:fldChar w:fldCharType="end"/>
        </w:r>
      </w:p>
    </w:sdtContent>
  </w:sdt>
  <w:p w:rsidR="0029104D" w:rsidRDefault="0029104D" w:rsidP="00413837">
    <w:pPr>
      <w:pStyle w:val="Footer"/>
      <w:tabs>
        <w:tab w:val="clear" w:pos="4153"/>
        <w:tab w:val="clear" w:pos="8306"/>
        <w:tab w:val="right" w:pos="9582"/>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pPr>
      <w:pStyle w:val="Footer"/>
      <w:jc w:val="right"/>
    </w:pPr>
    <w:r>
      <w:fldChar w:fldCharType="begin"/>
    </w:r>
    <w:r>
      <w:instrText xml:space="preserve"> PAGE   \* MERGEFORMAT </w:instrText>
    </w:r>
    <w:r>
      <w:fldChar w:fldCharType="separate"/>
    </w:r>
    <w:r w:rsidR="00D17470">
      <w:rPr>
        <w:noProof/>
      </w:rPr>
      <w:t>18</w:t>
    </w:r>
    <w:r>
      <w:rPr>
        <w:noProof/>
      </w:rPr>
      <w:fldChar w:fldCharType="end"/>
    </w:r>
  </w:p>
  <w:p w:rsidR="0029104D" w:rsidRDefault="0029104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pPr>
      <w:pStyle w:val="Footer"/>
      <w:jc w:val="right"/>
    </w:pPr>
    <w:r>
      <w:fldChar w:fldCharType="begin"/>
    </w:r>
    <w:r>
      <w:instrText xml:space="preserve"> PAGE   \* MERGEFORMAT </w:instrText>
    </w:r>
    <w:r>
      <w:fldChar w:fldCharType="separate"/>
    </w:r>
    <w:r w:rsidR="00D17470">
      <w:rPr>
        <w:noProof/>
      </w:rPr>
      <w:t>21</w:t>
    </w:r>
    <w:r>
      <w:rPr>
        <w:noProof/>
      </w:rPr>
      <w:fldChar w:fldCharType="end"/>
    </w:r>
  </w:p>
  <w:p w:rsidR="0029104D" w:rsidRDefault="0029104D" w:rsidP="00EC72D7">
    <w:pPr>
      <w:pStyle w:val="Footer"/>
      <w:tabs>
        <w:tab w:val="clear" w:pos="4153"/>
        <w:tab w:val="clear" w:pos="8306"/>
        <w:tab w:val="left" w:pos="2284"/>
      </w:tabs>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pPr>
      <w:pStyle w:val="Footer"/>
      <w:jc w:val="right"/>
    </w:pPr>
    <w:r>
      <w:fldChar w:fldCharType="begin"/>
    </w:r>
    <w:r>
      <w:instrText xml:space="preserve"> PAGE   \* MERGEFORMAT </w:instrText>
    </w:r>
    <w:r>
      <w:fldChar w:fldCharType="separate"/>
    </w:r>
    <w:r w:rsidR="00D17470">
      <w:rPr>
        <w:noProof/>
      </w:rPr>
      <w:t>24</w:t>
    </w:r>
    <w:r>
      <w:rPr>
        <w:noProof/>
      </w:rPr>
      <w:fldChar w:fldCharType="end"/>
    </w:r>
  </w:p>
  <w:p w:rsidR="0029104D" w:rsidRDefault="0029104D">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29104D">
    <w:pPr>
      <w:pStyle w:val="Footer"/>
      <w:jc w:val="right"/>
    </w:pPr>
    <w:r>
      <w:fldChar w:fldCharType="begin"/>
    </w:r>
    <w:r>
      <w:instrText xml:space="preserve"> PAGE   \* MERGEFORMAT </w:instrText>
    </w:r>
    <w:r>
      <w:fldChar w:fldCharType="separate"/>
    </w:r>
    <w:r w:rsidR="00D17470">
      <w:rPr>
        <w:noProof/>
      </w:rPr>
      <w:t>25</w:t>
    </w:r>
    <w:r>
      <w:rPr>
        <w:noProof/>
      </w:rPr>
      <w:fldChar w:fldCharType="end"/>
    </w:r>
    <w:r>
      <w:rPr>
        <w:noProof/>
        <w:lang w:eastAsia="en-AU"/>
      </w:rPr>
      <w:drawing>
        <wp:anchor distT="0" distB="0" distL="114300" distR="114300" simplePos="0" relativeHeight="251659776" behindDoc="1" locked="0" layoutInCell="1" allowOverlap="1" wp14:anchorId="43F6D0F1" wp14:editId="6EBA9879">
          <wp:simplePos x="0" y="0"/>
          <wp:positionH relativeFrom="column">
            <wp:posOffset>-603250</wp:posOffset>
          </wp:positionH>
          <wp:positionV relativeFrom="paragraph">
            <wp:posOffset>1395730</wp:posOffset>
          </wp:positionV>
          <wp:extent cx="7560310" cy="2688590"/>
          <wp:effectExtent l="0" t="0" r="2540" b="0"/>
          <wp:wrapNone/>
          <wp:docPr id="48" name="Picture 48"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t="75893" b="-23"/>
                  <a:stretch>
                    <a:fillRect/>
                  </a:stretch>
                </pic:blipFill>
                <pic:spPr bwMode="auto">
                  <a:xfrm>
                    <a:off x="0" y="0"/>
                    <a:ext cx="756031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pPr>
      <w:pStyle w:val="Footer"/>
      <w:jc w:val="right"/>
    </w:pPr>
    <w:r>
      <w:fldChar w:fldCharType="begin"/>
    </w:r>
    <w:r>
      <w:instrText xml:space="preserve"> PAGE   \* MERGEFORMAT </w:instrText>
    </w:r>
    <w:r>
      <w:fldChar w:fldCharType="separate"/>
    </w:r>
    <w:r w:rsidR="00D17470">
      <w:rPr>
        <w:noProof/>
      </w:rPr>
      <w:t>27</w:t>
    </w:r>
    <w:r>
      <w:rPr>
        <w:noProof/>
      </w:rPr>
      <w:fldChar w:fldCharType="end"/>
    </w:r>
  </w:p>
  <w:p w:rsidR="0029104D" w:rsidRDefault="0029104D">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pPr>
      <w:pStyle w:val="Footer"/>
      <w:jc w:val="right"/>
    </w:pPr>
    <w:r>
      <w:fldChar w:fldCharType="begin"/>
    </w:r>
    <w:r>
      <w:instrText xml:space="preserve"> PAGE   \* MERGEFORMAT </w:instrText>
    </w:r>
    <w:r>
      <w:fldChar w:fldCharType="separate"/>
    </w:r>
    <w:r w:rsidR="00D17470">
      <w:rPr>
        <w:noProof/>
      </w:rPr>
      <w:t>28</w:t>
    </w:r>
    <w:r>
      <w:rPr>
        <w:noProof/>
      </w:rPr>
      <w:fldChar w:fldCharType="end"/>
    </w:r>
  </w:p>
  <w:p w:rsidR="0029104D" w:rsidRDefault="0029104D">
    <w:pPr>
      <w:pStyle w:val="Footer"/>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pPr>
      <w:pStyle w:val="Footer"/>
      <w:jc w:val="right"/>
    </w:pPr>
    <w:r>
      <w:fldChar w:fldCharType="begin"/>
    </w:r>
    <w:r>
      <w:instrText xml:space="preserve"> PAGE   \* MERGEFORMAT </w:instrText>
    </w:r>
    <w:r>
      <w:fldChar w:fldCharType="separate"/>
    </w:r>
    <w:r w:rsidR="00D17470">
      <w:rPr>
        <w:noProof/>
      </w:rPr>
      <w:t>32</w:t>
    </w:r>
    <w:r>
      <w:rPr>
        <w:noProof/>
      </w:rPr>
      <w:fldChar w:fldCharType="end"/>
    </w:r>
  </w:p>
  <w:p w:rsidR="0029104D" w:rsidRDefault="002910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822" w:rsidRDefault="00616822" w:rsidP="00E216CB">
      <w:r>
        <w:separator/>
      </w:r>
    </w:p>
  </w:footnote>
  <w:footnote w:type="continuationSeparator" w:id="0">
    <w:p w:rsidR="00616822" w:rsidRDefault="00616822" w:rsidP="00E21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3443FF">
    <w:pPr>
      <w:pStyle w:val="Header"/>
      <w:jc w:val="right"/>
    </w:pPr>
    <w:r>
      <w:rPr>
        <w:noProof/>
        <w:lang w:val="en-AU" w:eastAsia="en-AU"/>
      </w:rPr>
      <w:drawing>
        <wp:inline distT="0" distB="0" distL="0" distR="0" wp14:anchorId="05DD5A2A" wp14:editId="17D8B754">
          <wp:extent cx="1337094" cy="914400"/>
          <wp:effectExtent l="0" t="0" r="0" b="0"/>
          <wp:docPr id="15" name="Picture 15"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20_Gipfel_2017_DTP_RGB_XS"/>
                  <pic:cNvPicPr>
                    <a:picLocks noChangeAspect="1" noChangeArrowheads="1"/>
                  </pic:cNvPicPr>
                </pic:nvPicPr>
                <pic:blipFill rotWithShape="1">
                  <a:blip r:embed="rId1">
                    <a:extLst>
                      <a:ext uri="{28A0092B-C50C-407E-A947-70E740481C1C}">
                        <a14:useLocalDpi xmlns:a14="http://schemas.microsoft.com/office/drawing/2010/main" val="0"/>
                      </a:ext>
                    </a:extLst>
                  </a:blip>
                  <a:srcRect r="5787"/>
                  <a:stretch/>
                </pic:blipFill>
                <pic:spPr bwMode="auto">
                  <a:xfrm>
                    <a:off x="0" y="0"/>
                    <a:ext cx="1337094" cy="9144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A346E2">
    <w:pPr>
      <w:pStyle w:val="Header"/>
      <w:jc w:val="right"/>
    </w:pPr>
    <w:r>
      <w:rPr>
        <w:noProof/>
        <w:lang w:val="en-AU" w:eastAsia="en-AU"/>
      </w:rPr>
      <w:drawing>
        <wp:inline distT="0" distB="0" distL="0" distR="0" wp14:anchorId="34424773" wp14:editId="6DBBCC29">
          <wp:extent cx="1419225" cy="914400"/>
          <wp:effectExtent l="0" t="0" r="0" b="0"/>
          <wp:docPr id="16" name="Picture 16"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20_Gipfel_2017_DTP_RGB_X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144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413837">
    <w:pPr>
      <w:pStyle w:val="Header"/>
      <w:jc w:val="right"/>
    </w:pPr>
    <w:r>
      <w:rPr>
        <w:noProof/>
        <w:lang w:val="en-AU" w:eastAsia="en-AU"/>
      </w:rPr>
      <w:drawing>
        <wp:inline distT="0" distB="0" distL="0" distR="0" wp14:anchorId="7147B5E5" wp14:editId="671A03EE">
          <wp:extent cx="1419225" cy="914400"/>
          <wp:effectExtent l="0" t="0" r="0" b="0"/>
          <wp:docPr id="6" name="Picture 6"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20_Gipfel_2017_DTP_RGB_X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14400"/>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EC72D7">
    <w:pPr>
      <w:pStyle w:val="Header"/>
      <w:jc w:val="right"/>
    </w:pPr>
    <w:r>
      <w:rPr>
        <w:noProof/>
        <w:lang w:val="en-AU" w:eastAsia="en-AU"/>
      </w:rPr>
      <w:drawing>
        <wp:inline distT="0" distB="0" distL="0" distR="0" wp14:anchorId="43DCE26F" wp14:editId="0BE79053">
          <wp:extent cx="1419225" cy="914400"/>
          <wp:effectExtent l="0" t="0" r="0" b="0"/>
          <wp:docPr id="42" name="Picture 42"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20_Gipfel_2017_DTP_RGB_X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14400"/>
                  </a:xfrm>
                  <a:prstGeom prst="rect">
                    <a:avLst/>
                  </a:prstGeom>
                  <a:noFill/>
                  <a:ln>
                    <a:noFill/>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413837">
    <w:pPr>
      <w:pStyle w:val="Header"/>
      <w:jc w:val="right"/>
    </w:pPr>
    <w:r>
      <w:rPr>
        <w:noProof/>
        <w:lang w:val="en-AU" w:eastAsia="en-AU"/>
      </w:rPr>
      <w:drawing>
        <wp:inline distT="0" distB="0" distL="0" distR="0" wp14:anchorId="68EC476C" wp14:editId="4B7CEADA">
          <wp:extent cx="1419225" cy="914400"/>
          <wp:effectExtent l="0" t="0" r="0" b="0"/>
          <wp:docPr id="43" name="Picture 43"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20_Gipfel_2017_DTP_RGB_X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14400"/>
                  </a:xfrm>
                  <a:prstGeom prst="rect">
                    <a:avLst/>
                  </a:prstGeom>
                  <a:noFill/>
                  <a:ln>
                    <a:noFill/>
                  </a:ln>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413837">
    <w:pPr>
      <w:pStyle w:val="Header"/>
      <w:pBdr>
        <w:bottom w:val="none" w:sz="0" w:space="2" w:color="auto"/>
      </w:pBdr>
      <w:jc w:val="right"/>
    </w:pPr>
    <w:r>
      <w:rPr>
        <w:noProof/>
        <w:lang w:val="en-AU" w:eastAsia="en-AU"/>
      </w:rPr>
      <w:drawing>
        <wp:inline distT="0" distB="0" distL="0" distR="0" wp14:anchorId="5749FEAD" wp14:editId="4CBC0C16">
          <wp:extent cx="1419225" cy="914400"/>
          <wp:effectExtent l="0" t="0" r="0" b="0"/>
          <wp:docPr id="47" name="Picture 47"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20_Gipfel_2017_DTP_RGB_X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14400"/>
                  </a:xfrm>
                  <a:prstGeom prst="rect">
                    <a:avLst/>
                  </a:prstGeom>
                  <a:noFill/>
                  <a:ln>
                    <a:noFill/>
                  </a:ln>
                </pic:spPr>
              </pic:pic>
            </a:graphicData>
          </a:graphic>
        </wp:inline>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E216CB">
    <w:pPr>
      <w:pStyle w:val="Header"/>
      <w:pBdr>
        <w:bottom w:val="none" w:sz="0" w:space="2" w:color="auto"/>
      </w:pBdr>
      <w:jc w:val="right"/>
    </w:pPr>
    <w:r>
      <w:rPr>
        <w:noProof/>
        <w:lang w:val="en-AU" w:eastAsia="en-AU"/>
      </w:rPr>
      <w:drawing>
        <wp:inline distT="0" distB="0" distL="0" distR="0" wp14:anchorId="39F658E9" wp14:editId="3ABDAA47">
          <wp:extent cx="1419225" cy="914400"/>
          <wp:effectExtent l="0" t="0" r="0" b="0"/>
          <wp:docPr id="51" name="Picture 51"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20_Gipfel_2017_DTP_RGB_X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14400"/>
                  </a:xfrm>
                  <a:prstGeom prst="rect">
                    <a:avLst/>
                  </a:prstGeom>
                  <a:noFill/>
                  <a:ln>
                    <a:noFill/>
                  </a:ln>
                </pic:spPr>
              </pic:pic>
            </a:graphicData>
          </a:graphic>
        </wp:inline>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E216CB">
    <w:pPr>
      <w:pStyle w:val="Header"/>
      <w:pBdr>
        <w:top w:val="none" w:sz="0" w:space="13" w:color="auto"/>
      </w:pBdr>
      <w:jc w:val="right"/>
    </w:pPr>
    <w:r>
      <w:rPr>
        <w:noProof/>
        <w:lang w:val="en-AU" w:eastAsia="en-AU"/>
      </w:rPr>
      <w:drawing>
        <wp:inline distT="0" distB="0" distL="0" distR="0" wp14:anchorId="59A68BD3" wp14:editId="654F13E3">
          <wp:extent cx="1419225" cy="914400"/>
          <wp:effectExtent l="0" t="0" r="0" b="0"/>
          <wp:docPr id="11" name="Picture 11"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20_Gipfel_2017_DTP_RGB_X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14400"/>
                  </a:xfrm>
                  <a:prstGeom prst="rect">
                    <a:avLst/>
                  </a:prstGeom>
                  <a:noFill/>
                  <a:ln>
                    <a:noFill/>
                  </a:ln>
                </pic:spPr>
              </pic:pic>
            </a:graphicData>
          </a:graphic>
        </wp:inline>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04D" w:rsidRDefault="0029104D" w:rsidP="00E216CB">
    <w:pPr>
      <w:pStyle w:val="Header"/>
      <w:pBdr>
        <w:top w:val="none" w:sz="0" w:space="13" w:color="auto"/>
      </w:pBdr>
      <w:jc w:val="right"/>
    </w:pPr>
    <w:r>
      <w:rPr>
        <w:noProof/>
        <w:lang w:val="en-AU" w:eastAsia="en-AU"/>
      </w:rPr>
      <w:drawing>
        <wp:inline distT="0" distB="0" distL="0" distR="0" wp14:anchorId="274BDA80" wp14:editId="240A3180">
          <wp:extent cx="1419225" cy="914400"/>
          <wp:effectExtent l="0" t="0" r="0" b="0"/>
          <wp:docPr id="9" name="Picture 9" descr="G20 Germany 2017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20_Gipfel_2017_DTP_RGB_X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420C3A"/>
    <w:multiLevelType w:val="hybridMultilevel"/>
    <w:tmpl w:val="F61407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AD66404"/>
    <w:multiLevelType w:val="multilevel"/>
    <w:tmpl w:val="79F2B3C0"/>
    <w:name w:val="StandardBulletedList"/>
    <w:lvl w:ilvl="0">
      <w:start w:val="1"/>
      <w:numFmt w:val="bullet"/>
      <w:pStyle w:val="Bullet"/>
      <w:lvlText w:val="•"/>
      <w:lvlJc w:val="left"/>
      <w:pPr>
        <w:tabs>
          <w:tab w:val="num" w:pos="425"/>
        </w:tabs>
        <w:ind w:left="425" w:hanging="425"/>
      </w:pPr>
      <w:rPr>
        <w:rFonts w:ascii="Times New Roman" w:hAnsi="Times New Roman" w:cs="Times New Roman"/>
      </w:rPr>
    </w:lvl>
    <w:lvl w:ilvl="1">
      <w:start w:val="1"/>
      <w:numFmt w:val="bullet"/>
      <w:lvlText w:val="–"/>
      <w:lvlJc w:val="left"/>
      <w:pPr>
        <w:tabs>
          <w:tab w:val="num" w:pos="850"/>
        </w:tabs>
        <w:ind w:left="850" w:hanging="425"/>
      </w:pPr>
      <w:rPr>
        <w:rFonts w:ascii="Times New Roman" w:hAnsi="Times New Roman" w:cs="Times New Roman"/>
      </w:rPr>
    </w:lvl>
    <w:lvl w:ilvl="2">
      <w:start w:val="1"/>
      <w:numFmt w:val="bullet"/>
      <w:lvlText w:val=":"/>
      <w:lvlJc w:val="left"/>
      <w:pPr>
        <w:tabs>
          <w:tab w:val="num" w:pos="1275"/>
        </w:tabs>
        <w:ind w:left="1275" w:hanging="425"/>
      </w:pPr>
      <w:rPr>
        <w:rFonts w:ascii="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F607A9E"/>
    <w:multiLevelType w:val="hybridMultilevel"/>
    <w:tmpl w:val="841A5392"/>
    <w:lvl w:ilvl="0" w:tplc="F118C332">
      <w:numFmt w:val="bullet"/>
      <w:lvlText w:val="•"/>
      <w:lvlJc w:val="left"/>
      <w:pPr>
        <w:ind w:left="1080" w:hanging="72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F00232"/>
    <w:multiLevelType w:val="hybridMultilevel"/>
    <w:tmpl w:val="C98C9C00"/>
    <w:lvl w:ilvl="0" w:tplc="02AE3A44">
      <w:numFmt w:val="bullet"/>
      <w:lvlText w:val="•"/>
      <w:lvlJc w:val="left"/>
      <w:pPr>
        <w:ind w:left="420" w:hanging="420"/>
      </w:pPr>
      <w:rPr>
        <w:rFonts w:ascii="Calibri" w:eastAsia="SimSu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A2354AC"/>
    <w:multiLevelType w:val="hybridMultilevel"/>
    <w:tmpl w:val="099603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106F73"/>
    <w:multiLevelType w:val="hybridMultilevel"/>
    <w:tmpl w:val="C47EAF20"/>
    <w:lvl w:ilvl="0" w:tplc="F118C332">
      <w:numFmt w:val="bullet"/>
      <w:lvlText w:val="•"/>
      <w:lvlJc w:val="left"/>
      <w:pPr>
        <w:ind w:left="1080" w:hanging="72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7924C2B"/>
    <w:multiLevelType w:val="hybridMultilevel"/>
    <w:tmpl w:val="9FC84448"/>
    <w:lvl w:ilvl="0" w:tplc="F118C332">
      <w:numFmt w:val="bullet"/>
      <w:lvlText w:val="•"/>
      <w:lvlJc w:val="left"/>
      <w:pPr>
        <w:ind w:left="1080" w:hanging="72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85924D4"/>
    <w:multiLevelType w:val="hybridMultilevel"/>
    <w:tmpl w:val="64BCE3D8"/>
    <w:lvl w:ilvl="0" w:tplc="920EAF30">
      <w:start w:val="2"/>
      <w:numFmt w:val="decimal"/>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F0D44D0"/>
    <w:multiLevelType w:val="hybridMultilevel"/>
    <w:tmpl w:val="9DF66B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33451877"/>
    <w:multiLevelType w:val="hybridMultilevel"/>
    <w:tmpl w:val="C08A1B24"/>
    <w:lvl w:ilvl="0" w:tplc="02AE3A44">
      <w:numFmt w:val="bullet"/>
      <w:lvlText w:val="•"/>
      <w:lvlJc w:val="left"/>
      <w:pPr>
        <w:ind w:left="420" w:hanging="420"/>
      </w:pPr>
      <w:rPr>
        <w:rFonts w:ascii="Calibri" w:eastAsia="SimSun" w:hAnsi="Calibri"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3AB03CA4"/>
    <w:multiLevelType w:val="hybridMultilevel"/>
    <w:tmpl w:val="D7D227A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44595CB3"/>
    <w:multiLevelType w:val="hybridMultilevel"/>
    <w:tmpl w:val="20385FD2"/>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37CFC"/>
    <w:multiLevelType w:val="hybridMultilevel"/>
    <w:tmpl w:val="437A0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EE562CE"/>
    <w:multiLevelType w:val="hybridMultilevel"/>
    <w:tmpl w:val="6450DB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4F147B98"/>
    <w:multiLevelType w:val="hybridMultilevel"/>
    <w:tmpl w:val="272657C4"/>
    <w:lvl w:ilvl="0" w:tplc="4BD495E8">
      <w:start w:val="1"/>
      <w:numFmt w:val="bullet"/>
      <w:pStyle w:val="CERDBodyTextDotPoint"/>
      <w:lvlText w:val=""/>
      <w:lvlJc w:val="left"/>
      <w:pPr>
        <w:ind w:left="142" w:firstLine="0"/>
      </w:pPr>
      <w:rPr>
        <w:rFonts w:ascii="Wingdings" w:hAnsi="Wingdings" w:hint="default"/>
        <w:b/>
        <w:i w:val="0"/>
        <w:color w:val="auto"/>
        <w:position w:val="2"/>
        <w:sz w:val="12"/>
      </w:rPr>
    </w:lvl>
    <w:lvl w:ilvl="1" w:tplc="0C090019">
      <w:start w:val="1"/>
      <w:numFmt w:val="lowerLetter"/>
      <w:lvlText w:val="%2."/>
      <w:lvlJc w:val="left"/>
      <w:pPr>
        <w:ind w:left="1080" w:hanging="360"/>
      </w:pPr>
    </w:lvl>
    <w:lvl w:ilvl="2" w:tplc="04E2D340">
      <w:numFmt w:val="bullet"/>
      <w:lvlText w:val="•"/>
      <w:lvlJc w:val="left"/>
      <w:pPr>
        <w:ind w:left="2340" w:hanging="720"/>
      </w:pPr>
      <w:rPr>
        <w:rFonts w:ascii="Calibri" w:eastAsia="Times New Roman" w:hAnsi="Calibri" w:cs="Calibri" w:hint="default"/>
      </w:r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6">
    <w:nsid w:val="5BBE5355"/>
    <w:multiLevelType w:val="hybridMultilevel"/>
    <w:tmpl w:val="36C22A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5F1B5161"/>
    <w:multiLevelType w:val="hybridMultilevel"/>
    <w:tmpl w:val="6DC21398"/>
    <w:lvl w:ilvl="0" w:tplc="F118C332">
      <w:numFmt w:val="bullet"/>
      <w:lvlText w:val="•"/>
      <w:lvlJc w:val="left"/>
      <w:pPr>
        <w:ind w:left="1080" w:hanging="72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0C126E8"/>
    <w:multiLevelType w:val="hybridMultilevel"/>
    <w:tmpl w:val="B1CA44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7307502"/>
    <w:multiLevelType w:val="hybridMultilevel"/>
    <w:tmpl w:val="4EC41906"/>
    <w:lvl w:ilvl="0" w:tplc="02AE3A44">
      <w:numFmt w:val="bullet"/>
      <w:lvlText w:val="•"/>
      <w:lvlJc w:val="left"/>
      <w:pPr>
        <w:ind w:left="360" w:hanging="360"/>
      </w:pPr>
      <w:rPr>
        <w:rFonts w:ascii="Calibri" w:eastAsia="SimSun" w:hAnsi="Calibri"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6A771BD5"/>
    <w:multiLevelType w:val="hybridMultilevel"/>
    <w:tmpl w:val="84BC830A"/>
    <w:lvl w:ilvl="0" w:tplc="02AE3A44">
      <w:numFmt w:val="bullet"/>
      <w:lvlText w:val="•"/>
      <w:lvlJc w:val="left"/>
      <w:pPr>
        <w:ind w:left="420" w:hanging="420"/>
      </w:pPr>
      <w:rPr>
        <w:rFonts w:ascii="Calibri" w:eastAsia="SimSu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D2C7913"/>
    <w:multiLevelType w:val="hybridMultilevel"/>
    <w:tmpl w:val="69461918"/>
    <w:lvl w:ilvl="0" w:tplc="85B0315A">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nsid w:val="6F380676"/>
    <w:multiLevelType w:val="hybridMultilevel"/>
    <w:tmpl w:val="2ADCBC42"/>
    <w:lvl w:ilvl="0" w:tplc="F118C332">
      <w:numFmt w:val="bullet"/>
      <w:lvlText w:val="•"/>
      <w:lvlJc w:val="left"/>
      <w:pPr>
        <w:ind w:left="1080" w:hanging="72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72C2EC1"/>
    <w:multiLevelType w:val="hybridMultilevel"/>
    <w:tmpl w:val="7744D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7B90197A"/>
    <w:multiLevelType w:val="hybridMultilevel"/>
    <w:tmpl w:val="CB42204A"/>
    <w:lvl w:ilvl="0" w:tplc="F118C332">
      <w:numFmt w:val="bullet"/>
      <w:lvlText w:val="•"/>
      <w:lvlJc w:val="left"/>
      <w:pPr>
        <w:ind w:left="1080" w:hanging="72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CE529EA"/>
    <w:multiLevelType w:val="hybridMultilevel"/>
    <w:tmpl w:val="56AC94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nsid w:val="7FDB55DA"/>
    <w:multiLevelType w:val="hybridMultilevel"/>
    <w:tmpl w:val="AB7C30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7FF249A4"/>
    <w:multiLevelType w:val="hybridMultilevel"/>
    <w:tmpl w:val="D110EE24"/>
    <w:lvl w:ilvl="0" w:tplc="F118C332">
      <w:numFmt w:val="bullet"/>
      <w:lvlText w:val="•"/>
      <w:lvlJc w:val="left"/>
      <w:pPr>
        <w:ind w:left="1080" w:hanging="720"/>
      </w:pPr>
      <w:rPr>
        <w:rFonts w:ascii="Calibri" w:eastAsia="SimSu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0"/>
  </w:num>
  <w:num w:numId="5">
    <w:abstractNumId w:val="21"/>
  </w:num>
  <w:num w:numId="6">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8"/>
  </w:num>
  <w:num w:numId="9">
    <w:abstractNumId w:val="23"/>
  </w:num>
  <w:num w:numId="10">
    <w:abstractNumId w:val="5"/>
  </w:num>
  <w:num w:numId="11">
    <w:abstractNumId w:val="14"/>
  </w:num>
  <w:num w:numId="12">
    <w:abstractNumId w:val="11"/>
  </w:num>
  <w:num w:numId="13">
    <w:abstractNumId w:val="25"/>
  </w:num>
  <w:num w:numId="14">
    <w:abstractNumId w:val="12"/>
  </w:num>
  <w:num w:numId="15">
    <w:abstractNumId w:val="19"/>
  </w:num>
  <w:num w:numId="16">
    <w:abstractNumId w:val="9"/>
  </w:num>
  <w:num w:numId="17">
    <w:abstractNumId w:val="1"/>
  </w:num>
  <w:num w:numId="18">
    <w:abstractNumId w:val="26"/>
  </w:num>
  <w:num w:numId="19">
    <w:abstractNumId w:val="20"/>
  </w:num>
  <w:num w:numId="20">
    <w:abstractNumId w:val="4"/>
  </w:num>
  <w:num w:numId="21">
    <w:abstractNumId w:val="24"/>
  </w:num>
  <w:num w:numId="22">
    <w:abstractNumId w:val="22"/>
  </w:num>
  <w:num w:numId="23">
    <w:abstractNumId w:val="17"/>
  </w:num>
  <w:num w:numId="24">
    <w:abstractNumId w:val="3"/>
  </w:num>
  <w:num w:numId="25">
    <w:abstractNumId w:val="7"/>
  </w:num>
  <w:num w:numId="26">
    <w:abstractNumId w:val="27"/>
  </w:num>
  <w:num w:numId="27">
    <w:abstractNumId w:val="6"/>
  </w:num>
  <w:num w:numId="28">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E2"/>
    <w:rsid w:val="00010ED5"/>
    <w:rsid w:val="0001381B"/>
    <w:rsid w:val="00016FCF"/>
    <w:rsid w:val="0001751B"/>
    <w:rsid w:val="00017A29"/>
    <w:rsid w:val="0002040C"/>
    <w:rsid w:val="00031D05"/>
    <w:rsid w:val="00032CAD"/>
    <w:rsid w:val="00033B5F"/>
    <w:rsid w:val="00034284"/>
    <w:rsid w:val="00036B95"/>
    <w:rsid w:val="00042285"/>
    <w:rsid w:val="00043084"/>
    <w:rsid w:val="00044419"/>
    <w:rsid w:val="00045753"/>
    <w:rsid w:val="00045819"/>
    <w:rsid w:val="00051895"/>
    <w:rsid w:val="00052318"/>
    <w:rsid w:val="00053162"/>
    <w:rsid w:val="000555CE"/>
    <w:rsid w:val="00063107"/>
    <w:rsid w:val="000664C6"/>
    <w:rsid w:val="00066966"/>
    <w:rsid w:val="000671E0"/>
    <w:rsid w:val="00070818"/>
    <w:rsid w:val="00072E2C"/>
    <w:rsid w:val="00083C62"/>
    <w:rsid w:val="0008506E"/>
    <w:rsid w:val="000910C0"/>
    <w:rsid w:val="000A1BDC"/>
    <w:rsid w:val="000A3162"/>
    <w:rsid w:val="000A3CB9"/>
    <w:rsid w:val="000A59A5"/>
    <w:rsid w:val="000A7F8E"/>
    <w:rsid w:val="000B254E"/>
    <w:rsid w:val="000B4AC6"/>
    <w:rsid w:val="000C0190"/>
    <w:rsid w:val="000C082D"/>
    <w:rsid w:val="000C19A3"/>
    <w:rsid w:val="000C7C4E"/>
    <w:rsid w:val="000D1F2E"/>
    <w:rsid w:val="000D290F"/>
    <w:rsid w:val="000D2D10"/>
    <w:rsid w:val="000D3A6E"/>
    <w:rsid w:val="000E1060"/>
    <w:rsid w:val="000E3831"/>
    <w:rsid w:val="000F289D"/>
    <w:rsid w:val="000F501D"/>
    <w:rsid w:val="00103A4B"/>
    <w:rsid w:val="00105ECE"/>
    <w:rsid w:val="00106A44"/>
    <w:rsid w:val="00111576"/>
    <w:rsid w:val="0011228A"/>
    <w:rsid w:val="001124F7"/>
    <w:rsid w:val="00112A85"/>
    <w:rsid w:val="00116B8F"/>
    <w:rsid w:val="00121A5B"/>
    <w:rsid w:val="001229BB"/>
    <w:rsid w:val="00123A39"/>
    <w:rsid w:val="0012509C"/>
    <w:rsid w:val="00133764"/>
    <w:rsid w:val="0014026E"/>
    <w:rsid w:val="0015489C"/>
    <w:rsid w:val="00154F60"/>
    <w:rsid w:val="00156153"/>
    <w:rsid w:val="001625A6"/>
    <w:rsid w:val="001714F7"/>
    <w:rsid w:val="00181059"/>
    <w:rsid w:val="00181939"/>
    <w:rsid w:val="0018513E"/>
    <w:rsid w:val="0018604C"/>
    <w:rsid w:val="0019032F"/>
    <w:rsid w:val="001905EB"/>
    <w:rsid w:val="001A1402"/>
    <w:rsid w:val="001A2901"/>
    <w:rsid w:val="001A35CE"/>
    <w:rsid w:val="001A37A5"/>
    <w:rsid w:val="001A52B5"/>
    <w:rsid w:val="001B402B"/>
    <w:rsid w:val="001B402E"/>
    <w:rsid w:val="001B7F15"/>
    <w:rsid w:val="001C10E9"/>
    <w:rsid w:val="001C14BE"/>
    <w:rsid w:val="001C16FD"/>
    <w:rsid w:val="001C25F5"/>
    <w:rsid w:val="001C341D"/>
    <w:rsid w:val="001D07FC"/>
    <w:rsid w:val="001D0D4E"/>
    <w:rsid w:val="001D1FB2"/>
    <w:rsid w:val="001D4411"/>
    <w:rsid w:val="001D586D"/>
    <w:rsid w:val="001E14B3"/>
    <w:rsid w:val="001E3102"/>
    <w:rsid w:val="001E47B8"/>
    <w:rsid w:val="001E47C2"/>
    <w:rsid w:val="001E50CA"/>
    <w:rsid w:val="001F1E33"/>
    <w:rsid w:val="001F2D03"/>
    <w:rsid w:val="001F51CD"/>
    <w:rsid w:val="001F5936"/>
    <w:rsid w:val="001F6B9A"/>
    <w:rsid w:val="00200B76"/>
    <w:rsid w:val="00206977"/>
    <w:rsid w:val="0021292A"/>
    <w:rsid w:val="00216D59"/>
    <w:rsid w:val="00224F8E"/>
    <w:rsid w:val="00225D83"/>
    <w:rsid w:val="0023052B"/>
    <w:rsid w:val="00233FC3"/>
    <w:rsid w:val="002341D9"/>
    <w:rsid w:val="00234E01"/>
    <w:rsid w:val="00237F0C"/>
    <w:rsid w:val="00242C88"/>
    <w:rsid w:val="00244A08"/>
    <w:rsid w:val="00246C86"/>
    <w:rsid w:val="0025247D"/>
    <w:rsid w:val="00256535"/>
    <w:rsid w:val="00261CB4"/>
    <w:rsid w:val="0026342B"/>
    <w:rsid w:val="002728D3"/>
    <w:rsid w:val="00275186"/>
    <w:rsid w:val="002756E9"/>
    <w:rsid w:val="00277927"/>
    <w:rsid w:val="002872FB"/>
    <w:rsid w:val="0029104D"/>
    <w:rsid w:val="00295939"/>
    <w:rsid w:val="002A0729"/>
    <w:rsid w:val="002A16AD"/>
    <w:rsid w:val="002A3FB0"/>
    <w:rsid w:val="002B328B"/>
    <w:rsid w:val="002B4140"/>
    <w:rsid w:val="002C3C6B"/>
    <w:rsid w:val="002C55D1"/>
    <w:rsid w:val="002C68B9"/>
    <w:rsid w:val="002D01B0"/>
    <w:rsid w:val="002D25C9"/>
    <w:rsid w:val="002D734F"/>
    <w:rsid w:val="002E02CE"/>
    <w:rsid w:val="002E10EF"/>
    <w:rsid w:val="002E3F1B"/>
    <w:rsid w:val="002E50BA"/>
    <w:rsid w:val="002E597C"/>
    <w:rsid w:val="002F15C9"/>
    <w:rsid w:val="002F3B61"/>
    <w:rsid w:val="002F524C"/>
    <w:rsid w:val="002F7099"/>
    <w:rsid w:val="003007AE"/>
    <w:rsid w:val="00301B1F"/>
    <w:rsid w:val="00302A22"/>
    <w:rsid w:val="0031793B"/>
    <w:rsid w:val="0032370A"/>
    <w:rsid w:val="00324C8A"/>
    <w:rsid w:val="0032601B"/>
    <w:rsid w:val="0033096E"/>
    <w:rsid w:val="00331529"/>
    <w:rsid w:val="003315F6"/>
    <w:rsid w:val="00334E14"/>
    <w:rsid w:val="00334EFB"/>
    <w:rsid w:val="003361B0"/>
    <w:rsid w:val="003419FC"/>
    <w:rsid w:val="00342350"/>
    <w:rsid w:val="003423F2"/>
    <w:rsid w:val="003443FF"/>
    <w:rsid w:val="00351858"/>
    <w:rsid w:val="00356F57"/>
    <w:rsid w:val="00357626"/>
    <w:rsid w:val="003617DE"/>
    <w:rsid w:val="00362A83"/>
    <w:rsid w:val="00364C1E"/>
    <w:rsid w:val="003651D2"/>
    <w:rsid w:val="00371C06"/>
    <w:rsid w:val="00372FEE"/>
    <w:rsid w:val="003733AD"/>
    <w:rsid w:val="00377135"/>
    <w:rsid w:val="00380C4E"/>
    <w:rsid w:val="003827FB"/>
    <w:rsid w:val="00384A63"/>
    <w:rsid w:val="00386BDB"/>
    <w:rsid w:val="00387A84"/>
    <w:rsid w:val="00387E7F"/>
    <w:rsid w:val="00391EEF"/>
    <w:rsid w:val="003935A9"/>
    <w:rsid w:val="003A58C4"/>
    <w:rsid w:val="003A6562"/>
    <w:rsid w:val="003A6CDA"/>
    <w:rsid w:val="003B05C1"/>
    <w:rsid w:val="003B0E18"/>
    <w:rsid w:val="003B28FD"/>
    <w:rsid w:val="003B35CC"/>
    <w:rsid w:val="003B3614"/>
    <w:rsid w:val="003C13A8"/>
    <w:rsid w:val="003C13AD"/>
    <w:rsid w:val="003C21C9"/>
    <w:rsid w:val="003D2A8B"/>
    <w:rsid w:val="003D5E12"/>
    <w:rsid w:val="003E10F8"/>
    <w:rsid w:val="003E1818"/>
    <w:rsid w:val="003E18C1"/>
    <w:rsid w:val="003F14E4"/>
    <w:rsid w:val="003F4B2C"/>
    <w:rsid w:val="003F5FBE"/>
    <w:rsid w:val="004015A9"/>
    <w:rsid w:val="00405F73"/>
    <w:rsid w:val="00407EE1"/>
    <w:rsid w:val="0041183F"/>
    <w:rsid w:val="00413837"/>
    <w:rsid w:val="0041433F"/>
    <w:rsid w:val="0041503D"/>
    <w:rsid w:val="004168FB"/>
    <w:rsid w:val="00421DD8"/>
    <w:rsid w:val="004262F7"/>
    <w:rsid w:val="0042731A"/>
    <w:rsid w:val="00427416"/>
    <w:rsid w:val="00427B48"/>
    <w:rsid w:val="00430FCE"/>
    <w:rsid w:val="00433186"/>
    <w:rsid w:val="00433E30"/>
    <w:rsid w:val="004346E1"/>
    <w:rsid w:val="004407A1"/>
    <w:rsid w:val="00441508"/>
    <w:rsid w:val="00447F13"/>
    <w:rsid w:val="00453ED2"/>
    <w:rsid w:val="0045480B"/>
    <w:rsid w:val="00461F12"/>
    <w:rsid w:val="0046371A"/>
    <w:rsid w:val="004650E4"/>
    <w:rsid w:val="004676F6"/>
    <w:rsid w:val="0047037B"/>
    <w:rsid w:val="00473F14"/>
    <w:rsid w:val="00475375"/>
    <w:rsid w:val="00476553"/>
    <w:rsid w:val="0047792D"/>
    <w:rsid w:val="00480915"/>
    <w:rsid w:val="00481360"/>
    <w:rsid w:val="00481D47"/>
    <w:rsid w:val="00482989"/>
    <w:rsid w:val="00484069"/>
    <w:rsid w:val="00484D8B"/>
    <w:rsid w:val="0048792F"/>
    <w:rsid w:val="00491F28"/>
    <w:rsid w:val="0049626E"/>
    <w:rsid w:val="004B4138"/>
    <w:rsid w:val="004B56B1"/>
    <w:rsid w:val="004B5F97"/>
    <w:rsid w:val="004C157A"/>
    <w:rsid w:val="004C198E"/>
    <w:rsid w:val="004C49F8"/>
    <w:rsid w:val="004C5053"/>
    <w:rsid w:val="004C743C"/>
    <w:rsid w:val="004D0289"/>
    <w:rsid w:val="004D0732"/>
    <w:rsid w:val="004D157E"/>
    <w:rsid w:val="004D163D"/>
    <w:rsid w:val="004D17D6"/>
    <w:rsid w:val="004D5EE4"/>
    <w:rsid w:val="004D7198"/>
    <w:rsid w:val="004E0956"/>
    <w:rsid w:val="004E24BA"/>
    <w:rsid w:val="004E363E"/>
    <w:rsid w:val="004E772D"/>
    <w:rsid w:val="004F51C7"/>
    <w:rsid w:val="004F57D8"/>
    <w:rsid w:val="004F67C3"/>
    <w:rsid w:val="00501844"/>
    <w:rsid w:val="00501A69"/>
    <w:rsid w:val="00503429"/>
    <w:rsid w:val="00503C61"/>
    <w:rsid w:val="00506AFE"/>
    <w:rsid w:val="005117D4"/>
    <w:rsid w:val="00514AD2"/>
    <w:rsid w:val="00514BEC"/>
    <w:rsid w:val="00516036"/>
    <w:rsid w:val="00525FAC"/>
    <w:rsid w:val="00526A8F"/>
    <w:rsid w:val="0053419D"/>
    <w:rsid w:val="005365C4"/>
    <w:rsid w:val="0053665C"/>
    <w:rsid w:val="0054068D"/>
    <w:rsid w:val="00543C48"/>
    <w:rsid w:val="00550FF3"/>
    <w:rsid w:val="005551BE"/>
    <w:rsid w:val="00556243"/>
    <w:rsid w:val="0055782D"/>
    <w:rsid w:val="00557F6A"/>
    <w:rsid w:val="0056089C"/>
    <w:rsid w:val="00560FDA"/>
    <w:rsid w:val="00561F53"/>
    <w:rsid w:val="00571981"/>
    <w:rsid w:val="005800AF"/>
    <w:rsid w:val="00581A16"/>
    <w:rsid w:val="00584027"/>
    <w:rsid w:val="005865C3"/>
    <w:rsid w:val="00586635"/>
    <w:rsid w:val="00590349"/>
    <w:rsid w:val="0059197E"/>
    <w:rsid w:val="005960A8"/>
    <w:rsid w:val="005975A1"/>
    <w:rsid w:val="005A12C0"/>
    <w:rsid w:val="005A2EB5"/>
    <w:rsid w:val="005B5B5F"/>
    <w:rsid w:val="005B69C1"/>
    <w:rsid w:val="005D0823"/>
    <w:rsid w:val="005D565D"/>
    <w:rsid w:val="005D5FFF"/>
    <w:rsid w:val="005D7939"/>
    <w:rsid w:val="005E0180"/>
    <w:rsid w:val="005E4413"/>
    <w:rsid w:val="005E4B84"/>
    <w:rsid w:val="005E6B27"/>
    <w:rsid w:val="005F64E2"/>
    <w:rsid w:val="005F7E37"/>
    <w:rsid w:val="00602276"/>
    <w:rsid w:val="0060695E"/>
    <w:rsid w:val="00606C92"/>
    <w:rsid w:val="00611644"/>
    <w:rsid w:val="00612E81"/>
    <w:rsid w:val="00616822"/>
    <w:rsid w:val="0061756A"/>
    <w:rsid w:val="00626A1D"/>
    <w:rsid w:val="006332F2"/>
    <w:rsid w:val="00634C0F"/>
    <w:rsid w:val="006369FE"/>
    <w:rsid w:val="00642924"/>
    <w:rsid w:val="00650CAD"/>
    <w:rsid w:val="00660054"/>
    <w:rsid w:val="00661981"/>
    <w:rsid w:val="00670B49"/>
    <w:rsid w:val="00670EBA"/>
    <w:rsid w:val="006712DF"/>
    <w:rsid w:val="0067292D"/>
    <w:rsid w:val="00674D43"/>
    <w:rsid w:val="00674E6B"/>
    <w:rsid w:val="00675116"/>
    <w:rsid w:val="006812FC"/>
    <w:rsid w:val="00687839"/>
    <w:rsid w:val="006907B6"/>
    <w:rsid w:val="00691C21"/>
    <w:rsid w:val="00692AE7"/>
    <w:rsid w:val="00695AA6"/>
    <w:rsid w:val="006A01C8"/>
    <w:rsid w:val="006A2CF4"/>
    <w:rsid w:val="006A425B"/>
    <w:rsid w:val="006B3015"/>
    <w:rsid w:val="006B4AD6"/>
    <w:rsid w:val="006B67B8"/>
    <w:rsid w:val="006B7642"/>
    <w:rsid w:val="006C382C"/>
    <w:rsid w:val="006C443D"/>
    <w:rsid w:val="006C636D"/>
    <w:rsid w:val="006C6818"/>
    <w:rsid w:val="006C71E8"/>
    <w:rsid w:val="006C7711"/>
    <w:rsid w:val="006D1F8E"/>
    <w:rsid w:val="006D4E4C"/>
    <w:rsid w:val="006D6310"/>
    <w:rsid w:val="006E4F37"/>
    <w:rsid w:val="006E5DEC"/>
    <w:rsid w:val="006F3BCF"/>
    <w:rsid w:val="006F465A"/>
    <w:rsid w:val="006F46FE"/>
    <w:rsid w:val="006F5D02"/>
    <w:rsid w:val="006F663C"/>
    <w:rsid w:val="00700F68"/>
    <w:rsid w:val="00702C5A"/>
    <w:rsid w:val="00703A98"/>
    <w:rsid w:val="007046D4"/>
    <w:rsid w:val="00710DE3"/>
    <w:rsid w:val="007132FF"/>
    <w:rsid w:val="00713BF3"/>
    <w:rsid w:val="007202E6"/>
    <w:rsid w:val="00720552"/>
    <w:rsid w:val="00720EA7"/>
    <w:rsid w:val="007273FB"/>
    <w:rsid w:val="007301EB"/>
    <w:rsid w:val="00732F4E"/>
    <w:rsid w:val="007341C3"/>
    <w:rsid w:val="00734E31"/>
    <w:rsid w:val="00736DF6"/>
    <w:rsid w:val="007372F7"/>
    <w:rsid w:val="00737C9B"/>
    <w:rsid w:val="0074344D"/>
    <w:rsid w:val="00744974"/>
    <w:rsid w:val="0075057A"/>
    <w:rsid w:val="00750AEA"/>
    <w:rsid w:val="00751423"/>
    <w:rsid w:val="00755370"/>
    <w:rsid w:val="00756914"/>
    <w:rsid w:val="00762A50"/>
    <w:rsid w:val="00762A6D"/>
    <w:rsid w:val="00765B24"/>
    <w:rsid w:val="00770107"/>
    <w:rsid w:val="00771A7D"/>
    <w:rsid w:val="00773D52"/>
    <w:rsid w:val="007743ED"/>
    <w:rsid w:val="00782F9D"/>
    <w:rsid w:val="00792A7D"/>
    <w:rsid w:val="00793582"/>
    <w:rsid w:val="00796D63"/>
    <w:rsid w:val="007978A8"/>
    <w:rsid w:val="007A6D76"/>
    <w:rsid w:val="007B0277"/>
    <w:rsid w:val="007B4843"/>
    <w:rsid w:val="007B66C8"/>
    <w:rsid w:val="007B6FC1"/>
    <w:rsid w:val="007B74AA"/>
    <w:rsid w:val="007B7B64"/>
    <w:rsid w:val="007C23C5"/>
    <w:rsid w:val="007D50B7"/>
    <w:rsid w:val="007D51CC"/>
    <w:rsid w:val="007D75FD"/>
    <w:rsid w:val="007E35E6"/>
    <w:rsid w:val="007E3A89"/>
    <w:rsid w:val="007E4537"/>
    <w:rsid w:val="007E75D0"/>
    <w:rsid w:val="007F11CC"/>
    <w:rsid w:val="007F72CA"/>
    <w:rsid w:val="0080247C"/>
    <w:rsid w:val="008031C3"/>
    <w:rsid w:val="00803A96"/>
    <w:rsid w:val="00804778"/>
    <w:rsid w:val="008070B2"/>
    <w:rsid w:val="00811E28"/>
    <w:rsid w:val="0081705C"/>
    <w:rsid w:val="008174DB"/>
    <w:rsid w:val="00820492"/>
    <w:rsid w:val="00821E50"/>
    <w:rsid w:val="00825436"/>
    <w:rsid w:val="008258D2"/>
    <w:rsid w:val="008263C1"/>
    <w:rsid w:val="00827E7A"/>
    <w:rsid w:val="008300BB"/>
    <w:rsid w:val="0083053B"/>
    <w:rsid w:val="00832B5B"/>
    <w:rsid w:val="00835556"/>
    <w:rsid w:val="0083601F"/>
    <w:rsid w:val="00840039"/>
    <w:rsid w:val="0084039B"/>
    <w:rsid w:val="00841094"/>
    <w:rsid w:val="00844B96"/>
    <w:rsid w:val="00845E1C"/>
    <w:rsid w:val="00851763"/>
    <w:rsid w:val="00853225"/>
    <w:rsid w:val="008547EE"/>
    <w:rsid w:val="0086027D"/>
    <w:rsid w:val="0086062B"/>
    <w:rsid w:val="00861DA4"/>
    <w:rsid w:val="008641C8"/>
    <w:rsid w:val="00874AE9"/>
    <w:rsid w:val="008800F4"/>
    <w:rsid w:val="00880E3D"/>
    <w:rsid w:val="00885FB6"/>
    <w:rsid w:val="00886091"/>
    <w:rsid w:val="008916DC"/>
    <w:rsid w:val="00892895"/>
    <w:rsid w:val="00896882"/>
    <w:rsid w:val="008A11C1"/>
    <w:rsid w:val="008A19A5"/>
    <w:rsid w:val="008A5778"/>
    <w:rsid w:val="008A6266"/>
    <w:rsid w:val="008A7B09"/>
    <w:rsid w:val="008B1F32"/>
    <w:rsid w:val="008B2626"/>
    <w:rsid w:val="008B5613"/>
    <w:rsid w:val="008B6876"/>
    <w:rsid w:val="008C080B"/>
    <w:rsid w:val="008C0E08"/>
    <w:rsid w:val="008C1DF3"/>
    <w:rsid w:val="008C219B"/>
    <w:rsid w:val="008C393E"/>
    <w:rsid w:val="008C71A7"/>
    <w:rsid w:val="008D0EC4"/>
    <w:rsid w:val="008D288A"/>
    <w:rsid w:val="008D29A0"/>
    <w:rsid w:val="008D4817"/>
    <w:rsid w:val="008E2785"/>
    <w:rsid w:val="008E4B75"/>
    <w:rsid w:val="008E57AB"/>
    <w:rsid w:val="008E5896"/>
    <w:rsid w:val="008E654E"/>
    <w:rsid w:val="008E7006"/>
    <w:rsid w:val="008F03DA"/>
    <w:rsid w:val="009022D4"/>
    <w:rsid w:val="00902D0B"/>
    <w:rsid w:val="0091738E"/>
    <w:rsid w:val="00920AFE"/>
    <w:rsid w:val="00925CD9"/>
    <w:rsid w:val="00935D6D"/>
    <w:rsid w:val="0093779D"/>
    <w:rsid w:val="00942DE6"/>
    <w:rsid w:val="009461D3"/>
    <w:rsid w:val="00947F2A"/>
    <w:rsid w:val="00947FE5"/>
    <w:rsid w:val="009559CD"/>
    <w:rsid w:val="0095685C"/>
    <w:rsid w:val="0096056E"/>
    <w:rsid w:val="00961EBD"/>
    <w:rsid w:val="009636B5"/>
    <w:rsid w:val="00963736"/>
    <w:rsid w:val="00964539"/>
    <w:rsid w:val="009662F9"/>
    <w:rsid w:val="00967DCF"/>
    <w:rsid w:val="009712D6"/>
    <w:rsid w:val="009739E6"/>
    <w:rsid w:val="009759B4"/>
    <w:rsid w:val="009832BE"/>
    <w:rsid w:val="009846A3"/>
    <w:rsid w:val="0099029D"/>
    <w:rsid w:val="0099207E"/>
    <w:rsid w:val="009923A7"/>
    <w:rsid w:val="00994143"/>
    <w:rsid w:val="00996A38"/>
    <w:rsid w:val="009A1159"/>
    <w:rsid w:val="009A4DB3"/>
    <w:rsid w:val="009B3390"/>
    <w:rsid w:val="009B3C7B"/>
    <w:rsid w:val="009C0B4E"/>
    <w:rsid w:val="009C0E54"/>
    <w:rsid w:val="009C17BD"/>
    <w:rsid w:val="009C1D47"/>
    <w:rsid w:val="009C5A82"/>
    <w:rsid w:val="009D4D9C"/>
    <w:rsid w:val="009D527B"/>
    <w:rsid w:val="009D64C0"/>
    <w:rsid w:val="009D76AA"/>
    <w:rsid w:val="009E0C4E"/>
    <w:rsid w:val="009E251A"/>
    <w:rsid w:val="009E2A2D"/>
    <w:rsid w:val="009E6947"/>
    <w:rsid w:val="009F00C7"/>
    <w:rsid w:val="009F4FC8"/>
    <w:rsid w:val="009F5BF4"/>
    <w:rsid w:val="009F6AA1"/>
    <w:rsid w:val="009F7954"/>
    <w:rsid w:val="00A04B65"/>
    <w:rsid w:val="00A11B62"/>
    <w:rsid w:val="00A17D79"/>
    <w:rsid w:val="00A258E7"/>
    <w:rsid w:val="00A307FF"/>
    <w:rsid w:val="00A3361B"/>
    <w:rsid w:val="00A346E2"/>
    <w:rsid w:val="00A353A8"/>
    <w:rsid w:val="00A42503"/>
    <w:rsid w:val="00A45604"/>
    <w:rsid w:val="00A457FC"/>
    <w:rsid w:val="00A50338"/>
    <w:rsid w:val="00A51662"/>
    <w:rsid w:val="00A52A99"/>
    <w:rsid w:val="00A53D95"/>
    <w:rsid w:val="00A54037"/>
    <w:rsid w:val="00A54621"/>
    <w:rsid w:val="00A54CB7"/>
    <w:rsid w:val="00A55425"/>
    <w:rsid w:val="00A55BC4"/>
    <w:rsid w:val="00A561E2"/>
    <w:rsid w:val="00A612B1"/>
    <w:rsid w:val="00A6550E"/>
    <w:rsid w:val="00A752EF"/>
    <w:rsid w:val="00A7611D"/>
    <w:rsid w:val="00A77989"/>
    <w:rsid w:val="00A8208C"/>
    <w:rsid w:val="00A85D2F"/>
    <w:rsid w:val="00A86A25"/>
    <w:rsid w:val="00A902BA"/>
    <w:rsid w:val="00A927AC"/>
    <w:rsid w:val="00A94662"/>
    <w:rsid w:val="00A94CFE"/>
    <w:rsid w:val="00A95965"/>
    <w:rsid w:val="00A95B9F"/>
    <w:rsid w:val="00AA1629"/>
    <w:rsid w:val="00AA6945"/>
    <w:rsid w:val="00AB053F"/>
    <w:rsid w:val="00AB24B7"/>
    <w:rsid w:val="00AB6B1E"/>
    <w:rsid w:val="00AB74B6"/>
    <w:rsid w:val="00AC0F33"/>
    <w:rsid w:val="00AD0196"/>
    <w:rsid w:val="00AD08D5"/>
    <w:rsid w:val="00AD2D09"/>
    <w:rsid w:val="00AD4BB5"/>
    <w:rsid w:val="00AD5250"/>
    <w:rsid w:val="00AD53DD"/>
    <w:rsid w:val="00AD5A94"/>
    <w:rsid w:val="00AE6823"/>
    <w:rsid w:val="00AE7362"/>
    <w:rsid w:val="00AE75DD"/>
    <w:rsid w:val="00AF075B"/>
    <w:rsid w:val="00B0239A"/>
    <w:rsid w:val="00B02FEE"/>
    <w:rsid w:val="00B11282"/>
    <w:rsid w:val="00B116E5"/>
    <w:rsid w:val="00B24A58"/>
    <w:rsid w:val="00B30315"/>
    <w:rsid w:val="00B30FF1"/>
    <w:rsid w:val="00B31ACD"/>
    <w:rsid w:val="00B3570A"/>
    <w:rsid w:val="00B3796C"/>
    <w:rsid w:val="00B41622"/>
    <w:rsid w:val="00B43A04"/>
    <w:rsid w:val="00B5599F"/>
    <w:rsid w:val="00B562B2"/>
    <w:rsid w:val="00B56821"/>
    <w:rsid w:val="00B56F12"/>
    <w:rsid w:val="00B70FFB"/>
    <w:rsid w:val="00B8024B"/>
    <w:rsid w:val="00B80B68"/>
    <w:rsid w:val="00B81BC6"/>
    <w:rsid w:val="00B8242A"/>
    <w:rsid w:val="00B86006"/>
    <w:rsid w:val="00B90268"/>
    <w:rsid w:val="00B91415"/>
    <w:rsid w:val="00B93367"/>
    <w:rsid w:val="00B94CDF"/>
    <w:rsid w:val="00B9595D"/>
    <w:rsid w:val="00BA00DE"/>
    <w:rsid w:val="00BA3500"/>
    <w:rsid w:val="00BA5A32"/>
    <w:rsid w:val="00BA7242"/>
    <w:rsid w:val="00BB08F8"/>
    <w:rsid w:val="00BB4543"/>
    <w:rsid w:val="00BB5091"/>
    <w:rsid w:val="00BC024E"/>
    <w:rsid w:val="00BC1A3D"/>
    <w:rsid w:val="00BC286B"/>
    <w:rsid w:val="00BD3670"/>
    <w:rsid w:val="00BD7AB0"/>
    <w:rsid w:val="00BE2F81"/>
    <w:rsid w:val="00BF1067"/>
    <w:rsid w:val="00BF1F06"/>
    <w:rsid w:val="00BF5BF5"/>
    <w:rsid w:val="00C00440"/>
    <w:rsid w:val="00C07872"/>
    <w:rsid w:val="00C11D56"/>
    <w:rsid w:val="00C12809"/>
    <w:rsid w:val="00C15C47"/>
    <w:rsid w:val="00C32AB4"/>
    <w:rsid w:val="00C37BEE"/>
    <w:rsid w:val="00C44100"/>
    <w:rsid w:val="00C466D5"/>
    <w:rsid w:val="00C47D87"/>
    <w:rsid w:val="00C5255F"/>
    <w:rsid w:val="00C52AEB"/>
    <w:rsid w:val="00C55C7A"/>
    <w:rsid w:val="00C606A3"/>
    <w:rsid w:val="00C63CF6"/>
    <w:rsid w:val="00C742F9"/>
    <w:rsid w:val="00C76FF4"/>
    <w:rsid w:val="00C81E7A"/>
    <w:rsid w:val="00C82AFC"/>
    <w:rsid w:val="00C85267"/>
    <w:rsid w:val="00C85315"/>
    <w:rsid w:val="00C87E09"/>
    <w:rsid w:val="00C92879"/>
    <w:rsid w:val="00CA03DE"/>
    <w:rsid w:val="00CA0BDE"/>
    <w:rsid w:val="00CB5F9E"/>
    <w:rsid w:val="00CB7161"/>
    <w:rsid w:val="00CC21EC"/>
    <w:rsid w:val="00CC2834"/>
    <w:rsid w:val="00CC7E57"/>
    <w:rsid w:val="00CD0E28"/>
    <w:rsid w:val="00CD66D4"/>
    <w:rsid w:val="00CE7496"/>
    <w:rsid w:val="00CF311D"/>
    <w:rsid w:val="00CF32E9"/>
    <w:rsid w:val="00CF46EC"/>
    <w:rsid w:val="00CF4CE7"/>
    <w:rsid w:val="00CF709A"/>
    <w:rsid w:val="00CF7B50"/>
    <w:rsid w:val="00D0488B"/>
    <w:rsid w:val="00D07301"/>
    <w:rsid w:val="00D07628"/>
    <w:rsid w:val="00D1008A"/>
    <w:rsid w:val="00D17470"/>
    <w:rsid w:val="00D226E2"/>
    <w:rsid w:val="00D26A78"/>
    <w:rsid w:val="00D3064D"/>
    <w:rsid w:val="00D32CB0"/>
    <w:rsid w:val="00D33A46"/>
    <w:rsid w:val="00D43B22"/>
    <w:rsid w:val="00D452D5"/>
    <w:rsid w:val="00D45576"/>
    <w:rsid w:val="00D51B6E"/>
    <w:rsid w:val="00D52466"/>
    <w:rsid w:val="00D562F9"/>
    <w:rsid w:val="00D56760"/>
    <w:rsid w:val="00D607C5"/>
    <w:rsid w:val="00D625F0"/>
    <w:rsid w:val="00D67618"/>
    <w:rsid w:val="00D71C7E"/>
    <w:rsid w:val="00D737EF"/>
    <w:rsid w:val="00D81665"/>
    <w:rsid w:val="00D82401"/>
    <w:rsid w:val="00D85427"/>
    <w:rsid w:val="00D86BAB"/>
    <w:rsid w:val="00D86E4F"/>
    <w:rsid w:val="00D87F98"/>
    <w:rsid w:val="00D9067C"/>
    <w:rsid w:val="00D908CC"/>
    <w:rsid w:val="00D90957"/>
    <w:rsid w:val="00D92B83"/>
    <w:rsid w:val="00D95CC1"/>
    <w:rsid w:val="00DA0235"/>
    <w:rsid w:val="00DA0252"/>
    <w:rsid w:val="00DA08CC"/>
    <w:rsid w:val="00DA4279"/>
    <w:rsid w:val="00DA47EB"/>
    <w:rsid w:val="00DA5EB3"/>
    <w:rsid w:val="00DA788A"/>
    <w:rsid w:val="00DB1212"/>
    <w:rsid w:val="00DB2E13"/>
    <w:rsid w:val="00DB47CF"/>
    <w:rsid w:val="00DB6247"/>
    <w:rsid w:val="00DC2A2C"/>
    <w:rsid w:val="00DD462C"/>
    <w:rsid w:val="00DD5B28"/>
    <w:rsid w:val="00DD6F72"/>
    <w:rsid w:val="00DE0DDD"/>
    <w:rsid w:val="00DE311E"/>
    <w:rsid w:val="00DE4D9A"/>
    <w:rsid w:val="00DE5D42"/>
    <w:rsid w:val="00DE6BE4"/>
    <w:rsid w:val="00DE6C6D"/>
    <w:rsid w:val="00DF5C91"/>
    <w:rsid w:val="00DF6C69"/>
    <w:rsid w:val="00E040FE"/>
    <w:rsid w:val="00E11FC2"/>
    <w:rsid w:val="00E136F8"/>
    <w:rsid w:val="00E15261"/>
    <w:rsid w:val="00E216CB"/>
    <w:rsid w:val="00E24877"/>
    <w:rsid w:val="00E26D50"/>
    <w:rsid w:val="00E33E30"/>
    <w:rsid w:val="00E343D4"/>
    <w:rsid w:val="00E346C4"/>
    <w:rsid w:val="00E351ED"/>
    <w:rsid w:val="00E37D82"/>
    <w:rsid w:val="00E44873"/>
    <w:rsid w:val="00E44E55"/>
    <w:rsid w:val="00E46654"/>
    <w:rsid w:val="00E5066E"/>
    <w:rsid w:val="00E50D18"/>
    <w:rsid w:val="00E562B7"/>
    <w:rsid w:val="00E65EC9"/>
    <w:rsid w:val="00E6792B"/>
    <w:rsid w:val="00E71EA4"/>
    <w:rsid w:val="00E737EF"/>
    <w:rsid w:val="00E8354C"/>
    <w:rsid w:val="00E835AD"/>
    <w:rsid w:val="00E85910"/>
    <w:rsid w:val="00E87575"/>
    <w:rsid w:val="00E879BB"/>
    <w:rsid w:val="00E91361"/>
    <w:rsid w:val="00E9147E"/>
    <w:rsid w:val="00E92EF9"/>
    <w:rsid w:val="00EA3E5D"/>
    <w:rsid w:val="00EA4C4C"/>
    <w:rsid w:val="00EB1325"/>
    <w:rsid w:val="00EB178D"/>
    <w:rsid w:val="00EB7D3E"/>
    <w:rsid w:val="00EC017B"/>
    <w:rsid w:val="00EC5D29"/>
    <w:rsid w:val="00EC72D7"/>
    <w:rsid w:val="00ED0916"/>
    <w:rsid w:val="00ED7CA1"/>
    <w:rsid w:val="00EF7721"/>
    <w:rsid w:val="00F03A61"/>
    <w:rsid w:val="00F051F3"/>
    <w:rsid w:val="00F11150"/>
    <w:rsid w:val="00F12A6A"/>
    <w:rsid w:val="00F13A8E"/>
    <w:rsid w:val="00F211FC"/>
    <w:rsid w:val="00F21AB4"/>
    <w:rsid w:val="00F22214"/>
    <w:rsid w:val="00F22EF4"/>
    <w:rsid w:val="00F26779"/>
    <w:rsid w:val="00F31525"/>
    <w:rsid w:val="00F33B4B"/>
    <w:rsid w:val="00F340C1"/>
    <w:rsid w:val="00F3656D"/>
    <w:rsid w:val="00F42EE1"/>
    <w:rsid w:val="00F4307A"/>
    <w:rsid w:val="00F435BA"/>
    <w:rsid w:val="00F43A65"/>
    <w:rsid w:val="00F44E48"/>
    <w:rsid w:val="00F519B6"/>
    <w:rsid w:val="00F51EE8"/>
    <w:rsid w:val="00F5225B"/>
    <w:rsid w:val="00F522D8"/>
    <w:rsid w:val="00F55343"/>
    <w:rsid w:val="00F57524"/>
    <w:rsid w:val="00F57560"/>
    <w:rsid w:val="00F60A34"/>
    <w:rsid w:val="00F7070A"/>
    <w:rsid w:val="00F71618"/>
    <w:rsid w:val="00F73D88"/>
    <w:rsid w:val="00F75152"/>
    <w:rsid w:val="00F75C65"/>
    <w:rsid w:val="00F769A7"/>
    <w:rsid w:val="00F76B5D"/>
    <w:rsid w:val="00F80B32"/>
    <w:rsid w:val="00F8242E"/>
    <w:rsid w:val="00F82E04"/>
    <w:rsid w:val="00F835D7"/>
    <w:rsid w:val="00F83D83"/>
    <w:rsid w:val="00F84557"/>
    <w:rsid w:val="00F925D4"/>
    <w:rsid w:val="00F947E1"/>
    <w:rsid w:val="00F94EAF"/>
    <w:rsid w:val="00F95B11"/>
    <w:rsid w:val="00F95E20"/>
    <w:rsid w:val="00FA1006"/>
    <w:rsid w:val="00FA1081"/>
    <w:rsid w:val="00FA13C2"/>
    <w:rsid w:val="00FA1E77"/>
    <w:rsid w:val="00FA4807"/>
    <w:rsid w:val="00FA58A4"/>
    <w:rsid w:val="00FA6F5F"/>
    <w:rsid w:val="00FA7177"/>
    <w:rsid w:val="00FA76EC"/>
    <w:rsid w:val="00FA797C"/>
    <w:rsid w:val="00FB24B3"/>
    <w:rsid w:val="00FB2B8E"/>
    <w:rsid w:val="00FB33C3"/>
    <w:rsid w:val="00FB5A1C"/>
    <w:rsid w:val="00FC0378"/>
    <w:rsid w:val="00FC14FE"/>
    <w:rsid w:val="00FC446F"/>
    <w:rsid w:val="00FC4B49"/>
    <w:rsid w:val="00FC4D47"/>
    <w:rsid w:val="00FD3AF0"/>
    <w:rsid w:val="00FD45BF"/>
    <w:rsid w:val="00FD78BB"/>
    <w:rsid w:val="00FE1EC1"/>
    <w:rsid w:val="00FE2E51"/>
    <w:rsid w:val="00FE51FE"/>
    <w:rsid w:val="00FE6E2A"/>
    <w:rsid w:val="00FE763D"/>
    <w:rsid w:val="00FE7E90"/>
    <w:rsid w:val="00FF2555"/>
    <w:rsid w:val="00FF4538"/>
    <w:rsid w:val="00FF5CDB"/>
    <w:rsid w:val="00FF7E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E2"/>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uiPriority w:val="9"/>
    <w:qFormat/>
    <w:rsid w:val="00A561E2"/>
    <w:pPr>
      <w:keepNext/>
      <w:numPr>
        <w:numId w:val="8"/>
      </w:numPr>
      <w:spacing w:after="240"/>
      <w:outlineLvl w:val="0"/>
    </w:pPr>
    <w:rPr>
      <w:rFonts w:eastAsia="Times New Roman" w:cs="Calibri"/>
      <w:b/>
      <w:bCs/>
      <w:kern w:val="32"/>
      <w:sz w:val="32"/>
      <w:szCs w:val="32"/>
    </w:rPr>
  </w:style>
  <w:style w:type="paragraph" w:styleId="Heading2">
    <w:name w:val="heading 2"/>
    <w:basedOn w:val="Normal"/>
    <w:next w:val="Normal"/>
    <w:link w:val="Heading2Char"/>
    <w:uiPriority w:val="9"/>
    <w:unhideWhenUsed/>
    <w:qFormat/>
    <w:rsid w:val="000664C6"/>
    <w:pPr>
      <w:keepNext/>
      <w:spacing w:before="240" w:after="200"/>
      <w:outlineLvl w:val="1"/>
    </w:pPr>
    <w:rPr>
      <w:rFonts w:asciiTheme="minorHAnsi" w:eastAsia="Times New Roman" w:hAnsiTheme="minorHAnsi" w:cstheme="minorHAnsi"/>
      <w:b/>
      <w:bCs/>
      <w:iCs/>
      <w:sz w:val="28"/>
      <w:szCs w:val="28"/>
      <w:lang w:val="en-AU"/>
    </w:rPr>
  </w:style>
  <w:style w:type="paragraph" w:styleId="Heading3">
    <w:name w:val="heading 3"/>
    <w:basedOn w:val="Normal"/>
    <w:next w:val="Normal"/>
    <w:link w:val="Heading3Char"/>
    <w:uiPriority w:val="9"/>
    <w:unhideWhenUsed/>
    <w:qFormat/>
    <w:rsid w:val="00D26A78"/>
    <w:pPr>
      <w:spacing w:before="240" w:after="120"/>
      <w:outlineLvl w:val="2"/>
    </w:pPr>
    <w:rPr>
      <w:rFonts w:asciiTheme="minorHAnsi" w:hAnsiTheme="minorHAnsi" w:cstheme="minorHAnsi"/>
      <w:b/>
      <w:color w:val="000000"/>
      <w:sz w:val="28"/>
      <w:szCs w:val="28"/>
      <w:lang w:val="en-AU"/>
    </w:rPr>
  </w:style>
  <w:style w:type="paragraph" w:styleId="Heading4">
    <w:name w:val="heading 4"/>
    <w:basedOn w:val="Normal"/>
    <w:next w:val="Normal"/>
    <w:link w:val="Heading4Char"/>
    <w:uiPriority w:val="9"/>
    <w:unhideWhenUsed/>
    <w:qFormat/>
    <w:rsid w:val="006B7642"/>
    <w:pPr>
      <w:spacing w:before="120" w:after="120"/>
      <w:outlineLvl w:val="3"/>
    </w:pPr>
    <w:rPr>
      <w:rFonts w:asciiTheme="minorHAnsi" w:hAnsiTheme="minorHAnsi" w:cstheme="minorHAnsi"/>
      <w:i/>
      <w:color w:val="000000"/>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E2"/>
    <w:rPr>
      <w:rFonts w:ascii="Calibri" w:eastAsia="Times New Roman" w:hAnsi="Calibri" w:cs="Calibri"/>
      <w:b/>
      <w:bCs/>
      <w:kern w:val="32"/>
      <w:sz w:val="32"/>
      <w:szCs w:val="32"/>
      <w:lang w:val="en-US" w:eastAsia="zh-CN"/>
    </w:rPr>
  </w:style>
  <w:style w:type="character" w:customStyle="1" w:styleId="Heading2Char">
    <w:name w:val="Heading 2 Char"/>
    <w:basedOn w:val="DefaultParagraphFont"/>
    <w:link w:val="Heading2"/>
    <w:uiPriority w:val="9"/>
    <w:rsid w:val="000664C6"/>
    <w:rPr>
      <w:rFonts w:eastAsia="Times New Roman" w:cstheme="minorHAnsi"/>
      <w:b/>
      <w:bCs/>
      <w:iCs/>
      <w:kern w:val="2"/>
      <w:sz w:val="28"/>
      <w:szCs w:val="28"/>
      <w:lang w:eastAsia="zh-CN"/>
    </w:rPr>
  </w:style>
  <w:style w:type="character" w:customStyle="1" w:styleId="Heading3Char">
    <w:name w:val="Heading 3 Char"/>
    <w:basedOn w:val="DefaultParagraphFont"/>
    <w:link w:val="Heading3"/>
    <w:uiPriority w:val="9"/>
    <w:rsid w:val="00D26A78"/>
    <w:rPr>
      <w:rFonts w:eastAsia="SimSun" w:cstheme="minorHAnsi"/>
      <w:b/>
      <w:color w:val="000000"/>
      <w:kern w:val="2"/>
      <w:sz w:val="28"/>
      <w:szCs w:val="28"/>
      <w:lang w:eastAsia="zh-CN"/>
    </w:rPr>
  </w:style>
  <w:style w:type="character" w:customStyle="1" w:styleId="SubtitleChar">
    <w:name w:val="Subtitle Char"/>
    <w:link w:val="Subtitle"/>
    <w:rsid w:val="00A561E2"/>
    <w:rPr>
      <w:rFonts w:ascii="Cambria" w:eastAsia="Times New Roman" w:hAnsi="Cambria" w:cs="Times New Roman"/>
      <w:i/>
      <w:iCs/>
      <w:color w:val="4F81BD"/>
      <w:spacing w:val="15"/>
      <w:sz w:val="24"/>
      <w:szCs w:val="24"/>
    </w:rPr>
  </w:style>
  <w:style w:type="paragraph" w:styleId="Subtitle">
    <w:name w:val="Subtitle"/>
    <w:basedOn w:val="Normal"/>
    <w:next w:val="Normal"/>
    <w:link w:val="SubtitleChar"/>
    <w:qFormat/>
    <w:rsid w:val="00A561E2"/>
    <w:pPr>
      <w:widowControl/>
      <w:jc w:val="left"/>
    </w:pPr>
    <w:rPr>
      <w:rFonts w:ascii="Cambria" w:eastAsia="Times New Roman" w:hAnsi="Cambria"/>
      <w:i/>
      <w:iCs/>
      <w:color w:val="4F81BD"/>
      <w:spacing w:val="15"/>
      <w:kern w:val="0"/>
      <w:sz w:val="24"/>
      <w:szCs w:val="24"/>
      <w:lang w:val="en-AU" w:eastAsia="en-US"/>
    </w:rPr>
  </w:style>
  <w:style w:type="character" w:customStyle="1" w:styleId="SubtitleChar1">
    <w:name w:val="Subtitle Char1"/>
    <w:basedOn w:val="DefaultParagraphFont"/>
    <w:uiPriority w:val="11"/>
    <w:rsid w:val="00A561E2"/>
    <w:rPr>
      <w:rFonts w:asciiTheme="majorHAnsi" w:eastAsiaTheme="majorEastAsia" w:hAnsiTheme="majorHAnsi" w:cstheme="majorBidi"/>
      <w:i/>
      <w:iCs/>
      <w:color w:val="4F81BD" w:themeColor="accent1"/>
      <w:spacing w:val="15"/>
      <w:kern w:val="2"/>
      <w:sz w:val="24"/>
      <w:szCs w:val="24"/>
      <w:lang w:val="en-US" w:eastAsia="zh-CN"/>
    </w:rPr>
  </w:style>
  <w:style w:type="character" w:customStyle="1" w:styleId="FooterChar">
    <w:name w:val="Footer Char"/>
    <w:link w:val="Footer"/>
    <w:uiPriority w:val="99"/>
    <w:rsid w:val="00A561E2"/>
    <w:rPr>
      <w:rFonts w:eastAsia="SimSun"/>
      <w:kern w:val="2"/>
      <w:sz w:val="18"/>
    </w:rPr>
  </w:style>
  <w:style w:type="paragraph" w:styleId="Footer">
    <w:name w:val="footer"/>
    <w:basedOn w:val="Normal"/>
    <w:link w:val="FooterChar"/>
    <w:uiPriority w:val="99"/>
    <w:rsid w:val="00A561E2"/>
    <w:pPr>
      <w:tabs>
        <w:tab w:val="center" w:pos="4153"/>
        <w:tab w:val="right" w:pos="8306"/>
      </w:tabs>
      <w:snapToGrid w:val="0"/>
      <w:jc w:val="left"/>
    </w:pPr>
    <w:rPr>
      <w:rFonts w:asciiTheme="minorHAnsi" w:hAnsiTheme="minorHAnsi" w:cstheme="minorBidi"/>
      <w:sz w:val="18"/>
      <w:lang w:val="en-AU" w:eastAsia="en-US"/>
    </w:rPr>
  </w:style>
  <w:style w:type="character" w:customStyle="1" w:styleId="FooterChar1">
    <w:name w:val="Footer Char1"/>
    <w:basedOn w:val="DefaultParagraphFont"/>
    <w:uiPriority w:val="99"/>
    <w:semiHidden/>
    <w:rsid w:val="00A561E2"/>
    <w:rPr>
      <w:rFonts w:ascii="Calibri" w:eastAsia="SimSun" w:hAnsi="Calibri" w:cs="Times New Roman"/>
      <w:kern w:val="2"/>
      <w:sz w:val="21"/>
      <w:lang w:val="en-US" w:eastAsia="zh-CN"/>
    </w:rPr>
  </w:style>
  <w:style w:type="paragraph" w:styleId="Header">
    <w:name w:val="header"/>
    <w:basedOn w:val="Normal"/>
    <w:link w:val="HeaderChar"/>
    <w:rsid w:val="00A561E2"/>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customStyle="1" w:styleId="HeaderChar">
    <w:name w:val="Header Char"/>
    <w:basedOn w:val="DefaultParagraphFont"/>
    <w:link w:val="Header"/>
    <w:rsid w:val="00A561E2"/>
    <w:rPr>
      <w:rFonts w:ascii="Times New Roman" w:eastAsia="SimSun" w:hAnsi="Times New Roman" w:cs="Times New Roman"/>
      <w:kern w:val="2"/>
      <w:sz w:val="18"/>
      <w:lang w:val="en-US" w:eastAsia="zh-CN"/>
    </w:rPr>
  </w:style>
  <w:style w:type="paragraph" w:customStyle="1" w:styleId="1">
    <w:name w:val="列出段落1"/>
    <w:basedOn w:val="Normal"/>
    <w:rsid w:val="00A561E2"/>
    <w:pPr>
      <w:widowControl/>
      <w:ind w:left="720"/>
      <w:contextualSpacing/>
      <w:jc w:val="left"/>
    </w:pPr>
    <w:rPr>
      <w:rFonts w:ascii="Times New Roman" w:eastAsia="Times New Roman" w:hAnsi="Times New Roman"/>
      <w:kern w:val="0"/>
      <w:sz w:val="24"/>
      <w:szCs w:val="24"/>
      <w:lang w:eastAsia="en-US"/>
    </w:rPr>
  </w:style>
  <w:style w:type="paragraph" w:customStyle="1" w:styleId="note">
    <w:name w:val="note"/>
    <w:basedOn w:val="Normal"/>
    <w:qFormat/>
    <w:rsid w:val="00A561E2"/>
    <w:pPr>
      <w:widowControl/>
      <w:jc w:val="left"/>
    </w:pPr>
    <w:rPr>
      <w:rFonts w:ascii="Cambria" w:eastAsia="Calibri" w:hAnsi="Cambria"/>
      <w:kern w:val="0"/>
      <w:sz w:val="18"/>
      <w:lang w:eastAsia="en-US"/>
    </w:rPr>
  </w:style>
  <w:style w:type="paragraph" w:styleId="BalloonText">
    <w:name w:val="Balloon Text"/>
    <w:basedOn w:val="Normal"/>
    <w:link w:val="BalloonTextChar"/>
    <w:uiPriority w:val="99"/>
    <w:semiHidden/>
    <w:unhideWhenUsed/>
    <w:rsid w:val="00A561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1E2"/>
    <w:rPr>
      <w:rFonts w:ascii="Segoe UI" w:eastAsia="SimSun" w:hAnsi="Segoe UI" w:cs="Segoe UI"/>
      <w:kern w:val="2"/>
      <w:sz w:val="18"/>
      <w:szCs w:val="18"/>
      <w:lang w:val="en-US" w:eastAsia="zh-CN"/>
    </w:rPr>
  </w:style>
  <w:style w:type="paragraph" w:styleId="FootnoteText">
    <w:name w:val="footnote text"/>
    <w:aliases w:val="Footnote Text Char1 Char,Footnote Text Char Char Char,Footnote Text Char1 Char Char Char,Footnote Text Char Char Char Char Char,Footnote Text Char1 Char1,Footnote Text Char Char Char1,Footnote Text AFPC 1-9,AFPC Footnote Text"/>
    <w:basedOn w:val="Normal"/>
    <w:link w:val="FootnoteTextChar"/>
    <w:uiPriority w:val="99"/>
    <w:unhideWhenUsed/>
    <w:rsid w:val="00A561E2"/>
    <w:rPr>
      <w:sz w:val="20"/>
      <w:szCs w:val="20"/>
    </w:rPr>
  </w:style>
  <w:style w:type="character" w:customStyle="1" w:styleId="FootnoteTextChar">
    <w:name w:val="Footnote Text Char"/>
    <w:aliases w:val="Footnote Text Char1 Char Char,Footnote Text Char Char Char Char,Footnote Text Char1 Char Char Char Char,Footnote Text Char Char Char Char Char Char,Footnote Text Char1 Char1 Char,Footnote Text Char Char Char1 Char"/>
    <w:basedOn w:val="DefaultParagraphFont"/>
    <w:link w:val="FootnoteText"/>
    <w:uiPriority w:val="99"/>
    <w:rsid w:val="00A561E2"/>
    <w:rPr>
      <w:rFonts w:ascii="Calibri" w:eastAsia="SimSun" w:hAnsi="Calibri" w:cs="Times New Roman"/>
      <w:kern w:val="2"/>
      <w:sz w:val="20"/>
      <w:szCs w:val="20"/>
      <w:lang w:val="en-US" w:eastAsia="zh-CN"/>
    </w:rPr>
  </w:style>
  <w:style w:type="character" w:styleId="FootnoteReference">
    <w:name w:val="footnote reference"/>
    <w:uiPriority w:val="99"/>
    <w:rsid w:val="00A561E2"/>
    <w:rPr>
      <w:vertAlign w:val="superscript"/>
    </w:rPr>
  </w:style>
  <w:style w:type="paragraph" w:customStyle="1" w:styleId="CERDBodyTextDotPoint">
    <w:name w:val="CERD Body Text Dot Point"/>
    <w:basedOn w:val="Normal"/>
    <w:uiPriority w:val="99"/>
    <w:rsid w:val="00A561E2"/>
    <w:pPr>
      <w:widowControl/>
      <w:numPr>
        <w:numId w:val="2"/>
      </w:numPr>
      <w:spacing w:after="200"/>
      <w:ind w:left="720" w:hanging="360"/>
      <w:jc w:val="left"/>
    </w:pPr>
    <w:rPr>
      <w:rFonts w:eastAsia="Calibri" w:cs="Calibri"/>
      <w:kern w:val="0"/>
      <w:sz w:val="24"/>
      <w:szCs w:val="24"/>
      <w:lang w:val="en-AU" w:eastAsia="ja-JP"/>
    </w:rPr>
  </w:style>
  <w:style w:type="paragraph" w:customStyle="1" w:styleId="MediumGrid1-Accent21">
    <w:name w:val="Medium Grid 1 - Accent 21"/>
    <w:aliases w:val="Recommendation,List Paragraph1,List Paragraph11,L,Dot pt,F5 List Paragraph,No Spacing1,List Paragraph Char Char Char,Indicator Text,Numbered Para 1,Bullet 1,List Paragraph12,Bullet Points,MAIN CONTENT,Colorful List - Accent 11"/>
    <w:basedOn w:val="Normal"/>
    <w:link w:val="MediumGrid1-Accent2Char"/>
    <w:uiPriority w:val="34"/>
    <w:qFormat/>
    <w:rsid w:val="00A561E2"/>
    <w:pPr>
      <w:widowControl/>
      <w:suppressAutoHyphens/>
      <w:autoSpaceDE w:val="0"/>
      <w:autoSpaceDN w:val="0"/>
      <w:adjustRightInd w:val="0"/>
      <w:spacing w:after="120"/>
      <w:ind w:left="720"/>
      <w:contextualSpacing/>
      <w:jc w:val="left"/>
      <w:textAlignment w:val="center"/>
    </w:pPr>
    <w:rPr>
      <w:rFonts w:eastAsia="Calibri" w:cs="Calibri"/>
      <w:color w:val="595959"/>
      <w:kern w:val="0"/>
      <w:sz w:val="20"/>
      <w:szCs w:val="21"/>
      <w:lang w:eastAsia="en-US"/>
    </w:rPr>
  </w:style>
  <w:style w:type="character" w:customStyle="1" w:styleId="MediumGrid1-Accent2Char">
    <w:name w:val="Medium Grid 1 - Accent 2 Char"/>
    <w:aliases w:val="Recommendation Char,List Paragraph1 Char,List Paragraph11 Char,L Char,Dot pt Char,F5 List Paragraph Char,No Spacing1 Char,List Paragraph Char Char Char Char,Indicator Text Char,Numbered Para 1 Char,Bullet 1 Char,列 Char"/>
    <w:link w:val="MediumGrid1-Accent21"/>
    <w:uiPriority w:val="34"/>
    <w:qFormat/>
    <w:locked/>
    <w:rsid w:val="00A561E2"/>
    <w:rPr>
      <w:rFonts w:ascii="Calibri" w:eastAsia="Calibri" w:hAnsi="Calibri" w:cs="Calibri"/>
      <w:color w:val="595959"/>
      <w:sz w:val="20"/>
      <w:szCs w:val="21"/>
      <w:lang w:val="en-US"/>
    </w:rPr>
  </w:style>
  <w:style w:type="paragraph" w:customStyle="1" w:styleId="Default">
    <w:name w:val="Default"/>
    <w:rsid w:val="00A561E2"/>
    <w:pPr>
      <w:autoSpaceDE w:val="0"/>
      <w:autoSpaceDN w:val="0"/>
      <w:adjustRightInd w:val="0"/>
      <w:spacing w:after="0" w:line="240" w:lineRule="auto"/>
    </w:pPr>
    <w:rPr>
      <w:rFonts w:ascii="Myriad Pro Light" w:eastAsia="Calibri" w:hAnsi="Myriad Pro Light" w:cs="Myriad Pro Light"/>
      <w:color w:val="000000"/>
      <w:sz w:val="24"/>
      <w:szCs w:val="24"/>
    </w:rPr>
  </w:style>
  <w:style w:type="character" w:customStyle="1" w:styleId="CommentTextChar">
    <w:name w:val="Comment Text Char"/>
    <w:link w:val="CommentText"/>
    <w:uiPriority w:val="99"/>
    <w:semiHidden/>
    <w:rsid w:val="00A561E2"/>
    <w:rPr>
      <w:rFonts w:ascii="Calibri" w:hAnsi="Calibri"/>
      <w:kern w:val="2"/>
      <w:lang w:val="en-US" w:eastAsia="zh-CN"/>
    </w:rPr>
  </w:style>
  <w:style w:type="paragraph" w:styleId="CommentText">
    <w:name w:val="annotation text"/>
    <w:basedOn w:val="Normal"/>
    <w:link w:val="CommentTextChar"/>
    <w:uiPriority w:val="99"/>
    <w:semiHidden/>
    <w:unhideWhenUsed/>
    <w:rsid w:val="00A561E2"/>
    <w:rPr>
      <w:rFonts w:eastAsiaTheme="minorHAnsi" w:cstheme="minorBidi"/>
      <w:sz w:val="22"/>
    </w:rPr>
  </w:style>
  <w:style w:type="character" w:customStyle="1" w:styleId="CommentTextChar1">
    <w:name w:val="Comment Text Char1"/>
    <w:basedOn w:val="DefaultParagraphFont"/>
    <w:uiPriority w:val="99"/>
    <w:semiHidden/>
    <w:rsid w:val="00A561E2"/>
    <w:rPr>
      <w:rFonts w:ascii="Calibri" w:eastAsia="SimSun" w:hAnsi="Calibri" w:cs="Times New Roman"/>
      <w:kern w:val="2"/>
      <w:sz w:val="20"/>
      <w:szCs w:val="20"/>
      <w:lang w:val="en-US" w:eastAsia="zh-CN"/>
    </w:rPr>
  </w:style>
  <w:style w:type="character" w:customStyle="1" w:styleId="CommentSubjectChar">
    <w:name w:val="Comment Subject Char"/>
    <w:link w:val="CommentSubject"/>
    <w:uiPriority w:val="99"/>
    <w:semiHidden/>
    <w:rsid w:val="00A561E2"/>
    <w:rPr>
      <w:rFonts w:ascii="Calibri" w:hAnsi="Calibri"/>
      <w:b/>
      <w:bCs/>
      <w:kern w:val="2"/>
      <w:lang w:val="en-US" w:eastAsia="zh-CN"/>
    </w:rPr>
  </w:style>
  <w:style w:type="paragraph" w:styleId="CommentSubject">
    <w:name w:val="annotation subject"/>
    <w:basedOn w:val="CommentText"/>
    <w:next w:val="CommentText"/>
    <w:link w:val="CommentSubjectChar"/>
    <w:uiPriority w:val="99"/>
    <w:semiHidden/>
    <w:unhideWhenUsed/>
    <w:rsid w:val="00A561E2"/>
    <w:rPr>
      <w:b/>
      <w:bCs/>
    </w:rPr>
  </w:style>
  <w:style w:type="character" w:customStyle="1" w:styleId="CommentSubjectChar1">
    <w:name w:val="Comment Subject Char1"/>
    <w:basedOn w:val="CommentTextChar1"/>
    <w:uiPriority w:val="99"/>
    <w:semiHidden/>
    <w:rsid w:val="00A561E2"/>
    <w:rPr>
      <w:rFonts w:ascii="Calibri" w:eastAsia="SimSun" w:hAnsi="Calibri" w:cs="Times New Roman"/>
      <w:b/>
      <w:bCs/>
      <w:kern w:val="2"/>
      <w:sz w:val="20"/>
      <w:szCs w:val="20"/>
      <w:lang w:val="en-US" w:eastAsia="zh-CN"/>
    </w:rPr>
  </w:style>
  <w:style w:type="character" w:styleId="Hyperlink">
    <w:name w:val="Hyperlink"/>
    <w:uiPriority w:val="99"/>
    <w:unhideWhenUsed/>
    <w:rsid w:val="00A561E2"/>
    <w:rPr>
      <w:color w:val="0000FF"/>
      <w:u w:val="single"/>
    </w:rPr>
  </w:style>
  <w:style w:type="paragraph" w:customStyle="1" w:styleId="TOCHeading1">
    <w:name w:val="TOC Heading1"/>
    <w:basedOn w:val="Heading1"/>
    <w:next w:val="Normal"/>
    <w:uiPriority w:val="39"/>
    <w:unhideWhenUsed/>
    <w:qFormat/>
    <w:rsid w:val="00A561E2"/>
    <w:pPr>
      <w:keepLines/>
      <w:widowControl/>
      <w:spacing w:before="480" w:after="0" w:line="276" w:lineRule="auto"/>
      <w:jc w:val="left"/>
      <w:outlineLvl w:val="9"/>
    </w:pPr>
    <w:rPr>
      <w:rFonts w:ascii="Cambria" w:hAnsi="Cambria" w:cs="Times New Roman"/>
      <w:color w:val="365F91"/>
      <w:kern w:val="0"/>
      <w:sz w:val="28"/>
      <w:szCs w:val="28"/>
      <w:lang w:eastAsia="ja-JP"/>
    </w:rPr>
  </w:style>
  <w:style w:type="paragraph" w:styleId="NormalWeb">
    <w:name w:val="Normal (Web)"/>
    <w:basedOn w:val="Normal"/>
    <w:uiPriority w:val="99"/>
    <w:unhideWhenUsed/>
    <w:rsid w:val="00A561E2"/>
    <w:pPr>
      <w:widowControl/>
      <w:spacing w:before="100" w:beforeAutospacing="1" w:after="100" w:afterAutospacing="1"/>
      <w:jc w:val="left"/>
    </w:pPr>
    <w:rPr>
      <w:rFonts w:ascii="Times New Roman" w:eastAsia="Calibri" w:hAnsi="Times New Roman"/>
      <w:kern w:val="0"/>
      <w:sz w:val="24"/>
      <w:szCs w:val="24"/>
      <w:lang w:eastAsia="en-US"/>
    </w:rPr>
  </w:style>
  <w:style w:type="character" w:customStyle="1" w:styleId="BulletChar">
    <w:name w:val="Bullet Char"/>
    <w:aliases w:val="b Char,b + line Char Char,b Char Char,Body Char,Bullet + line Char,b + line Char,b1 Char,level 1 Char"/>
    <w:link w:val="Bullet"/>
    <w:locked/>
    <w:rsid w:val="00A561E2"/>
    <w:rPr>
      <w:rFonts w:ascii="Arial" w:eastAsia="Times New Roman" w:hAnsi="Arial" w:cs="Calibri"/>
      <w:color w:val="000000"/>
      <w:sz w:val="18"/>
    </w:rPr>
  </w:style>
  <w:style w:type="paragraph" w:customStyle="1" w:styleId="Bullet">
    <w:name w:val="Bullet"/>
    <w:aliases w:val="b,b1,b + line,level 1,Body,Bullet + line"/>
    <w:basedOn w:val="Normal"/>
    <w:link w:val="BulletChar"/>
    <w:qFormat/>
    <w:rsid w:val="00A561E2"/>
    <w:pPr>
      <w:widowControl/>
      <w:numPr>
        <w:numId w:val="6"/>
      </w:numPr>
      <w:spacing w:before="120" w:after="200" w:line="276" w:lineRule="auto"/>
      <w:jc w:val="left"/>
    </w:pPr>
    <w:rPr>
      <w:rFonts w:ascii="Arial" w:eastAsia="Times New Roman" w:hAnsi="Arial" w:cs="Calibri"/>
      <w:color w:val="000000"/>
      <w:kern w:val="0"/>
      <w:sz w:val="18"/>
      <w:lang w:val="en-AU" w:eastAsia="en-US"/>
    </w:rPr>
  </w:style>
  <w:style w:type="paragraph" w:customStyle="1" w:styleId="Dash">
    <w:name w:val="Dash"/>
    <w:basedOn w:val="Normal"/>
    <w:rsid w:val="00A561E2"/>
    <w:pPr>
      <w:widowControl/>
      <w:spacing w:before="120" w:after="200" w:line="276" w:lineRule="auto"/>
      <w:ind w:left="-480" w:hanging="360"/>
      <w:jc w:val="left"/>
    </w:pPr>
    <w:rPr>
      <w:rFonts w:ascii="Arial" w:eastAsia="Times New Roman" w:hAnsi="Arial" w:cs="Calibri"/>
      <w:color w:val="000000"/>
      <w:kern w:val="0"/>
      <w:sz w:val="18"/>
      <w:szCs w:val="20"/>
      <w:lang w:val="en-AU" w:eastAsia="en-AU"/>
    </w:rPr>
  </w:style>
  <w:style w:type="paragraph" w:customStyle="1" w:styleId="DoubleDot">
    <w:name w:val="Double Dot"/>
    <w:basedOn w:val="Normal"/>
    <w:rsid w:val="00A561E2"/>
    <w:pPr>
      <w:widowControl/>
      <w:spacing w:before="120" w:after="200" w:line="276" w:lineRule="auto"/>
      <w:ind w:left="240" w:hanging="180"/>
      <w:jc w:val="left"/>
    </w:pPr>
    <w:rPr>
      <w:rFonts w:ascii="Arial" w:eastAsia="Times New Roman" w:hAnsi="Arial" w:cs="Calibri"/>
      <w:color w:val="000000"/>
      <w:kern w:val="0"/>
      <w:sz w:val="18"/>
      <w:szCs w:val="20"/>
      <w:lang w:val="en-AU" w:eastAsia="en-AU"/>
    </w:rPr>
  </w:style>
  <w:style w:type="character" w:styleId="Emphasis">
    <w:name w:val="Emphasis"/>
    <w:uiPriority w:val="20"/>
    <w:qFormat/>
    <w:rsid w:val="00A561E2"/>
    <w:rPr>
      <w:i/>
      <w:iCs/>
    </w:rPr>
  </w:style>
  <w:style w:type="paragraph" w:styleId="TOC1">
    <w:name w:val="toc 1"/>
    <w:basedOn w:val="Normal"/>
    <w:next w:val="Normal"/>
    <w:autoRedefine/>
    <w:uiPriority w:val="39"/>
    <w:unhideWhenUsed/>
    <w:qFormat/>
    <w:rsid w:val="00CF311D"/>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9846A3"/>
    <w:pPr>
      <w:shd w:val="clear" w:color="auto" w:fill="EEECE1" w:themeFill="background2"/>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9846A3"/>
    <w:pPr>
      <w:ind w:left="420"/>
      <w:jc w:val="left"/>
    </w:pPr>
    <w:rPr>
      <w:rFonts w:asciiTheme="minorHAnsi" w:hAnsiTheme="minorHAnsi" w:cstheme="minorHAnsi"/>
      <w:iCs/>
      <w:sz w:val="20"/>
      <w:szCs w:val="20"/>
    </w:rPr>
  </w:style>
  <w:style w:type="paragraph" w:styleId="TOC4">
    <w:name w:val="toc 4"/>
    <w:basedOn w:val="Normal"/>
    <w:next w:val="Normal"/>
    <w:autoRedefine/>
    <w:uiPriority w:val="39"/>
    <w:unhideWhenUsed/>
    <w:rsid w:val="00A561E2"/>
    <w:pPr>
      <w:ind w:left="63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561E2"/>
    <w:pPr>
      <w:ind w:left="8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561E2"/>
    <w:pPr>
      <w:ind w:left="105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561E2"/>
    <w:pPr>
      <w:ind w:left="12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561E2"/>
    <w:pPr>
      <w:ind w:left="147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561E2"/>
    <w:pPr>
      <w:ind w:left="1680"/>
      <w:jc w:val="left"/>
    </w:pPr>
    <w:rPr>
      <w:rFonts w:asciiTheme="minorHAnsi" w:hAnsiTheme="minorHAnsi" w:cstheme="minorHAnsi"/>
      <w:sz w:val="18"/>
      <w:szCs w:val="18"/>
    </w:rPr>
  </w:style>
  <w:style w:type="paragraph" w:styleId="ListParagraph">
    <w:name w:val="List Paragraph"/>
    <w:aliases w:val="Content descriptions,NFP GP Bulleted List,FooterText,numbered,Paragraphe de liste1,Bulletr List Paragraph,列出段落,List Paragraph2,List Paragraph21,Listeafsnit1,Parágrafo da Lista1,リスト段落1,Párrafo de lista1,Bullet point,List Paragraph Number,列"/>
    <w:basedOn w:val="Normal"/>
    <w:uiPriority w:val="34"/>
    <w:qFormat/>
    <w:rsid w:val="00A561E2"/>
    <w:pPr>
      <w:widowControl/>
      <w:ind w:left="720"/>
      <w:contextualSpacing/>
      <w:jc w:val="left"/>
    </w:pPr>
    <w:rPr>
      <w:rFonts w:eastAsia="Times New Roman"/>
      <w:kern w:val="0"/>
      <w:sz w:val="26"/>
      <w:szCs w:val="26"/>
      <w:lang w:val="en-AU" w:eastAsia="en-US"/>
    </w:rPr>
  </w:style>
  <w:style w:type="paragraph" w:styleId="TOCHeading">
    <w:name w:val="TOC Heading"/>
    <w:basedOn w:val="Heading1"/>
    <w:next w:val="Normal"/>
    <w:uiPriority w:val="39"/>
    <w:unhideWhenUsed/>
    <w:qFormat/>
    <w:rsid w:val="00A561E2"/>
    <w:pPr>
      <w:keepLines/>
      <w:widowControl/>
      <w:spacing w:before="480" w:after="0" w:line="276" w:lineRule="auto"/>
      <w:jc w:val="left"/>
      <w:outlineLvl w:val="9"/>
    </w:pPr>
    <w:rPr>
      <w:rFonts w:ascii="Cambria" w:hAnsi="Cambria" w:cs="Times New Roman"/>
      <w:color w:val="365F91"/>
      <w:kern w:val="0"/>
      <w:sz w:val="28"/>
      <w:szCs w:val="28"/>
      <w:lang w:eastAsia="ja-JP"/>
    </w:rPr>
  </w:style>
  <w:style w:type="paragraph" w:styleId="NoSpacing">
    <w:name w:val="No Spacing"/>
    <w:uiPriority w:val="1"/>
    <w:qFormat/>
    <w:rsid w:val="00A561E2"/>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670B49"/>
    <w:rPr>
      <w:sz w:val="16"/>
      <w:szCs w:val="16"/>
    </w:rPr>
  </w:style>
  <w:style w:type="paragraph" w:styleId="Revision">
    <w:name w:val="Revision"/>
    <w:hidden/>
    <w:uiPriority w:val="99"/>
    <w:semiHidden/>
    <w:rsid w:val="00692AE7"/>
    <w:pPr>
      <w:spacing w:after="0" w:line="240" w:lineRule="auto"/>
    </w:pPr>
    <w:rPr>
      <w:rFonts w:ascii="Calibri" w:eastAsia="SimSun" w:hAnsi="Calibri" w:cs="Times New Roman"/>
      <w:kern w:val="2"/>
      <w:sz w:val="21"/>
      <w:lang w:val="en-US" w:eastAsia="zh-CN"/>
    </w:rPr>
  </w:style>
  <w:style w:type="table" w:styleId="TableGrid">
    <w:name w:val="Table Grid"/>
    <w:basedOn w:val="TableNormal"/>
    <w:uiPriority w:val="59"/>
    <w:rsid w:val="00A7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46EC"/>
    <w:rPr>
      <w:color w:val="800080" w:themeColor="followedHyperlink"/>
      <w:u w:val="single"/>
    </w:rPr>
  </w:style>
  <w:style w:type="character" w:customStyle="1" w:styleId="lexicon-term">
    <w:name w:val="lexicon-term"/>
    <w:basedOn w:val="DefaultParagraphFont"/>
    <w:rsid w:val="004E0956"/>
    <w:rPr>
      <w:strike w:val="0"/>
      <w:dstrike w:val="0"/>
      <w:u w:val="none"/>
      <w:effect w:val="none"/>
    </w:rPr>
  </w:style>
  <w:style w:type="paragraph" w:customStyle="1" w:styleId="TableTextBase">
    <w:name w:val="Table Text Base"/>
    <w:link w:val="TableTextBaseChar"/>
    <w:rsid w:val="00AD4BB5"/>
    <w:pPr>
      <w:spacing w:before="60" w:after="60" w:line="240" w:lineRule="auto"/>
    </w:pPr>
    <w:rPr>
      <w:rFonts w:ascii="Arial" w:eastAsia="Times New Roman" w:hAnsi="Arial" w:cs="Times New Roman"/>
      <w:color w:val="000000"/>
      <w:sz w:val="18"/>
      <w:szCs w:val="20"/>
      <w:lang w:eastAsia="en-AU"/>
    </w:rPr>
  </w:style>
  <w:style w:type="character" w:customStyle="1" w:styleId="TableTextBaseChar">
    <w:name w:val="Table Text Base Char"/>
    <w:basedOn w:val="DefaultParagraphFont"/>
    <w:link w:val="TableTextBase"/>
    <w:rsid w:val="00AD4BB5"/>
    <w:rPr>
      <w:rFonts w:ascii="Arial" w:eastAsia="Times New Roman" w:hAnsi="Arial" w:cs="Times New Roman"/>
      <w:color w:val="000000"/>
      <w:sz w:val="18"/>
      <w:szCs w:val="20"/>
      <w:lang w:eastAsia="en-AU"/>
    </w:rPr>
  </w:style>
  <w:style w:type="table" w:customStyle="1" w:styleId="GridTable1Light1">
    <w:name w:val="Grid Table 1 Light1"/>
    <w:basedOn w:val="TableNormal"/>
    <w:uiPriority w:val="46"/>
    <w:rsid w:val="00036B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CA03DE"/>
  </w:style>
  <w:style w:type="table" w:customStyle="1" w:styleId="GridTable1Light10">
    <w:name w:val="Grid Table 1 Light1"/>
    <w:basedOn w:val="TableNormal"/>
    <w:uiPriority w:val="46"/>
    <w:rsid w:val="00D455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6B7642"/>
    <w:rPr>
      <w:rFonts w:eastAsia="SimSun" w:cstheme="minorHAnsi"/>
      <w:i/>
      <w:color w:val="000000"/>
      <w:kern w:val="2"/>
      <w:lang w:eastAsia="zh-CN"/>
    </w:rPr>
  </w:style>
  <w:style w:type="character" w:styleId="Strong">
    <w:name w:val="Strong"/>
    <w:basedOn w:val="DefaultParagraphFont"/>
    <w:uiPriority w:val="22"/>
    <w:qFormat/>
    <w:rsid w:val="00BD7AB0"/>
    <w:rPr>
      <w:b/>
      <w:bCs/>
    </w:rPr>
  </w:style>
  <w:style w:type="character" w:customStyle="1" w:styleId="Mention1">
    <w:name w:val="Mention1"/>
    <w:basedOn w:val="DefaultParagraphFont"/>
    <w:uiPriority w:val="99"/>
    <w:semiHidden/>
    <w:unhideWhenUsed/>
    <w:rsid w:val="0060695E"/>
    <w:rPr>
      <w:color w:val="2B579A"/>
      <w:shd w:val="clear" w:color="auto" w:fill="E6E6E6"/>
    </w:rPr>
  </w:style>
  <w:style w:type="character" w:customStyle="1" w:styleId="Mention">
    <w:name w:val="Mention"/>
    <w:basedOn w:val="DefaultParagraphFont"/>
    <w:uiPriority w:val="99"/>
    <w:semiHidden/>
    <w:unhideWhenUsed/>
    <w:rsid w:val="002756E9"/>
    <w:rPr>
      <w:color w:val="2B579A"/>
      <w:shd w:val="clear" w:color="auto" w:fill="E6E6E6"/>
    </w:rPr>
  </w:style>
  <w:style w:type="paragraph" w:styleId="Title">
    <w:name w:val="Title"/>
    <w:basedOn w:val="Normal"/>
    <w:next w:val="Normal"/>
    <w:link w:val="TitleChar"/>
    <w:uiPriority w:val="10"/>
    <w:qFormat/>
    <w:rsid w:val="009923A7"/>
    <w:pPr>
      <w:spacing w:after="240"/>
    </w:pPr>
    <w:rPr>
      <w:rFonts w:asciiTheme="minorHAnsi" w:hAnsiTheme="minorHAnsi" w:cstheme="minorHAnsi"/>
      <w:b/>
      <w:color w:val="365F91"/>
      <w:sz w:val="96"/>
      <w:szCs w:val="96"/>
      <w:lang w:val="en-AU"/>
    </w:rPr>
  </w:style>
  <w:style w:type="character" w:customStyle="1" w:styleId="TitleChar">
    <w:name w:val="Title Char"/>
    <w:basedOn w:val="DefaultParagraphFont"/>
    <w:link w:val="Title"/>
    <w:uiPriority w:val="10"/>
    <w:rsid w:val="009923A7"/>
    <w:rPr>
      <w:rFonts w:eastAsia="SimSun" w:cstheme="minorHAnsi"/>
      <w:b/>
      <w:color w:val="365F91"/>
      <w:kern w:val="2"/>
      <w:sz w:val="96"/>
      <w:szCs w:val="96"/>
      <w:lang w:eastAsia="zh-CN"/>
    </w:rPr>
  </w:style>
  <w:style w:type="paragraph" w:customStyle="1" w:styleId="TableheadingH2">
    <w:name w:val="Table heading (H2)"/>
    <w:basedOn w:val="Heading2"/>
    <w:link w:val="TableheadingH2Char"/>
    <w:qFormat/>
    <w:rsid w:val="00F33B4B"/>
    <w:pPr>
      <w:spacing w:after="120"/>
      <w:jc w:val="center"/>
    </w:pPr>
    <w:rPr>
      <w:color w:val="000000"/>
      <w:sz w:val="22"/>
    </w:rPr>
  </w:style>
  <w:style w:type="paragraph" w:customStyle="1" w:styleId="TableHeadingH3">
    <w:name w:val="Table Heading (H3)"/>
    <w:basedOn w:val="Heading3"/>
    <w:link w:val="TableHeadingH3Char"/>
    <w:qFormat/>
    <w:rsid w:val="008B6876"/>
    <w:pPr>
      <w:spacing w:after="40"/>
    </w:pPr>
    <w:rPr>
      <w:rFonts w:ascii="Calibri" w:hAnsi="Calibri"/>
      <w:sz w:val="22"/>
    </w:rPr>
  </w:style>
  <w:style w:type="character" w:customStyle="1" w:styleId="TableheadingH2Char">
    <w:name w:val="Table heading (H2) Char"/>
    <w:basedOn w:val="Heading2Char"/>
    <w:link w:val="TableheadingH2"/>
    <w:rsid w:val="00F33B4B"/>
    <w:rPr>
      <w:rFonts w:eastAsia="Times New Roman" w:cstheme="minorHAnsi"/>
      <w:b/>
      <w:bCs/>
      <w:iCs/>
      <w:color w:val="000000"/>
      <w:kern w:val="2"/>
      <w:sz w:val="28"/>
      <w:szCs w:val="28"/>
      <w:lang w:eastAsia="zh-CN"/>
    </w:rPr>
  </w:style>
  <w:style w:type="character" w:customStyle="1" w:styleId="TableHeadingH3Char">
    <w:name w:val="Table Heading (H3) Char"/>
    <w:basedOn w:val="Heading3Char"/>
    <w:link w:val="TableHeadingH3"/>
    <w:rsid w:val="008B6876"/>
    <w:rPr>
      <w:rFonts w:ascii="Calibri" w:eastAsia="SimSun" w:hAnsi="Calibri" w:cstheme="minorHAnsi"/>
      <w:b/>
      <w:color w:val="000000"/>
      <w:kern w:val="2"/>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E2"/>
    <w:pPr>
      <w:widowControl w:val="0"/>
      <w:spacing w:after="0" w:line="240" w:lineRule="auto"/>
      <w:jc w:val="both"/>
    </w:pPr>
    <w:rPr>
      <w:rFonts w:ascii="Calibri" w:eastAsia="SimSun" w:hAnsi="Calibri" w:cs="Times New Roman"/>
      <w:kern w:val="2"/>
      <w:sz w:val="21"/>
      <w:lang w:val="en-US" w:eastAsia="zh-CN"/>
    </w:rPr>
  </w:style>
  <w:style w:type="paragraph" w:styleId="Heading1">
    <w:name w:val="heading 1"/>
    <w:basedOn w:val="Normal"/>
    <w:next w:val="Normal"/>
    <w:link w:val="Heading1Char"/>
    <w:uiPriority w:val="9"/>
    <w:qFormat/>
    <w:rsid w:val="00A561E2"/>
    <w:pPr>
      <w:keepNext/>
      <w:numPr>
        <w:numId w:val="8"/>
      </w:numPr>
      <w:spacing w:after="240"/>
      <w:outlineLvl w:val="0"/>
    </w:pPr>
    <w:rPr>
      <w:rFonts w:eastAsia="Times New Roman" w:cs="Calibri"/>
      <w:b/>
      <w:bCs/>
      <w:kern w:val="32"/>
      <w:sz w:val="32"/>
      <w:szCs w:val="32"/>
    </w:rPr>
  </w:style>
  <w:style w:type="paragraph" w:styleId="Heading2">
    <w:name w:val="heading 2"/>
    <w:basedOn w:val="Normal"/>
    <w:next w:val="Normal"/>
    <w:link w:val="Heading2Char"/>
    <w:uiPriority w:val="9"/>
    <w:unhideWhenUsed/>
    <w:qFormat/>
    <w:rsid w:val="000664C6"/>
    <w:pPr>
      <w:keepNext/>
      <w:spacing w:before="240" w:after="200"/>
      <w:outlineLvl w:val="1"/>
    </w:pPr>
    <w:rPr>
      <w:rFonts w:asciiTheme="minorHAnsi" w:eastAsia="Times New Roman" w:hAnsiTheme="minorHAnsi" w:cstheme="minorHAnsi"/>
      <w:b/>
      <w:bCs/>
      <w:iCs/>
      <w:sz w:val="28"/>
      <w:szCs w:val="28"/>
      <w:lang w:val="en-AU"/>
    </w:rPr>
  </w:style>
  <w:style w:type="paragraph" w:styleId="Heading3">
    <w:name w:val="heading 3"/>
    <w:basedOn w:val="Normal"/>
    <w:next w:val="Normal"/>
    <w:link w:val="Heading3Char"/>
    <w:uiPriority w:val="9"/>
    <w:unhideWhenUsed/>
    <w:qFormat/>
    <w:rsid w:val="00D26A78"/>
    <w:pPr>
      <w:spacing w:before="240" w:after="120"/>
      <w:outlineLvl w:val="2"/>
    </w:pPr>
    <w:rPr>
      <w:rFonts w:asciiTheme="minorHAnsi" w:hAnsiTheme="minorHAnsi" w:cstheme="minorHAnsi"/>
      <w:b/>
      <w:color w:val="000000"/>
      <w:sz w:val="28"/>
      <w:szCs w:val="28"/>
      <w:lang w:val="en-AU"/>
    </w:rPr>
  </w:style>
  <w:style w:type="paragraph" w:styleId="Heading4">
    <w:name w:val="heading 4"/>
    <w:basedOn w:val="Normal"/>
    <w:next w:val="Normal"/>
    <w:link w:val="Heading4Char"/>
    <w:uiPriority w:val="9"/>
    <w:unhideWhenUsed/>
    <w:qFormat/>
    <w:rsid w:val="006B7642"/>
    <w:pPr>
      <w:spacing w:before="120" w:after="120"/>
      <w:outlineLvl w:val="3"/>
    </w:pPr>
    <w:rPr>
      <w:rFonts w:asciiTheme="minorHAnsi" w:hAnsiTheme="minorHAnsi" w:cstheme="minorHAnsi"/>
      <w:i/>
      <w:color w:val="000000"/>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1E2"/>
    <w:rPr>
      <w:rFonts w:ascii="Calibri" w:eastAsia="Times New Roman" w:hAnsi="Calibri" w:cs="Calibri"/>
      <w:b/>
      <w:bCs/>
      <w:kern w:val="32"/>
      <w:sz w:val="32"/>
      <w:szCs w:val="32"/>
      <w:lang w:val="en-US" w:eastAsia="zh-CN"/>
    </w:rPr>
  </w:style>
  <w:style w:type="character" w:customStyle="1" w:styleId="Heading2Char">
    <w:name w:val="Heading 2 Char"/>
    <w:basedOn w:val="DefaultParagraphFont"/>
    <w:link w:val="Heading2"/>
    <w:uiPriority w:val="9"/>
    <w:rsid w:val="000664C6"/>
    <w:rPr>
      <w:rFonts w:eastAsia="Times New Roman" w:cstheme="minorHAnsi"/>
      <w:b/>
      <w:bCs/>
      <w:iCs/>
      <w:kern w:val="2"/>
      <w:sz w:val="28"/>
      <w:szCs w:val="28"/>
      <w:lang w:eastAsia="zh-CN"/>
    </w:rPr>
  </w:style>
  <w:style w:type="character" w:customStyle="1" w:styleId="Heading3Char">
    <w:name w:val="Heading 3 Char"/>
    <w:basedOn w:val="DefaultParagraphFont"/>
    <w:link w:val="Heading3"/>
    <w:uiPriority w:val="9"/>
    <w:rsid w:val="00D26A78"/>
    <w:rPr>
      <w:rFonts w:eastAsia="SimSun" w:cstheme="minorHAnsi"/>
      <w:b/>
      <w:color w:val="000000"/>
      <w:kern w:val="2"/>
      <w:sz w:val="28"/>
      <w:szCs w:val="28"/>
      <w:lang w:eastAsia="zh-CN"/>
    </w:rPr>
  </w:style>
  <w:style w:type="character" w:customStyle="1" w:styleId="SubtitleChar">
    <w:name w:val="Subtitle Char"/>
    <w:link w:val="Subtitle"/>
    <w:rsid w:val="00A561E2"/>
    <w:rPr>
      <w:rFonts w:ascii="Cambria" w:eastAsia="Times New Roman" w:hAnsi="Cambria" w:cs="Times New Roman"/>
      <w:i/>
      <w:iCs/>
      <w:color w:val="4F81BD"/>
      <w:spacing w:val="15"/>
      <w:sz w:val="24"/>
      <w:szCs w:val="24"/>
    </w:rPr>
  </w:style>
  <w:style w:type="paragraph" w:styleId="Subtitle">
    <w:name w:val="Subtitle"/>
    <w:basedOn w:val="Normal"/>
    <w:next w:val="Normal"/>
    <w:link w:val="SubtitleChar"/>
    <w:qFormat/>
    <w:rsid w:val="00A561E2"/>
    <w:pPr>
      <w:widowControl/>
      <w:jc w:val="left"/>
    </w:pPr>
    <w:rPr>
      <w:rFonts w:ascii="Cambria" w:eastAsia="Times New Roman" w:hAnsi="Cambria"/>
      <w:i/>
      <w:iCs/>
      <w:color w:val="4F81BD"/>
      <w:spacing w:val="15"/>
      <w:kern w:val="0"/>
      <w:sz w:val="24"/>
      <w:szCs w:val="24"/>
      <w:lang w:val="en-AU" w:eastAsia="en-US"/>
    </w:rPr>
  </w:style>
  <w:style w:type="character" w:customStyle="1" w:styleId="SubtitleChar1">
    <w:name w:val="Subtitle Char1"/>
    <w:basedOn w:val="DefaultParagraphFont"/>
    <w:uiPriority w:val="11"/>
    <w:rsid w:val="00A561E2"/>
    <w:rPr>
      <w:rFonts w:asciiTheme="majorHAnsi" w:eastAsiaTheme="majorEastAsia" w:hAnsiTheme="majorHAnsi" w:cstheme="majorBidi"/>
      <w:i/>
      <w:iCs/>
      <w:color w:val="4F81BD" w:themeColor="accent1"/>
      <w:spacing w:val="15"/>
      <w:kern w:val="2"/>
      <w:sz w:val="24"/>
      <w:szCs w:val="24"/>
      <w:lang w:val="en-US" w:eastAsia="zh-CN"/>
    </w:rPr>
  </w:style>
  <w:style w:type="character" w:customStyle="1" w:styleId="FooterChar">
    <w:name w:val="Footer Char"/>
    <w:link w:val="Footer"/>
    <w:uiPriority w:val="99"/>
    <w:rsid w:val="00A561E2"/>
    <w:rPr>
      <w:rFonts w:eastAsia="SimSun"/>
      <w:kern w:val="2"/>
      <w:sz w:val="18"/>
    </w:rPr>
  </w:style>
  <w:style w:type="paragraph" w:styleId="Footer">
    <w:name w:val="footer"/>
    <w:basedOn w:val="Normal"/>
    <w:link w:val="FooterChar"/>
    <w:uiPriority w:val="99"/>
    <w:rsid w:val="00A561E2"/>
    <w:pPr>
      <w:tabs>
        <w:tab w:val="center" w:pos="4153"/>
        <w:tab w:val="right" w:pos="8306"/>
      </w:tabs>
      <w:snapToGrid w:val="0"/>
      <w:jc w:val="left"/>
    </w:pPr>
    <w:rPr>
      <w:rFonts w:asciiTheme="minorHAnsi" w:hAnsiTheme="minorHAnsi" w:cstheme="minorBidi"/>
      <w:sz w:val="18"/>
      <w:lang w:val="en-AU" w:eastAsia="en-US"/>
    </w:rPr>
  </w:style>
  <w:style w:type="character" w:customStyle="1" w:styleId="FooterChar1">
    <w:name w:val="Footer Char1"/>
    <w:basedOn w:val="DefaultParagraphFont"/>
    <w:uiPriority w:val="99"/>
    <w:semiHidden/>
    <w:rsid w:val="00A561E2"/>
    <w:rPr>
      <w:rFonts w:ascii="Calibri" w:eastAsia="SimSun" w:hAnsi="Calibri" w:cs="Times New Roman"/>
      <w:kern w:val="2"/>
      <w:sz w:val="21"/>
      <w:lang w:val="en-US" w:eastAsia="zh-CN"/>
    </w:rPr>
  </w:style>
  <w:style w:type="paragraph" w:styleId="Header">
    <w:name w:val="header"/>
    <w:basedOn w:val="Normal"/>
    <w:link w:val="HeaderChar"/>
    <w:rsid w:val="00A561E2"/>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customStyle="1" w:styleId="HeaderChar">
    <w:name w:val="Header Char"/>
    <w:basedOn w:val="DefaultParagraphFont"/>
    <w:link w:val="Header"/>
    <w:rsid w:val="00A561E2"/>
    <w:rPr>
      <w:rFonts w:ascii="Times New Roman" w:eastAsia="SimSun" w:hAnsi="Times New Roman" w:cs="Times New Roman"/>
      <w:kern w:val="2"/>
      <w:sz w:val="18"/>
      <w:lang w:val="en-US" w:eastAsia="zh-CN"/>
    </w:rPr>
  </w:style>
  <w:style w:type="paragraph" w:customStyle="1" w:styleId="1">
    <w:name w:val="列出段落1"/>
    <w:basedOn w:val="Normal"/>
    <w:rsid w:val="00A561E2"/>
    <w:pPr>
      <w:widowControl/>
      <w:ind w:left="720"/>
      <w:contextualSpacing/>
      <w:jc w:val="left"/>
    </w:pPr>
    <w:rPr>
      <w:rFonts w:ascii="Times New Roman" w:eastAsia="Times New Roman" w:hAnsi="Times New Roman"/>
      <w:kern w:val="0"/>
      <w:sz w:val="24"/>
      <w:szCs w:val="24"/>
      <w:lang w:eastAsia="en-US"/>
    </w:rPr>
  </w:style>
  <w:style w:type="paragraph" w:customStyle="1" w:styleId="note">
    <w:name w:val="note"/>
    <w:basedOn w:val="Normal"/>
    <w:qFormat/>
    <w:rsid w:val="00A561E2"/>
    <w:pPr>
      <w:widowControl/>
      <w:jc w:val="left"/>
    </w:pPr>
    <w:rPr>
      <w:rFonts w:ascii="Cambria" w:eastAsia="Calibri" w:hAnsi="Cambria"/>
      <w:kern w:val="0"/>
      <w:sz w:val="18"/>
      <w:lang w:eastAsia="en-US"/>
    </w:rPr>
  </w:style>
  <w:style w:type="paragraph" w:styleId="BalloonText">
    <w:name w:val="Balloon Text"/>
    <w:basedOn w:val="Normal"/>
    <w:link w:val="BalloonTextChar"/>
    <w:uiPriority w:val="99"/>
    <w:semiHidden/>
    <w:unhideWhenUsed/>
    <w:rsid w:val="00A561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1E2"/>
    <w:rPr>
      <w:rFonts w:ascii="Segoe UI" w:eastAsia="SimSun" w:hAnsi="Segoe UI" w:cs="Segoe UI"/>
      <w:kern w:val="2"/>
      <w:sz w:val="18"/>
      <w:szCs w:val="18"/>
      <w:lang w:val="en-US" w:eastAsia="zh-CN"/>
    </w:rPr>
  </w:style>
  <w:style w:type="paragraph" w:styleId="FootnoteText">
    <w:name w:val="footnote text"/>
    <w:aliases w:val="Footnote Text Char1 Char,Footnote Text Char Char Char,Footnote Text Char1 Char Char Char,Footnote Text Char Char Char Char Char,Footnote Text Char1 Char1,Footnote Text Char Char Char1,Footnote Text AFPC 1-9,AFPC Footnote Text"/>
    <w:basedOn w:val="Normal"/>
    <w:link w:val="FootnoteTextChar"/>
    <w:uiPriority w:val="99"/>
    <w:unhideWhenUsed/>
    <w:rsid w:val="00A561E2"/>
    <w:rPr>
      <w:sz w:val="20"/>
      <w:szCs w:val="20"/>
    </w:rPr>
  </w:style>
  <w:style w:type="character" w:customStyle="1" w:styleId="FootnoteTextChar">
    <w:name w:val="Footnote Text Char"/>
    <w:aliases w:val="Footnote Text Char1 Char Char,Footnote Text Char Char Char Char,Footnote Text Char1 Char Char Char Char,Footnote Text Char Char Char Char Char Char,Footnote Text Char1 Char1 Char,Footnote Text Char Char Char1 Char"/>
    <w:basedOn w:val="DefaultParagraphFont"/>
    <w:link w:val="FootnoteText"/>
    <w:uiPriority w:val="99"/>
    <w:rsid w:val="00A561E2"/>
    <w:rPr>
      <w:rFonts w:ascii="Calibri" w:eastAsia="SimSun" w:hAnsi="Calibri" w:cs="Times New Roman"/>
      <w:kern w:val="2"/>
      <w:sz w:val="20"/>
      <w:szCs w:val="20"/>
      <w:lang w:val="en-US" w:eastAsia="zh-CN"/>
    </w:rPr>
  </w:style>
  <w:style w:type="character" w:styleId="FootnoteReference">
    <w:name w:val="footnote reference"/>
    <w:uiPriority w:val="99"/>
    <w:rsid w:val="00A561E2"/>
    <w:rPr>
      <w:vertAlign w:val="superscript"/>
    </w:rPr>
  </w:style>
  <w:style w:type="paragraph" w:customStyle="1" w:styleId="CERDBodyTextDotPoint">
    <w:name w:val="CERD Body Text Dot Point"/>
    <w:basedOn w:val="Normal"/>
    <w:uiPriority w:val="99"/>
    <w:rsid w:val="00A561E2"/>
    <w:pPr>
      <w:widowControl/>
      <w:numPr>
        <w:numId w:val="2"/>
      </w:numPr>
      <w:spacing w:after="200"/>
      <w:ind w:left="720" w:hanging="360"/>
      <w:jc w:val="left"/>
    </w:pPr>
    <w:rPr>
      <w:rFonts w:eastAsia="Calibri" w:cs="Calibri"/>
      <w:kern w:val="0"/>
      <w:sz w:val="24"/>
      <w:szCs w:val="24"/>
      <w:lang w:val="en-AU" w:eastAsia="ja-JP"/>
    </w:rPr>
  </w:style>
  <w:style w:type="paragraph" w:customStyle="1" w:styleId="MediumGrid1-Accent21">
    <w:name w:val="Medium Grid 1 - Accent 21"/>
    <w:aliases w:val="Recommendation,List Paragraph1,List Paragraph11,L,Dot pt,F5 List Paragraph,No Spacing1,List Paragraph Char Char Char,Indicator Text,Numbered Para 1,Bullet 1,List Paragraph12,Bullet Points,MAIN CONTENT,Colorful List - Accent 11"/>
    <w:basedOn w:val="Normal"/>
    <w:link w:val="MediumGrid1-Accent2Char"/>
    <w:uiPriority w:val="34"/>
    <w:qFormat/>
    <w:rsid w:val="00A561E2"/>
    <w:pPr>
      <w:widowControl/>
      <w:suppressAutoHyphens/>
      <w:autoSpaceDE w:val="0"/>
      <w:autoSpaceDN w:val="0"/>
      <w:adjustRightInd w:val="0"/>
      <w:spacing w:after="120"/>
      <w:ind w:left="720"/>
      <w:contextualSpacing/>
      <w:jc w:val="left"/>
      <w:textAlignment w:val="center"/>
    </w:pPr>
    <w:rPr>
      <w:rFonts w:eastAsia="Calibri" w:cs="Calibri"/>
      <w:color w:val="595959"/>
      <w:kern w:val="0"/>
      <w:sz w:val="20"/>
      <w:szCs w:val="21"/>
      <w:lang w:eastAsia="en-US"/>
    </w:rPr>
  </w:style>
  <w:style w:type="character" w:customStyle="1" w:styleId="MediumGrid1-Accent2Char">
    <w:name w:val="Medium Grid 1 - Accent 2 Char"/>
    <w:aliases w:val="Recommendation Char,List Paragraph1 Char,List Paragraph11 Char,L Char,Dot pt Char,F5 List Paragraph Char,No Spacing1 Char,List Paragraph Char Char Char Char,Indicator Text Char,Numbered Para 1 Char,Bullet 1 Char,列 Char"/>
    <w:link w:val="MediumGrid1-Accent21"/>
    <w:uiPriority w:val="34"/>
    <w:qFormat/>
    <w:locked/>
    <w:rsid w:val="00A561E2"/>
    <w:rPr>
      <w:rFonts w:ascii="Calibri" w:eastAsia="Calibri" w:hAnsi="Calibri" w:cs="Calibri"/>
      <w:color w:val="595959"/>
      <w:sz w:val="20"/>
      <w:szCs w:val="21"/>
      <w:lang w:val="en-US"/>
    </w:rPr>
  </w:style>
  <w:style w:type="paragraph" w:customStyle="1" w:styleId="Default">
    <w:name w:val="Default"/>
    <w:rsid w:val="00A561E2"/>
    <w:pPr>
      <w:autoSpaceDE w:val="0"/>
      <w:autoSpaceDN w:val="0"/>
      <w:adjustRightInd w:val="0"/>
      <w:spacing w:after="0" w:line="240" w:lineRule="auto"/>
    </w:pPr>
    <w:rPr>
      <w:rFonts w:ascii="Myriad Pro Light" w:eastAsia="Calibri" w:hAnsi="Myriad Pro Light" w:cs="Myriad Pro Light"/>
      <w:color w:val="000000"/>
      <w:sz w:val="24"/>
      <w:szCs w:val="24"/>
    </w:rPr>
  </w:style>
  <w:style w:type="character" w:customStyle="1" w:styleId="CommentTextChar">
    <w:name w:val="Comment Text Char"/>
    <w:link w:val="CommentText"/>
    <w:uiPriority w:val="99"/>
    <w:semiHidden/>
    <w:rsid w:val="00A561E2"/>
    <w:rPr>
      <w:rFonts w:ascii="Calibri" w:hAnsi="Calibri"/>
      <w:kern w:val="2"/>
      <w:lang w:val="en-US" w:eastAsia="zh-CN"/>
    </w:rPr>
  </w:style>
  <w:style w:type="paragraph" w:styleId="CommentText">
    <w:name w:val="annotation text"/>
    <w:basedOn w:val="Normal"/>
    <w:link w:val="CommentTextChar"/>
    <w:uiPriority w:val="99"/>
    <w:semiHidden/>
    <w:unhideWhenUsed/>
    <w:rsid w:val="00A561E2"/>
    <w:rPr>
      <w:rFonts w:eastAsiaTheme="minorHAnsi" w:cstheme="minorBidi"/>
      <w:sz w:val="22"/>
    </w:rPr>
  </w:style>
  <w:style w:type="character" w:customStyle="1" w:styleId="CommentTextChar1">
    <w:name w:val="Comment Text Char1"/>
    <w:basedOn w:val="DefaultParagraphFont"/>
    <w:uiPriority w:val="99"/>
    <w:semiHidden/>
    <w:rsid w:val="00A561E2"/>
    <w:rPr>
      <w:rFonts w:ascii="Calibri" w:eastAsia="SimSun" w:hAnsi="Calibri" w:cs="Times New Roman"/>
      <w:kern w:val="2"/>
      <w:sz w:val="20"/>
      <w:szCs w:val="20"/>
      <w:lang w:val="en-US" w:eastAsia="zh-CN"/>
    </w:rPr>
  </w:style>
  <w:style w:type="character" w:customStyle="1" w:styleId="CommentSubjectChar">
    <w:name w:val="Comment Subject Char"/>
    <w:link w:val="CommentSubject"/>
    <w:uiPriority w:val="99"/>
    <w:semiHidden/>
    <w:rsid w:val="00A561E2"/>
    <w:rPr>
      <w:rFonts w:ascii="Calibri" w:hAnsi="Calibri"/>
      <w:b/>
      <w:bCs/>
      <w:kern w:val="2"/>
      <w:lang w:val="en-US" w:eastAsia="zh-CN"/>
    </w:rPr>
  </w:style>
  <w:style w:type="paragraph" w:styleId="CommentSubject">
    <w:name w:val="annotation subject"/>
    <w:basedOn w:val="CommentText"/>
    <w:next w:val="CommentText"/>
    <w:link w:val="CommentSubjectChar"/>
    <w:uiPriority w:val="99"/>
    <w:semiHidden/>
    <w:unhideWhenUsed/>
    <w:rsid w:val="00A561E2"/>
    <w:rPr>
      <w:b/>
      <w:bCs/>
    </w:rPr>
  </w:style>
  <w:style w:type="character" w:customStyle="1" w:styleId="CommentSubjectChar1">
    <w:name w:val="Comment Subject Char1"/>
    <w:basedOn w:val="CommentTextChar1"/>
    <w:uiPriority w:val="99"/>
    <w:semiHidden/>
    <w:rsid w:val="00A561E2"/>
    <w:rPr>
      <w:rFonts w:ascii="Calibri" w:eastAsia="SimSun" w:hAnsi="Calibri" w:cs="Times New Roman"/>
      <w:b/>
      <w:bCs/>
      <w:kern w:val="2"/>
      <w:sz w:val="20"/>
      <w:szCs w:val="20"/>
      <w:lang w:val="en-US" w:eastAsia="zh-CN"/>
    </w:rPr>
  </w:style>
  <w:style w:type="character" w:styleId="Hyperlink">
    <w:name w:val="Hyperlink"/>
    <w:uiPriority w:val="99"/>
    <w:unhideWhenUsed/>
    <w:rsid w:val="00A561E2"/>
    <w:rPr>
      <w:color w:val="0000FF"/>
      <w:u w:val="single"/>
    </w:rPr>
  </w:style>
  <w:style w:type="paragraph" w:customStyle="1" w:styleId="TOCHeading1">
    <w:name w:val="TOC Heading1"/>
    <w:basedOn w:val="Heading1"/>
    <w:next w:val="Normal"/>
    <w:uiPriority w:val="39"/>
    <w:unhideWhenUsed/>
    <w:qFormat/>
    <w:rsid w:val="00A561E2"/>
    <w:pPr>
      <w:keepLines/>
      <w:widowControl/>
      <w:spacing w:before="480" w:after="0" w:line="276" w:lineRule="auto"/>
      <w:jc w:val="left"/>
      <w:outlineLvl w:val="9"/>
    </w:pPr>
    <w:rPr>
      <w:rFonts w:ascii="Cambria" w:hAnsi="Cambria" w:cs="Times New Roman"/>
      <w:color w:val="365F91"/>
      <w:kern w:val="0"/>
      <w:sz w:val="28"/>
      <w:szCs w:val="28"/>
      <w:lang w:eastAsia="ja-JP"/>
    </w:rPr>
  </w:style>
  <w:style w:type="paragraph" w:styleId="NormalWeb">
    <w:name w:val="Normal (Web)"/>
    <w:basedOn w:val="Normal"/>
    <w:uiPriority w:val="99"/>
    <w:unhideWhenUsed/>
    <w:rsid w:val="00A561E2"/>
    <w:pPr>
      <w:widowControl/>
      <w:spacing w:before="100" w:beforeAutospacing="1" w:after="100" w:afterAutospacing="1"/>
      <w:jc w:val="left"/>
    </w:pPr>
    <w:rPr>
      <w:rFonts w:ascii="Times New Roman" w:eastAsia="Calibri" w:hAnsi="Times New Roman"/>
      <w:kern w:val="0"/>
      <w:sz w:val="24"/>
      <w:szCs w:val="24"/>
      <w:lang w:eastAsia="en-US"/>
    </w:rPr>
  </w:style>
  <w:style w:type="character" w:customStyle="1" w:styleId="BulletChar">
    <w:name w:val="Bullet Char"/>
    <w:aliases w:val="b Char,b + line Char Char,b Char Char,Body Char,Bullet + line Char,b + line Char,b1 Char,level 1 Char"/>
    <w:link w:val="Bullet"/>
    <w:locked/>
    <w:rsid w:val="00A561E2"/>
    <w:rPr>
      <w:rFonts w:ascii="Arial" w:eastAsia="Times New Roman" w:hAnsi="Arial" w:cs="Calibri"/>
      <w:color w:val="000000"/>
      <w:sz w:val="18"/>
    </w:rPr>
  </w:style>
  <w:style w:type="paragraph" w:customStyle="1" w:styleId="Bullet">
    <w:name w:val="Bullet"/>
    <w:aliases w:val="b,b1,b + line,level 1,Body,Bullet + line"/>
    <w:basedOn w:val="Normal"/>
    <w:link w:val="BulletChar"/>
    <w:qFormat/>
    <w:rsid w:val="00A561E2"/>
    <w:pPr>
      <w:widowControl/>
      <w:numPr>
        <w:numId w:val="6"/>
      </w:numPr>
      <w:spacing w:before="120" w:after="200" w:line="276" w:lineRule="auto"/>
      <w:jc w:val="left"/>
    </w:pPr>
    <w:rPr>
      <w:rFonts w:ascii="Arial" w:eastAsia="Times New Roman" w:hAnsi="Arial" w:cs="Calibri"/>
      <w:color w:val="000000"/>
      <w:kern w:val="0"/>
      <w:sz w:val="18"/>
      <w:lang w:val="en-AU" w:eastAsia="en-US"/>
    </w:rPr>
  </w:style>
  <w:style w:type="paragraph" w:customStyle="1" w:styleId="Dash">
    <w:name w:val="Dash"/>
    <w:basedOn w:val="Normal"/>
    <w:rsid w:val="00A561E2"/>
    <w:pPr>
      <w:widowControl/>
      <w:spacing w:before="120" w:after="200" w:line="276" w:lineRule="auto"/>
      <w:ind w:left="-480" w:hanging="360"/>
      <w:jc w:val="left"/>
    </w:pPr>
    <w:rPr>
      <w:rFonts w:ascii="Arial" w:eastAsia="Times New Roman" w:hAnsi="Arial" w:cs="Calibri"/>
      <w:color w:val="000000"/>
      <w:kern w:val="0"/>
      <w:sz w:val="18"/>
      <w:szCs w:val="20"/>
      <w:lang w:val="en-AU" w:eastAsia="en-AU"/>
    </w:rPr>
  </w:style>
  <w:style w:type="paragraph" w:customStyle="1" w:styleId="DoubleDot">
    <w:name w:val="Double Dot"/>
    <w:basedOn w:val="Normal"/>
    <w:rsid w:val="00A561E2"/>
    <w:pPr>
      <w:widowControl/>
      <w:spacing w:before="120" w:after="200" w:line="276" w:lineRule="auto"/>
      <w:ind w:left="240" w:hanging="180"/>
      <w:jc w:val="left"/>
    </w:pPr>
    <w:rPr>
      <w:rFonts w:ascii="Arial" w:eastAsia="Times New Roman" w:hAnsi="Arial" w:cs="Calibri"/>
      <w:color w:val="000000"/>
      <w:kern w:val="0"/>
      <w:sz w:val="18"/>
      <w:szCs w:val="20"/>
      <w:lang w:val="en-AU" w:eastAsia="en-AU"/>
    </w:rPr>
  </w:style>
  <w:style w:type="character" w:styleId="Emphasis">
    <w:name w:val="Emphasis"/>
    <w:uiPriority w:val="20"/>
    <w:qFormat/>
    <w:rsid w:val="00A561E2"/>
    <w:rPr>
      <w:i/>
      <w:iCs/>
    </w:rPr>
  </w:style>
  <w:style w:type="paragraph" w:styleId="TOC1">
    <w:name w:val="toc 1"/>
    <w:basedOn w:val="Normal"/>
    <w:next w:val="Normal"/>
    <w:autoRedefine/>
    <w:uiPriority w:val="39"/>
    <w:unhideWhenUsed/>
    <w:qFormat/>
    <w:rsid w:val="00CF311D"/>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9846A3"/>
    <w:pPr>
      <w:shd w:val="clear" w:color="auto" w:fill="EEECE1" w:themeFill="background2"/>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9846A3"/>
    <w:pPr>
      <w:ind w:left="420"/>
      <w:jc w:val="left"/>
    </w:pPr>
    <w:rPr>
      <w:rFonts w:asciiTheme="minorHAnsi" w:hAnsiTheme="minorHAnsi" w:cstheme="minorHAnsi"/>
      <w:iCs/>
      <w:sz w:val="20"/>
      <w:szCs w:val="20"/>
    </w:rPr>
  </w:style>
  <w:style w:type="paragraph" w:styleId="TOC4">
    <w:name w:val="toc 4"/>
    <w:basedOn w:val="Normal"/>
    <w:next w:val="Normal"/>
    <w:autoRedefine/>
    <w:uiPriority w:val="39"/>
    <w:unhideWhenUsed/>
    <w:rsid w:val="00A561E2"/>
    <w:pPr>
      <w:ind w:left="63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561E2"/>
    <w:pPr>
      <w:ind w:left="8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561E2"/>
    <w:pPr>
      <w:ind w:left="105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561E2"/>
    <w:pPr>
      <w:ind w:left="12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561E2"/>
    <w:pPr>
      <w:ind w:left="147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561E2"/>
    <w:pPr>
      <w:ind w:left="1680"/>
      <w:jc w:val="left"/>
    </w:pPr>
    <w:rPr>
      <w:rFonts w:asciiTheme="minorHAnsi" w:hAnsiTheme="minorHAnsi" w:cstheme="minorHAnsi"/>
      <w:sz w:val="18"/>
      <w:szCs w:val="18"/>
    </w:rPr>
  </w:style>
  <w:style w:type="paragraph" w:styleId="ListParagraph">
    <w:name w:val="List Paragraph"/>
    <w:aliases w:val="Content descriptions,NFP GP Bulleted List,FooterText,numbered,Paragraphe de liste1,Bulletr List Paragraph,列出段落,List Paragraph2,List Paragraph21,Listeafsnit1,Parágrafo da Lista1,リスト段落1,Párrafo de lista1,Bullet point,List Paragraph Number,列"/>
    <w:basedOn w:val="Normal"/>
    <w:uiPriority w:val="34"/>
    <w:qFormat/>
    <w:rsid w:val="00A561E2"/>
    <w:pPr>
      <w:widowControl/>
      <w:ind w:left="720"/>
      <w:contextualSpacing/>
      <w:jc w:val="left"/>
    </w:pPr>
    <w:rPr>
      <w:rFonts w:eastAsia="Times New Roman"/>
      <w:kern w:val="0"/>
      <w:sz w:val="26"/>
      <w:szCs w:val="26"/>
      <w:lang w:val="en-AU" w:eastAsia="en-US"/>
    </w:rPr>
  </w:style>
  <w:style w:type="paragraph" w:styleId="TOCHeading">
    <w:name w:val="TOC Heading"/>
    <w:basedOn w:val="Heading1"/>
    <w:next w:val="Normal"/>
    <w:uiPriority w:val="39"/>
    <w:unhideWhenUsed/>
    <w:qFormat/>
    <w:rsid w:val="00A561E2"/>
    <w:pPr>
      <w:keepLines/>
      <w:widowControl/>
      <w:spacing w:before="480" w:after="0" w:line="276" w:lineRule="auto"/>
      <w:jc w:val="left"/>
      <w:outlineLvl w:val="9"/>
    </w:pPr>
    <w:rPr>
      <w:rFonts w:ascii="Cambria" w:hAnsi="Cambria" w:cs="Times New Roman"/>
      <w:color w:val="365F91"/>
      <w:kern w:val="0"/>
      <w:sz w:val="28"/>
      <w:szCs w:val="28"/>
      <w:lang w:eastAsia="ja-JP"/>
    </w:rPr>
  </w:style>
  <w:style w:type="paragraph" w:styleId="NoSpacing">
    <w:name w:val="No Spacing"/>
    <w:uiPriority w:val="1"/>
    <w:qFormat/>
    <w:rsid w:val="00A561E2"/>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670B49"/>
    <w:rPr>
      <w:sz w:val="16"/>
      <w:szCs w:val="16"/>
    </w:rPr>
  </w:style>
  <w:style w:type="paragraph" w:styleId="Revision">
    <w:name w:val="Revision"/>
    <w:hidden/>
    <w:uiPriority w:val="99"/>
    <w:semiHidden/>
    <w:rsid w:val="00692AE7"/>
    <w:pPr>
      <w:spacing w:after="0" w:line="240" w:lineRule="auto"/>
    </w:pPr>
    <w:rPr>
      <w:rFonts w:ascii="Calibri" w:eastAsia="SimSun" w:hAnsi="Calibri" w:cs="Times New Roman"/>
      <w:kern w:val="2"/>
      <w:sz w:val="21"/>
      <w:lang w:val="en-US" w:eastAsia="zh-CN"/>
    </w:rPr>
  </w:style>
  <w:style w:type="table" w:styleId="TableGrid">
    <w:name w:val="Table Grid"/>
    <w:basedOn w:val="TableNormal"/>
    <w:uiPriority w:val="59"/>
    <w:rsid w:val="00A76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46EC"/>
    <w:rPr>
      <w:color w:val="800080" w:themeColor="followedHyperlink"/>
      <w:u w:val="single"/>
    </w:rPr>
  </w:style>
  <w:style w:type="character" w:customStyle="1" w:styleId="lexicon-term">
    <w:name w:val="lexicon-term"/>
    <w:basedOn w:val="DefaultParagraphFont"/>
    <w:rsid w:val="004E0956"/>
    <w:rPr>
      <w:strike w:val="0"/>
      <w:dstrike w:val="0"/>
      <w:u w:val="none"/>
      <w:effect w:val="none"/>
    </w:rPr>
  </w:style>
  <w:style w:type="paragraph" w:customStyle="1" w:styleId="TableTextBase">
    <w:name w:val="Table Text Base"/>
    <w:link w:val="TableTextBaseChar"/>
    <w:rsid w:val="00AD4BB5"/>
    <w:pPr>
      <w:spacing w:before="60" w:after="60" w:line="240" w:lineRule="auto"/>
    </w:pPr>
    <w:rPr>
      <w:rFonts w:ascii="Arial" w:eastAsia="Times New Roman" w:hAnsi="Arial" w:cs="Times New Roman"/>
      <w:color w:val="000000"/>
      <w:sz w:val="18"/>
      <w:szCs w:val="20"/>
      <w:lang w:eastAsia="en-AU"/>
    </w:rPr>
  </w:style>
  <w:style w:type="character" w:customStyle="1" w:styleId="TableTextBaseChar">
    <w:name w:val="Table Text Base Char"/>
    <w:basedOn w:val="DefaultParagraphFont"/>
    <w:link w:val="TableTextBase"/>
    <w:rsid w:val="00AD4BB5"/>
    <w:rPr>
      <w:rFonts w:ascii="Arial" w:eastAsia="Times New Roman" w:hAnsi="Arial" w:cs="Times New Roman"/>
      <w:color w:val="000000"/>
      <w:sz w:val="18"/>
      <w:szCs w:val="20"/>
      <w:lang w:eastAsia="en-AU"/>
    </w:rPr>
  </w:style>
  <w:style w:type="table" w:customStyle="1" w:styleId="GridTable1Light1">
    <w:name w:val="Grid Table 1 Light1"/>
    <w:basedOn w:val="TableNormal"/>
    <w:uiPriority w:val="46"/>
    <w:rsid w:val="00036B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CA03DE"/>
  </w:style>
  <w:style w:type="table" w:customStyle="1" w:styleId="GridTable1Light10">
    <w:name w:val="Grid Table 1 Light1"/>
    <w:basedOn w:val="TableNormal"/>
    <w:uiPriority w:val="46"/>
    <w:rsid w:val="00D455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6B7642"/>
    <w:rPr>
      <w:rFonts w:eastAsia="SimSun" w:cstheme="minorHAnsi"/>
      <w:i/>
      <w:color w:val="000000"/>
      <w:kern w:val="2"/>
      <w:lang w:eastAsia="zh-CN"/>
    </w:rPr>
  </w:style>
  <w:style w:type="character" w:styleId="Strong">
    <w:name w:val="Strong"/>
    <w:basedOn w:val="DefaultParagraphFont"/>
    <w:uiPriority w:val="22"/>
    <w:qFormat/>
    <w:rsid w:val="00BD7AB0"/>
    <w:rPr>
      <w:b/>
      <w:bCs/>
    </w:rPr>
  </w:style>
  <w:style w:type="character" w:customStyle="1" w:styleId="Mention1">
    <w:name w:val="Mention1"/>
    <w:basedOn w:val="DefaultParagraphFont"/>
    <w:uiPriority w:val="99"/>
    <w:semiHidden/>
    <w:unhideWhenUsed/>
    <w:rsid w:val="0060695E"/>
    <w:rPr>
      <w:color w:val="2B579A"/>
      <w:shd w:val="clear" w:color="auto" w:fill="E6E6E6"/>
    </w:rPr>
  </w:style>
  <w:style w:type="character" w:customStyle="1" w:styleId="Mention">
    <w:name w:val="Mention"/>
    <w:basedOn w:val="DefaultParagraphFont"/>
    <w:uiPriority w:val="99"/>
    <w:semiHidden/>
    <w:unhideWhenUsed/>
    <w:rsid w:val="002756E9"/>
    <w:rPr>
      <w:color w:val="2B579A"/>
      <w:shd w:val="clear" w:color="auto" w:fill="E6E6E6"/>
    </w:rPr>
  </w:style>
  <w:style w:type="paragraph" w:styleId="Title">
    <w:name w:val="Title"/>
    <w:basedOn w:val="Normal"/>
    <w:next w:val="Normal"/>
    <w:link w:val="TitleChar"/>
    <w:uiPriority w:val="10"/>
    <w:qFormat/>
    <w:rsid w:val="009923A7"/>
    <w:pPr>
      <w:spacing w:after="240"/>
    </w:pPr>
    <w:rPr>
      <w:rFonts w:asciiTheme="minorHAnsi" w:hAnsiTheme="minorHAnsi" w:cstheme="minorHAnsi"/>
      <w:b/>
      <w:color w:val="365F91"/>
      <w:sz w:val="96"/>
      <w:szCs w:val="96"/>
      <w:lang w:val="en-AU"/>
    </w:rPr>
  </w:style>
  <w:style w:type="character" w:customStyle="1" w:styleId="TitleChar">
    <w:name w:val="Title Char"/>
    <w:basedOn w:val="DefaultParagraphFont"/>
    <w:link w:val="Title"/>
    <w:uiPriority w:val="10"/>
    <w:rsid w:val="009923A7"/>
    <w:rPr>
      <w:rFonts w:eastAsia="SimSun" w:cstheme="minorHAnsi"/>
      <w:b/>
      <w:color w:val="365F91"/>
      <w:kern w:val="2"/>
      <w:sz w:val="96"/>
      <w:szCs w:val="96"/>
      <w:lang w:eastAsia="zh-CN"/>
    </w:rPr>
  </w:style>
  <w:style w:type="paragraph" w:customStyle="1" w:styleId="TableheadingH2">
    <w:name w:val="Table heading (H2)"/>
    <w:basedOn w:val="Heading2"/>
    <w:link w:val="TableheadingH2Char"/>
    <w:qFormat/>
    <w:rsid w:val="00F33B4B"/>
    <w:pPr>
      <w:spacing w:after="120"/>
      <w:jc w:val="center"/>
    </w:pPr>
    <w:rPr>
      <w:color w:val="000000"/>
      <w:sz w:val="22"/>
    </w:rPr>
  </w:style>
  <w:style w:type="paragraph" w:customStyle="1" w:styleId="TableHeadingH3">
    <w:name w:val="Table Heading (H3)"/>
    <w:basedOn w:val="Heading3"/>
    <w:link w:val="TableHeadingH3Char"/>
    <w:qFormat/>
    <w:rsid w:val="008B6876"/>
    <w:pPr>
      <w:spacing w:after="40"/>
    </w:pPr>
    <w:rPr>
      <w:rFonts w:ascii="Calibri" w:hAnsi="Calibri"/>
      <w:sz w:val="22"/>
    </w:rPr>
  </w:style>
  <w:style w:type="character" w:customStyle="1" w:styleId="TableheadingH2Char">
    <w:name w:val="Table heading (H2) Char"/>
    <w:basedOn w:val="Heading2Char"/>
    <w:link w:val="TableheadingH2"/>
    <w:rsid w:val="00F33B4B"/>
    <w:rPr>
      <w:rFonts w:eastAsia="Times New Roman" w:cstheme="minorHAnsi"/>
      <w:b/>
      <w:bCs/>
      <w:iCs/>
      <w:color w:val="000000"/>
      <w:kern w:val="2"/>
      <w:sz w:val="28"/>
      <w:szCs w:val="28"/>
      <w:lang w:eastAsia="zh-CN"/>
    </w:rPr>
  </w:style>
  <w:style w:type="character" w:customStyle="1" w:styleId="TableHeadingH3Char">
    <w:name w:val="Table Heading (H3) Char"/>
    <w:basedOn w:val="Heading3Char"/>
    <w:link w:val="TableHeadingH3"/>
    <w:rsid w:val="008B6876"/>
    <w:rPr>
      <w:rFonts w:ascii="Calibri" w:eastAsia="SimSun" w:hAnsi="Calibri" w:cstheme="minorHAnsi"/>
      <w:b/>
      <w:color w:val="000000"/>
      <w:kern w:val="2"/>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06">
      <w:bodyDiv w:val="1"/>
      <w:marLeft w:val="0"/>
      <w:marRight w:val="0"/>
      <w:marTop w:val="0"/>
      <w:marBottom w:val="0"/>
      <w:divBdr>
        <w:top w:val="none" w:sz="0" w:space="0" w:color="auto"/>
        <w:left w:val="none" w:sz="0" w:space="0" w:color="auto"/>
        <w:bottom w:val="none" w:sz="0" w:space="0" w:color="auto"/>
        <w:right w:val="none" w:sz="0" w:space="0" w:color="auto"/>
      </w:divBdr>
    </w:div>
    <w:div w:id="206719562">
      <w:bodyDiv w:val="1"/>
      <w:marLeft w:val="0"/>
      <w:marRight w:val="0"/>
      <w:marTop w:val="0"/>
      <w:marBottom w:val="0"/>
      <w:divBdr>
        <w:top w:val="none" w:sz="0" w:space="0" w:color="auto"/>
        <w:left w:val="none" w:sz="0" w:space="0" w:color="auto"/>
        <w:bottom w:val="none" w:sz="0" w:space="0" w:color="auto"/>
        <w:right w:val="none" w:sz="0" w:space="0" w:color="auto"/>
      </w:divBdr>
      <w:divsChild>
        <w:div w:id="39133300">
          <w:marLeft w:val="0"/>
          <w:marRight w:val="0"/>
          <w:marTop w:val="0"/>
          <w:marBottom w:val="0"/>
          <w:divBdr>
            <w:top w:val="none" w:sz="0" w:space="0" w:color="auto"/>
            <w:left w:val="none" w:sz="0" w:space="0" w:color="auto"/>
            <w:bottom w:val="none" w:sz="0" w:space="0" w:color="auto"/>
            <w:right w:val="none" w:sz="0" w:space="0" w:color="auto"/>
          </w:divBdr>
          <w:divsChild>
            <w:div w:id="1397121448">
              <w:marLeft w:val="0"/>
              <w:marRight w:val="0"/>
              <w:marTop w:val="0"/>
              <w:marBottom w:val="0"/>
              <w:divBdr>
                <w:top w:val="none" w:sz="0" w:space="0" w:color="auto"/>
                <w:left w:val="none" w:sz="0" w:space="0" w:color="auto"/>
                <w:bottom w:val="none" w:sz="0" w:space="0" w:color="auto"/>
                <w:right w:val="none" w:sz="0" w:space="0" w:color="auto"/>
              </w:divBdr>
              <w:divsChild>
                <w:div w:id="481970165">
                  <w:marLeft w:val="0"/>
                  <w:marRight w:val="0"/>
                  <w:marTop w:val="0"/>
                  <w:marBottom w:val="0"/>
                  <w:divBdr>
                    <w:top w:val="none" w:sz="0" w:space="0" w:color="auto"/>
                    <w:left w:val="none" w:sz="0" w:space="0" w:color="auto"/>
                    <w:bottom w:val="none" w:sz="0" w:space="0" w:color="auto"/>
                    <w:right w:val="none" w:sz="0" w:space="0" w:color="auto"/>
                  </w:divBdr>
                  <w:divsChild>
                    <w:div w:id="1850096284">
                      <w:marLeft w:val="0"/>
                      <w:marRight w:val="0"/>
                      <w:marTop w:val="0"/>
                      <w:marBottom w:val="0"/>
                      <w:divBdr>
                        <w:top w:val="none" w:sz="0" w:space="0" w:color="auto"/>
                        <w:left w:val="none" w:sz="0" w:space="0" w:color="auto"/>
                        <w:bottom w:val="none" w:sz="0" w:space="0" w:color="auto"/>
                        <w:right w:val="none" w:sz="0" w:space="0" w:color="auto"/>
                      </w:divBdr>
                      <w:divsChild>
                        <w:div w:id="1101679023">
                          <w:marLeft w:val="0"/>
                          <w:marRight w:val="0"/>
                          <w:marTop w:val="0"/>
                          <w:marBottom w:val="0"/>
                          <w:divBdr>
                            <w:top w:val="none" w:sz="0" w:space="0" w:color="auto"/>
                            <w:left w:val="none" w:sz="0" w:space="0" w:color="auto"/>
                            <w:bottom w:val="none" w:sz="0" w:space="0" w:color="auto"/>
                            <w:right w:val="none" w:sz="0" w:space="0" w:color="auto"/>
                          </w:divBdr>
                          <w:divsChild>
                            <w:div w:id="3022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0019">
                  <w:marLeft w:val="0"/>
                  <w:marRight w:val="0"/>
                  <w:marTop w:val="0"/>
                  <w:marBottom w:val="0"/>
                  <w:divBdr>
                    <w:top w:val="none" w:sz="0" w:space="0" w:color="auto"/>
                    <w:left w:val="none" w:sz="0" w:space="0" w:color="auto"/>
                    <w:bottom w:val="none" w:sz="0" w:space="0" w:color="auto"/>
                    <w:right w:val="none" w:sz="0" w:space="0" w:color="auto"/>
                  </w:divBdr>
                  <w:divsChild>
                    <w:div w:id="1641152834">
                      <w:marLeft w:val="0"/>
                      <w:marRight w:val="0"/>
                      <w:marTop w:val="0"/>
                      <w:marBottom w:val="0"/>
                      <w:divBdr>
                        <w:top w:val="none" w:sz="0" w:space="0" w:color="auto"/>
                        <w:left w:val="none" w:sz="0" w:space="0" w:color="auto"/>
                        <w:bottom w:val="none" w:sz="0" w:space="0" w:color="auto"/>
                        <w:right w:val="none" w:sz="0" w:space="0" w:color="auto"/>
                      </w:divBdr>
                      <w:divsChild>
                        <w:div w:id="1261792973">
                          <w:marLeft w:val="0"/>
                          <w:marRight w:val="0"/>
                          <w:marTop w:val="0"/>
                          <w:marBottom w:val="0"/>
                          <w:divBdr>
                            <w:top w:val="none" w:sz="0" w:space="0" w:color="auto"/>
                            <w:left w:val="none" w:sz="0" w:space="0" w:color="auto"/>
                            <w:bottom w:val="none" w:sz="0" w:space="0" w:color="auto"/>
                            <w:right w:val="none" w:sz="0" w:space="0" w:color="auto"/>
                          </w:divBdr>
                          <w:divsChild>
                            <w:div w:id="435295068">
                              <w:marLeft w:val="0"/>
                              <w:marRight w:val="0"/>
                              <w:marTop w:val="0"/>
                              <w:marBottom w:val="0"/>
                              <w:divBdr>
                                <w:top w:val="none" w:sz="0" w:space="0" w:color="auto"/>
                                <w:left w:val="none" w:sz="0" w:space="0" w:color="auto"/>
                                <w:bottom w:val="none" w:sz="0" w:space="0" w:color="auto"/>
                                <w:right w:val="none" w:sz="0" w:space="0" w:color="auto"/>
                              </w:divBdr>
                              <w:divsChild>
                                <w:div w:id="2075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989910">
      <w:bodyDiv w:val="1"/>
      <w:marLeft w:val="0"/>
      <w:marRight w:val="0"/>
      <w:marTop w:val="0"/>
      <w:marBottom w:val="0"/>
      <w:divBdr>
        <w:top w:val="none" w:sz="0" w:space="0" w:color="auto"/>
        <w:left w:val="none" w:sz="0" w:space="0" w:color="auto"/>
        <w:bottom w:val="none" w:sz="0" w:space="0" w:color="auto"/>
        <w:right w:val="none" w:sz="0" w:space="0" w:color="auto"/>
      </w:divBdr>
    </w:div>
    <w:div w:id="261306093">
      <w:bodyDiv w:val="1"/>
      <w:marLeft w:val="0"/>
      <w:marRight w:val="0"/>
      <w:marTop w:val="0"/>
      <w:marBottom w:val="0"/>
      <w:divBdr>
        <w:top w:val="none" w:sz="0" w:space="0" w:color="auto"/>
        <w:left w:val="none" w:sz="0" w:space="0" w:color="auto"/>
        <w:bottom w:val="none" w:sz="0" w:space="0" w:color="auto"/>
        <w:right w:val="none" w:sz="0" w:space="0" w:color="auto"/>
      </w:divBdr>
    </w:div>
    <w:div w:id="584534228">
      <w:bodyDiv w:val="1"/>
      <w:marLeft w:val="0"/>
      <w:marRight w:val="0"/>
      <w:marTop w:val="0"/>
      <w:marBottom w:val="0"/>
      <w:divBdr>
        <w:top w:val="none" w:sz="0" w:space="0" w:color="auto"/>
        <w:left w:val="none" w:sz="0" w:space="0" w:color="auto"/>
        <w:bottom w:val="none" w:sz="0" w:space="0" w:color="auto"/>
        <w:right w:val="none" w:sz="0" w:space="0" w:color="auto"/>
      </w:divBdr>
    </w:div>
    <w:div w:id="613096578">
      <w:bodyDiv w:val="1"/>
      <w:marLeft w:val="0"/>
      <w:marRight w:val="0"/>
      <w:marTop w:val="0"/>
      <w:marBottom w:val="0"/>
      <w:divBdr>
        <w:top w:val="none" w:sz="0" w:space="0" w:color="auto"/>
        <w:left w:val="none" w:sz="0" w:space="0" w:color="auto"/>
        <w:bottom w:val="none" w:sz="0" w:space="0" w:color="auto"/>
        <w:right w:val="none" w:sz="0" w:space="0" w:color="auto"/>
      </w:divBdr>
    </w:div>
    <w:div w:id="654720886">
      <w:bodyDiv w:val="1"/>
      <w:marLeft w:val="0"/>
      <w:marRight w:val="0"/>
      <w:marTop w:val="0"/>
      <w:marBottom w:val="0"/>
      <w:divBdr>
        <w:top w:val="none" w:sz="0" w:space="0" w:color="auto"/>
        <w:left w:val="none" w:sz="0" w:space="0" w:color="auto"/>
        <w:bottom w:val="none" w:sz="0" w:space="0" w:color="auto"/>
        <w:right w:val="none" w:sz="0" w:space="0" w:color="auto"/>
      </w:divBdr>
    </w:div>
    <w:div w:id="663048800">
      <w:bodyDiv w:val="1"/>
      <w:marLeft w:val="0"/>
      <w:marRight w:val="0"/>
      <w:marTop w:val="0"/>
      <w:marBottom w:val="0"/>
      <w:divBdr>
        <w:top w:val="none" w:sz="0" w:space="0" w:color="auto"/>
        <w:left w:val="none" w:sz="0" w:space="0" w:color="auto"/>
        <w:bottom w:val="none" w:sz="0" w:space="0" w:color="auto"/>
        <w:right w:val="none" w:sz="0" w:space="0" w:color="auto"/>
      </w:divBdr>
    </w:div>
    <w:div w:id="873006790">
      <w:bodyDiv w:val="1"/>
      <w:marLeft w:val="0"/>
      <w:marRight w:val="0"/>
      <w:marTop w:val="0"/>
      <w:marBottom w:val="0"/>
      <w:divBdr>
        <w:top w:val="none" w:sz="0" w:space="0" w:color="auto"/>
        <w:left w:val="none" w:sz="0" w:space="0" w:color="auto"/>
        <w:bottom w:val="none" w:sz="0" w:space="0" w:color="auto"/>
        <w:right w:val="none" w:sz="0" w:space="0" w:color="auto"/>
      </w:divBdr>
    </w:div>
    <w:div w:id="985091730">
      <w:bodyDiv w:val="1"/>
      <w:marLeft w:val="0"/>
      <w:marRight w:val="0"/>
      <w:marTop w:val="0"/>
      <w:marBottom w:val="0"/>
      <w:divBdr>
        <w:top w:val="none" w:sz="0" w:space="0" w:color="auto"/>
        <w:left w:val="none" w:sz="0" w:space="0" w:color="auto"/>
        <w:bottom w:val="none" w:sz="0" w:space="0" w:color="auto"/>
        <w:right w:val="none" w:sz="0" w:space="0" w:color="auto"/>
      </w:divBdr>
    </w:div>
    <w:div w:id="1015965454">
      <w:bodyDiv w:val="1"/>
      <w:marLeft w:val="0"/>
      <w:marRight w:val="0"/>
      <w:marTop w:val="0"/>
      <w:marBottom w:val="0"/>
      <w:divBdr>
        <w:top w:val="none" w:sz="0" w:space="0" w:color="auto"/>
        <w:left w:val="none" w:sz="0" w:space="0" w:color="auto"/>
        <w:bottom w:val="none" w:sz="0" w:space="0" w:color="auto"/>
        <w:right w:val="none" w:sz="0" w:space="0" w:color="auto"/>
      </w:divBdr>
    </w:div>
    <w:div w:id="1149325936">
      <w:bodyDiv w:val="1"/>
      <w:marLeft w:val="0"/>
      <w:marRight w:val="0"/>
      <w:marTop w:val="0"/>
      <w:marBottom w:val="0"/>
      <w:divBdr>
        <w:top w:val="none" w:sz="0" w:space="0" w:color="auto"/>
        <w:left w:val="none" w:sz="0" w:space="0" w:color="auto"/>
        <w:bottom w:val="none" w:sz="0" w:space="0" w:color="auto"/>
        <w:right w:val="none" w:sz="0" w:space="0" w:color="auto"/>
      </w:divBdr>
    </w:div>
    <w:div w:id="1215891000">
      <w:bodyDiv w:val="1"/>
      <w:marLeft w:val="0"/>
      <w:marRight w:val="0"/>
      <w:marTop w:val="0"/>
      <w:marBottom w:val="0"/>
      <w:divBdr>
        <w:top w:val="none" w:sz="0" w:space="0" w:color="auto"/>
        <w:left w:val="none" w:sz="0" w:space="0" w:color="auto"/>
        <w:bottom w:val="none" w:sz="0" w:space="0" w:color="auto"/>
        <w:right w:val="none" w:sz="0" w:space="0" w:color="auto"/>
      </w:divBdr>
    </w:div>
    <w:div w:id="1240404101">
      <w:bodyDiv w:val="1"/>
      <w:marLeft w:val="0"/>
      <w:marRight w:val="0"/>
      <w:marTop w:val="0"/>
      <w:marBottom w:val="0"/>
      <w:divBdr>
        <w:top w:val="none" w:sz="0" w:space="0" w:color="auto"/>
        <w:left w:val="none" w:sz="0" w:space="0" w:color="auto"/>
        <w:bottom w:val="none" w:sz="0" w:space="0" w:color="auto"/>
        <w:right w:val="none" w:sz="0" w:space="0" w:color="auto"/>
      </w:divBdr>
    </w:div>
    <w:div w:id="1266887782">
      <w:bodyDiv w:val="1"/>
      <w:marLeft w:val="0"/>
      <w:marRight w:val="0"/>
      <w:marTop w:val="0"/>
      <w:marBottom w:val="0"/>
      <w:divBdr>
        <w:top w:val="none" w:sz="0" w:space="0" w:color="auto"/>
        <w:left w:val="none" w:sz="0" w:space="0" w:color="auto"/>
        <w:bottom w:val="none" w:sz="0" w:space="0" w:color="auto"/>
        <w:right w:val="none" w:sz="0" w:space="0" w:color="auto"/>
      </w:divBdr>
    </w:div>
    <w:div w:id="1293629736">
      <w:bodyDiv w:val="1"/>
      <w:marLeft w:val="0"/>
      <w:marRight w:val="0"/>
      <w:marTop w:val="0"/>
      <w:marBottom w:val="0"/>
      <w:divBdr>
        <w:top w:val="none" w:sz="0" w:space="0" w:color="auto"/>
        <w:left w:val="none" w:sz="0" w:space="0" w:color="auto"/>
        <w:bottom w:val="none" w:sz="0" w:space="0" w:color="auto"/>
        <w:right w:val="none" w:sz="0" w:space="0" w:color="auto"/>
      </w:divBdr>
    </w:div>
    <w:div w:id="1353803347">
      <w:bodyDiv w:val="1"/>
      <w:marLeft w:val="0"/>
      <w:marRight w:val="0"/>
      <w:marTop w:val="0"/>
      <w:marBottom w:val="0"/>
      <w:divBdr>
        <w:top w:val="none" w:sz="0" w:space="0" w:color="auto"/>
        <w:left w:val="none" w:sz="0" w:space="0" w:color="auto"/>
        <w:bottom w:val="none" w:sz="0" w:space="0" w:color="auto"/>
        <w:right w:val="none" w:sz="0" w:space="0" w:color="auto"/>
      </w:divBdr>
    </w:div>
    <w:div w:id="1416047312">
      <w:bodyDiv w:val="1"/>
      <w:marLeft w:val="0"/>
      <w:marRight w:val="0"/>
      <w:marTop w:val="0"/>
      <w:marBottom w:val="0"/>
      <w:divBdr>
        <w:top w:val="none" w:sz="0" w:space="0" w:color="auto"/>
        <w:left w:val="none" w:sz="0" w:space="0" w:color="auto"/>
        <w:bottom w:val="none" w:sz="0" w:space="0" w:color="auto"/>
        <w:right w:val="none" w:sz="0" w:space="0" w:color="auto"/>
      </w:divBdr>
      <w:divsChild>
        <w:div w:id="745153397">
          <w:marLeft w:val="0"/>
          <w:marRight w:val="0"/>
          <w:marTop w:val="0"/>
          <w:marBottom w:val="0"/>
          <w:divBdr>
            <w:top w:val="none" w:sz="0" w:space="0" w:color="auto"/>
            <w:left w:val="none" w:sz="0" w:space="0" w:color="auto"/>
            <w:bottom w:val="none" w:sz="0" w:space="0" w:color="auto"/>
            <w:right w:val="none" w:sz="0" w:space="0" w:color="auto"/>
          </w:divBdr>
          <w:divsChild>
            <w:div w:id="1870679780">
              <w:marLeft w:val="0"/>
              <w:marRight w:val="0"/>
              <w:marTop w:val="0"/>
              <w:marBottom w:val="0"/>
              <w:divBdr>
                <w:top w:val="none" w:sz="0" w:space="0" w:color="auto"/>
                <w:left w:val="none" w:sz="0" w:space="0" w:color="auto"/>
                <w:bottom w:val="none" w:sz="0" w:space="0" w:color="auto"/>
                <w:right w:val="none" w:sz="0" w:space="0" w:color="auto"/>
              </w:divBdr>
              <w:divsChild>
                <w:div w:id="16440388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434739770">
      <w:bodyDiv w:val="1"/>
      <w:marLeft w:val="0"/>
      <w:marRight w:val="0"/>
      <w:marTop w:val="0"/>
      <w:marBottom w:val="0"/>
      <w:divBdr>
        <w:top w:val="none" w:sz="0" w:space="0" w:color="auto"/>
        <w:left w:val="none" w:sz="0" w:space="0" w:color="auto"/>
        <w:bottom w:val="none" w:sz="0" w:space="0" w:color="auto"/>
        <w:right w:val="none" w:sz="0" w:space="0" w:color="auto"/>
      </w:divBdr>
    </w:div>
    <w:div w:id="1520854493">
      <w:bodyDiv w:val="1"/>
      <w:marLeft w:val="0"/>
      <w:marRight w:val="0"/>
      <w:marTop w:val="0"/>
      <w:marBottom w:val="0"/>
      <w:divBdr>
        <w:top w:val="none" w:sz="0" w:space="0" w:color="auto"/>
        <w:left w:val="none" w:sz="0" w:space="0" w:color="auto"/>
        <w:bottom w:val="none" w:sz="0" w:space="0" w:color="auto"/>
        <w:right w:val="none" w:sz="0" w:space="0" w:color="auto"/>
      </w:divBdr>
    </w:div>
    <w:div w:id="1578975942">
      <w:bodyDiv w:val="1"/>
      <w:marLeft w:val="0"/>
      <w:marRight w:val="0"/>
      <w:marTop w:val="0"/>
      <w:marBottom w:val="0"/>
      <w:divBdr>
        <w:top w:val="none" w:sz="0" w:space="0" w:color="auto"/>
        <w:left w:val="none" w:sz="0" w:space="0" w:color="auto"/>
        <w:bottom w:val="none" w:sz="0" w:space="0" w:color="auto"/>
        <w:right w:val="none" w:sz="0" w:space="0" w:color="auto"/>
      </w:divBdr>
      <w:divsChild>
        <w:div w:id="571892355">
          <w:marLeft w:val="0"/>
          <w:marRight w:val="0"/>
          <w:marTop w:val="0"/>
          <w:marBottom w:val="0"/>
          <w:divBdr>
            <w:top w:val="none" w:sz="0" w:space="0" w:color="auto"/>
            <w:left w:val="none" w:sz="0" w:space="0" w:color="auto"/>
            <w:bottom w:val="none" w:sz="0" w:space="0" w:color="auto"/>
            <w:right w:val="none" w:sz="0" w:space="0" w:color="auto"/>
          </w:divBdr>
          <w:divsChild>
            <w:div w:id="2113864622">
              <w:marLeft w:val="0"/>
              <w:marRight w:val="0"/>
              <w:marTop w:val="0"/>
              <w:marBottom w:val="0"/>
              <w:divBdr>
                <w:top w:val="none" w:sz="0" w:space="0" w:color="auto"/>
                <w:left w:val="none" w:sz="0" w:space="0" w:color="auto"/>
                <w:bottom w:val="none" w:sz="0" w:space="0" w:color="auto"/>
                <w:right w:val="none" w:sz="0" w:space="0" w:color="auto"/>
              </w:divBdr>
              <w:divsChild>
                <w:div w:id="1986809918">
                  <w:marLeft w:val="0"/>
                  <w:marRight w:val="0"/>
                  <w:marTop w:val="0"/>
                  <w:marBottom w:val="0"/>
                  <w:divBdr>
                    <w:top w:val="none" w:sz="0" w:space="0" w:color="auto"/>
                    <w:left w:val="none" w:sz="0" w:space="0" w:color="auto"/>
                    <w:bottom w:val="none" w:sz="0" w:space="0" w:color="auto"/>
                    <w:right w:val="none" w:sz="0" w:space="0" w:color="auto"/>
                  </w:divBdr>
                  <w:divsChild>
                    <w:div w:id="1310862722">
                      <w:marLeft w:val="0"/>
                      <w:marRight w:val="0"/>
                      <w:marTop w:val="0"/>
                      <w:marBottom w:val="0"/>
                      <w:divBdr>
                        <w:top w:val="none" w:sz="0" w:space="0" w:color="auto"/>
                        <w:left w:val="none" w:sz="0" w:space="0" w:color="auto"/>
                        <w:bottom w:val="none" w:sz="0" w:space="0" w:color="auto"/>
                        <w:right w:val="none" w:sz="0" w:space="0" w:color="auto"/>
                      </w:divBdr>
                      <w:divsChild>
                        <w:div w:id="15009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337337">
      <w:bodyDiv w:val="1"/>
      <w:marLeft w:val="0"/>
      <w:marRight w:val="0"/>
      <w:marTop w:val="0"/>
      <w:marBottom w:val="0"/>
      <w:divBdr>
        <w:top w:val="none" w:sz="0" w:space="0" w:color="auto"/>
        <w:left w:val="none" w:sz="0" w:space="0" w:color="auto"/>
        <w:bottom w:val="none" w:sz="0" w:space="0" w:color="auto"/>
        <w:right w:val="none" w:sz="0" w:space="0" w:color="auto"/>
      </w:divBdr>
    </w:div>
    <w:div w:id="2088378782">
      <w:bodyDiv w:val="1"/>
      <w:marLeft w:val="0"/>
      <w:marRight w:val="0"/>
      <w:marTop w:val="0"/>
      <w:marBottom w:val="0"/>
      <w:divBdr>
        <w:top w:val="none" w:sz="0" w:space="0" w:color="auto"/>
        <w:left w:val="none" w:sz="0" w:space="0" w:color="auto"/>
        <w:bottom w:val="none" w:sz="0" w:space="0" w:color="auto"/>
        <w:right w:val="none" w:sz="0" w:space="0" w:color="auto"/>
      </w:divBdr>
    </w:div>
    <w:div w:id="21132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7.xml"/><Relationship Id="rId28" Type="http://schemas.openxmlformats.org/officeDocument/2006/relationships/hyperlink" Target="http://www.business.gov.au"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G20EmploymentAust@employment.gov.au"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customXml" Target="../customXml/item4.xml"/><Relationship Id="rId8" Type="http://schemas.openxmlformats.org/officeDocument/2006/relationships/endnotes" Target="endnotes.xml"/></Relationships>
</file>

<file path=word/_rels/footer5.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E3D043-0731-4EE2-90A2-BEAD7C15A419}"/>
</file>

<file path=customXml/itemProps2.xml><?xml version="1.0" encoding="utf-8"?>
<ds:datastoreItem xmlns:ds="http://schemas.openxmlformats.org/officeDocument/2006/customXml" ds:itemID="{BEADB030-F4C4-4ABE-AB63-A30ECE134336}"/>
</file>

<file path=customXml/itemProps3.xml><?xml version="1.0" encoding="utf-8"?>
<ds:datastoreItem xmlns:ds="http://schemas.openxmlformats.org/officeDocument/2006/customXml" ds:itemID="{B81AF3DA-2FDA-48F9-94FD-7CA0CDC8C9B1}"/>
</file>

<file path=customXml/itemProps4.xml><?xml version="1.0" encoding="utf-8"?>
<ds:datastoreItem xmlns:ds="http://schemas.openxmlformats.org/officeDocument/2006/customXml" ds:itemID="{E407989D-28DE-40FF-B7B6-61E50D19003E}"/>
</file>

<file path=docProps/app.xml><?xml version="1.0" encoding="utf-8"?>
<Properties xmlns="http://schemas.openxmlformats.org/officeDocument/2006/extended-properties" xmlns:vt="http://schemas.openxmlformats.org/officeDocument/2006/docPropsVTypes">
  <Template>66F5F16F.dotm</Template>
  <TotalTime>0</TotalTime>
  <Pages>32</Pages>
  <Words>9237</Words>
  <Characters>52652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2017-07-11T00:33:00Z</dcterms:created>
  <dcterms:modified xsi:type="dcterms:W3CDTF">2017-07-11T00:34:00Z</dcterms:modified>
</cp:coreProperties>
</file>