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9D5FC3">
      <w:pPr>
        <w:pStyle w:val="Headergraphic"/>
        <w:ind w:left="1843"/>
        <w:sectPr w:rsidR="00E95D3D" w:rsidSect="00815788">
          <w:headerReference w:type="default" r:id="rId12"/>
          <w:footerReference w:type="default" r:id="rId13"/>
          <w:pgSz w:w="11906" w:h="16838"/>
          <w:pgMar w:top="992" w:right="1440" w:bottom="1440" w:left="851" w:header="709" w:footer="709"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4">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25A9F9A5" w14:textId="77777777" w:rsidR="008A60F4" w:rsidRPr="00570DA0" w:rsidRDefault="008A60F4" w:rsidP="005B09E3">
      <w:pPr>
        <w:pStyle w:val="FEGTitle"/>
      </w:pPr>
      <w:r w:rsidRPr="00570DA0">
        <w:t>H</w:t>
      </w:r>
      <w:r>
        <w:t>ow is tax withheld under FEG?</w:t>
      </w:r>
    </w:p>
    <w:p w14:paraId="2851F064" w14:textId="1A46A8C3" w:rsidR="008A60F4" w:rsidRPr="005B09E3" w:rsidRDefault="008A60F4" w:rsidP="005B09E3">
      <w:pPr>
        <w:rPr>
          <w:rStyle w:val="Strong"/>
        </w:rPr>
      </w:pPr>
      <w:r w:rsidRPr="005B09E3">
        <w:rPr>
          <w:rStyle w:val="Strong"/>
        </w:rPr>
        <w:t xml:space="preserve">The Department </w:t>
      </w:r>
      <w:r w:rsidR="0035741A">
        <w:rPr>
          <w:rStyle w:val="Strong"/>
        </w:rPr>
        <w:t>of Employm</w:t>
      </w:r>
      <w:r w:rsidR="00442595">
        <w:rPr>
          <w:rStyle w:val="Strong"/>
        </w:rPr>
        <w:t>e</w:t>
      </w:r>
      <w:r w:rsidR="0035741A">
        <w:rPr>
          <w:rStyle w:val="Strong"/>
        </w:rPr>
        <w:t xml:space="preserve">nt and Workplace Relations </w:t>
      </w:r>
      <w:r w:rsidRPr="005B09E3">
        <w:rPr>
          <w:rStyle w:val="Strong"/>
        </w:rPr>
        <w:t>(the department) is required to withhold Pay as you go (PAYG) tax from payments for assistance under the Fair Entitlements Guarantee (FEG). This fact sheet provides information about how tax is calculated.</w:t>
      </w:r>
    </w:p>
    <w:p w14:paraId="5E6BDAAD" w14:textId="77777777" w:rsidR="008A60F4" w:rsidRPr="00F61E46" w:rsidRDefault="008A60F4" w:rsidP="005B09E3">
      <w:pPr>
        <w:pStyle w:val="FEGHeading1"/>
      </w:pPr>
      <w:r w:rsidRPr="00F61E46">
        <w:t>Payment of FEG assistance</w:t>
      </w:r>
    </w:p>
    <w:p w14:paraId="6AB10C04" w14:textId="77777777" w:rsidR="008A60F4" w:rsidRDefault="008A60F4" w:rsidP="008A60F4">
      <w:r>
        <w:t>If you are eligible for FEG assistance, the department pays you directly.</w:t>
      </w:r>
    </w:p>
    <w:p w14:paraId="2526E83F" w14:textId="77777777" w:rsidR="008A60F4" w:rsidRPr="00F61E46" w:rsidRDefault="008A60F4" w:rsidP="005B09E3">
      <w:pPr>
        <w:pStyle w:val="FEGHeading1"/>
      </w:pPr>
      <w:r w:rsidRPr="00F61E46">
        <w:t>Notice of variation</w:t>
      </w:r>
    </w:p>
    <w:p w14:paraId="60A876DA" w14:textId="424A3C55" w:rsidR="008A60F4" w:rsidRDefault="008A60F4" w:rsidP="005B09E3">
      <w:r>
        <w:t xml:space="preserve">Under the </w:t>
      </w:r>
      <w:r>
        <w:rPr>
          <w:i/>
        </w:rPr>
        <w:t xml:space="preserve">Taxation Administration Act 1953 </w:t>
      </w:r>
      <w:r>
        <w:t>(the TAA), where the department pays FEG assistance directly,</w:t>
      </w:r>
      <w:r w:rsidR="0045649F">
        <w:br/>
      </w:r>
      <w:r>
        <w:t>it is required to withhold PAYG tax. The department must withhold tax in accordance with the Notice of Variation under section 15-15 of Schedule 1 to the TAA issued by the Commissioner of Taxation (the variation).</w:t>
      </w:r>
    </w:p>
    <w:p w14:paraId="39E46B5A" w14:textId="77777777" w:rsidR="008A60F4" w:rsidRDefault="008A60F4" w:rsidP="005B09E3">
      <w:pPr>
        <w:pStyle w:val="FEGHeading2"/>
      </w:pPr>
      <w:r>
        <w:t>Providing a tax file number (TFN)</w:t>
      </w:r>
    </w:p>
    <w:p w14:paraId="0AF73397" w14:textId="77777777" w:rsidR="008A60F4" w:rsidRPr="00BE771F" w:rsidRDefault="008A60F4" w:rsidP="005B09E3">
      <w:r w:rsidRPr="002535CE">
        <w:t xml:space="preserve">The </w:t>
      </w:r>
      <w:r>
        <w:t>d</w:t>
      </w:r>
      <w:r w:rsidRPr="002535CE">
        <w:t>epartment is authorised to collect your TFN under the TAA.</w:t>
      </w:r>
      <w:r w:rsidRPr="009A59D9">
        <w:rPr>
          <w:b/>
        </w:rPr>
        <w:t xml:space="preserve"> </w:t>
      </w:r>
      <w:r>
        <w:t xml:space="preserve">The variation specifies the tax arrangements that apply where a person provides the department with their TFN on a TFN declaration form*. </w:t>
      </w:r>
      <w:r w:rsidRPr="00E45111">
        <w:rPr>
          <w:b/>
        </w:rPr>
        <w:t xml:space="preserve">It does not apply where a person fails to provide </w:t>
      </w:r>
      <w:r w:rsidRPr="00BE771F">
        <w:rPr>
          <w:b/>
        </w:rPr>
        <w:t>one.</w:t>
      </w:r>
    </w:p>
    <w:p w14:paraId="4882DDCE" w14:textId="77777777" w:rsidR="008A60F4" w:rsidRPr="00BE771F" w:rsidRDefault="008A60F4" w:rsidP="005B09E3">
      <w:pPr>
        <w:rPr>
          <w:rStyle w:val="Strong"/>
        </w:rPr>
      </w:pPr>
      <w:r w:rsidRPr="00BE771F">
        <w:rPr>
          <w:rStyle w:val="Strong"/>
        </w:rPr>
        <w:t>*You are not required to provide your TFN. However, if you do not provide your TFN or claim a relevant exemption on your TFN declaration, the department is required to withhold tax from your FEG payment at the top marginal rate (currently 47 per cent).</w:t>
      </w:r>
    </w:p>
    <w:p w14:paraId="5F83F948" w14:textId="77777777" w:rsidR="008A60F4" w:rsidRPr="00BE771F" w:rsidRDefault="008A60F4" w:rsidP="005B09E3">
      <w:pPr>
        <w:pStyle w:val="FEGHeading1"/>
      </w:pPr>
      <w:r w:rsidRPr="00BE771F">
        <w:t xml:space="preserve">PAYG withholding under FEG – TFN </w:t>
      </w:r>
      <w:proofErr w:type="gramStart"/>
      <w:r w:rsidRPr="00BE771F">
        <w:t>provided</w:t>
      </w:r>
      <w:proofErr w:type="gramEnd"/>
    </w:p>
    <w:p w14:paraId="64FF2A01" w14:textId="77777777" w:rsidR="008A60F4" w:rsidRPr="00BE771F" w:rsidRDefault="008A60F4" w:rsidP="005B09E3">
      <w:pPr>
        <w:pStyle w:val="FEGHeading2"/>
      </w:pPr>
      <w:r w:rsidRPr="00BE771F">
        <w:t xml:space="preserve">Unpaid wages, annual </w:t>
      </w:r>
      <w:proofErr w:type="gramStart"/>
      <w:r w:rsidRPr="00BE771F">
        <w:t>leave</w:t>
      </w:r>
      <w:proofErr w:type="gramEnd"/>
      <w:r w:rsidRPr="00BE771F">
        <w:t xml:space="preserve"> and long service leave</w:t>
      </w:r>
    </w:p>
    <w:p w14:paraId="2BFB42F4" w14:textId="77777777" w:rsidR="008A60F4" w:rsidRPr="00BE771F" w:rsidRDefault="008A60F4" w:rsidP="005B09E3">
      <w:r w:rsidRPr="00BE771F">
        <w:t>Under the variation, from 1 July 2016, tax is withheld from FEG payments for unpaid wages, annual leave and long service leave at the rate of 34.5 per cent.</w:t>
      </w:r>
    </w:p>
    <w:p w14:paraId="1FA548A5" w14:textId="2E32DB6A" w:rsidR="008A60F4" w:rsidRPr="00BE771F" w:rsidRDefault="008A60F4" w:rsidP="002D48CF">
      <w:pPr>
        <w:pBdr>
          <w:top w:val="single" w:sz="4" w:space="1" w:color="auto"/>
          <w:left w:val="single" w:sz="4" w:space="4" w:color="auto"/>
          <w:bottom w:val="single" w:sz="4" w:space="1" w:color="auto"/>
          <w:right w:val="single" w:sz="4" w:space="4" w:color="auto"/>
        </w:pBdr>
        <w:spacing w:after="120"/>
        <w:ind w:left="113"/>
        <w:rPr>
          <w:b/>
        </w:rPr>
      </w:pPr>
      <w:r w:rsidRPr="00BE771F">
        <w:rPr>
          <w:b/>
        </w:rPr>
        <w:t xml:space="preserve">Example 1: </w:t>
      </w:r>
      <w:r w:rsidRPr="00BE771F">
        <w:t xml:space="preserve">Jan is a part-time employee who lost her job when her employer </w:t>
      </w:r>
      <w:proofErr w:type="gramStart"/>
      <w:r w:rsidRPr="00BE771F">
        <w:t>entered into</w:t>
      </w:r>
      <w:proofErr w:type="gramEnd"/>
      <w:r w:rsidRPr="00BE771F">
        <w:t xml:space="preserve"> liquidation on 30 November </w:t>
      </w:r>
      <w:r>
        <w:t>202</w:t>
      </w:r>
      <w:r w:rsidR="00835BBA">
        <w:t>3</w:t>
      </w:r>
      <w:r w:rsidRPr="00BE771F">
        <w:t>.</w:t>
      </w:r>
    </w:p>
    <w:p w14:paraId="22E0B0D8" w14:textId="77777777" w:rsidR="008A60F4" w:rsidRPr="009944FA" w:rsidRDefault="008A60F4" w:rsidP="002D48CF">
      <w:pPr>
        <w:pBdr>
          <w:top w:val="single" w:sz="4" w:space="1" w:color="auto"/>
          <w:left w:val="single" w:sz="4" w:space="4" w:color="auto"/>
          <w:bottom w:val="single" w:sz="4" w:space="1" w:color="auto"/>
          <w:right w:val="single" w:sz="4" w:space="4" w:color="auto"/>
        </w:pBdr>
        <w:ind w:left="113"/>
        <w:rPr>
          <w:spacing w:val="-4"/>
        </w:rPr>
      </w:pPr>
      <w:r w:rsidRPr="009944FA">
        <w:rPr>
          <w:spacing w:val="-4"/>
        </w:rPr>
        <w:t>Jan lodges a claim for FEG assistance and provides the department with her TFN. The department determines that Jan is eligible for FEG assistance of $800 for unpaid wages and $400 for unused annual leave (total $1,200).</w:t>
      </w:r>
    </w:p>
    <w:p w14:paraId="20ED0C36" w14:textId="77777777" w:rsidR="008A60F4" w:rsidRPr="00BE771F" w:rsidRDefault="008A60F4" w:rsidP="002D48CF">
      <w:pPr>
        <w:pBdr>
          <w:top w:val="single" w:sz="4" w:space="1" w:color="auto"/>
          <w:left w:val="single" w:sz="4" w:space="4" w:color="auto"/>
          <w:bottom w:val="single" w:sz="4" w:space="1" w:color="auto"/>
          <w:right w:val="single" w:sz="4" w:space="4" w:color="auto"/>
        </w:pBdr>
        <w:ind w:left="113"/>
      </w:pPr>
      <w:r w:rsidRPr="00BE771F">
        <w:t>The department withholds $276 from Jan’s FEG payment for unpaid wages (34.5 per cent of $800) and $138 from her FEG payment for annual leave (34.5 per cent of $400). Following these tax amounts being withheld from her gross FEG entitlement of $1</w:t>
      </w:r>
      <w:r>
        <w:t>,</w:t>
      </w:r>
      <w:r w:rsidRPr="00BE771F">
        <w:t>200, the net amount paid to Jan is $786.</w:t>
      </w:r>
    </w:p>
    <w:p w14:paraId="40FA40DE" w14:textId="77777777" w:rsidR="008A60F4" w:rsidRPr="00BE771F" w:rsidRDefault="008A60F4" w:rsidP="005B09E3">
      <w:pPr>
        <w:pStyle w:val="FEGHeading1"/>
      </w:pPr>
      <w:r w:rsidRPr="00BE771F">
        <w:lastRenderedPageBreak/>
        <w:t xml:space="preserve">Payment in lieu of </w:t>
      </w:r>
      <w:proofErr w:type="gramStart"/>
      <w:r w:rsidRPr="00BE771F">
        <w:t>notice</w:t>
      </w:r>
      <w:proofErr w:type="gramEnd"/>
      <w:r w:rsidRPr="00BE771F">
        <w:t xml:space="preserve"> (PILN) and redundancy pay</w:t>
      </w:r>
    </w:p>
    <w:p w14:paraId="5B9768E7" w14:textId="77777777" w:rsidR="008A60F4" w:rsidRPr="00BE771F" w:rsidRDefault="008A60F4" w:rsidP="005B09E3">
      <w:pPr>
        <w:pStyle w:val="FEGHeading2"/>
        <w:rPr>
          <w:rFonts w:eastAsiaTheme="minorHAnsi"/>
          <w:i/>
        </w:rPr>
      </w:pPr>
      <w:r w:rsidRPr="00225B20">
        <w:rPr>
          <w:rFonts w:eastAsiaTheme="minorHAnsi"/>
        </w:rPr>
        <w:t xml:space="preserve">Under </w:t>
      </w:r>
      <w:r>
        <w:rPr>
          <w:rFonts w:eastAsiaTheme="minorHAnsi"/>
        </w:rPr>
        <w:t>the age-pension</w:t>
      </w:r>
      <w:r w:rsidRPr="00225B20">
        <w:rPr>
          <w:rFonts w:eastAsiaTheme="minorHAnsi"/>
        </w:rPr>
        <w:t xml:space="preserve"> age</w:t>
      </w:r>
    </w:p>
    <w:p w14:paraId="5AA0411B" w14:textId="77777777" w:rsidR="008A60F4" w:rsidRDefault="008A60F4" w:rsidP="005B09E3">
      <w:r w:rsidRPr="00BE771F">
        <w:t>For tax purposes, FEG payments for PILN and redundancy pay for a person who was under the age</w:t>
      </w:r>
      <w:r>
        <w:t>-pension age</w:t>
      </w:r>
      <w:r w:rsidRPr="00BE771F">
        <w:t xml:space="preserve"> </w:t>
      </w:r>
      <w:r>
        <w:t xml:space="preserve">(Table 1) </w:t>
      </w:r>
      <w:r w:rsidRPr="00BE771F">
        <w:t xml:space="preserve">at the time their employment ended are treated as genuine redundancy payments. </w:t>
      </w:r>
    </w:p>
    <w:p w14:paraId="50EE84D2" w14:textId="77777777" w:rsidR="008A60F4" w:rsidRPr="002D48CF" w:rsidRDefault="008A60F4" w:rsidP="00AF28BC">
      <w:pPr>
        <w:rPr>
          <w:rStyle w:val="Strong"/>
        </w:rPr>
      </w:pPr>
      <w:r w:rsidRPr="002D48CF">
        <w:rPr>
          <w:rStyle w:val="Strong"/>
        </w:rPr>
        <w:t>Table 1: Age-pension age for men and women</w:t>
      </w:r>
    </w:p>
    <w:tbl>
      <w:tblPr>
        <w:tblStyle w:val="PlainTable2"/>
        <w:tblW w:w="9062" w:type="dxa"/>
        <w:tblLook w:val="04A0" w:firstRow="1" w:lastRow="0" w:firstColumn="1" w:lastColumn="0" w:noHBand="0" w:noVBand="1"/>
      </w:tblPr>
      <w:tblGrid>
        <w:gridCol w:w="4531"/>
        <w:gridCol w:w="4531"/>
      </w:tblGrid>
      <w:tr w:rsidR="008A60F4" w:rsidRPr="00AF28BC" w14:paraId="175E8EBA" w14:textId="77777777" w:rsidTr="00287CB1">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531" w:type="dxa"/>
            <w:hideMark/>
          </w:tcPr>
          <w:p w14:paraId="696A4839" w14:textId="77777777" w:rsidR="008A60F4" w:rsidRPr="00AF28BC" w:rsidRDefault="008A60F4" w:rsidP="005178B1">
            <w:pPr>
              <w:jc w:val="center"/>
              <w:rPr>
                <w:rFonts w:ascii="Calibri" w:eastAsia="Times New Roman" w:hAnsi="Calibri" w:cs="Calibri"/>
                <w:b w:val="0"/>
                <w:bCs w:val="0"/>
                <w:sz w:val="19"/>
                <w:szCs w:val="19"/>
                <w:lang w:eastAsia="en-AU"/>
              </w:rPr>
            </w:pPr>
            <w:r w:rsidRPr="00AF28BC">
              <w:rPr>
                <w:rFonts w:ascii="Calibri" w:eastAsia="Times New Roman" w:hAnsi="Calibri" w:cs="Calibri"/>
                <w:sz w:val="19"/>
                <w:szCs w:val="19"/>
                <w:lang w:eastAsia="en-AU"/>
              </w:rPr>
              <w:t>Date of birth</w:t>
            </w:r>
          </w:p>
        </w:tc>
        <w:tc>
          <w:tcPr>
            <w:tcW w:w="4531" w:type="dxa"/>
            <w:hideMark/>
          </w:tcPr>
          <w:p w14:paraId="2D61AE0A" w14:textId="77777777" w:rsidR="008A60F4" w:rsidRPr="00AF28BC" w:rsidRDefault="008A60F4" w:rsidP="005178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19"/>
                <w:szCs w:val="19"/>
                <w:lang w:eastAsia="en-AU"/>
              </w:rPr>
            </w:pPr>
            <w:r w:rsidRPr="00AF28BC">
              <w:rPr>
                <w:rFonts w:ascii="Calibri" w:eastAsia="Times New Roman" w:hAnsi="Calibri" w:cs="Calibri"/>
                <w:sz w:val="19"/>
                <w:szCs w:val="19"/>
                <w:lang w:eastAsia="en-AU"/>
              </w:rPr>
              <w:t>Age-pension age</w:t>
            </w:r>
          </w:p>
        </w:tc>
      </w:tr>
      <w:tr w:rsidR="008A60F4" w:rsidRPr="00AF28BC" w14:paraId="76DC6EEF" w14:textId="77777777" w:rsidTr="00BA57A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219627ED" w14:textId="77777777" w:rsidR="008A60F4" w:rsidRPr="00AF28BC" w:rsidRDefault="008A60F4" w:rsidP="005178B1">
            <w:pPr>
              <w:jc w:val="center"/>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Before 1 Jul 1952</w:t>
            </w:r>
          </w:p>
        </w:tc>
        <w:tc>
          <w:tcPr>
            <w:tcW w:w="4531" w:type="dxa"/>
            <w:vAlign w:val="center"/>
            <w:hideMark/>
          </w:tcPr>
          <w:p w14:paraId="188664F9" w14:textId="77777777" w:rsidR="008A60F4" w:rsidRPr="00AF28BC" w:rsidRDefault="008A60F4" w:rsidP="005178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65</w:t>
            </w:r>
          </w:p>
        </w:tc>
      </w:tr>
      <w:tr w:rsidR="008A60F4" w:rsidRPr="00AF28BC" w14:paraId="6FB1B963" w14:textId="77777777" w:rsidTr="00BA57A4">
        <w:trPr>
          <w:trHeight w:val="60"/>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0198B5CC" w14:textId="77777777" w:rsidR="008A60F4" w:rsidRPr="00AF28BC" w:rsidRDefault="008A60F4" w:rsidP="005178B1">
            <w:pPr>
              <w:jc w:val="center"/>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1 Jul 1952 to 31 Dec 1953</w:t>
            </w:r>
          </w:p>
        </w:tc>
        <w:tc>
          <w:tcPr>
            <w:tcW w:w="4531" w:type="dxa"/>
            <w:vAlign w:val="center"/>
            <w:hideMark/>
          </w:tcPr>
          <w:p w14:paraId="5A830709" w14:textId="77777777" w:rsidR="008A60F4" w:rsidRPr="00AF28BC" w:rsidRDefault="008A60F4" w:rsidP="005178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65 years and 6 months</w:t>
            </w:r>
          </w:p>
        </w:tc>
      </w:tr>
      <w:tr w:rsidR="008A60F4" w:rsidRPr="00AF28BC" w14:paraId="7A8D5EA4" w14:textId="77777777" w:rsidTr="00BA57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1021FD75" w14:textId="77777777" w:rsidR="008A60F4" w:rsidRPr="00AF28BC" w:rsidRDefault="008A60F4" w:rsidP="005178B1">
            <w:pPr>
              <w:jc w:val="center"/>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1 Jan 1954 to 30 Jun 1955</w:t>
            </w:r>
          </w:p>
        </w:tc>
        <w:tc>
          <w:tcPr>
            <w:tcW w:w="4531" w:type="dxa"/>
            <w:vAlign w:val="center"/>
            <w:hideMark/>
          </w:tcPr>
          <w:p w14:paraId="030539F7" w14:textId="77777777" w:rsidR="008A60F4" w:rsidRPr="00AF28BC" w:rsidRDefault="008A60F4" w:rsidP="005178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66 years</w:t>
            </w:r>
          </w:p>
        </w:tc>
      </w:tr>
      <w:tr w:rsidR="008A60F4" w:rsidRPr="00AF28BC" w14:paraId="11A6843C" w14:textId="77777777" w:rsidTr="00BA57A4">
        <w:trPr>
          <w:trHeight w:val="300"/>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1C74B657" w14:textId="77777777" w:rsidR="008A60F4" w:rsidRPr="00AF28BC" w:rsidRDefault="008A60F4" w:rsidP="005178B1">
            <w:pPr>
              <w:jc w:val="center"/>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1 Jul 1955 to 31 Dec 1956</w:t>
            </w:r>
          </w:p>
        </w:tc>
        <w:tc>
          <w:tcPr>
            <w:tcW w:w="4531" w:type="dxa"/>
            <w:vAlign w:val="center"/>
            <w:hideMark/>
          </w:tcPr>
          <w:p w14:paraId="4483DC48" w14:textId="77777777" w:rsidR="008A60F4" w:rsidRPr="00AF28BC" w:rsidRDefault="008A60F4" w:rsidP="005178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66 years and 6 months</w:t>
            </w:r>
          </w:p>
        </w:tc>
      </w:tr>
      <w:tr w:rsidR="008A60F4" w:rsidRPr="00AF28BC" w14:paraId="6C4D13BE" w14:textId="77777777" w:rsidTr="00BA57A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3C2BAF9D" w14:textId="77777777" w:rsidR="008A60F4" w:rsidRPr="00AF28BC" w:rsidRDefault="008A60F4" w:rsidP="005178B1">
            <w:pPr>
              <w:jc w:val="center"/>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On or after 1 Jan 1957</w:t>
            </w:r>
          </w:p>
        </w:tc>
        <w:tc>
          <w:tcPr>
            <w:tcW w:w="4531" w:type="dxa"/>
            <w:vAlign w:val="center"/>
            <w:hideMark/>
          </w:tcPr>
          <w:p w14:paraId="72FCEE40" w14:textId="77777777" w:rsidR="008A60F4" w:rsidRPr="00AF28BC" w:rsidRDefault="008A60F4" w:rsidP="005178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9"/>
                <w:szCs w:val="19"/>
                <w:lang w:eastAsia="en-AU"/>
              </w:rPr>
            </w:pPr>
            <w:r w:rsidRPr="00AF28BC">
              <w:rPr>
                <w:rFonts w:ascii="Calibri" w:eastAsia="Times New Roman" w:hAnsi="Calibri" w:cs="Calibri"/>
                <w:sz w:val="19"/>
                <w:szCs w:val="19"/>
                <w:lang w:eastAsia="en-AU"/>
              </w:rPr>
              <w:t>67 years</w:t>
            </w:r>
          </w:p>
        </w:tc>
      </w:tr>
    </w:tbl>
    <w:p w14:paraId="3020B9A9" w14:textId="77777777" w:rsidR="008A60F4" w:rsidRDefault="008A60F4" w:rsidP="008442E3">
      <w:pPr>
        <w:spacing w:after="0"/>
      </w:pPr>
    </w:p>
    <w:p w14:paraId="727F5B7D" w14:textId="77777777" w:rsidR="008A60F4" w:rsidRPr="00BE771F" w:rsidRDefault="008A60F4" w:rsidP="00AF28BC">
      <w:r w:rsidRPr="00BE771F">
        <w:t>Genuine redundancy payments are tax-free up to a limit calculated as follows:</w:t>
      </w:r>
    </w:p>
    <w:tbl>
      <w:tblPr>
        <w:tblStyle w:val="PlainTable2"/>
        <w:tblW w:w="9072" w:type="dxa"/>
        <w:tblLook w:val="04A0" w:firstRow="1" w:lastRow="0" w:firstColumn="1" w:lastColumn="0" w:noHBand="0" w:noVBand="1"/>
        <w:tblCaption w:val="Tax free table for genuine redundancy payments"/>
        <w:tblDescription w:val="A table displaying tax free amounts for genuine redundancy payments is displayed."/>
      </w:tblPr>
      <w:tblGrid>
        <w:gridCol w:w="2339"/>
        <w:gridCol w:w="2339"/>
        <w:gridCol w:w="4394"/>
      </w:tblGrid>
      <w:tr w:rsidR="008A60F4" w:rsidRPr="00AF28BC" w14:paraId="0BCDEEA0" w14:textId="77777777" w:rsidTr="00287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AE5B51C" w14:textId="77777777" w:rsidR="008A60F4" w:rsidRPr="00AF28BC" w:rsidRDefault="008A60F4" w:rsidP="000D472F">
            <w:pPr>
              <w:jc w:val="center"/>
              <w:rPr>
                <w:b w:val="0"/>
                <w:sz w:val="19"/>
                <w:szCs w:val="19"/>
              </w:rPr>
            </w:pPr>
            <w:r w:rsidRPr="00AF28BC">
              <w:rPr>
                <w:sz w:val="19"/>
                <w:szCs w:val="19"/>
              </w:rPr>
              <w:t>Income year</w:t>
            </w:r>
          </w:p>
        </w:tc>
        <w:tc>
          <w:tcPr>
            <w:tcW w:w="2339" w:type="dxa"/>
          </w:tcPr>
          <w:p w14:paraId="7961BFD2" w14:textId="77777777" w:rsidR="008A60F4" w:rsidRPr="00AF28BC" w:rsidRDefault="008A60F4" w:rsidP="000D472F">
            <w:pPr>
              <w:jc w:val="center"/>
              <w:cnfStyle w:val="100000000000" w:firstRow="1" w:lastRow="0" w:firstColumn="0" w:lastColumn="0" w:oddVBand="0" w:evenVBand="0" w:oddHBand="0" w:evenHBand="0" w:firstRowFirstColumn="0" w:firstRowLastColumn="0" w:lastRowFirstColumn="0" w:lastRowLastColumn="0"/>
              <w:rPr>
                <w:b w:val="0"/>
                <w:sz w:val="19"/>
                <w:szCs w:val="19"/>
              </w:rPr>
            </w:pPr>
            <w:r w:rsidRPr="00AF28BC">
              <w:rPr>
                <w:sz w:val="19"/>
                <w:szCs w:val="19"/>
              </w:rPr>
              <w:t>Base limit</w:t>
            </w:r>
          </w:p>
        </w:tc>
        <w:tc>
          <w:tcPr>
            <w:tcW w:w="4394" w:type="dxa"/>
          </w:tcPr>
          <w:p w14:paraId="3608D486" w14:textId="77777777" w:rsidR="008A60F4" w:rsidRPr="00AF28BC" w:rsidRDefault="008A60F4" w:rsidP="000D472F">
            <w:pPr>
              <w:ind w:left="170"/>
              <w:jc w:val="center"/>
              <w:cnfStyle w:val="100000000000" w:firstRow="1" w:lastRow="0" w:firstColumn="0" w:lastColumn="0" w:oddVBand="0" w:evenVBand="0" w:oddHBand="0" w:evenHBand="0" w:firstRowFirstColumn="0" w:firstRowLastColumn="0" w:lastRowFirstColumn="0" w:lastRowLastColumn="0"/>
              <w:rPr>
                <w:b w:val="0"/>
                <w:sz w:val="19"/>
                <w:szCs w:val="19"/>
              </w:rPr>
            </w:pPr>
            <w:r w:rsidRPr="00AF28BC">
              <w:rPr>
                <w:sz w:val="19"/>
                <w:szCs w:val="19"/>
              </w:rPr>
              <w:t>For each completed year of service</w:t>
            </w:r>
          </w:p>
        </w:tc>
      </w:tr>
      <w:tr w:rsidR="008D6628" w:rsidRPr="00AF28BC" w14:paraId="6BBABEB4" w14:textId="77777777" w:rsidTr="00304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60FF29AA" w14:textId="47D0FABE" w:rsidR="008D6628" w:rsidRPr="00AF28BC" w:rsidRDefault="008D6628" w:rsidP="003042F1">
            <w:pPr>
              <w:jc w:val="center"/>
              <w:rPr>
                <w:sz w:val="19"/>
                <w:szCs w:val="19"/>
              </w:rPr>
            </w:pPr>
            <w:r>
              <w:rPr>
                <w:sz w:val="19"/>
                <w:szCs w:val="19"/>
              </w:rPr>
              <w:t>2024-25</w:t>
            </w:r>
          </w:p>
        </w:tc>
        <w:tc>
          <w:tcPr>
            <w:tcW w:w="2339" w:type="dxa"/>
          </w:tcPr>
          <w:p w14:paraId="37EE5645" w14:textId="293F67DB" w:rsidR="008D6628" w:rsidRPr="00AF28BC" w:rsidRDefault="008D6628" w:rsidP="003042F1">
            <w:pPr>
              <w:jc w:val="cente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$12,524</w:t>
            </w:r>
          </w:p>
        </w:tc>
        <w:tc>
          <w:tcPr>
            <w:tcW w:w="4394" w:type="dxa"/>
          </w:tcPr>
          <w:p w14:paraId="4D70640A" w14:textId="65B56436" w:rsidR="008D6628" w:rsidRPr="00AF28BC" w:rsidRDefault="008D6628" w:rsidP="003042F1">
            <w:pPr>
              <w:jc w:val="cente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$6,264</w:t>
            </w:r>
          </w:p>
        </w:tc>
      </w:tr>
      <w:tr w:rsidR="00816BAF" w:rsidRPr="00AF28BC" w14:paraId="2E8C013D" w14:textId="77777777" w:rsidTr="00287CB1">
        <w:tc>
          <w:tcPr>
            <w:cnfStyle w:val="001000000000" w:firstRow="0" w:lastRow="0" w:firstColumn="1" w:lastColumn="0" w:oddVBand="0" w:evenVBand="0" w:oddHBand="0" w:evenHBand="0" w:firstRowFirstColumn="0" w:firstRowLastColumn="0" w:lastRowFirstColumn="0" w:lastRowLastColumn="0"/>
            <w:tcW w:w="2339" w:type="dxa"/>
          </w:tcPr>
          <w:p w14:paraId="2BB49376" w14:textId="1C0F9FBD" w:rsidR="00816BAF" w:rsidRPr="00AF28BC" w:rsidRDefault="00816BAF" w:rsidP="000D472F">
            <w:pPr>
              <w:jc w:val="center"/>
              <w:rPr>
                <w:sz w:val="19"/>
                <w:szCs w:val="19"/>
              </w:rPr>
            </w:pPr>
            <w:r>
              <w:rPr>
                <w:sz w:val="19"/>
                <w:szCs w:val="19"/>
              </w:rPr>
              <w:t>2023-24</w:t>
            </w:r>
          </w:p>
        </w:tc>
        <w:tc>
          <w:tcPr>
            <w:tcW w:w="2339" w:type="dxa"/>
          </w:tcPr>
          <w:p w14:paraId="4989F0E8" w14:textId="31FEEB78" w:rsidR="00816BAF" w:rsidRPr="00AF28BC" w:rsidRDefault="00816BAF" w:rsidP="000D472F">
            <w:pPr>
              <w:jc w:val="cente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$11,985</w:t>
            </w:r>
          </w:p>
        </w:tc>
        <w:tc>
          <w:tcPr>
            <w:tcW w:w="4394" w:type="dxa"/>
          </w:tcPr>
          <w:p w14:paraId="4BEBC25B" w14:textId="217C2663" w:rsidR="00816BAF" w:rsidRPr="00AF28BC" w:rsidRDefault="00816BAF" w:rsidP="000D472F">
            <w:pPr>
              <w:jc w:val="cente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$5,994</w:t>
            </w:r>
          </w:p>
        </w:tc>
      </w:tr>
      <w:tr w:rsidR="008A60F4" w:rsidRPr="00AF28BC" w14:paraId="5281F0F6" w14:textId="77777777" w:rsidTr="002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764830B6" w14:textId="77777777" w:rsidR="008A60F4" w:rsidRPr="00AF28BC" w:rsidRDefault="008A60F4" w:rsidP="000D472F">
            <w:pPr>
              <w:jc w:val="center"/>
              <w:rPr>
                <w:sz w:val="19"/>
                <w:szCs w:val="19"/>
              </w:rPr>
            </w:pPr>
            <w:r w:rsidRPr="00AF28BC">
              <w:rPr>
                <w:sz w:val="19"/>
                <w:szCs w:val="19"/>
              </w:rPr>
              <w:t>2022-23</w:t>
            </w:r>
          </w:p>
        </w:tc>
        <w:tc>
          <w:tcPr>
            <w:tcW w:w="2339" w:type="dxa"/>
          </w:tcPr>
          <w:p w14:paraId="4A81A5FC" w14:textId="77777777" w:rsidR="008A60F4" w:rsidRPr="00AF28BC" w:rsidRDefault="008A60F4" w:rsidP="000D472F">
            <w:pPr>
              <w:jc w:val="cente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$11,591</w:t>
            </w:r>
          </w:p>
        </w:tc>
        <w:tc>
          <w:tcPr>
            <w:tcW w:w="4394" w:type="dxa"/>
          </w:tcPr>
          <w:p w14:paraId="6AC995BA" w14:textId="77777777" w:rsidR="008A60F4" w:rsidRPr="00AF28BC" w:rsidRDefault="008A60F4" w:rsidP="000D472F">
            <w:pPr>
              <w:jc w:val="cente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$5,797</w:t>
            </w:r>
          </w:p>
        </w:tc>
      </w:tr>
      <w:tr w:rsidR="006F7171" w:rsidRPr="00AF28BC" w14:paraId="329879A7" w14:textId="77777777" w:rsidTr="00287CB1">
        <w:tc>
          <w:tcPr>
            <w:cnfStyle w:val="001000000000" w:firstRow="0" w:lastRow="0" w:firstColumn="1" w:lastColumn="0" w:oddVBand="0" w:evenVBand="0" w:oddHBand="0" w:evenHBand="0" w:firstRowFirstColumn="0" w:firstRowLastColumn="0" w:lastRowFirstColumn="0" w:lastRowLastColumn="0"/>
            <w:tcW w:w="2339" w:type="dxa"/>
          </w:tcPr>
          <w:p w14:paraId="134B2A0B" w14:textId="14F519B8" w:rsidR="006F7171" w:rsidRPr="00AF28BC" w:rsidRDefault="006F7171" w:rsidP="000D472F">
            <w:pPr>
              <w:jc w:val="center"/>
              <w:rPr>
                <w:sz w:val="19"/>
                <w:szCs w:val="19"/>
              </w:rPr>
            </w:pPr>
            <w:r w:rsidRPr="00AF28BC">
              <w:rPr>
                <w:sz w:val="19"/>
                <w:szCs w:val="19"/>
              </w:rPr>
              <w:t>2021-22</w:t>
            </w:r>
          </w:p>
        </w:tc>
        <w:tc>
          <w:tcPr>
            <w:tcW w:w="2339" w:type="dxa"/>
          </w:tcPr>
          <w:p w14:paraId="4598A955" w14:textId="235EE350" w:rsidR="006F7171" w:rsidRPr="00AF28BC" w:rsidRDefault="006F7171" w:rsidP="006F7171">
            <w:pPr>
              <w:jc w:val="cente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$11,341</w:t>
            </w:r>
          </w:p>
        </w:tc>
        <w:tc>
          <w:tcPr>
            <w:tcW w:w="4394" w:type="dxa"/>
          </w:tcPr>
          <w:p w14:paraId="0CA50AB5" w14:textId="25C0FE06" w:rsidR="006F7171" w:rsidRPr="00AF28BC" w:rsidRDefault="006F7171" w:rsidP="006F7171">
            <w:pPr>
              <w:jc w:val="cente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$5,672</w:t>
            </w:r>
          </w:p>
        </w:tc>
      </w:tr>
    </w:tbl>
    <w:p w14:paraId="7340CC7B" w14:textId="77777777" w:rsidR="002D48CF" w:rsidRDefault="002D48CF" w:rsidP="008442E3">
      <w:pPr>
        <w:spacing w:after="80"/>
        <w:rPr>
          <w:b/>
        </w:rPr>
      </w:pPr>
    </w:p>
    <w:p w14:paraId="2526D3E3" w14:textId="7DAA8CA8" w:rsidR="008A60F4" w:rsidRPr="00BE771F" w:rsidRDefault="008A60F4" w:rsidP="002D48CF">
      <w:pPr>
        <w:pBdr>
          <w:top w:val="single" w:sz="4" w:space="1" w:color="auto"/>
          <w:left w:val="single" w:sz="4" w:space="4" w:color="auto"/>
          <w:bottom w:val="single" w:sz="4" w:space="1" w:color="auto"/>
          <w:right w:val="single" w:sz="4" w:space="4" w:color="auto"/>
        </w:pBdr>
        <w:spacing w:after="120"/>
        <w:ind w:left="113"/>
        <w:rPr>
          <w:b/>
        </w:rPr>
      </w:pPr>
      <w:r w:rsidRPr="00D83681">
        <w:rPr>
          <w:b/>
        </w:rPr>
        <w:t>Example 2:</w:t>
      </w:r>
      <w:r>
        <w:rPr>
          <w:b/>
        </w:rPr>
        <w:t xml:space="preserve"> </w:t>
      </w:r>
      <w:r>
        <w:t xml:space="preserve">Roger is a full-time employee who lost his </w:t>
      </w:r>
      <w:r w:rsidRPr="00BE771F">
        <w:t xml:space="preserve">job when his employer </w:t>
      </w:r>
      <w:proofErr w:type="gramStart"/>
      <w:r w:rsidRPr="00BE771F">
        <w:t>entered into</w:t>
      </w:r>
      <w:proofErr w:type="gramEnd"/>
      <w:r w:rsidRPr="00BE771F">
        <w:t xml:space="preserve"> liquidation on</w:t>
      </w:r>
      <w:r w:rsidR="0096681A">
        <w:br/>
      </w:r>
      <w:r w:rsidRPr="00BE771F">
        <w:t>20 March 202</w:t>
      </w:r>
      <w:r w:rsidR="00EE5ACC">
        <w:t>4</w:t>
      </w:r>
      <w:r w:rsidRPr="00BE771F">
        <w:t>. Roger</w:t>
      </w:r>
      <w:r>
        <w:t xml:space="preserve"> is 48 </w:t>
      </w:r>
      <w:r w:rsidRPr="00BE771F">
        <w:t>years of age and had worked for his employer for just over 10 years.</w:t>
      </w:r>
    </w:p>
    <w:p w14:paraId="5D9B7FE8" w14:textId="77777777" w:rsidR="008A60F4" w:rsidRPr="00BE771F" w:rsidRDefault="008A60F4" w:rsidP="002D48CF">
      <w:pPr>
        <w:pBdr>
          <w:top w:val="single" w:sz="4" w:space="1" w:color="auto"/>
          <w:left w:val="single" w:sz="4" w:space="4" w:color="auto"/>
          <w:bottom w:val="single" w:sz="4" w:space="1" w:color="auto"/>
          <w:right w:val="single" w:sz="4" w:space="4" w:color="auto"/>
        </w:pBdr>
        <w:spacing w:after="120"/>
        <w:ind w:left="113"/>
      </w:pPr>
      <w:r w:rsidRPr="00BE771F">
        <w:t>Roger lodges a claim for FEG assistance and provides the department with his TFN. The department determines that Roger is eligible for FEG assistance for PILN (5 weeks</w:t>
      </w:r>
      <w:proofErr w:type="gramStart"/>
      <w:r w:rsidRPr="00BE771F">
        <w:t>)</w:t>
      </w:r>
      <w:proofErr w:type="gramEnd"/>
      <w:r w:rsidRPr="00BE771F">
        <w:t xml:space="preserve"> and redundancy pay (12 weeks). Roger’s weekly wage for the purposes of calculating PILN and redundancy pay is $1</w:t>
      </w:r>
      <w:r>
        <w:t>,</w:t>
      </w:r>
      <w:r w:rsidRPr="00BE771F">
        <w:t>000, which means that he is entitled to a total FEG payment of $17,000 for PILN and redundancy pay.</w:t>
      </w:r>
    </w:p>
    <w:p w14:paraId="3186DC52" w14:textId="478C4310" w:rsidR="008A60F4" w:rsidRPr="00BE771F" w:rsidRDefault="008A60F4" w:rsidP="000542D5">
      <w:pPr>
        <w:pBdr>
          <w:top w:val="single" w:sz="4" w:space="1" w:color="auto"/>
          <w:left w:val="single" w:sz="4" w:space="4" w:color="auto"/>
          <w:bottom w:val="single" w:sz="4" w:space="1" w:color="auto"/>
          <w:right w:val="single" w:sz="4" w:space="4" w:color="auto"/>
        </w:pBdr>
        <w:spacing w:after="240"/>
        <w:ind w:left="113"/>
      </w:pPr>
      <w:r w:rsidRPr="00BE771F">
        <w:t>As the employment end date falls in 20</w:t>
      </w:r>
      <w:r w:rsidR="00BA57A4">
        <w:t>2</w:t>
      </w:r>
      <w:r w:rsidR="00EE5ACC">
        <w:t>3</w:t>
      </w:r>
      <w:r w:rsidRPr="00BE771F">
        <w:t>-2</w:t>
      </w:r>
      <w:r w:rsidR="00EE5ACC">
        <w:t>4</w:t>
      </w:r>
      <w:r w:rsidRPr="00BE771F">
        <w:t>, it’s that income year that applies. The department does not withhold any tax from Roger’s FEG payment for PILN and redundancy pay because the payment does not exceed the tax-free component of $</w:t>
      </w:r>
      <w:r w:rsidR="00EE5ACC">
        <w:t>71</w:t>
      </w:r>
      <w:r w:rsidRPr="00BE771F">
        <w:t>,</w:t>
      </w:r>
      <w:r w:rsidR="00EE5ACC">
        <w:t>925</w:t>
      </w:r>
      <w:r w:rsidRPr="00BE771F">
        <w:t xml:space="preserve"> [$1</w:t>
      </w:r>
      <w:r w:rsidR="00EE5ACC">
        <w:t>1</w:t>
      </w:r>
      <w:r w:rsidRPr="00BE771F">
        <w:t>,</w:t>
      </w:r>
      <w:r w:rsidR="00EE5ACC">
        <w:t>985</w:t>
      </w:r>
      <w:r w:rsidRPr="00BE771F">
        <w:t xml:space="preserve"> + ($</w:t>
      </w:r>
      <w:r w:rsidR="00EE5ACC">
        <w:t>5</w:t>
      </w:r>
      <w:r>
        <w:t>,</w:t>
      </w:r>
      <w:r w:rsidR="00EE5ACC">
        <w:t>994</w:t>
      </w:r>
      <w:r w:rsidRPr="00BE771F">
        <w:t xml:space="preserve"> x 10 years)]. The full (untaxed) amount of $17,000 is paid to Roger by the department.</w:t>
      </w:r>
    </w:p>
    <w:p w14:paraId="1DBF04FE" w14:textId="77777777" w:rsidR="008A60F4" w:rsidRPr="00BE771F" w:rsidRDefault="008A60F4" w:rsidP="00AF28BC">
      <w:pPr>
        <w:spacing w:before="120"/>
      </w:pPr>
      <w:r w:rsidRPr="00BE771F">
        <w:t xml:space="preserve">If FEG assistance for PILN and redundancy pay exceeds the tax-free </w:t>
      </w:r>
      <w:proofErr w:type="gramStart"/>
      <w:r w:rsidRPr="00BE771F">
        <w:t>component, but</w:t>
      </w:r>
      <w:proofErr w:type="gramEnd"/>
      <w:r w:rsidRPr="00BE771F">
        <w:t xml:space="preserve"> is less than the Employment Termination Payment cap (ETP cap), the department must withhold tax at the rate of 34.5 per cent. The ETP cap is as follows:</w:t>
      </w:r>
    </w:p>
    <w:tbl>
      <w:tblPr>
        <w:tblStyle w:val="PlainTable2"/>
        <w:tblpPr w:leftFromText="180" w:rightFromText="180" w:vertAnchor="text" w:horzAnchor="margin" w:tblpY="107"/>
        <w:tblW w:w="9072" w:type="dxa"/>
        <w:tblLook w:val="04A0" w:firstRow="1" w:lastRow="0" w:firstColumn="1" w:lastColumn="0" w:noHBand="0" w:noVBand="1"/>
        <w:tblCaption w:val="Employment termination payment caps"/>
        <w:tblDescription w:val="The employment termination payment caps table is dsiplayed."/>
      </w:tblPr>
      <w:tblGrid>
        <w:gridCol w:w="4536"/>
        <w:gridCol w:w="4536"/>
      </w:tblGrid>
      <w:tr w:rsidR="008A60F4" w:rsidRPr="00AF28BC" w14:paraId="7F75E285" w14:textId="77777777" w:rsidTr="00D8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80261BD" w14:textId="5B2DEDC7" w:rsidR="008A60F4" w:rsidRPr="00AF28BC" w:rsidRDefault="008A60F4" w:rsidP="00D83784">
            <w:pPr>
              <w:jc w:val="center"/>
              <w:rPr>
                <w:sz w:val="19"/>
                <w:szCs w:val="19"/>
              </w:rPr>
            </w:pPr>
            <w:r w:rsidRPr="00AF28BC">
              <w:rPr>
                <w:sz w:val="19"/>
                <w:szCs w:val="19"/>
              </w:rPr>
              <w:t>Income year</w:t>
            </w:r>
          </w:p>
        </w:tc>
        <w:tc>
          <w:tcPr>
            <w:tcW w:w="4536" w:type="dxa"/>
          </w:tcPr>
          <w:p w14:paraId="42D4F989" w14:textId="11B5AE96" w:rsidR="008A60F4" w:rsidRPr="00AF28BC" w:rsidRDefault="008A60F4" w:rsidP="00D83784">
            <w:pPr>
              <w:jc w:val="center"/>
              <w:cnfStyle w:val="100000000000" w:firstRow="1" w:lastRow="0" w:firstColumn="0" w:lastColumn="0" w:oddVBand="0" w:evenVBand="0" w:oddHBand="0" w:evenHBand="0" w:firstRowFirstColumn="0" w:firstRowLastColumn="0" w:lastRowFirstColumn="0" w:lastRowLastColumn="0"/>
              <w:rPr>
                <w:b w:val="0"/>
                <w:sz w:val="19"/>
                <w:szCs w:val="19"/>
              </w:rPr>
            </w:pPr>
            <w:r w:rsidRPr="00AF28BC">
              <w:rPr>
                <w:sz w:val="19"/>
                <w:szCs w:val="19"/>
              </w:rPr>
              <w:t>ETP cap</w:t>
            </w:r>
          </w:p>
        </w:tc>
      </w:tr>
      <w:tr w:rsidR="008D6628" w:rsidRPr="008D6628" w14:paraId="077597AF" w14:textId="77777777" w:rsidTr="00304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329C4CD9" w14:textId="2C3DEA7E" w:rsidR="008D6628" w:rsidRPr="008D6628" w:rsidRDefault="008D6628" w:rsidP="008D6628">
            <w:pPr>
              <w:jc w:val="center"/>
              <w:rPr>
                <w:sz w:val="19"/>
                <w:szCs w:val="19"/>
              </w:rPr>
            </w:pPr>
            <w:r w:rsidRPr="008D6628">
              <w:rPr>
                <w:sz w:val="19"/>
                <w:szCs w:val="19"/>
              </w:rPr>
              <w:t>202</w:t>
            </w:r>
            <w:r>
              <w:rPr>
                <w:sz w:val="19"/>
                <w:szCs w:val="19"/>
              </w:rPr>
              <w:t>4</w:t>
            </w:r>
            <w:r w:rsidRPr="008D6628">
              <w:rPr>
                <w:sz w:val="19"/>
                <w:szCs w:val="19"/>
              </w:rPr>
              <w:t>-2</w:t>
            </w:r>
            <w:r>
              <w:rPr>
                <w:sz w:val="19"/>
                <w:szCs w:val="19"/>
              </w:rPr>
              <w:t>5</w:t>
            </w:r>
          </w:p>
        </w:tc>
        <w:tc>
          <w:tcPr>
            <w:tcW w:w="4536" w:type="dxa"/>
          </w:tcPr>
          <w:p w14:paraId="313CE04C" w14:textId="6FE657BF" w:rsidR="008D6628" w:rsidRPr="008D6628" w:rsidRDefault="008D6628" w:rsidP="008D6628">
            <w:pPr>
              <w:jc w:val="center"/>
              <w:cnfStyle w:val="000000100000" w:firstRow="0" w:lastRow="0" w:firstColumn="0" w:lastColumn="0" w:oddVBand="0" w:evenVBand="0" w:oddHBand="1" w:evenHBand="0" w:firstRowFirstColumn="0" w:firstRowLastColumn="0" w:lastRowFirstColumn="0" w:lastRowLastColumn="0"/>
              <w:rPr>
                <w:bCs/>
                <w:sz w:val="19"/>
                <w:szCs w:val="19"/>
              </w:rPr>
            </w:pPr>
            <w:r w:rsidRPr="008D6628">
              <w:rPr>
                <w:bCs/>
                <w:sz w:val="19"/>
                <w:szCs w:val="19"/>
              </w:rPr>
              <w:t>$2</w:t>
            </w:r>
            <w:r>
              <w:rPr>
                <w:bCs/>
                <w:sz w:val="19"/>
                <w:szCs w:val="19"/>
              </w:rPr>
              <w:t>4</w:t>
            </w:r>
            <w:r w:rsidRPr="008D6628">
              <w:rPr>
                <w:bCs/>
                <w:sz w:val="19"/>
                <w:szCs w:val="19"/>
              </w:rPr>
              <w:t>5,000</w:t>
            </w:r>
          </w:p>
        </w:tc>
      </w:tr>
      <w:tr w:rsidR="007E1046" w:rsidRPr="00AF28BC" w14:paraId="0158E172" w14:textId="77777777" w:rsidTr="00D83784">
        <w:tc>
          <w:tcPr>
            <w:cnfStyle w:val="001000000000" w:firstRow="0" w:lastRow="0" w:firstColumn="1" w:lastColumn="0" w:oddVBand="0" w:evenVBand="0" w:oddHBand="0" w:evenHBand="0" w:firstRowFirstColumn="0" w:firstRowLastColumn="0" w:lastRowFirstColumn="0" w:lastRowLastColumn="0"/>
            <w:tcW w:w="4536" w:type="dxa"/>
          </w:tcPr>
          <w:p w14:paraId="348206B1" w14:textId="43972B79" w:rsidR="007E1046" w:rsidRPr="00AF28BC" w:rsidRDefault="007E1046" w:rsidP="00D83784">
            <w:pPr>
              <w:jc w:val="center"/>
              <w:rPr>
                <w:sz w:val="19"/>
                <w:szCs w:val="19"/>
              </w:rPr>
            </w:pPr>
            <w:r>
              <w:rPr>
                <w:sz w:val="19"/>
                <w:szCs w:val="19"/>
              </w:rPr>
              <w:t>2023-24</w:t>
            </w:r>
          </w:p>
        </w:tc>
        <w:tc>
          <w:tcPr>
            <w:tcW w:w="4536" w:type="dxa"/>
          </w:tcPr>
          <w:p w14:paraId="7B478226" w14:textId="3A69C624" w:rsidR="007E1046" w:rsidRPr="00AF28BC" w:rsidRDefault="007E1046" w:rsidP="00D83784">
            <w:pPr>
              <w:jc w:val="cente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$235,000</w:t>
            </w:r>
          </w:p>
        </w:tc>
      </w:tr>
      <w:tr w:rsidR="006F7171" w:rsidRPr="00AF28BC" w14:paraId="1D661288" w14:textId="77777777" w:rsidTr="00D8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4E7374DA" w14:textId="5380501F" w:rsidR="006F7171" w:rsidRPr="00AF28BC" w:rsidRDefault="006F7171" w:rsidP="00D83784">
            <w:pPr>
              <w:jc w:val="center"/>
              <w:rPr>
                <w:sz w:val="19"/>
                <w:szCs w:val="19"/>
              </w:rPr>
            </w:pPr>
            <w:r w:rsidRPr="00AF28BC">
              <w:rPr>
                <w:sz w:val="19"/>
                <w:szCs w:val="19"/>
              </w:rPr>
              <w:t>2022-23</w:t>
            </w:r>
          </w:p>
        </w:tc>
        <w:tc>
          <w:tcPr>
            <w:tcW w:w="4536" w:type="dxa"/>
          </w:tcPr>
          <w:p w14:paraId="3E56A789" w14:textId="4FDCDC1B" w:rsidR="006F7171" w:rsidRPr="00AF28BC" w:rsidRDefault="00D83784" w:rsidP="00D83784">
            <w:pPr>
              <w:jc w:val="cente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$230,000</w:t>
            </w:r>
          </w:p>
        </w:tc>
      </w:tr>
      <w:tr w:rsidR="006F7171" w:rsidRPr="00AF28BC" w14:paraId="0233C80A" w14:textId="77777777" w:rsidTr="00D83784">
        <w:tc>
          <w:tcPr>
            <w:cnfStyle w:val="001000000000" w:firstRow="0" w:lastRow="0" w:firstColumn="1" w:lastColumn="0" w:oddVBand="0" w:evenVBand="0" w:oddHBand="0" w:evenHBand="0" w:firstRowFirstColumn="0" w:firstRowLastColumn="0" w:lastRowFirstColumn="0" w:lastRowLastColumn="0"/>
            <w:tcW w:w="4536" w:type="dxa"/>
          </w:tcPr>
          <w:p w14:paraId="54A8D7CE" w14:textId="01BA5B85" w:rsidR="006F7171" w:rsidRPr="00AF28BC" w:rsidRDefault="00D83784" w:rsidP="00D83784">
            <w:pPr>
              <w:jc w:val="center"/>
              <w:rPr>
                <w:sz w:val="19"/>
                <w:szCs w:val="19"/>
              </w:rPr>
            </w:pPr>
            <w:r w:rsidRPr="00AF28BC">
              <w:rPr>
                <w:sz w:val="19"/>
                <w:szCs w:val="19"/>
              </w:rPr>
              <w:t>2021-22</w:t>
            </w:r>
          </w:p>
        </w:tc>
        <w:tc>
          <w:tcPr>
            <w:tcW w:w="4536" w:type="dxa"/>
          </w:tcPr>
          <w:p w14:paraId="6C6BE4C2" w14:textId="6FDE32AB" w:rsidR="006F7171" w:rsidRPr="00AF28BC" w:rsidRDefault="00D83784" w:rsidP="00D83784">
            <w:pPr>
              <w:jc w:val="cente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$225,000</w:t>
            </w:r>
          </w:p>
        </w:tc>
      </w:tr>
    </w:tbl>
    <w:p w14:paraId="174D4F4A" w14:textId="33BC1189" w:rsidR="00211410" w:rsidRDefault="00211410" w:rsidP="00D83784">
      <w:r>
        <w:br w:type="page"/>
      </w:r>
    </w:p>
    <w:p w14:paraId="657CA98D" w14:textId="72E8D963" w:rsidR="006F7171" w:rsidRPr="00F61E46" w:rsidRDefault="006F7171" w:rsidP="008442E3">
      <w:pPr>
        <w:pBdr>
          <w:top w:val="single" w:sz="4" w:space="1" w:color="auto"/>
          <w:left w:val="single" w:sz="4" w:space="4" w:color="auto"/>
          <w:bottom w:val="single" w:sz="4" w:space="1" w:color="auto"/>
          <w:right w:val="single" w:sz="4" w:space="4" w:color="auto"/>
        </w:pBdr>
        <w:spacing w:after="120"/>
        <w:ind w:left="113"/>
        <w:rPr>
          <w:b/>
        </w:rPr>
      </w:pPr>
      <w:r w:rsidRPr="00D83681">
        <w:rPr>
          <w:b/>
        </w:rPr>
        <w:lastRenderedPageBreak/>
        <w:t>Example 3:</w:t>
      </w:r>
      <w:r>
        <w:rPr>
          <w:b/>
        </w:rPr>
        <w:t xml:space="preserve"> </w:t>
      </w:r>
      <w:r>
        <w:t xml:space="preserve">Jill is a full-time employee who lost her job when her employer </w:t>
      </w:r>
      <w:proofErr w:type="gramStart"/>
      <w:r>
        <w:t>entered into</w:t>
      </w:r>
      <w:proofErr w:type="gramEnd"/>
      <w:r>
        <w:t xml:space="preserve"> liquidation on</w:t>
      </w:r>
      <w:r w:rsidR="008442E3">
        <w:br/>
      </w:r>
      <w:r>
        <w:t>4 December 202</w:t>
      </w:r>
      <w:r w:rsidR="00EE5ACC">
        <w:t>3</w:t>
      </w:r>
      <w:r>
        <w:t>. Jill is 50 years of age and had worked for her employer for just over 8 years.</w:t>
      </w:r>
    </w:p>
    <w:p w14:paraId="7A817484" w14:textId="55D039AD" w:rsidR="006F7171" w:rsidRDefault="006F7171" w:rsidP="008442E3">
      <w:pPr>
        <w:pBdr>
          <w:top w:val="single" w:sz="4" w:space="1" w:color="auto"/>
          <w:left w:val="single" w:sz="4" w:space="4" w:color="auto"/>
          <w:bottom w:val="single" w:sz="4" w:space="1" w:color="auto"/>
          <w:right w:val="single" w:sz="4" w:space="4" w:color="auto"/>
        </w:pBdr>
        <w:spacing w:after="120"/>
        <w:ind w:left="113"/>
      </w:pPr>
      <w:r>
        <w:t>Jill lodges a claim for FEG assistance and provides the department with her TFN. The department determines that Jill is eligible for FEG assistance for PILN (5 weeks</w:t>
      </w:r>
      <w:proofErr w:type="gramStart"/>
      <w:r>
        <w:t>)</w:t>
      </w:r>
      <w:proofErr w:type="gramEnd"/>
      <w:r>
        <w:t xml:space="preserve"> and redundancy pay (</w:t>
      </w:r>
      <w:r w:rsidR="00864003">
        <w:t>24</w:t>
      </w:r>
      <w:r>
        <w:t xml:space="preserve"> weeks). Jill’s weekly wage for the purposes of calculating PILN and redundancy pay is $2,400, which means that she is entitled to a total FEG payment of $</w:t>
      </w:r>
      <w:r w:rsidR="008C48A4">
        <w:t>69</w:t>
      </w:r>
      <w:r>
        <w:t>,</w:t>
      </w:r>
      <w:r w:rsidR="008C48A4">
        <w:t>6</w:t>
      </w:r>
      <w:r>
        <w:t>00 for PILN and redundancy pay.</w:t>
      </w:r>
    </w:p>
    <w:p w14:paraId="535FD42D" w14:textId="35932215" w:rsidR="006F7171" w:rsidRDefault="006F7171" w:rsidP="008442E3">
      <w:pPr>
        <w:pBdr>
          <w:top w:val="single" w:sz="4" w:space="1" w:color="auto"/>
          <w:left w:val="single" w:sz="4" w:space="4" w:color="auto"/>
          <w:bottom w:val="single" w:sz="4" w:space="1" w:color="auto"/>
          <w:right w:val="single" w:sz="4" w:space="4" w:color="auto"/>
        </w:pBdr>
        <w:spacing w:after="120"/>
        <w:ind w:left="113"/>
      </w:pPr>
      <w:r>
        <w:t xml:space="preserve">The tax-free </w:t>
      </w:r>
      <w:r w:rsidRPr="00510068">
        <w:t xml:space="preserve">component of Jill’s FEG payment for PILN and redundancy pay </w:t>
      </w:r>
      <w:r w:rsidRPr="00AB46FC">
        <w:t>is $</w:t>
      </w:r>
      <w:r>
        <w:t>5</w:t>
      </w:r>
      <w:r w:rsidR="008C48A4">
        <w:t>9</w:t>
      </w:r>
      <w:r>
        <w:t>,</w:t>
      </w:r>
      <w:r w:rsidR="008C48A4">
        <w:t>937</w:t>
      </w:r>
      <w:r w:rsidRPr="00813A05">
        <w:t xml:space="preserve"> [</w:t>
      </w:r>
      <w:r w:rsidRPr="00A76C61">
        <w:t>$</w:t>
      </w:r>
      <w:r>
        <w:t>1</w:t>
      </w:r>
      <w:r w:rsidR="008C48A4">
        <w:t>1</w:t>
      </w:r>
      <w:r>
        <w:t>,98</w:t>
      </w:r>
      <w:r w:rsidR="008C48A4">
        <w:t>5</w:t>
      </w:r>
      <w:r w:rsidRPr="00510068">
        <w:t xml:space="preserve"> + ($</w:t>
      </w:r>
      <w:r>
        <w:t>5,</w:t>
      </w:r>
      <w:r w:rsidR="008C48A4">
        <w:t>994</w:t>
      </w:r>
      <w:r w:rsidRPr="00AB46FC">
        <w:t xml:space="preserve"> x 8 years)]. The department </w:t>
      </w:r>
      <w:r w:rsidRPr="00813A05">
        <w:t>does not</w:t>
      </w:r>
      <w:r>
        <w:t xml:space="preserve"> withhold any tax from the tax-free component ($5</w:t>
      </w:r>
      <w:r w:rsidR="008C48A4">
        <w:t>9</w:t>
      </w:r>
      <w:r>
        <w:t>,9</w:t>
      </w:r>
      <w:r w:rsidR="008C48A4">
        <w:t>37</w:t>
      </w:r>
      <w:proofErr w:type="gramStart"/>
      <w:r>
        <w:t>), but</w:t>
      </w:r>
      <w:proofErr w:type="gramEnd"/>
      <w:r>
        <w:t xml:space="preserve"> withholds $3</w:t>
      </w:r>
      <w:r w:rsidR="008C48A4">
        <w:t>,333</w:t>
      </w:r>
      <w:r>
        <w:t xml:space="preserve"> (34.5 per cent of ($</w:t>
      </w:r>
      <w:r w:rsidR="008C48A4">
        <w:t>69</w:t>
      </w:r>
      <w:r>
        <w:t>,</w:t>
      </w:r>
      <w:r w:rsidR="008C48A4">
        <w:t>600</w:t>
      </w:r>
      <w:r>
        <w:t xml:space="preserve"> - $5</w:t>
      </w:r>
      <w:r w:rsidR="008C48A4">
        <w:t>9</w:t>
      </w:r>
      <w:r>
        <w:t>,9</w:t>
      </w:r>
      <w:r w:rsidR="008C48A4">
        <w:t>3</w:t>
      </w:r>
      <w:r>
        <w:t xml:space="preserve">7) from the remainder of Jill’s FEG payment for PILN and redundancy pay because it exceeds the tax-free component. </w:t>
      </w:r>
    </w:p>
    <w:p w14:paraId="1E5BB5AA" w14:textId="5A4371FC" w:rsidR="006F7171" w:rsidRDefault="006F7171" w:rsidP="000542D5">
      <w:pPr>
        <w:pBdr>
          <w:top w:val="single" w:sz="4" w:space="1" w:color="auto"/>
          <w:left w:val="single" w:sz="4" w:space="4" w:color="auto"/>
          <w:bottom w:val="single" w:sz="4" w:space="1" w:color="auto"/>
          <w:right w:val="single" w:sz="4" w:space="4" w:color="auto"/>
        </w:pBdr>
        <w:spacing w:after="240"/>
        <w:ind w:left="113"/>
      </w:pPr>
      <w:r>
        <w:t>The net amount of $</w:t>
      </w:r>
      <w:r w:rsidR="008C48A4">
        <w:t>66</w:t>
      </w:r>
      <w:r>
        <w:t>,</w:t>
      </w:r>
      <w:r w:rsidR="008C48A4">
        <w:t>267</w:t>
      </w:r>
      <w:r>
        <w:t xml:space="preserve"> is paid to Jill by the department.</w:t>
      </w:r>
    </w:p>
    <w:p w14:paraId="5BE611C1" w14:textId="0BE78B73" w:rsidR="008A60F4" w:rsidRPr="0083462E" w:rsidRDefault="008A60F4" w:rsidP="00AF28BC">
      <w:r w:rsidRPr="0083462E">
        <w:t>If a FEG payment for PILN and redundancy pay exceeds the ETP cap, the department must withhold tax at the rate of 47 per cent from the amount that exceeds the ETP cap.</w:t>
      </w:r>
    </w:p>
    <w:p w14:paraId="2443ED69" w14:textId="77777777" w:rsidR="008A60F4" w:rsidRPr="0083462E" w:rsidRDefault="008A60F4" w:rsidP="005B09E3">
      <w:pPr>
        <w:pStyle w:val="FEGHeading2"/>
        <w:rPr>
          <w:rFonts w:eastAsiaTheme="minorHAnsi"/>
          <w:i/>
        </w:rPr>
      </w:pPr>
      <w:r>
        <w:rPr>
          <w:rFonts w:eastAsiaTheme="minorHAnsi"/>
        </w:rPr>
        <w:t>Of the age-pension</w:t>
      </w:r>
      <w:r w:rsidRPr="0083462E">
        <w:rPr>
          <w:rFonts w:eastAsiaTheme="minorHAnsi"/>
        </w:rPr>
        <w:t xml:space="preserve"> age or </w:t>
      </w:r>
      <w:r>
        <w:rPr>
          <w:rFonts w:eastAsiaTheme="minorHAnsi"/>
        </w:rPr>
        <w:t>older</w:t>
      </w:r>
    </w:p>
    <w:p w14:paraId="5CF795E2" w14:textId="77777777" w:rsidR="008A60F4" w:rsidRPr="0083462E" w:rsidRDefault="008A60F4" w:rsidP="0096681A">
      <w:pPr>
        <w:pStyle w:val="Leadin"/>
      </w:pPr>
      <w:r w:rsidRPr="0083462E">
        <w:t>Under the TAA</w:t>
      </w:r>
      <w:r>
        <w:t xml:space="preserve"> </w:t>
      </w:r>
      <w:r w:rsidRPr="0083462E">
        <w:t>payments for PILN and redundancy pay to a person who was of</w:t>
      </w:r>
      <w:r>
        <w:t xml:space="preserve"> the age-pension</w:t>
      </w:r>
      <w:r w:rsidRPr="0083462E">
        <w:t xml:space="preserve"> age</w:t>
      </w:r>
      <w:r>
        <w:t xml:space="preserve"> (Table 1)</w:t>
      </w:r>
      <w:r w:rsidRPr="0083462E">
        <w:t xml:space="preserve"> or older at the time their employment ended are not genuine redundancy payments. Under the variation, the department must withhold tax from these payments as follows:</w:t>
      </w:r>
    </w:p>
    <w:p w14:paraId="213DD68C" w14:textId="77777777" w:rsidR="008A60F4" w:rsidRPr="005B09E3" w:rsidRDefault="008A60F4" w:rsidP="005B09E3">
      <w:pPr>
        <w:pStyle w:val="ListParagraph"/>
      </w:pPr>
      <w:r w:rsidRPr="0083462E">
        <w:t xml:space="preserve">34.5 </w:t>
      </w:r>
      <w:r w:rsidRPr="005B09E3">
        <w:t>per cent from the portion of the payment below the ETP cap, and</w:t>
      </w:r>
    </w:p>
    <w:p w14:paraId="5C5C6B5C" w14:textId="77777777" w:rsidR="008A60F4" w:rsidRPr="0083462E" w:rsidRDefault="008A60F4" w:rsidP="000542D5">
      <w:pPr>
        <w:pStyle w:val="ListParagraph"/>
      </w:pPr>
      <w:r w:rsidRPr="005B09E3">
        <w:t>47 per</w:t>
      </w:r>
      <w:r w:rsidRPr="0083462E">
        <w:t xml:space="preserve"> cent from the portion of the payment that exceeds the ETP cap.</w:t>
      </w:r>
    </w:p>
    <w:p w14:paraId="608F9298" w14:textId="6878C270" w:rsidR="008A60F4" w:rsidRPr="00F61E46" w:rsidRDefault="008A60F4" w:rsidP="00211410">
      <w:pPr>
        <w:pBdr>
          <w:top w:val="single" w:sz="4" w:space="1" w:color="auto"/>
          <w:left w:val="single" w:sz="4" w:space="4" w:color="auto"/>
          <w:bottom w:val="single" w:sz="4" w:space="1" w:color="auto"/>
          <w:right w:val="single" w:sz="4" w:space="4" w:color="auto"/>
        </w:pBdr>
        <w:spacing w:after="120"/>
        <w:ind w:left="113"/>
        <w:rPr>
          <w:b/>
        </w:rPr>
      </w:pPr>
      <w:r w:rsidRPr="00D83681">
        <w:rPr>
          <w:b/>
        </w:rPr>
        <w:t>Example 4:</w:t>
      </w:r>
      <w:r>
        <w:rPr>
          <w:b/>
        </w:rPr>
        <w:t xml:space="preserve"> </w:t>
      </w:r>
      <w:r>
        <w:t xml:space="preserve">Phil is a full-time employee who lost his job when his employer </w:t>
      </w:r>
      <w:proofErr w:type="gramStart"/>
      <w:r>
        <w:t>entered into</w:t>
      </w:r>
      <w:proofErr w:type="gramEnd"/>
      <w:r>
        <w:t xml:space="preserve"> liquidation on 1 March 202</w:t>
      </w:r>
      <w:r w:rsidR="008C48A4">
        <w:t>3</w:t>
      </w:r>
      <w:r>
        <w:t>. Phil is 67</w:t>
      </w:r>
      <w:r w:rsidR="00BA57A4">
        <w:t>.5</w:t>
      </w:r>
      <w:r>
        <w:t xml:space="preserve"> years of age and had worked for his employer for just over 23 years.</w:t>
      </w:r>
    </w:p>
    <w:p w14:paraId="7EF7B9D1" w14:textId="77777777" w:rsidR="008A60F4" w:rsidRDefault="008A60F4" w:rsidP="00211410">
      <w:pPr>
        <w:pBdr>
          <w:top w:val="single" w:sz="4" w:space="1" w:color="auto"/>
          <w:left w:val="single" w:sz="4" w:space="4" w:color="auto"/>
          <w:bottom w:val="single" w:sz="4" w:space="1" w:color="auto"/>
          <w:right w:val="single" w:sz="4" w:space="4" w:color="auto"/>
        </w:pBdr>
        <w:spacing w:after="120"/>
        <w:ind w:left="113"/>
      </w:pPr>
      <w:r>
        <w:t>Phil lodges a claim for FEG assistance and provides the department with his TFN. The department determines that Phil is eligible for FEG assistance for PILN (5 weeks</w:t>
      </w:r>
      <w:proofErr w:type="gramStart"/>
      <w:r>
        <w:t>)</w:t>
      </w:r>
      <w:proofErr w:type="gramEnd"/>
      <w:r>
        <w:t xml:space="preserve"> and redundancy pay (46 weeks). Phil’s weekly wage for the purposes of calculating PILN and redundancy pay is $1,200, which means that he is entitled to a total FEG payment of $61,200 for PILN and redundancy pay.</w:t>
      </w:r>
    </w:p>
    <w:p w14:paraId="00A076A6" w14:textId="77777777" w:rsidR="008A60F4" w:rsidRDefault="008A60F4" w:rsidP="00211410">
      <w:pPr>
        <w:pBdr>
          <w:top w:val="single" w:sz="4" w:space="1" w:color="auto"/>
          <w:left w:val="single" w:sz="4" w:space="4" w:color="auto"/>
          <w:bottom w:val="single" w:sz="4" w:space="1" w:color="auto"/>
          <w:right w:val="single" w:sz="4" w:space="4" w:color="auto"/>
        </w:pBdr>
        <w:spacing w:after="120"/>
        <w:ind w:left="113"/>
      </w:pPr>
      <w:r>
        <w:t xml:space="preserve">As Phil was over the age-pension age at the time his employment ended, no tax-free component applies to the PILN and redundancy payments. </w:t>
      </w:r>
    </w:p>
    <w:p w14:paraId="26F46B30" w14:textId="77777777" w:rsidR="008A60F4" w:rsidRDefault="008A60F4" w:rsidP="000542D5">
      <w:pPr>
        <w:pBdr>
          <w:top w:val="single" w:sz="4" w:space="1" w:color="auto"/>
          <w:left w:val="single" w:sz="4" w:space="4" w:color="auto"/>
          <w:bottom w:val="single" w:sz="4" w:space="1" w:color="auto"/>
          <w:right w:val="single" w:sz="4" w:space="4" w:color="auto"/>
        </w:pBdr>
        <w:spacing w:after="240"/>
        <w:ind w:left="113"/>
      </w:pPr>
      <w:r>
        <w:t xml:space="preserve">As the total amount does not exceed the ETP cap, the department must withhold $21,114 (34.5 per cent of $61,200) from Phil’s FEG payment for </w:t>
      </w:r>
      <w:proofErr w:type="gramStart"/>
      <w:r>
        <w:t>PILN</w:t>
      </w:r>
      <w:proofErr w:type="gramEnd"/>
      <w:r>
        <w:t xml:space="preserve"> and redundancy pay. The net amount of $40,086 is paid to Phil by the department.</w:t>
      </w:r>
    </w:p>
    <w:p w14:paraId="09C0E2B7" w14:textId="77777777" w:rsidR="008A60F4" w:rsidRDefault="008A60F4" w:rsidP="005B09E3">
      <w:pPr>
        <w:pStyle w:val="FEGHeading1"/>
      </w:pPr>
      <w:r w:rsidRPr="00F136E6">
        <w:t>Want more information?</w:t>
      </w:r>
    </w:p>
    <w:p w14:paraId="47C63007" w14:textId="1A4A7337" w:rsidR="008A60F4" w:rsidRDefault="008A60F4" w:rsidP="0096681A">
      <w:pPr>
        <w:pStyle w:val="Leadin"/>
      </w:pPr>
      <w:r>
        <w:t xml:space="preserve">You can </w:t>
      </w:r>
      <w:r w:rsidRPr="005B09E3">
        <w:t>contact</w:t>
      </w:r>
      <w:r>
        <w:t xml:space="preserve"> the FEG Hotline if you would like more information about how tax is withheld under FEG.</w:t>
      </w:r>
      <w:r w:rsidR="00AF28BC">
        <w:br/>
      </w:r>
      <w:r>
        <w:t xml:space="preserve">To contact the FEG </w:t>
      </w:r>
      <w:r w:rsidRPr="0096681A">
        <w:t>Hotline</w:t>
      </w:r>
      <w:r>
        <w:t>:</w:t>
      </w:r>
    </w:p>
    <w:p w14:paraId="192D5ED0" w14:textId="77777777" w:rsidR="008A60F4" w:rsidRDefault="008A60F4" w:rsidP="005B09E3">
      <w:pPr>
        <w:pStyle w:val="ListParagraph"/>
      </w:pPr>
      <w:r>
        <w:t xml:space="preserve">phone 1300 135 040 </w:t>
      </w:r>
      <w:r>
        <w:br/>
      </w:r>
      <w:r w:rsidRPr="001A00A6">
        <w:t xml:space="preserve">Mon - Fri, 9 am - 5 pm (AEST/ADST) </w:t>
      </w:r>
    </w:p>
    <w:p w14:paraId="7C9B20AF" w14:textId="23C4F3B8" w:rsidR="008A60F4" w:rsidRPr="00CA68FA" w:rsidRDefault="008A60F4" w:rsidP="005B09E3">
      <w:pPr>
        <w:pStyle w:val="ListParagraph"/>
        <w:rPr>
          <w:rStyle w:val="Hyperlink"/>
          <w:color w:val="auto"/>
          <w:u w:val="none"/>
        </w:rPr>
      </w:pPr>
      <w:r>
        <w:t xml:space="preserve">email </w:t>
      </w:r>
      <w:hyperlink r:id="rId15" w:history="1">
        <w:r w:rsidR="0035741A" w:rsidRPr="0078288C">
          <w:rPr>
            <w:rStyle w:val="Hyperlink"/>
          </w:rPr>
          <w:t>FEG@dewr.gov.au</w:t>
        </w:r>
      </w:hyperlink>
    </w:p>
    <w:p w14:paraId="6641D295" w14:textId="77777777" w:rsidR="008A60F4" w:rsidRDefault="008A60F4" w:rsidP="00FA15A5">
      <w:pPr>
        <w:spacing w:after="120"/>
      </w:pPr>
      <w:r w:rsidRPr="00CA68FA">
        <w:t xml:space="preserve">If you speak a language other than English, </w:t>
      </w:r>
      <w:r>
        <w:t xml:space="preserve">please </w:t>
      </w:r>
      <w:r w:rsidRPr="00CA68FA">
        <w:t xml:space="preserve">call the Translating and Interpreting Service (TIS) on 13 14 50 for </w:t>
      </w:r>
      <w:r>
        <w:t>assistance</w:t>
      </w:r>
      <w:r w:rsidRPr="00CA68FA">
        <w:t>.</w:t>
      </w:r>
    </w:p>
    <w:p w14:paraId="06388575" w14:textId="77777777" w:rsidR="008A60F4" w:rsidRPr="00AF28BC" w:rsidRDefault="008A60F4" w:rsidP="00FA15A5">
      <w:pPr>
        <w:spacing w:after="120"/>
        <w:rPr>
          <w:spacing w:val="-4"/>
        </w:rPr>
      </w:pPr>
      <w:r w:rsidRPr="00AF28BC">
        <w:rPr>
          <w:spacing w:val="-4"/>
        </w:rPr>
        <w:t>If you speak an indigenous language, please call the Aboriginal Interpreter Service on 1800 334 944 for assistance.</w:t>
      </w:r>
    </w:p>
    <w:p w14:paraId="302BF6B8" w14:textId="3F13DE59" w:rsidR="008A60F4" w:rsidRDefault="008A60F4" w:rsidP="005B09E3">
      <w:r w:rsidRPr="00F61E46">
        <w:t>Further information about FEG is also available on</w:t>
      </w:r>
      <w:r>
        <w:t xml:space="preserve"> </w:t>
      </w:r>
      <w:r w:rsidRPr="00F61E46">
        <w:t xml:space="preserve">the </w:t>
      </w:r>
      <w:hyperlink r:id="rId16" w:history="1">
        <w:r w:rsidRPr="00627285">
          <w:rPr>
            <w:rStyle w:val="Hyperlink"/>
          </w:rPr>
          <w:t>FEG website</w:t>
        </w:r>
      </w:hyperlink>
      <w:r>
        <w:t>.</w:t>
      </w:r>
    </w:p>
    <w:p w14:paraId="50CA7696" w14:textId="77777777" w:rsidR="008A60F4" w:rsidRPr="005B09E3" w:rsidRDefault="008A60F4" w:rsidP="005B09E3">
      <w:pPr>
        <w:rPr>
          <w:rStyle w:val="Strong"/>
        </w:rPr>
      </w:pPr>
      <w:r w:rsidRPr="005B09E3">
        <w:rPr>
          <w:rStyle w:val="Strong"/>
        </w:rPr>
        <w:lastRenderedPageBreak/>
        <w:t>Table 2: PAYG withholding and reporting for payments made under the Fair Entitlements Guarantee</w:t>
      </w:r>
    </w:p>
    <w:tbl>
      <w:tblPr>
        <w:tblStyle w:val="PlainTable2"/>
        <w:tblW w:w="0" w:type="auto"/>
        <w:tblLook w:val="04A0" w:firstRow="1" w:lastRow="0" w:firstColumn="1" w:lastColumn="0" w:noHBand="0" w:noVBand="1"/>
        <w:tblCaption w:val="PAYG withholding from FEG payment table"/>
        <w:tblDescription w:val="The PAYG withholding from FEG payment table is displayed"/>
      </w:tblPr>
      <w:tblGrid>
        <w:gridCol w:w="583"/>
        <w:gridCol w:w="2941"/>
        <w:gridCol w:w="2017"/>
        <w:gridCol w:w="1669"/>
        <w:gridCol w:w="1796"/>
      </w:tblGrid>
      <w:tr w:rsidR="008A60F4" w:rsidRPr="00AF28BC" w14:paraId="55787918" w14:textId="77777777" w:rsidTr="00222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30C3" w14:textId="77777777" w:rsidR="008A60F4" w:rsidRPr="00AF28BC" w:rsidRDefault="008A60F4" w:rsidP="005178B1">
            <w:pPr>
              <w:rPr>
                <w:b w:val="0"/>
                <w:sz w:val="19"/>
                <w:szCs w:val="19"/>
              </w:rPr>
            </w:pPr>
            <w:r w:rsidRPr="00AF28BC">
              <w:rPr>
                <w:sz w:val="19"/>
                <w:szCs w:val="19"/>
              </w:rPr>
              <w:t>Item</w:t>
            </w:r>
          </w:p>
        </w:tc>
        <w:tc>
          <w:tcPr>
            <w:tcW w:w="2941" w:type="dxa"/>
            <w:hideMark/>
          </w:tcPr>
          <w:p w14:paraId="273F5B45" w14:textId="77777777" w:rsidR="008A60F4" w:rsidRPr="00AF28BC" w:rsidRDefault="008A60F4" w:rsidP="005178B1">
            <w:pPr>
              <w:cnfStyle w:val="100000000000" w:firstRow="1" w:lastRow="0" w:firstColumn="0" w:lastColumn="0" w:oddVBand="0" w:evenVBand="0" w:oddHBand="0" w:evenHBand="0" w:firstRowFirstColumn="0" w:firstRowLastColumn="0" w:lastRowFirstColumn="0" w:lastRowLastColumn="0"/>
              <w:rPr>
                <w:b w:val="0"/>
                <w:sz w:val="19"/>
                <w:szCs w:val="19"/>
              </w:rPr>
            </w:pPr>
            <w:r w:rsidRPr="00AF28BC">
              <w:rPr>
                <w:sz w:val="19"/>
                <w:szCs w:val="19"/>
              </w:rPr>
              <w:t>Type of payment</w:t>
            </w:r>
          </w:p>
        </w:tc>
        <w:tc>
          <w:tcPr>
            <w:tcW w:w="2017" w:type="dxa"/>
            <w:hideMark/>
          </w:tcPr>
          <w:p w14:paraId="449D22E9" w14:textId="77777777" w:rsidR="008A60F4" w:rsidRPr="00AF28BC" w:rsidRDefault="008A60F4" w:rsidP="005178B1">
            <w:pPr>
              <w:cnfStyle w:val="100000000000" w:firstRow="1" w:lastRow="0" w:firstColumn="0" w:lastColumn="0" w:oddVBand="0" w:evenVBand="0" w:oddHBand="0" w:evenHBand="0" w:firstRowFirstColumn="0" w:firstRowLastColumn="0" w:lastRowFirstColumn="0" w:lastRowLastColumn="0"/>
              <w:rPr>
                <w:b w:val="0"/>
                <w:sz w:val="19"/>
                <w:szCs w:val="19"/>
              </w:rPr>
            </w:pPr>
            <w:r w:rsidRPr="00AF28BC">
              <w:rPr>
                <w:sz w:val="19"/>
                <w:szCs w:val="19"/>
              </w:rPr>
              <w:t>Relevant provision - PAYG withholding</w:t>
            </w:r>
          </w:p>
        </w:tc>
        <w:tc>
          <w:tcPr>
            <w:tcW w:w="1669" w:type="dxa"/>
            <w:hideMark/>
          </w:tcPr>
          <w:p w14:paraId="5B512201" w14:textId="77777777" w:rsidR="008A60F4" w:rsidRPr="00AF28BC" w:rsidRDefault="008A60F4" w:rsidP="005178B1">
            <w:pPr>
              <w:cnfStyle w:val="100000000000" w:firstRow="1" w:lastRow="0" w:firstColumn="0" w:lastColumn="0" w:oddVBand="0" w:evenVBand="0" w:oddHBand="0" w:evenHBand="0" w:firstRowFirstColumn="0" w:firstRowLastColumn="0" w:lastRowFirstColumn="0" w:lastRowLastColumn="0"/>
              <w:rPr>
                <w:b w:val="0"/>
                <w:sz w:val="19"/>
                <w:szCs w:val="19"/>
              </w:rPr>
            </w:pPr>
            <w:r w:rsidRPr="00AF28BC">
              <w:rPr>
                <w:sz w:val="19"/>
                <w:szCs w:val="19"/>
              </w:rPr>
              <w:t>Applicable tax table or withholding rate</w:t>
            </w:r>
          </w:p>
        </w:tc>
        <w:tc>
          <w:tcPr>
            <w:tcW w:w="1796" w:type="dxa"/>
            <w:hideMark/>
          </w:tcPr>
          <w:p w14:paraId="529266A4" w14:textId="77777777" w:rsidR="008A60F4" w:rsidRPr="00AF28BC" w:rsidRDefault="008A60F4" w:rsidP="005178B1">
            <w:pPr>
              <w:cnfStyle w:val="100000000000" w:firstRow="1" w:lastRow="0" w:firstColumn="0" w:lastColumn="0" w:oddVBand="0" w:evenVBand="0" w:oddHBand="0" w:evenHBand="0" w:firstRowFirstColumn="0" w:firstRowLastColumn="0" w:lastRowFirstColumn="0" w:lastRowLastColumn="0"/>
              <w:rPr>
                <w:b w:val="0"/>
                <w:sz w:val="19"/>
                <w:szCs w:val="19"/>
              </w:rPr>
            </w:pPr>
            <w:r w:rsidRPr="00AF28BC">
              <w:rPr>
                <w:sz w:val="19"/>
                <w:szCs w:val="19"/>
              </w:rPr>
              <w:t>Relevant payment summary</w:t>
            </w:r>
          </w:p>
        </w:tc>
      </w:tr>
      <w:tr w:rsidR="008A60F4" w:rsidRPr="00AF28BC" w14:paraId="4C755D2F" w14:textId="77777777" w:rsidTr="00222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A6D8E" w14:textId="77777777" w:rsidR="008A60F4" w:rsidRPr="00AF28BC" w:rsidRDefault="008A60F4" w:rsidP="005178B1">
            <w:pPr>
              <w:jc w:val="center"/>
              <w:rPr>
                <w:sz w:val="19"/>
                <w:szCs w:val="19"/>
              </w:rPr>
            </w:pPr>
            <w:r w:rsidRPr="00AF28BC">
              <w:rPr>
                <w:sz w:val="19"/>
                <w:szCs w:val="19"/>
              </w:rPr>
              <w:t>1</w:t>
            </w:r>
          </w:p>
        </w:tc>
        <w:tc>
          <w:tcPr>
            <w:tcW w:w="2941" w:type="dxa"/>
            <w:hideMark/>
          </w:tcPr>
          <w:p w14:paraId="35D9A047"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 xml:space="preserve">Back payment of wages, including unpaid amounts of leave already </w:t>
            </w:r>
            <w:proofErr w:type="gramStart"/>
            <w:r w:rsidRPr="00AF28BC">
              <w:rPr>
                <w:sz w:val="19"/>
                <w:szCs w:val="19"/>
              </w:rPr>
              <w:t>taken</w:t>
            </w:r>
            <w:proofErr w:type="gramEnd"/>
            <w:r w:rsidRPr="00AF28BC">
              <w:rPr>
                <w:sz w:val="19"/>
                <w:szCs w:val="19"/>
              </w:rPr>
              <w:t xml:space="preserve"> </w:t>
            </w:r>
          </w:p>
          <w:p w14:paraId="78E68667"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p>
          <w:p w14:paraId="3EBF099D"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Payments for rostered days off</w:t>
            </w:r>
          </w:p>
        </w:tc>
        <w:tc>
          <w:tcPr>
            <w:tcW w:w="2017" w:type="dxa"/>
            <w:hideMark/>
          </w:tcPr>
          <w:p w14:paraId="41E0B0F7"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Payment to employee</w:t>
            </w:r>
          </w:p>
          <w:p w14:paraId="63F1C0E8"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Section 12-35 of schedule 1 to the TAA</w:t>
            </w:r>
          </w:p>
        </w:tc>
        <w:tc>
          <w:tcPr>
            <w:tcW w:w="1669" w:type="dxa"/>
            <w:hideMark/>
          </w:tcPr>
          <w:p w14:paraId="4C826191"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Withhold at 34.5%</w:t>
            </w:r>
            <w:r w:rsidRPr="00AF28BC">
              <w:rPr>
                <w:sz w:val="19"/>
                <w:szCs w:val="19"/>
                <w:vertAlign w:val="superscript"/>
              </w:rPr>
              <w:t>1</w:t>
            </w:r>
          </w:p>
        </w:tc>
        <w:tc>
          <w:tcPr>
            <w:tcW w:w="1796" w:type="dxa"/>
            <w:hideMark/>
          </w:tcPr>
          <w:p w14:paraId="40E5D6FC"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i/>
                <w:sz w:val="19"/>
                <w:szCs w:val="19"/>
              </w:rPr>
              <w:t>PAYG payment summary - individual non-business</w:t>
            </w:r>
            <w:r w:rsidRPr="00AF28BC">
              <w:rPr>
                <w:sz w:val="19"/>
                <w:szCs w:val="19"/>
              </w:rPr>
              <w:t xml:space="preserve"> (NAT 0046)</w:t>
            </w:r>
            <w:r w:rsidRPr="00AF28BC">
              <w:rPr>
                <w:sz w:val="19"/>
                <w:szCs w:val="19"/>
                <w:vertAlign w:val="superscript"/>
              </w:rPr>
              <w:t>3</w:t>
            </w:r>
          </w:p>
        </w:tc>
      </w:tr>
      <w:tr w:rsidR="008A60F4" w:rsidRPr="00AF28BC" w14:paraId="6CBC6FAE" w14:textId="77777777" w:rsidTr="00222C7A">
        <w:tc>
          <w:tcPr>
            <w:cnfStyle w:val="001000000000" w:firstRow="0" w:lastRow="0" w:firstColumn="1" w:lastColumn="0" w:oddVBand="0" w:evenVBand="0" w:oddHBand="0" w:evenHBand="0" w:firstRowFirstColumn="0" w:firstRowLastColumn="0" w:lastRowFirstColumn="0" w:lastRowLastColumn="0"/>
            <w:tcW w:w="0" w:type="auto"/>
            <w:hideMark/>
          </w:tcPr>
          <w:p w14:paraId="4D84B388" w14:textId="77777777" w:rsidR="008A60F4" w:rsidRPr="00AF28BC" w:rsidRDefault="008A60F4" w:rsidP="005178B1">
            <w:pPr>
              <w:jc w:val="center"/>
              <w:rPr>
                <w:sz w:val="19"/>
                <w:szCs w:val="19"/>
              </w:rPr>
            </w:pPr>
            <w:r w:rsidRPr="00AF28BC">
              <w:rPr>
                <w:sz w:val="19"/>
                <w:szCs w:val="19"/>
              </w:rPr>
              <w:t>2</w:t>
            </w:r>
          </w:p>
        </w:tc>
        <w:tc>
          <w:tcPr>
            <w:tcW w:w="2941" w:type="dxa"/>
            <w:hideMark/>
          </w:tcPr>
          <w:p w14:paraId="76E851FA"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Unused annual leave</w:t>
            </w:r>
          </w:p>
        </w:tc>
        <w:tc>
          <w:tcPr>
            <w:tcW w:w="2017" w:type="dxa"/>
            <w:hideMark/>
          </w:tcPr>
          <w:p w14:paraId="499DE166"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Payment for unused leave</w:t>
            </w:r>
          </w:p>
          <w:p w14:paraId="48DCF061"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Section 12-90 of schedule 1 to the TAA</w:t>
            </w:r>
          </w:p>
        </w:tc>
        <w:tc>
          <w:tcPr>
            <w:tcW w:w="1669" w:type="dxa"/>
            <w:hideMark/>
          </w:tcPr>
          <w:p w14:paraId="5EFE8969"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Withhold at 34.5%</w:t>
            </w:r>
            <w:r w:rsidRPr="00AF28BC">
              <w:rPr>
                <w:sz w:val="19"/>
                <w:szCs w:val="19"/>
                <w:vertAlign w:val="superscript"/>
              </w:rPr>
              <w:t>1</w:t>
            </w:r>
          </w:p>
        </w:tc>
        <w:tc>
          <w:tcPr>
            <w:tcW w:w="1796" w:type="dxa"/>
            <w:hideMark/>
          </w:tcPr>
          <w:p w14:paraId="65EA689E"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i/>
                <w:sz w:val="19"/>
                <w:szCs w:val="19"/>
              </w:rPr>
              <w:t>PAYG payment summary - individual non-business</w:t>
            </w:r>
            <w:r w:rsidRPr="00AF28BC">
              <w:rPr>
                <w:sz w:val="19"/>
                <w:szCs w:val="19"/>
              </w:rPr>
              <w:t xml:space="preserve"> (NAT 0046) </w:t>
            </w:r>
          </w:p>
        </w:tc>
      </w:tr>
      <w:tr w:rsidR="008A60F4" w:rsidRPr="00AF28BC" w14:paraId="03403F06" w14:textId="77777777" w:rsidTr="00222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1550D6" w14:textId="77777777" w:rsidR="008A60F4" w:rsidRPr="00AF28BC" w:rsidRDefault="008A60F4" w:rsidP="005178B1">
            <w:pPr>
              <w:jc w:val="center"/>
              <w:rPr>
                <w:sz w:val="19"/>
                <w:szCs w:val="19"/>
              </w:rPr>
            </w:pPr>
            <w:r w:rsidRPr="00AF28BC">
              <w:rPr>
                <w:sz w:val="19"/>
                <w:szCs w:val="19"/>
              </w:rPr>
              <w:t>3</w:t>
            </w:r>
          </w:p>
        </w:tc>
        <w:tc>
          <w:tcPr>
            <w:tcW w:w="2941" w:type="dxa"/>
            <w:hideMark/>
          </w:tcPr>
          <w:p w14:paraId="10CAE781"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Unused long service leave</w:t>
            </w:r>
          </w:p>
        </w:tc>
        <w:tc>
          <w:tcPr>
            <w:tcW w:w="2017" w:type="dxa"/>
            <w:hideMark/>
          </w:tcPr>
          <w:p w14:paraId="531FF776"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Payment for unused leave</w:t>
            </w:r>
          </w:p>
          <w:p w14:paraId="0C653B2B"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Section 12-90 of schedule 1 to the TAA</w:t>
            </w:r>
          </w:p>
        </w:tc>
        <w:tc>
          <w:tcPr>
            <w:tcW w:w="1669" w:type="dxa"/>
            <w:hideMark/>
          </w:tcPr>
          <w:p w14:paraId="229B972C"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Withhold at 34.5%</w:t>
            </w:r>
            <w:r w:rsidRPr="00AF28BC">
              <w:rPr>
                <w:sz w:val="19"/>
                <w:szCs w:val="19"/>
                <w:vertAlign w:val="superscript"/>
              </w:rPr>
              <w:t>1</w:t>
            </w:r>
          </w:p>
        </w:tc>
        <w:tc>
          <w:tcPr>
            <w:tcW w:w="1796" w:type="dxa"/>
            <w:hideMark/>
          </w:tcPr>
          <w:p w14:paraId="46032F74"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i/>
                <w:sz w:val="19"/>
                <w:szCs w:val="19"/>
              </w:rPr>
              <w:t>PAYG payment summary - individual non-business</w:t>
            </w:r>
            <w:r w:rsidRPr="00AF28BC">
              <w:rPr>
                <w:sz w:val="19"/>
                <w:szCs w:val="19"/>
              </w:rPr>
              <w:t xml:space="preserve"> (NAT 0046) </w:t>
            </w:r>
          </w:p>
        </w:tc>
      </w:tr>
      <w:tr w:rsidR="008A60F4" w:rsidRPr="00AF28BC" w14:paraId="2C862310" w14:textId="77777777" w:rsidTr="00222C7A">
        <w:tc>
          <w:tcPr>
            <w:cnfStyle w:val="001000000000" w:firstRow="0" w:lastRow="0" w:firstColumn="1" w:lastColumn="0" w:oddVBand="0" w:evenVBand="0" w:oddHBand="0" w:evenHBand="0" w:firstRowFirstColumn="0" w:firstRowLastColumn="0" w:lastRowFirstColumn="0" w:lastRowLastColumn="0"/>
            <w:tcW w:w="0" w:type="auto"/>
            <w:hideMark/>
          </w:tcPr>
          <w:p w14:paraId="52BE8067" w14:textId="77777777" w:rsidR="008A60F4" w:rsidRPr="00AF28BC" w:rsidRDefault="008A60F4" w:rsidP="005178B1">
            <w:pPr>
              <w:jc w:val="center"/>
              <w:rPr>
                <w:sz w:val="19"/>
                <w:szCs w:val="19"/>
              </w:rPr>
            </w:pPr>
            <w:r w:rsidRPr="00AF28BC">
              <w:rPr>
                <w:sz w:val="19"/>
                <w:szCs w:val="19"/>
              </w:rPr>
              <w:t>4</w:t>
            </w:r>
          </w:p>
        </w:tc>
        <w:tc>
          <w:tcPr>
            <w:tcW w:w="2941" w:type="dxa"/>
            <w:hideMark/>
          </w:tcPr>
          <w:p w14:paraId="7150C43D" w14:textId="796C32E3"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Redundancy pay and payment in lieu of notice when paid to a worker who is under the age-pension age (Table 1) at the time of termination which falls within the tax-free limit</w:t>
            </w:r>
          </w:p>
        </w:tc>
        <w:tc>
          <w:tcPr>
            <w:tcW w:w="2017" w:type="dxa"/>
            <w:hideMark/>
          </w:tcPr>
          <w:p w14:paraId="42853A51"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Employment termination payment (ETP)</w:t>
            </w:r>
            <w:r w:rsidRPr="00AF28BC">
              <w:rPr>
                <w:sz w:val="19"/>
                <w:szCs w:val="19"/>
                <w:vertAlign w:val="superscript"/>
              </w:rPr>
              <w:t>2</w:t>
            </w:r>
          </w:p>
          <w:p w14:paraId="0C1B0D78"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Section 12-85 in schedule 1 of the TAA</w:t>
            </w:r>
          </w:p>
        </w:tc>
        <w:tc>
          <w:tcPr>
            <w:tcW w:w="1669" w:type="dxa"/>
            <w:hideMark/>
          </w:tcPr>
          <w:p w14:paraId="04E0787C"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vertAlign w:val="superscript"/>
              </w:rPr>
            </w:pPr>
            <w:r w:rsidRPr="00AF28BC">
              <w:rPr>
                <w:sz w:val="19"/>
                <w:szCs w:val="19"/>
              </w:rPr>
              <w:t>No withholding</w:t>
            </w:r>
            <w:r w:rsidRPr="00AF28BC">
              <w:rPr>
                <w:sz w:val="19"/>
                <w:szCs w:val="19"/>
                <w:vertAlign w:val="superscript"/>
              </w:rPr>
              <w:t>1</w:t>
            </w:r>
          </w:p>
        </w:tc>
        <w:tc>
          <w:tcPr>
            <w:tcW w:w="1796" w:type="dxa"/>
            <w:hideMark/>
          </w:tcPr>
          <w:p w14:paraId="327ACFE4" w14:textId="77777777" w:rsidR="008A60F4" w:rsidRPr="00AF28BC" w:rsidRDefault="008A60F4" w:rsidP="005178B1">
            <w:pPr>
              <w:cnfStyle w:val="000000000000" w:firstRow="0" w:lastRow="0" w:firstColumn="0" w:lastColumn="0" w:oddVBand="0" w:evenVBand="0" w:oddHBand="0" w:evenHBand="0" w:firstRowFirstColumn="0" w:firstRowLastColumn="0" w:lastRowFirstColumn="0" w:lastRowLastColumn="0"/>
              <w:rPr>
                <w:sz w:val="19"/>
                <w:szCs w:val="19"/>
              </w:rPr>
            </w:pPr>
            <w:r w:rsidRPr="00AF28BC">
              <w:rPr>
                <w:i/>
                <w:sz w:val="19"/>
                <w:szCs w:val="19"/>
              </w:rPr>
              <w:t>PAYG payment summary - employment termination payment</w:t>
            </w:r>
            <w:r w:rsidRPr="00AF28BC">
              <w:rPr>
                <w:sz w:val="19"/>
                <w:szCs w:val="19"/>
              </w:rPr>
              <w:t xml:space="preserve"> (NAT 70868)</w:t>
            </w:r>
          </w:p>
        </w:tc>
      </w:tr>
      <w:tr w:rsidR="008A60F4" w:rsidRPr="00AF28BC" w14:paraId="02C9C195" w14:textId="77777777" w:rsidTr="00222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BF05C" w14:textId="77777777" w:rsidR="008A60F4" w:rsidRPr="00AF28BC" w:rsidRDefault="008A60F4" w:rsidP="005178B1">
            <w:pPr>
              <w:jc w:val="center"/>
              <w:rPr>
                <w:sz w:val="19"/>
                <w:szCs w:val="19"/>
              </w:rPr>
            </w:pPr>
            <w:r w:rsidRPr="00AF28BC">
              <w:rPr>
                <w:sz w:val="19"/>
                <w:szCs w:val="19"/>
              </w:rPr>
              <w:t>5</w:t>
            </w:r>
          </w:p>
        </w:tc>
        <w:tc>
          <w:tcPr>
            <w:tcW w:w="2941" w:type="dxa"/>
          </w:tcPr>
          <w:p w14:paraId="4C40C134"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Redundancy pay and payment in lieu of notice when paid to a worker who is under the age-pension age (Table 1) at the time of termination that exceeds the tax-free limit, but is less than the ETP cap</w:t>
            </w:r>
          </w:p>
        </w:tc>
        <w:tc>
          <w:tcPr>
            <w:tcW w:w="2017" w:type="dxa"/>
            <w:hideMark/>
          </w:tcPr>
          <w:p w14:paraId="6B40C22D"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Employment termination payment (ETP)</w:t>
            </w:r>
            <w:r w:rsidRPr="00AF28BC">
              <w:rPr>
                <w:sz w:val="19"/>
                <w:szCs w:val="19"/>
                <w:vertAlign w:val="superscript"/>
              </w:rPr>
              <w:t>2</w:t>
            </w:r>
          </w:p>
          <w:p w14:paraId="2E6633D5"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Section 12-85 in schedule 1 of the TAA</w:t>
            </w:r>
          </w:p>
        </w:tc>
        <w:tc>
          <w:tcPr>
            <w:tcW w:w="1669" w:type="dxa"/>
            <w:hideMark/>
          </w:tcPr>
          <w:p w14:paraId="21DF330B"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Withhold at 34.5%</w:t>
            </w:r>
            <w:r w:rsidRPr="00AF28BC">
              <w:rPr>
                <w:sz w:val="19"/>
                <w:szCs w:val="19"/>
                <w:vertAlign w:val="superscript"/>
              </w:rPr>
              <w:t>1</w:t>
            </w:r>
          </w:p>
        </w:tc>
        <w:tc>
          <w:tcPr>
            <w:tcW w:w="1796" w:type="dxa"/>
            <w:hideMark/>
          </w:tcPr>
          <w:p w14:paraId="0AB5FD79" w14:textId="77777777" w:rsidR="008A60F4" w:rsidRPr="00AF28BC" w:rsidRDefault="008A60F4" w:rsidP="005178B1">
            <w:pPr>
              <w:cnfStyle w:val="000000100000" w:firstRow="0" w:lastRow="0" w:firstColumn="0" w:lastColumn="0" w:oddVBand="0" w:evenVBand="0" w:oddHBand="1" w:evenHBand="0" w:firstRowFirstColumn="0" w:firstRowLastColumn="0" w:lastRowFirstColumn="0" w:lastRowLastColumn="0"/>
              <w:rPr>
                <w:sz w:val="19"/>
                <w:szCs w:val="19"/>
              </w:rPr>
            </w:pPr>
            <w:r w:rsidRPr="00AF28BC">
              <w:rPr>
                <w:i/>
                <w:sz w:val="19"/>
                <w:szCs w:val="19"/>
              </w:rPr>
              <w:t>PAYG payment summary - employment termination payment</w:t>
            </w:r>
            <w:r w:rsidRPr="00AF28BC">
              <w:rPr>
                <w:sz w:val="19"/>
                <w:szCs w:val="19"/>
              </w:rPr>
              <w:t xml:space="preserve"> (NAT 70868)</w:t>
            </w:r>
          </w:p>
        </w:tc>
      </w:tr>
      <w:tr w:rsidR="00402EB2" w:rsidRPr="00AF28BC" w14:paraId="1835B291" w14:textId="77777777" w:rsidTr="00222C7A">
        <w:tc>
          <w:tcPr>
            <w:cnfStyle w:val="001000000000" w:firstRow="0" w:lastRow="0" w:firstColumn="1" w:lastColumn="0" w:oddVBand="0" w:evenVBand="0" w:oddHBand="0" w:evenHBand="0" w:firstRowFirstColumn="0" w:firstRowLastColumn="0" w:lastRowFirstColumn="0" w:lastRowLastColumn="0"/>
            <w:tcW w:w="0" w:type="auto"/>
            <w:hideMark/>
          </w:tcPr>
          <w:p w14:paraId="11143491" w14:textId="77777777" w:rsidR="00402EB2" w:rsidRPr="00AF28BC" w:rsidRDefault="00402EB2" w:rsidP="00402EB2">
            <w:pPr>
              <w:jc w:val="center"/>
              <w:rPr>
                <w:sz w:val="19"/>
                <w:szCs w:val="19"/>
              </w:rPr>
            </w:pPr>
            <w:r w:rsidRPr="00AF28BC">
              <w:rPr>
                <w:sz w:val="19"/>
                <w:szCs w:val="19"/>
              </w:rPr>
              <w:t>6</w:t>
            </w:r>
          </w:p>
        </w:tc>
        <w:tc>
          <w:tcPr>
            <w:tcW w:w="2941" w:type="dxa"/>
            <w:hideMark/>
          </w:tcPr>
          <w:p w14:paraId="4F316470" w14:textId="77777777" w:rsidR="00402EB2" w:rsidRPr="00AF28BC" w:rsidRDefault="00402EB2" w:rsidP="00402EB2">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Redundancy pay and payment in lieu of notice when paid to a worker who is of the age-pension age (Table 1) or older at the time of termination to the extent that the payment does not exceed than the ETP cap</w:t>
            </w:r>
          </w:p>
        </w:tc>
        <w:tc>
          <w:tcPr>
            <w:tcW w:w="2017" w:type="dxa"/>
            <w:hideMark/>
          </w:tcPr>
          <w:p w14:paraId="34E6EB4A" w14:textId="77777777" w:rsidR="00402EB2" w:rsidRPr="00AF28BC" w:rsidRDefault="00402EB2" w:rsidP="00402EB2">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Employment termination payment (ETP)</w:t>
            </w:r>
            <w:r w:rsidRPr="00AF28BC">
              <w:rPr>
                <w:sz w:val="19"/>
                <w:szCs w:val="19"/>
                <w:u w:val="single"/>
                <w:vertAlign w:val="superscript"/>
              </w:rPr>
              <w:fldChar w:fldCharType="begin"/>
            </w:r>
            <w:r w:rsidRPr="00AF28BC">
              <w:rPr>
                <w:sz w:val="19"/>
                <w:szCs w:val="19"/>
                <w:vertAlign w:val="superscript"/>
              </w:rPr>
              <w:instrText xml:space="preserve"> REF _Ref436381425 \r \h </w:instrText>
            </w:r>
            <w:r w:rsidRPr="00AF28BC">
              <w:rPr>
                <w:sz w:val="19"/>
                <w:szCs w:val="19"/>
                <w:u w:val="single"/>
                <w:vertAlign w:val="superscript"/>
              </w:rPr>
              <w:instrText xml:space="preserve"> \* MERGEFORMAT </w:instrText>
            </w:r>
            <w:r w:rsidRPr="00AF28BC">
              <w:rPr>
                <w:sz w:val="19"/>
                <w:szCs w:val="19"/>
                <w:u w:val="single"/>
                <w:vertAlign w:val="superscript"/>
              </w:rPr>
            </w:r>
            <w:r w:rsidRPr="00AF28BC">
              <w:rPr>
                <w:sz w:val="19"/>
                <w:szCs w:val="19"/>
                <w:u w:val="single"/>
                <w:vertAlign w:val="superscript"/>
              </w:rPr>
              <w:fldChar w:fldCharType="separate"/>
            </w:r>
            <w:r w:rsidRPr="00AF28BC">
              <w:rPr>
                <w:sz w:val="19"/>
                <w:szCs w:val="19"/>
                <w:vertAlign w:val="superscript"/>
              </w:rPr>
              <w:t>3</w:t>
            </w:r>
            <w:r w:rsidRPr="00AF28BC">
              <w:rPr>
                <w:sz w:val="19"/>
                <w:szCs w:val="19"/>
              </w:rPr>
              <w:fldChar w:fldCharType="end"/>
            </w:r>
          </w:p>
          <w:p w14:paraId="19DD3E1E" w14:textId="77777777" w:rsidR="00402EB2" w:rsidRPr="00AF28BC" w:rsidRDefault="00402EB2" w:rsidP="00402EB2">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Section 12-85 in schedule 1 of the TAA</w:t>
            </w:r>
          </w:p>
        </w:tc>
        <w:tc>
          <w:tcPr>
            <w:tcW w:w="1669" w:type="dxa"/>
            <w:hideMark/>
          </w:tcPr>
          <w:p w14:paraId="57A4BC45" w14:textId="77777777" w:rsidR="00402EB2" w:rsidRPr="00AF28BC" w:rsidRDefault="00402EB2" w:rsidP="00402EB2">
            <w:pPr>
              <w:cnfStyle w:val="000000000000" w:firstRow="0" w:lastRow="0" w:firstColumn="0" w:lastColumn="0" w:oddVBand="0" w:evenVBand="0" w:oddHBand="0" w:evenHBand="0" w:firstRowFirstColumn="0" w:firstRowLastColumn="0" w:lastRowFirstColumn="0" w:lastRowLastColumn="0"/>
              <w:rPr>
                <w:sz w:val="19"/>
                <w:szCs w:val="19"/>
              </w:rPr>
            </w:pPr>
            <w:r w:rsidRPr="00AF28BC">
              <w:rPr>
                <w:sz w:val="19"/>
                <w:szCs w:val="19"/>
              </w:rPr>
              <w:t>Withhold at 34.5%</w:t>
            </w:r>
          </w:p>
        </w:tc>
        <w:tc>
          <w:tcPr>
            <w:tcW w:w="1796" w:type="dxa"/>
          </w:tcPr>
          <w:p w14:paraId="65D785D2" w14:textId="0BE20DC3" w:rsidR="00402EB2" w:rsidRPr="00AF28BC" w:rsidRDefault="00402EB2" w:rsidP="00402EB2">
            <w:pPr>
              <w:cnfStyle w:val="000000000000" w:firstRow="0" w:lastRow="0" w:firstColumn="0" w:lastColumn="0" w:oddVBand="0" w:evenVBand="0" w:oddHBand="0" w:evenHBand="0" w:firstRowFirstColumn="0" w:firstRowLastColumn="0" w:lastRowFirstColumn="0" w:lastRowLastColumn="0"/>
              <w:rPr>
                <w:sz w:val="19"/>
                <w:szCs w:val="19"/>
              </w:rPr>
            </w:pPr>
            <w:r w:rsidRPr="00AF28BC">
              <w:rPr>
                <w:i/>
                <w:sz w:val="19"/>
                <w:szCs w:val="19"/>
              </w:rPr>
              <w:t>PAYG payment summary - employment termination payment</w:t>
            </w:r>
            <w:r w:rsidRPr="00AF28BC">
              <w:rPr>
                <w:sz w:val="19"/>
                <w:szCs w:val="19"/>
              </w:rPr>
              <w:t xml:space="preserve"> (NAT 70868)</w:t>
            </w:r>
          </w:p>
        </w:tc>
      </w:tr>
      <w:tr w:rsidR="00402EB2" w:rsidRPr="00AF28BC" w14:paraId="23CAE446" w14:textId="77777777" w:rsidTr="00222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02004" w14:textId="77777777" w:rsidR="00402EB2" w:rsidRPr="00AF28BC" w:rsidRDefault="00402EB2" w:rsidP="00402EB2">
            <w:pPr>
              <w:jc w:val="center"/>
              <w:rPr>
                <w:sz w:val="19"/>
                <w:szCs w:val="19"/>
              </w:rPr>
            </w:pPr>
            <w:r w:rsidRPr="00AF28BC">
              <w:rPr>
                <w:sz w:val="19"/>
                <w:szCs w:val="19"/>
              </w:rPr>
              <w:t>7</w:t>
            </w:r>
          </w:p>
        </w:tc>
        <w:tc>
          <w:tcPr>
            <w:tcW w:w="2941" w:type="dxa"/>
            <w:hideMark/>
          </w:tcPr>
          <w:p w14:paraId="08A93444" w14:textId="77777777" w:rsidR="00402EB2" w:rsidRPr="00AF28BC" w:rsidRDefault="00402EB2" w:rsidP="00402EB2">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Redundancy pay and payment in lieu of notice when paid to any worker regardless of age at the time of termination to the extent that they exceed the higher of the tax-free limit or ETP cap</w:t>
            </w:r>
          </w:p>
        </w:tc>
        <w:tc>
          <w:tcPr>
            <w:tcW w:w="2017" w:type="dxa"/>
          </w:tcPr>
          <w:p w14:paraId="5E46BD03" w14:textId="77777777" w:rsidR="00402EB2" w:rsidRPr="00AF28BC" w:rsidRDefault="00402EB2" w:rsidP="00402EB2">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Employment termination payment (ETP)</w:t>
            </w:r>
            <w:r w:rsidRPr="00AF28BC">
              <w:rPr>
                <w:sz w:val="19"/>
                <w:szCs w:val="19"/>
                <w:vertAlign w:val="superscript"/>
              </w:rPr>
              <w:t xml:space="preserve"> </w:t>
            </w:r>
            <w:r w:rsidRPr="00AF28BC">
              <w:rPr>
                <w:sz w:val="19"/>
                <w:szCs w:val="19"/>
                <w:vertAlign w:val="superscript"/>
              </w:rPr>
              <w:fldChar w:fldCharType="begin"/>
            </w:r>
            <w:r w:rsidRPr="00AF28BC">
              <w:rPr>
                <w:sz w:val="19"/>
                <w:szCs w:val="19"/>
                <w:vertAlign w:val="superscript"/>
              </w:rPr>
              <w:instrText xml:space="preserve"> REF _Ref436381819 \r \h  \* MERGEFORMAT </w:instrText>
            </w:r>
            <w:r w:rsidRPr="00AF28BC">
              <w:rPr>
                <w:sz w:val="19"/>
                <w:szCs w:val="19"/>
                <w:vertAlign w:val="superscript"/>
              </w:rPr>
            </w:r>
            <w:r w:rsidRPr="00AF28BC">
              <w:rPr>
                <w:sz w:val="19"/>
                <w:szCs w:val="19"/>
                <w:vertAlign w:val="superscript"/>
              </w:rPr>
              <w:fldChar w:fldCharType="separate"/>
            </w:r>
            <w:r w:rsidRPr="00AF28BC">
              <w:rPr>
                <w:sz w:val="19"/>
                <w:szCs w:val="19"/>
                <w:vertAlign w:val="superscript"/>
              </w:rPr>
              <w:t>4</w:t>
            </w:r>
            <w:r w:rsidRPr="00AF28BC">
              <w:rPr>
                <w:sz w:val="19"/>
                <w:szCs w:val="19"/>
              </w:rPr>
              <w:fldChar w:fldCharType="end"/>
            </w:r>
          </w:p>
          <w:p w14:paraId="5ACE11A7" w14:textId="77777777" w:rsidR="00402EB2" w:rsidRPr="00AF28BC" w:rsidRDefault="00402EB2" w:rsidP="00402EB2">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Section 12-85 in schedule 1 of the TAA</w:t>
            </w:r>
          </w:p>
        </w:tc>
        <w:tc>
          <w:tcPr>
            <w:tcW w:w="1669" w:type="dxa"/>
            <w:hideMark/>
          </w:tcPr>
          <w:p w14:paraId="2E880D49" w14:textId="77777777" w:rsidR="00402EB2" w:rsidRPr="00AF28BC" w:rsidRDefault="00402EB2" w:rsidP="00402EB2">
            <w:pPr>
              <w:cnfStyle w:val="000000100000" w:firstRow="0" w:lastRow="0" w:firstColumn="0" w:lastColumn="0" w:oddVBand="0" w:evenVBand="0" w:oddHBand="1" w:evenHBand="0" w:firstRowFirstColumn="0" w:firstRowLastColumn="0" w:lastRowFirstColumn="0" w:lastRowLastColumn="0"/>
              <w:rPr>
                <w:sz w:val="19"/>
                <w:szCs w:val="19"/>
              </w:rPr>
            </w:pPr>
            <w:r w:rsidRPr="00AF28BC">
              <w:rPr>
                <w:sz w:val="19"/>
                <w:szCs w:val="19"/>
              </w:rPr>
              <w:t>Withhold at 47.0%</w:t>
            </w:r>
          </w:p>
        </w:tc>
        <w:tc>
          <w:tcPr>
            <w:tcW w:w="1796" w:type="dxa"/>
            <w:hideMark/>
          </w:tcPr>
          <w:p w14:paraId="3472664A" w14:textId="77777777" w:rsidR="00402EB2" w:rsidRPr="00AF28BC" w:rsidRDefault="00402EB2" w:rsidP="00402EB2">
            <w:pPr>
              <w:cnfStyle w:val="000000100000" w:firstRow="0" w:lastRow="0" w:firstColumn="0" w:lastColumn="0" w:oddVBand="0" w:evenVBand="0" w:oddHBand="1" w:evenHBand="0" w:firstRowFirstColumn="0" w:firstRowLastColumn="0" w:lastRowFirstColumn="0" w:lastRowLastColumn="0"/>
              <w:rPr>
                <w:sz w:val="19"/>
                <w:szCs w:val="19"/>
              </w:rPr>
            </w:pPr>
            <w:r w:rsidRPr="00AF28BC">
              <w:rPr>
                <w:i/>
                <w:sz w:val="19"/>
                <w:szCs w:val="19"/>
              </w:rPr>
              <w:t>PAYG payment summary - individual non-business</w:t>
            </w:r>
            <w:r w:rsidRPr="00AF28BC">
              <w:rPr>
                <w:sz w:val="19"/>
                <w:szCs w:val="19"/>
              </w:rPr>
              <w:t xml:space="preserve"> (NAT 0046)</w:t>
            </w:r>
          </w:p>
        </w:tc>
      </w:tr>
    </w:tbl>
    <w:p w14:paraId="39A41E88" w14:textId="77777777" w:rsidR="008A60F4" w:rsidRPr="005B09E3" w:rsidRDefault="008A60F4" w:rsidP="008A60F4">
      <w:pPr>
        <w:spacing w:after="0"/>
        <w:rPr>
          <w:sz w:val="16"/>
          <w:szCs w:val="16"/>
        </w:rPr>
      </w:pPr>
    </w:p>
    <w:p w14:paraId="68341DB9" w14:textId="77777777" w:rsidR="008A60F4" w:rsidRPr="005B09E3" w:rsidRDefault="008A60F4" w:rsidP="00AF28BC">
      <w:pPr>
        <w:pStyle w:val="ListParagraph"/>
        <w:numPr>
          <w:ilvl w:val="0"/>
          <w:numId w:val="45"/>
        </w:numPr>
        <w:spacing w:line="240" w:lineRule="auto"/>
        <w:ind w:left="357" w:hanging="357"/>
        <w:rPr>
          <w:sz w:val="16"/>
          <w:szCs w:val="16"/>
        </w:rPr>
      </w:pPr>
      <w:r w:rsidRPr="005B09E3">
        <w:rPr>
          <w:sz w:val="16"/>
          <w:szCs w:val="16"/>
        </w:rPr>
        <w:t xml:space="preserve">The tax-free amount of a genuine redundancy includes only those amounts which exceed the amount which the individual would have been paid upon a normal termination. This includes amounts for payment in lieu of notice if applicable. Unused leave cannot be tax-free. For the tax-free threshold for the year in which the payment is made, refer to the </w:t>
      </w:r>
      <w:r w:rsidRPr="005B09E3">
        <w:rPr>
          <w:i/>
          <w:sz w:val="16"/>
          <w:szCs w:val="16"/>
        </w:rPr>
        <w:t>Tax table for employment termination payments</w:t>
      </w:r>
      <w:r w:rsidRPr="005B09E3">
        <w:rPr>
          <w:sz w:val="16"/>
          <w:szCs w:val="16"/>
        </w:rPr>
        <w:t xml:space="preserve"> (ETP).</w:t>
      </w:r>
    </w:p>
    <w:p w14:paraId="326525A3" w14:textId="77777777" w:rsidR="008A60F4" w:rsidRPr="005B09E3" w:rsidRDefault="008A60F4" w:rsidP="00AF28BC">
      <w:pPr>
        <w:pStyle w:val="ListParagraph"/>
        <w:numPr>
          <w:ilvl w:val="0"/>
          <w:numId w:val="45"/>
        </w:numPr>
        <w:spacing w:line="240" w:lineRule="auto"/>
        <w:ind w:left="357" w:hanging="357"/>
        <w:rPr>
          <w:sz w:val="16"/>
          <w:szCs w:val="16"/>
        </w:rPr>
      </w:pPr>
      <w:r w:rsidRPr="005B09E3">
        <w:rPr>
          <w:sz w:val="16"/>
          <w:szCs w:val="16"/>
        </w:rPr>
        <w:t>An ETP includes the part of a genuine redundancy payment or early retirement scheme payment for a worker who is under of the age-pension age at the time of termination that exceeds the tax-free threshold.</w:t>
      </w:r>
    </w:p>
    <w:p w14:paraId="6D61B97A" w14:textId="77777777" w:rsidR="008A60F4" w:rsidRPr="005B09E3" w:rsidRDefault="008A60F4" w:rsidP="00AF28BC">
      <w:pPr>
        <w:pStyle w:val="ListParagraph"/>
        <w:numPr>
          <w:ilvl w:val="0"/>
          <w:numId w:val="45"/>
        </w:numPr>
        <w:spacing w:line="240" w:lineRule="auto"/>
        <w:ind w:left="357" w:hanging="357"/>
        <w:rPr>
          <w:sz w:val="16"/>
          <w:szCs w:val="16"/>
        </w:rPr>
      </w:pPr>
      <w:bookmarkStart w:id="2" w:name="_Ref436381425"/>
      <w:r w:rsidRPr="005B09E3">
        <w:rPr>
          <w:sz w:val="16"/>
          <w:szCs w:val="16"/>
        </w:rPr>
        <w:t>Redundancy pay and payment in lieu of notice paid to a worker who is of the age-pension age or older at the time of termination are not classed as genuine redundancy payments and no tax-free component applies.</w:t>
      </w:r>
      <w:bookmarkEnd w:id="2"/>
    </w:p>
    <w:p w14:paraId="5915604D" w14:textId="77777777" w:rsidR="008A60F4" w:rsidRPr="005B09E3" w:rsidRDefault="008A60F4" w:rsidP="00AF28BC">
      <w:pPr>
        <w:pStyle w:val="ListParagraph"/>
        <w:numPr>
          <w:ilvl w:val="0"/>
          <w:numId w:val="45"/>
        </w:numPr>
        <w:spacing w:line="240" w:lineRule="auto"/>
        <w:ind w:left="357" w:hanging="357"/>
        <w:rPr>
          <w:sz w:val="16"/>
          <w:szCs w:val="16"/>
        </w:rPr>
      </w:pPr>
      <w:bookmarkStart w:id="3" w:name="_Ref436381819"/>
      <w:r w:rsidRPr="005B09E3">
        <w:rPr>
          <w:sz w:val="16"/>
          <w:szCs w:val="16"/>
        </w:rPr>
        <w:t>All payments for redundancy pay and payment in lieu of notice, regardless of a worker’s age at the time of termination that exceed the ETP cap will have tax withheld at the top marginal rate.</w:t>
      </w:r>
      <w:bookmarkEnd w:id="3"/>
    </w:p>
    <w:p w14:paraId="374D3EE4" w14:textId="74669EF9" w:rsidR="005B09E3" w:rsidRPr="005B09E3" w:rsidRDefault="005B09E3" w:rsidP="0038228E">
      <w:pPr>
        <w:spacing w:before="120"/>
        <w:rPr>
          <w:sz w:val="16"/>
          <w:szCs w:val="16"/>
        </w:rPr>
      </w:pPr>
      <w:r w:rsidRPr="005B09E3">
        <w:rPr>
          <w:sz w:val="16"/>
          <w:szCs w:val="16"/>
        </w:rPr>
        <w:t xml:space="preserve">The information contained in this fact sheet is of a general nature and explains, in summary form, the intended operation of the </w:t>
      </w:r>
      <w:r w:rsidR="00F713D8">
        <w:rPr>
          <w:sz w:val="16"/>
          <w:szCs w:val="16"/>
        </w:rPr>
        <w:br/>
      </w:r>
      <w:r w:rsidRPr="005B09E3">
        <w:rPr>
          <w:i/>
          <w:sz w:val="16"/>
          <w:szCs w:val="16"/>
        </w:rPr>
        <w:t>Fair Entitlements Guarantee Act 2012</w:t>
      </w:r>
      <w:r w:rsidRPr="005B09E3">
        <w:rPr>
          <w:sz w:val="16"/>
          <w:szCs w:val="16"/>
        </w:rPr>
        <w:t xml:space="preserve"> - it is not legal advice. Where necessary, you should seek your own independent legal advice relevant to your </w:t>
      </w:r>
      <w:proofErr w:type="gramStart"/>
      <w:r w:rsidRPr="005B09E3">
        <w:rPr>
          <w:sz w:val="16"/>
          <w:szCs w:val="16"/>
        </w:rPr>
        <w:t>particular circumstances</w:t>
      </w:r>
      <w:proofErr w:type="gramEnd"/>
      <w:r w:rsidRPr="005B09E3">
        <w:rPr>
          <w:sz w:val="16"/>
          <w:szCs w:val="16"/>
        </w:rPr>
        <w:t xml:space="preserve">. The Commonwealth does not make any representation or warranty about the accuracy, reliability, currency or completeness of the information contained in this fact sheet and is not liable for any loss resulting from any </w:t>
      </w:r>
      <w:r w:rsidR="00F713D8">
        <w:rPr>
          <w:sz w:val="16"/>
          <w:szCs w:val="16"/>
        </w:rPr>
        <w:br/>
      </w:r>
      <w:r w:rsidRPr="005B09E3">
        <w:rPr>
          <w:sz w:val="16"/>
          <w:szCs w:val="16"/>
        </w:rPr>
        <w:t xml:space="preserve">action </w:t>
      </w:r>
      <w:proofErr w:type="gramStart"/>
      <w:r w:rsidRPr="005B09E3">
        <w:rPr>
          <w:sz w:val="16"/>
          <w:szCs w:val="16"/>
        </w:rPr>
        <w:t>taken</w:t>
      </w:r>
      <w:proofErr w:type="gramEnd"/>
      <w:r w:rsidRPr="005B09E3">
        <w:rPr>
          <w:sz w:val="16"/>
          <w:szCs w:val="16"/>
        </w:rPr>
        <w:t xml:space="preserve"> or reliance made by you on the information contained in this fact sheet.</w:t>
      </w:r>
    </w:p>
    <w:sectPr w:rsidR="005B09E3" w:rsidRPr="005B09E3" w:rsidSect="0038228E">
      <w:headerReference w:type="default" r:id="rId17"/>
      <w:headerReference w:type="first" r:id="rId18"/>
      <w:type w:val="continuous"/>
      <w:pgSz w:w="11906" w:h="16838"/>
      <w:pgMar w:top="1134" w:right="1440" w:bottom="144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C1A61" w14:textId="77777777" w:rsidR="000A7C30" w:rsidRDefault="000A7C30" w:rsidP="005F1007">
      <w:pPr>
        <w:spacing w:after="0"/>
      </w:pPr>
      <w:r>
        <w:separator/>
      </w:r>
    </w:p>
  </w:endnote>
  <w:endnote w:type="continuationSeparator" w:id="0">
    <w:p w14:paraId="6E8EE785" w14:textId="77777777" w:rsidR="000A7C30" w:rsidRDefault="000A7C30"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CE52" w14:textId="7BC8201F" w:rsidR="003D13A1" w:rsidRPr="00106D53" w:rsidRDefault="003D13A1">
    <w:pPr>
      <w:pStyle w:val="Footer"/>
      <w:rPr>
        <w:sz w:val="16"/>
      </w:rPr>
    </w:pPr>
    <w:bookmarkStart w:id="0" w:name="_Hlk111730192"/>
    <w:bookmarkStart w:id="1" w:name="_Hlk111730193"/>
    <w:r w:rsidRPr="00106D53">
      <w:rPr>
        <w:sz w:val="16"/>
      </w:rPr>
      <w:ptab w:relativeTo="margin" w:alignment="center" w:leader="none"/>
    </w:r>
    <w:r w:rsidRPr="00106D53">
      <w:rPr>
        <w:sz w:val="16"/>
      </w:rPr>
      <w:ptab w:relativeTo="margin" w:alignment="right" w:leader="none"/>
    </w:r>
    <w:r w:rsidR="007427C3" w:rsidRPr="00106D53">
      <w:rPr>
        <w:sz w:val="16"/>
      </w:rPr>
      <w:t xml:space="preserve">Updated: </w:t>
    </w:r>
    <w:r w:rsidR="00816BAF">
      <w:rPr>
        <w:sz w:val="16"/>
      </w:rPr>
      <w:t>May</w:t>
    </w:r>
    <w:r w:rsidR="009C48B4">
      <w:rPr>
        <w:sz w:val="16"/>
      </w:rPr>
      <w:t xml:space="preserve"> </w:t>
    </w:r>
    <w:bookmarkEnd w:id="0"/>
    <w:bookmarkEnd w:id="1"/>
    <w:r w:rsidR="008A60F4">
      <w:rPr>
        <w:sz w:val="16"/>
      </w:rPr>
      <w:t>202</w:t>
    </w:r>
    <w:r w:rsidR="00ED7452">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B787C" w14:textId="77777777" w:rsidR="000A7C30" w:rsidRDefault="000A7C30" w:rsidP="005F1007">
      <w:pPr>
        <w:spacing w:after="0"/>
      </w:pPr>
      <w:r>
        <w:separator/>
      </w:r>
    </w:p>
  </w:footnote>
  <w:footnote w:type="continuationSeparator" w:id="0">
    <w:p w14:paraId="0AC3BE98" w14:textId="77777777" w:rsidR="000A7C30" w:rsidRDefault="000A7C30"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F4CF" w14:textId="77777777" w:rsidR="003D13A1" w:rsidRDefault="003D13A1">
    <w:pPr>
      <w:pStyle w:val="Header"/>
    </w:pPr>
    <w:r>
      <w:rPr>
        <w:noProof/>
        <w:lang w:eastAsia="en-AU"/>
      </w:rPr>
      <w:drawing>
        <wp:anchor distT="0" distB="0" distL="114300" distR="114300" simplePos="0" relativeHeight="251663360" behindDoc="1" locked="0" layoutInCell="1" allowOverlap="1" wp14:anchorId="78CDB7F9" wp14:editId="45212EF9">
          <wp:simplePos x="0" y="0"/>
          <wp:positionH relativeFrom="page">
            <wp:posOffset>0</wp:posOffset>
          </wp:positionH>
          <wp:positionV relativeFrom="page">
            <wp:posOffset>3114675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9978" w14:textId="77777777" w:rsidR="00321E90" w:rsidRDefault="00321E90">
    <w:pPr>
      <w:pStyle w:val="Header"/>
    </w:pPr>
    <w:r>
      <w:rPr>
        <w:noProof/>
        <w:lang w:eastAsia="en-AU"/>
      </w:rPr>
      <w:drawing>
        <wp:anchor distT="0" distB="0" distL="114300" distR="114300" simplePos="0" relativeHeight="251666432" behindDoc="1" locked="0" layoutInCell="1" allowOverlap="1" wp14:anchorId="5FE11810" wp14:editId="0895FE02">
          <wp:simplePos x="0" y="0"/>
          <wp:positionH relativeFrom="page">
            <wp:posOffset>0</wp:posOffset>
          </wp:positionH>
          <wp:positionV relativeFrom="page">
            <wp:posOffset>3114675</wp:posOffset>
          </wp:positionV>
          <wp:extent cx="853200" cy="7596000"/>
          <wp:effectExtent l="0" t="0" r="4445" b="508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5408"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Text Box 3" o:spid="_x0000_s1026" type="#_x0000_t202" alt="&quot;&quot;" style="position:absolute;margin-left:399.15pt;margin-top:122.7pt;width:108.15pt;height:24.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98A3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8888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89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B448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B2F3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646E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D29C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2F9E6"/>
    <w:lvl w:ilvl="0">
      <w:start w:val="1"/>
      <w:numFmt w:val="decimal"/>
      <w:lvlText w:val="%1."/>
      <w:lvlJc w:val="left"/>
      <w:pPr>
        <w:tabs>
          <w:tab w:val="num" w:pos="360"/>
        </w:tabs>
        <w:ind w:left="360" w:hanging="360"/>
      </w:pPr>
    </w:lvl>
  </w:abstractNum>
  <w:abstractNum w:abstractNumId="9" w15:restartNumberingAfterBreak="0">
    <w:nsid w:val="0417043E"/>
    <w:multiLevelType w:val="hybridMultilevel"/>
    <w:tmpl w:val="B78E7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57218B5"/>
    <w:multiLevelType w:val="hybridMultilevel"/>
    <w:tmpl w:val="226E4B2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1" w15:restartNumberingAfterBreak="0">
    <w:nsid w:val="06EA71B1"/>
    <w:multiLevelType w:val="hybridMultilevel"/>
    <w:tmpl w:val="5A76DD2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0042CE6"/>
    <w:multiLevelType w:val="hybridMultilevel"/>
    <w:tmpl w:val="CAE2D5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2A910F6"/>
    <w:multiLevelType w:val="hybridMultilevel"/>
    <w:tmpl w:val="D49E6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7B4BE5"/>
    <w:multiLevelType w:val="multilevel"/>
    <w:tmpl w:val="86ACE7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A560653"/>
    <w:multiLevelType w:val="hybridMultilevel"/>
    <w:tmpl w:val="A85077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EB672BB"/>
    <w:multiLevelType w:val="hybridMultilevel"/>
    <w:tmpl w:val="7FD6A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C15D61"/>
    <w:multiLevelType w:val="hybridMultilevel"/>
    <w:tmpl w:val="D9122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14212FF"/>
    <w:multiLevelType w:val="hybridMultilevel"/>
    <w:tmpl w:val="D8640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63E5699"/>
    <w:multiLevelType w:val="hybridMultilevel"/>
    <w:tmpl w:val="A0AA3D6C"/>
    <w:lvl w:ilvl="0" w:tplc="0C090001">
      <w:start w:val="1"/>
      <w:numFmt w:val="bullet"/>
      <w:lvlText w:val=""/>
      <w:lvlJc w:val="left"/>
      <w:pPr>
        <w:ind w:left="360" w:hanging="360"/>
      </w:pPr>
      <w:rPr>
        <w:rFonts w:ascii="Symbol" w:hAnsi="Symbol" w:hint="default"/>
      </w:rPr>
    </w:lvl>
    <w:lvl w:ilvl="1" w:tplc="423442C8">
      <w:numFmt w:val="bullet"/>
      <w:lvlText w:val="-"/>
      <w:lvlJc w:val="left"/>
      <w:pPr>
        <w:ind w:left="1080" w:hanging="360"/>
      </w:pPr>
      <w:rPr>
        <w:rFonts w:ascii="Calibri" w:eastAsiaTheme="minorHAnsi"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B1E46F2"/>
    <w:multiLevelType w:val="hybridMultilevel"/>
    <w:tmpl w:val="DAFED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DF35CB"/>
    <w:multiLevelType w:val="hybridMultilevel"/>
    <w:tmpl w:val="FC3ACC00"/>
    <w:lvl w:ilvl="0" w:tplc="301053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631AA5"/>
    <w:multiLevelType w:val="hybridMultilevel"/>
    <w:tmpl w:val="E4567B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FB0206E"/>
    <w:multiLevelType w:val="hybridMultilevel"/>
    <w:tmpl w:val="97E24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2664221"/>
    <w:multiLevelType w:val="hybridMultilevel"/>
    <w:tmpl w:val="034A7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7074C61"/>
    <w:multiLevelType w:val="hybridMultilevel"/>
    <w:tmpl w:val="90686D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8D627AD"/>
    <w:multiLevelType w:val="hybridMultilevel"/>
    <w:tmpl w:val="9D8464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3F112FAD"/>
    <w:multiLevelType w:val="hybridMultilevel"/>
    <w:tmpl w:val="B8E493D0"/>
    <w:lvl w:ilvl="0" w:tplc="F716D1EA">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44083ACB"/>
    <w:multiLevelType w:val="hybridMultilevel"/>
    <w:tmpl w:val="E26E2752"/>
    <w:lvl w:ilvl="0" w:tplc="A68CC916">
      <w:start w:val="1"/>
      <w:numFmt w:val="bullet"/>
      <w:lvlText w:val=""/>
      <w:lvlJc w:val="left"/>
      <w:pPr>
        <w:ind w:left="360" w:hanging="360"/>
      </w:pPr>
      <w:rPr>
        <w:rFonts w:ascii="Symbol" w:hAnsi="Symbol"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BD6BC5"/>
    <w:multiLevelType w:val="hybridMultilevel"/>
    <w:tmpl w:val="5E461E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4D0E4A73"/>
    <w:multiLevelType w:val="hybridMultilevel"/>
    <w:tmpl w:val="25C20F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4" w15:restartNumberingAfterBreak="0">
    <w:nsid w:val="4F413FB8"/>
    <w:multiLevelType w:val="hybridMultilevel"/>
    <w:tmpl w:val="67E885C0"/>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19C1607"/>
    <w:multiLevelType w:val="hybridMultilevel"/>
    <w:tmpl w:val="837CC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8800151"/>
    <w:multiLevelType w:val="hybridMultilevel"/>
    <w:tmpl w:val="74008784"/>
    <w:lvl w:ilvl="0" w:tplc="9E326DAC">
      <w:start w:val="9"/>
      <w:numFmt w:val="bullet"/>
      <w:lvlText w:val="•"/>
      <w:lvlJc w:val="left"/>
      <w:pPr>
        <w:ind w:left="1932" w:hanging="720"/>
      </w:pPr>
      <w:rPr>
        <w:rFonts w:ascii="Calibri" w:eastAsiaTheme="minorHAnsi" w:hAnsi="Calibri" w:cs="Calibri" w:hint="default"/>
      </w:rPr>
    </w:lvl>
    <w:lvl w:ilvl="1" w:tplc="0C090003">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38" w15:restartNumberingAfterBreak="0">
    <w:nsid w:val="59F67473"/>
    <w:multiLevelType w:val="hybridMultilevel"/>
    <w:tmpl w:val="4BA80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D4F6008"/>
    <w:multiLevelType w:val="hybridMultilevel"/>
    <w:tmpl w:val="A35CA828"/>
    <w:lvl w:ilvl="0" w:tplc="0C09000F">
      <w:start w:val="1"/>
      <w:numFmt w:val="decimal"/>
      <w:lvlText w:val="%1."/>
      <w:lvlJc w:val="left"/>
      <w:pPr>
        <w:ind w:left="1635"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DDB2E73"/>
    <w:multiLevelType w:val="hybridMultilevel"/>
    <w:tmpl w:val="5BF892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7EC936A1"/>
    <w:multiLevelType w:val="hybridMultilevel"/>
    <w:tmpl w:val="18082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58818520">
    <w:abstractNumId w:val="35"/>
  </w:num>
  <w:num w:numId="2" w16cid:durableId="694383474">
    <w:abstractNumId w:val="31"/>
  </w:num>
  <w:num w:numId="3" w16cid:durableId="977104816">
    <w:abstractNumId w:val="31"/>
    <w:lvlOverride w:ilvl="0">
      <w:startOverride w:val="1"/>
    </w:lvlOverride>
  </w:num>
  <w:num w:numId="4" w16cid:durableId="84234221">
    <w:abstractNumId w:val="7"/>
  </w:num>
  <w:num w:numId="5" w16cid:durableId="1560362570">
    <w:abstractNumId w:val="6"/>
  </w:num>
  <w:num w:numId="6" w16cid:durableId="1872918108">
    <w:abstractNumId w:val="5"/>
  </w:num>
  <w:num w:numId="7" w16cid:durableId="920330352">
    <w:abstractNumId w:val="4"/>
  </w:num>
  <w:num w:numId="8" w16cid:durableId="2140566469">
    <w:abstractNumId w:val="8"/>
  </w:num>
  <w:num w:numId="9" w16cid:durableId="986319028">
    <w:abstractNumId w:val="3"/>
  </w:num>
  <w:num w:numId="10" w16cid:durableId="1100176596">
    <w:abstractNumId w:val="2"/>
  </w:num>
  <w:num w:numId="11" w16cid:durableId="585382898">
    <w:abstractNumId w:val="1"/>
  </w:num>
  <w:num w:numId="12" w16cid:durableId="182519408">
    <w:abstractNumId w:val="0"/>
  </w:num>
  <w:num w:numId="13" w16cid:durableId="1796752571">
    <w:abstractNumId w:val="25"/>
  </w:num>
  <w:num w:numId="14" w16cid:durableId="1500730894">
    <w:abstractNumId w:val="25"/>
  </w:num>
  <w:num w:numId="15" w16cid:durableId="1328636636">
    <w:abstractNumId w:val="11"/>
  </w:num>
  <w:num w:numId="16" w16cid:durableId="123350842">
    <w:abstractNumId w:val="38"/>
  </w:num>
  <w:num w:numId="17" w16cid:durableId="660348012">
    <w:abstractNumId w:val="36"/>
  </w:num>
  <w:num w:numId="18" w16cid:durableId="1922568624">
    <w:abstractNumId w:val="26"/>
  </w:num>
  <w:num w:numId="19" w16cid:durableId="1000542425">
    <w:abstractNumId w:val="22"/>
  </w:num>
  <w:num w:numId="20" w16cid:durableId="1645311798">
    <w:abstractNumId w:val="21"/>
  </w:num>
  <w:num w:numId="21" w16cid:durableId="1048725769">
    <w:abstractNumId w:val="41"/>
  </w:num>
  <w:num w:numId="22" w16cid:durableId="1981377206">
    <w:abstractNumId w:val="42"/>
  </w:num>
  <w:num w:numId="23" w16cid:durableId="168452085">
    <w:abstractNumId w:val="27"/>
  </w:num>
  <w:num w:numId="24" w16cid:durableId="371005643">
    <w:abstractNumId w:val="32"/>
  </w:num>
  <w:num w:numId="25" w16cid:durableId="1793358048">
    <w:abstractNumId w:val="34"/>
  </w:num>
  <w:num w:numId="26" w16cid:durableId="1409614909">
    <w:abstractNumId w:val="12"/>
  </w:num>
  <w:num w:numId="27" w16cid:durableId="1254119909">
    <w:abstractNumId w:val="28"/>
  </w:num>
  <w:num w:numId="28" w16cid:durableId="1800802569">
    <w:abstractNumId w:val="9"/>
  </w:num>
  <w:num w:numId="29" w16cid:durableId="536547315">
    <w:abstractNumId w:val="19"/>
  </w:num>
  <w:num w:numId="30" w16cid:durableId="1724519180">
    <w:abstractNumId w:val="10"/>
  </w:num>
  <w:num w:numId="31" w16cid:durableId="2005207853">
    <w:abstractNumId w:val="20"/>
  </w:num>
  <w:num w:numId="32" w16cid:durableId="1432092908">
    <w:abstractNumId w:val="30"/>
  </w:num>
  <w:num w:numId="33" w16cid:durableId="1125928591">
    <w:abstractNumId w:val="29"/>
  </w:num>
  <w:num w:numId="34" w16cid:durableId="596253983">
    <w:abstractNumId w:val="17"/>
  </w:num>
  <w:num w:numId="35" w16cid:durableId="267585017">
    <w:abstractNumId w:val="33"/>
  </w:num>
  <w:num w:numId="36" w16cid:durableId="757674610">
    <w:abstractNumId w:val="23"/>
  </w:num>
  <w:num w:numId="37" w16cid:durableId="900748600">
    <w:abstractNumId w:val="16"/>
  </w:num>
  <w:num w:numId="38" w16cid:durableId="130949696">
    <w:abstractNumId w:val="18"/>
  </w:num>
  <w:num w:numId="39" w16cid:durableId="651567930">
    <w:abstractNumId w:val="13"/>
  </w:num>
  <w:num w:numId="40" w16cid:durableId="1650555344">
    <w:abstractNumId w:val="37"/>
  </w:num>
  <w:num w:numId="41" w16cid:durableId="1239439750">
    <w:abstractNumId w:val="40"/>
  </w:num>
  <w:num w:numId="42" w16cid:durableId="1395006613">
    <w:abstractNumId w:val="14"/>
  </w:num>
  <w:num w:numId="43" w16cid:durableId="2140226637">
    <w:abstractNumId w:val="24"/>
  </w:num>
  <w:num w:numId="44" w16cid:durableId="5615211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0221108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10283"/>
    <w:rsid w:val="00012D38"/>
    <w:rsid w:val="000327C0"/>
    <w:rsid w:val="00033867"/>
    <w:rsid w:val="00037DB3"/>
    <w:rsid w:val="000473A7"/>
    <w:rsid w:val="000542D5"/>
    <w:rsid w:val="0005501A"/>
    <w:rsid w:val="00066D43"/>
    <w:rsid w:val="00074EFF"/>
    <w:rsid w:val="00090D89"/>
    <w:rsid w:val="000A43AB"/>
    <w:rsid w:val="000A5E40"/>
    <w:rsid w:val="000A78F5"/>
    <w:rsid w:val="000A7C30"/>
    <w:rsid w:val="000B56A7"/>
    <w:rsid w:val="000C237E"/>
    <w:rsid w:val="000C3AE1"/>
    <w:rsid w:val="000C638A"/>
    <w:rsid w:val="000C6625"/>
    <w:rsid w:val="000D472F"/>
    <w:rsid w:val="000F0D83"/>
    <w:rsid w:val="00100F54"/>
    <w:rsid w:val="00106165"/>
    <w:rsid w:val="00106D53"/>
    <w:rsid w:val="001133E2"/>
    <w:rsid w:val="00122246"/>
    <w:rsid w:val="001309B6"/>
    <w:rsid w:val="00130D31"/>
    <w:rsid w:val="00131F66"/>
    <w:rsid w:val="001338E7"/>
    <w:rsid w:val="00142953"/>
    <w:rsid w:val="0015395C"/>
    <w:rsid w:val="0016112D"/>
    <w:rsid w:val="00161394"/>
    <w:rsid w:val="00170825"/>
    <w:rsid w:val="00174A06"/>
    <w:rsid w:val="0018072D"/>
    <w:rsid w:val="001A278A"/>
    <w:rsid w:val="001A6421"/>
    <w:rsid w:val="001B1D40"/>
    <w:rsid w:val="001B31C6"/>
    <w:rsid w:val="001C22E2"/>
    <w:rsid w:val="001C6443"/>
    <w:rsid w:val="001D24EE"/>
    <w:rsid w:val="001D2D9F"/>
    <w:rsid w:val="001E4695"/>
    <w:rsid w:val="001F1ACE"/>
    <w:rsid w:val="00211410"/>
    <w:rsid w:val="00212201"/>
    <w:rsid w:val="00213B15"/>
    <w:rsid w:val="00216E12"/>
    <w:rsid w:val="00221C2F"/>
    <w:rsid w:val="00222C7A"/>
    <w:rsid w:val="00232A44"/>
    <w:rsid w:val="00241B53"/>
    <w:rsid w:val="00243E23"/>
    <w:rsid w:val="002668B3"/>
    <w:rsid w:val="00275CC2"/>
    <w:rsid w:val="00275CFF"/>
    <w:rsid w:val="00277621"/>
    <w:rsid w:val="00287CB1"/>
    <w:rsid w:val="00295DD6"/>
    <w:rsid w:val="002B1EC4"/>
    <w:rsid w:val="002D48CF"/>
    <w:rsid w:val="00300731"/>
    <w:rsid w:val="0031499B"/>
    <w:rsid w:val="00315F83"/>
    <w:rsid w:val="00321E90"/>
    <w:rsid w:val="00323386"/>
    <w:rsid w:val="00325465"/>
    <w:rsid w:val="0032739B"/>
    <w:rsid w:val="00332E18"/>
    <w:rsid w:val="00336712"/>
    <w:rsid w:val="00336EF1"/>
    <w:rsid w:val="00337B49"/>
    <w:rsid w:val="00344A3B"/>
    <w:rsid w:val="00350E4C"/>
    <w:rsid w:val="0035741A"/>
    <w:rsid w:val="003610E7"/>
    <w:rsid w:val="0036352C"/>
    <w:rsid w:val="003677B7"/>
    <w:rsid w:val="00372E9E"/>
    <w:rsid w:val="00373F8C"/>
    <w:rsid w:val="00380246"/>
    <w:rsid w:val="0038228E"/>
    <w:rsid w:val="00383A55"/>
    <w:rsid w:val="003B2413"/>
    <w:rsid w:val="003C3B84"/>
    <w:rsid w:val="003C494D"/>
    <w:rsid w:val="003C7012"/>
    <w:rsid w:val="003D13A1"/>
    <w:rsid w:val="003D4B32"/>
    <w:rsid w:val="003D526B"/>
    <w:rsid w:val="003D5761"/>
    <w:rsid w:val="003D65AE"/>
    <w:rsid w:val="003E72F6"/>
    <w:rsid w:val="003F5FEE"/>
    <w:rsid w:val="00400CD2"/>
    <w:rsid w:val="00402EB2"/>
    <w:rsid w:val="00405185"/>
    <w:rsid w:val="00406C81"/>
    <w:rsid w:val="00411216"/>
    <w:rsid w:val="00422D3C"/>
    <w:rsid w:val="00427AFB"/>
    <w:rsid w:val="004418C7"/>
    <w:rsid w:val="00442595"/>
    <w:rsid w:val="00444020"/>
    <w:rsid w:val="00444156"/>
    <w:rsid w:val="00454E98"/>
    <w:rsid w:val="0045649F"/>
    <w:rsid w:val="00461C74"/>
    <w:rsid w:val="00466461"/>
    <w:rsid w:val="004666C8"/>
    <w:rsid w:val="004749E9"/>
    <w:rsid w:val="00483911"/>
    <w:rsid w:val="00484C33"/>
    <w:rsid w:val="00484E17"/>
    <w:rsid w:val="0048701C"/>
    <w:rsid w:val="0048754A"/>
    <w:rsid w:val="00487619"/>
    <w:rsid w:val="00494170"/>
    <w:rsid w:val="00495A33"/>
    <w:rsid w:val="004A1B9E"/>
    <w:rsid w:val="004A6032"/>
    <w:rsid w:val="004B3FAE"/>
    <w:rsid w:val="004B725D"/>
    <w:rsid w:val="004D146F"/>
    <w:rsid w:val="004D27C1"/>
    <w:rsid w:val="004E5691"/>
    <w:rsid w:val="004F216C"/>
    <w:rsid w:val="004F46F9"/>
    <w:rsid w:val="004F77E4"/>
    <w:rsid w:val="00503972"/>
    <w:rsid w:val="00510C94"/>
    <w:rsid w:val="005124E7"/>
    <w:rsid w:val="005127EA"/>
    <w:rsid w:val="00517201"/>
    <w:rsid w:val="005303CC"/>
    <w:rsid w:val="0053438A"/>
    <w:rsid w:val="005363A4"/>
    <w:rsid w:val="00562C5F"/>
    <w:rsid w:val="005700EC"/>
    <w:rsid w:val="00590071"/>
    <w:rsid w:val="005B09E3"/>
    <w:rsid w:val="005B55F6"/>
    <w:rsid w:val="005D3B2C"/>
    <w:rsid w:val="005D462C"/>
    <w:rsid w:val="005E6559"/>
    <w:rsid w:val="005F1007"/>
    <w:rsid w:val="005F5131"/>
    <w:rsid w:val="00600E33"/>
    <w:rsid w:val="00605879"/>
    <w:rsid w:val="006066F2"/>
    <w:rsid w:val="00623478"/>
    <w:rsid w:val="00624B69"/>
    <w:rsid w:val="00632A20"/>
    <w:rsid w:val="006404C7"/>
    <w:rsid w:val="00646E2B"/>
    <w:rsid w:val="00657B23"/>
    <w:rsid w:val="0066581D"/>
    <w:rsid w:val="0068086C"/>
    <w:rsid w:val="00682012"/>
    <w:rsid w:val="00682871"/>
    <w:rsid w:val="00694EE1"/>
    <w:rsid w:val="0069500D"/>
    <w:rsid w:val="006A16BC"/>
    <w:rsid w:val="006A7461"/>
    <w:rsid w:val="006B26DF"/>
    <w:rsid w:val="006B7907"/>
    <w:rsid w:val="006C05DC"/>
    <w:rsid w:val="006C2439"/>
    <w:rsid w:val="006C2C2B"/>
    <w:rsid w:val="006C313E"/>
    <w:rsid w:val="006C57B8"/>
    <w:rsid w:val="006E73EF"/>
    <w:rsid w:val="006F34FE"/>
    <w:rsid w:val="006F4240"/>
    <w:rsid w:val="006F7171"/>
    <w:rsid w:val="00703F41"/>
    <w:rsid w:val="0071455D"/>
    <w:rsid w:val="00724071"/>
    <w:rsid w:val="00742658"/>
    <w:rsid w:val="007427C3"/>
    <w:rsid w:val="00772E39"/>
    <w:rsid w:val="00777633"/>
    <w:rsid w:val="0078288C"/>
    <w:rsid w:val="007A0F88"/>
    <w:rsid w:val="007A581F"/>
    <w:rsid w:val="007A5929"/>
    <w:rsid w:val="007B09B5"/>
    <w:rsid w:val="007C7AA8"/>
    <w:rsid w:val="007E1046"/>
    <w:rsid w:val="007F370E"/>
    <w:rsid w:val="007F4F60"/>
    <w:rsid w:val="00801900"/>
    <w:rsid w:val="00810EB7"/>
    <w:rsid w:val="00815788"/>
    <w:rsid w:val="00815818"/>
    <w:rsid w:val="00816BAF"/>
    <w:rsid w:val="0083541A"/>
    <w:rsid w:val="00835BBA"/>
    <w:rsid w:val="00842220"/>
    <w:rsid w:val="008442E3"/>
    <w:rsid w:val="008637C5"/>
    <w:rsid w:val="00864003"/>
    <w:rsid w:val="008657DB"/>
    <w:rsid w:val="008712A2"/>
    <w:rsid w:val="00874A5A"/>
    <w:rsid w:val="0089269D"/>
    <w:rsid w:val="008A5174"/>
    <w:rsid w:val="008A60F4"/>
    <w:rsid w:val="008B0AF4"/>
    <w:rsid w:val="008B1EF9"/>
    <w:rsid w:val="008C48A4"/>
    <w:rsid w:val="008D5A7F"/>
    <w:rsid w:val="008D6628"/>
    <w:rsid w:val="008E3711"/>
    <w:rsid w:val="008F0DA1"/>
    <w:rsid w:val="008F464E"/>
    <w:rsid w:val="008F6454"/>
    <w:rsid w:val="00900316"/>
    <w:rsid w:val="00901147"/>
    <w:rsid w:val="00902E16"/>
    <w:rsid w:val="0091005E"/>
    <w:rsid w:val="009227CD"/>
    <w:rsid w:val="00932C7D"/>
    <w:rsid w:val="009354B8"/>
    <w:rsid w:val="00935DFC"/>
    <w:rsid w:val="00937B18"/>
    <w:rsid w:val="0096681A"/>
    <w:rsid w:val="009944FA"/>
    <w:rsid w:val="009A617A"/>
    <w:rsid w:val="009C48B4"/>
    <w:rsid w:val="009C760F"/>
    <w:rsid w:val="009D3C1F"/>
    <w:rsid w:val="009D530D"/>
    <w:rsid w:val="009D5FC3"/>
    <w:rsid w:val="009E09CB"/>
    <w:rsid w:val="009E0A73"/>
    <w:rsid w:val="009E34ED"/>
    <w:rsid w:val="009E68B2"/>
    <w:rsid w:val="009F224A"/>
    <w:rsid w:val="00A003E4"/>
    <w:rsid w:val="00A0200F"/>
    <w:rsid w:val="00A110A7"/>
    <w:rsid w:val="00A12521"/>
    <w:rsid w:val="00A153A7"/>
    <w:rsid w:val="00A25308"/>
    <w:rsid w:val="00A64943"/>
    <w:rsid w:val="00A64F92"/>
    <w:rsid w:val="00A7033B"/>
    <w:rsid w:val="00A75DCB"/>
    <w:rsid w:val="00A82501"/>
    <w:rsid w:val="00AB2A1C"/>
    <w:rsid w:val="00AD15DA"/>
    <w:rsid w:val="00AD2164"/>
    <w:rsid w:val="00AD4F45"/>
    <w:rsid w:val="00AE0B9F"/>
    <w:rsid w:val="00AE3F47"/>
    <w:rsid w:val="00AF28BC"/>
    <w:rsid w:val="00B0065B"/>
    <w:rsid w:val="00B01FD1"/>
    <w:rsid w:val="00B07470"/>
    <w:rsid w:val="00B07B55"/>
    <w:rsid w:val="00B21241"/>
    <w:rsid w:val="00B3470F"/>
    <w:rsid w:val="00B44EEA"/>
    <w:rsid w:val="00B561D0"/>
    <w:rsid w:val="00B630B4"/>
    <w:rsid w:val="00B65EC5"/>
    <w:rsid w:val="00B72AE6"/>
    <w:rsid w:val="00B76664"/>
    <w:rsid w:val="00B9034C"/>
    <w:rsid w:val="00B935FC"/>
    <w:rsid w:val="00B94C49"/>
    <w:rsid w:val="00B97615"/>
    <w:rsid w:val="00BA1D3B"/>
    <w:rsid w:val="00BA57A4"/>
    <w:rsid w:val="00BA7ED5"/>
    <w:rsid w:val="00BE5B52"/>
    <w:rsid w:val="00BF67A8"/>
    <w:rsid w:val="00C01E12"/>
    <w:rsid w:val="00C04B15"/>
    <w:rsid w:val="00C14394"/>
    <w:rsid w:val="00C21CBC"/>
    <w:rsid w:val="00C35EF7"/>
    <w:rsid w:val="00C438D8"/>
    <w:rsid w:val="00C453F8"/>
    <w:rsid w:val="00C5544E"/>
    <w:rsid w:val="00C559F1"/>
    <w:rsid w:val="00C56EA9"/>
    <w:rsid w:val="00C619E0"/>
    <w:rsid w:val="00C63F2F"/>
    <w:rsid w:val="00C70300"/>
    <w:rsid w:val="00C86C69"/>
    <w:rsid w:val="00C93F8D"/>
    <w:rsid w:val="00CB11B0"/>
    <w:rsid w:val="00CB2D19"/>
    <w:rsid w:val="00CC731E"/>
    <w:rsid w:val="00CD4388"/>
    <w:rsid w:val="00CD60BF"/>
    <w:rsid w:val="00CE549B"/>
    <w:rsid w:val="00CF0720"/>
    <w:rsid w:val="00D14AA8"/>
    <w:rsid w:val="00D164F5"/>
    <w:rsid w:val="00D219BC"/>
    <w:rsid w:val="00D25F32"/>
    <w:rsid w:val="00D44E60"/>
    <w:rsid w:val="00D47817"/>
    <w:rsid w:val="00D52B60"/>
    <w:rsid w:val="00D57B91"/>
    <w:rsid w:val="00D83784"/>
    <w:rsid w:val="00D858FE"/>
    <w:rsid w:val="00D85FF2"/>
    <w:rsid w:val="00DA66D0"/>
    <w:rsid w:val="00DB3360"/>
    <w:rsid w:val="00DB4731"/>
    <w:rsid w:val="00DD1BD7"/>
    <w:rsid w:val="00DD4E82"/>
    <w:rsid w:val="00DE7BBF"/>
    <w:rsid w:val="00DF74BC"/>
    <w:rsid w:val="00E0028D"/>
    <w:rsid w:val="00E07210"/>
    <w:rsid w:val="00E228AB"/>
    <w:rsid w:val="00E22A18"/>
    <w:rsid w:val="00E42DFF"/>
    <w:rsid w:val="00E47527"/>
    <w:rsid w:val="00E52671"/>
    <w:rsid w:val="00E5310C"/>
    <w:rsid w:val="00E72AC8"/>
    <w:rsid w:val="00E869DE"/>
    <w:rsid w:val="00E95D3D"/>
    <w:rsid w:val="00E97075"/>
    <w:rsid w:val="00EB343B"/>
    <w:rsid w:val="00EB40F9"/>
    <w:rsid w:val="00EC5120"/>
    <w:rsid w:val="00EC60D1"/>
    <w:rsid w:val="00EC7C4E"/>
    <w:rsid w:val="00ED3317"/>
    <w:rsid w:val="00ED7452"/>
    <w:rsid w:val="00EE289B"/>
    <w:rsid w:val="00EE318E"/>
    <w:rsid w:val="00EE5ACC"/>
    <w:rsid w:val="00EE755B"/>
    <w:rsid w:val="00EF763E"/>
    <w:rsid w:val="00F10792"/>
    <w:rsid w:val="00F12224"/>
    <w:rsid w:val="00F34717"/>
    <w:rsid w:val="00F66E7F"/>
    <w:rsid w:val="00F713D8"/>
    <w:rsid w:val="00F729E5"/>
    <w:rsid w:val="00F803D7"/>
    <w:rsid w:val="00F86168"/>
    <w:rsid w:val="00F91049"/>
    <w:rsid w:val="00F93E22"/>
    <w:rsid w:val="00F96EB9"/>
    <w:rsid w:val="00FA15A5"/>
    <w:rsid w:val="00FA68F3"/>
    <w:rsid w:val="00FB1A8B"/>
    <w:rsid w:val="00FC0670"/>
    <w:rsid w:val="00FD13AB"/>
    <w:rsid w:val="00FD5430"/>
    <w:rsid w:val="00FD6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8E"/>
    <w:rPr>
      <w:sz w:val="20"/>
    </w:rPr>
  </w:style>
  <w:style w:type="paragraph" w:styleId="Heading1">
    <w:name w:val="heading 1"/>
    <w:basedOn w:val="Normal"/>
    <w:next w:val="Normal"/>
    <w:link w:val="Heading1Char"/>
    <w:uiPriority w:val="9"/>
    <w:qFormat/>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33"/>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rsid w:val="0031499B"/>
    <w:pPr>
      <w:numPr>
        <w:numId w:val="13"/>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paragraph" w:customStyle="1" w:styleId="Intro">
    <w:name w:val="Intro"/>
    <w:basedOn w:val="Normal"/>
    <w:qFormat/>
    <w:rsid w:val="0032739B"/>
    <w:rPr>
      <w:b/>
    </w:rPr>
  </w:style>
  <w:style w:type="character" w:styleId="Hyperlink">
    <w:name w:val="Hyperlink"/>
    <w:basedOn w:val="DefaultParagraphFont"/>
    <w:uiPriority w:val="99"/>
    <w:unhideWhenUsed/>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semiHidden/>
    <w:unhideWhenUsed/>
    <w:rsid w:val="001E4695"/>
    <w:rPr>
      <w:szCs w:val="20"/>
    </w:rPr>
  </w:style>
  <w:style w:type="character" w:customStyle="1" w:styleId="CommentTextChar">
    <w:name w:val="Comment Text Char"/>
    <w:basedOn w:val="DefaultParagraphFont"/>
    <w:link w:val="CommentText"/>
    <w:uiPriority w:val="99"/>
    <w:semiHidden/>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2"/>
      </w:numPr>
      <w:ind w:left="714" w:hanging="357"/>
    </w:pPr>
  </w:style>
  <w:style w:type="paragraph" w:customStyle="1" w:styleId="FEGTitle">
    <w:name w:val="FEG Title"/>
    <w:qFormat/>
    <w:rsid w:val="007C7AA8"/>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6"/>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locked/>
    <w:rsid w:val="00321E90"/>
    <w:rPr>
      <w:sz w:val="20"/>
    </w:rPr>
  </w:style>
  <w:style w:type="table" w:styleId="TableGridLight">
    <w:name w:val="Grid Table Light"/>
    <w:basedOn w:val="TableNormal"/>
    <w:uiPriority w:val="40"/>
    <w:rsid w:val="002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28BC"/>
    <w:pPr>
      <w:spacing w:after="0" w:line="240" w:lineRule="auto"/>
    </w:pPr>
    <w:rPr>
      <w:sz w:val="19"/>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color w:val="FFFFFF" w:themeColor="background1"/>
      </w:rPr>
      <w:tblPr/>
      <w:tcPr>
        <w:shd w:val="clear" w:color="auto" w:fill="78730A"/>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35741A"/>
    <w:rPr>
      <w:color w:val="605E5C"/>
      <w:shd w:val="clear" w:color="auto" w:fill="E1DFDD"/>
    </w:rPr>
  </w:style>
  <w:style w:type="paragraph" w:styleId="Revision">
    <w:name w:val="Revision"/>
    <w:hidden/>
    <w:uiPriority w:val="99"/>
    <w:semiHidden/>
    <w:rsid w:val="008D6628"/>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dewr.gov.au/fair-entitlements-guarante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FEG@dewr.gov.au"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customXml/itemProps2.xml><?xml version="1.0" encoding="utf-8"?>
<ds:datastoreItem xmlns:ds="http://schemas.openxmlformats.org/officeDocument/2006/customXml" ds:itemID="{956A2879-9707-4D7C-A322-84C662B6A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4.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1691</Words>
  <Characters>9640</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Fair Entitlememts Guarantee Fact Sheet Template</vt:lpstr>
    </vt:vector>
  </TitlesOfParts>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Entitlememts Guarantee Fact Sheet Template</dc:title>
  <dc:creator/>
  <cp:lastModifiedBy/>
  <cp:revision>1</cp:revision>
  <dcterms:created xsi:type="dcterms:W3CDTF">2024-05-30T07:01:00Z</dcterms:created>
  <dcterms:modified xsi:type="dcterms:W3CDTF">2024-05-30T07:01:00Z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5f877481-9e35-4b68-b667-876a73c6db41_Enabled">
    <vt:lpwstr>true</vt:lpwstr>
  </property>
  <property fmtid="{D5CDD505-2E9C-101B-9397-08002B2CF9AE}" pid="8" name="MSIP_Label_5f877481-9e35-4b68-b667-876a73c6db41_SetDate">
    <vt:lpwstr>2022-08-15T06:45:02Z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da5687e6-f822-420a-9d0b-64e0cc01870a</vt:lpwstr>
  </property>
  <property fmtid="{D5CDD505-2E9C-101B-9397-08002B2CF9AE}" pid="13" name="MSIP_Label_5f877481-9e35-4b68-b667-876a73c6db41_ContentBits">
    <vt:lpwstr>0</vt:lpwstr>
  </property>
</Properties>
</file>