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A09" w14:textId="22C9246E" w:rsidR="006E5D6E" w:rsidRDefault="00EC3468" w:rsidP="00350FFA">
      <w:pPr>
        <w:ind w:left="-1474"/>
      </w:pPr>
      <w:r>
        <w:rPr>
          <w:noProof/>
        </w:rPr>
        <w:drawing>
          <wp:anchor distT="0" distB="0" distL="114300" distR="114300" simplePos="0" relativeHeight="251658240" behindDoc="1" locked="0" layoutInCell="1" allowOverlap="1" wp14:anchorId="1987648F" wp14:editId="268BCAF2">
            <wp:simplePos x="0" y="0"/>
            <wp:positionH relativeFrom="column">
              <wp:posOffset>-791972</wp:posOffset>
            </wp:positionH>
            <wp:positionV relativeFrom="paragraph">
              <wp:posOffset>-882142</wp:posOffset>
            </wp:positionV>
            <wp:extent cx="7530010" cy="10643616"/>
            <wp:effectExtent l="0" t="0" r="127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a:stretch>
                      <a:fillRect/>
                    </a:stretch>
                  </pic:blipFill>
                  <pic:spPr>
                    <a:xfrm>
                      <a:off x="0" y="0"/>
                      <a:ext cx="7547013" cy="10667650"/>
                    </a:xfrm>
                    <a:prstGeom prst="rect">
                      <a:avLst/>
                    </a:prstGeom>
                  </pic:spPr>
                </pic:pic>
              </a:graphicData>
            </a:graphic>
            <wp14:sizeRelH relativeFrom="page">
              <wp14:pctWidth>0</wp14:pctWidth>
            </wp14:sizeRelH>
            <wp14:sizeRelV relativeFrom="page">
              <wp14:pctHeight>0</wp14:pctHeight>
            </wp14:sizeRelV>
          </wp:anchor>
        </w:drawing>
      </w:r>
    </w:p>
    <w:p w14:paraId="57D930FB" w14:textId="19A28B67" w:rsidR="00930CDA" w:rsidRDefault="00337D19" w:rsidP="00930CDA">
      <w:pPr>
        <w:spacing w:after="160" w:line="720" w:lineRule="auto"/>
        <w:rPr>
          <w:noProof/>
          <w:lang w:eastAsia="en-AU"/>
        </w:rPr>
      </w:pPr>
      <w:r>
        <w:rPr>
          <w:noProof/>
        </w:rPr>
        <w:drawing>
          <wp:inline distT="0" distB="0" distL="0" distR="0" wp14:anchorId="360793E7" wp14:editId="0BCA9D8D">
            <wp:extent cx="2383200" cy="727200"/>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200" cy="727200"/>
                    </a:xfrm>
                    <a:prstGeom prst="rect">
                      <a:avLst/>
                    </a:prstGeom>
                  </pic:spPr>
                </pic:pic>
              </a:graphicData>
            </a:graphic>
          </wp:inline>
        </w:drawing>
      </w:r>
    </w:p>
    <w:p w14:paraId="4238F4CF" w14:textId="1ABDD69C" w:rsidR="00930CDA" w:rsidRDefault="00A94E65" w:rsidP="007855CC">
      <w:pPr>
        <w:pStyle w:val="Title"/>
        <w:spacing w:line="240" w:lineRule="auto"/>
        <w:ind w:left="1276"/>
        <w:rPr>
          <w:noProof/>
          <w:lang w:eastAsia="en-AU"/>
        </w:rPr>
      </w:pPr>
      <w:r>
        <w:rPr>
          <w:noProof/>
          <w:lang w:eastAsia="en-AU"/>
        </w:rPr>
        <w:t>Complete Privacy Policy</w:t>
      </w:r>
    </w:p>
    <w:p w14:paraId="1E148B0F" w14:textId="7FDEEB2C" w:rsidR="007855CC" w:rsidRDefault="007855CC" w:rsidP="007855CC">
      <w:pPr>
        <w:pStyle w:val="Subtitle"/>
        <w:spacing w:before="240"/>
        <w:ind w:left="1276"/>
        <w:rPr>
          <w:noProof/>
          <w:lang w:eastAsia="en-AU"/>
        </w:rPr>
      </w:pPr>
    </w:p>
    <w:p w14:paraId="15277A78" w14:textId="77777777" w:rsidR="00930CDA" w:rsidRPr="0095636C" w:rsidRDefault="00930CDA" w:rsidP="0095636C">
      <w:r>
        <w:rPr>
          <w:noProof/>
          <w:lang w:eastAsia="en-AU"/>
        </w:rPr>
        <w:br w:type="page"/>
      </w:r>
    </w:p>
    <w:p w14:paraId="26921407" w14:textId="77777777" w:rsidR="002B1CE5" w:rsidRDefault="002B1CE5" w:rsidP="002B1CE5">
      <w:pPr>
        <w:pStyle w:val="Title"/>
      </w:pPr>
      <w:r>
        <w:lastRenderedPageBreak/>
        <w:t>Title</w:t>
      </w:r>
    </w:p>
    <w:p w14:paraId="3497AA11" w14:textId="77777777" w:rsidR="00A94E65" w:rsidRDefault="00A94E65" w:rsidP="00EA67FC">
      <w:pPr>
        <w:tabs>
          <w:tab w:val="left" w:pos="5856"/>
        </w:tabs>
        <w:spacing w:before="8400"/>
        <w:contextualSpacing/>
      </w:pPr>
      <w:bookmarkStart w:id="0" w:name="_Toc30065222"/>
    </w:p>
    <w:p w14:paraId="5237B4EF" w14:textId="77777777" w:rsidR="00A94E65" w:rsidRDefault="00A94E65" w:rsidP="00EA67FC">
      <w:pPr>
        <w:tabs>
          <w:tab w:val="left" w:pos="5856"/>
        </w:tabs>
        <w:spacing w:before="8400"/>
        <w:contextualSpacing/>
      </w:pPr>
    </w:p>
    <w:p w14:paraId="3184C0D7" w14:textId="77777777" w:rsidR="00A94E65" w:rsidRDefault="00A94E65" w:rsidP="00EA67FC">
      <w:pPr>
        <w:tabs>
          <w:tab w:val="left" w:pos="5856"/>
        </w:tabs>
        <w:spacing w:before="8400"/>
        <w:contextualSpacing/>
      </w:pPr>
    </w:p>
    <w:p w14:paraId="4D17207E" w14:textId="7244B964" w:rsidR="007855CC" w:rsidRPr="003C539C" w:rsidRDefault="007855CC" w:rsidP="00EA67FC">
      <w:pPr>
        <w:tabs>
          <w:tab w:val="left" w:pos="5856"/>
        </w:tabs>
        <w:spacing w:before="8400"/>
        <w:contextualSpacing/>
      </w:pPr>
      <w:r w:rsidRPr="003C539C">
        <w:t>ISBN</w:t>
      </w:r>
    </w:p>
    <w:p w14:paraId="241E9441" w14:textId="77777777" w:rsidR="007855CC" w:rsidRPr="003C539C" w:rsidRDefault="007855CC" w:rsidP="007855CC">
      <w:pPr>
        <w:pStyle w:val="numberedpara"/>
        <w:numPr>
          <w:ilvl w:val="0"/>
          <w:numId w:val="0"/>
        </w:numPr>
      </w:pPr>
      <w:r w:rsidRPr="003C539C">
        <w:rPr>
          <w:noProof/>
        </w:rPr>
        <w:drawing>
          <wp:inline distT="0" distB="0" distL="0" distR="0" wp14:anchorId="22FD046B" wp14:editId="5F9F4DA4">
            <wp:extent cx="847725" cy="285750"/>
            <wp:effectExtent l="0" t="0" r="9525" b="0"/>
            <wp:docPr id="5"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1" r:link="rId12"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442A44C0" w14:textId="77777777" w:rsidR="007855CC" w:rsidRPr="003C539C" w:rsidRDefault="007855CC" w:rsidP="007855CC">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3" w:history="1">
        <w:r w:rsidRPr="003C539C">
          <w:rPr>
            <w:rStyle w:val="Hyperlink"/>
            <w:color w:val="002D3F" w:themeColor="text2"/>
          </w:rPr>
          <w:t>Creative Commons Attribution 3.0 Australia</w:t>
        </w:r>
      </w:hyperlink>
      <w:r>
        <w:t xml:space="preserve"> licence.</w:t>
      </w:r>
      <w:r>
        <w:br/>
      </w:r>
      <w:r w:rsidRPr="003C539C">
        <w:t xml:space="preserve">The details of the relevant licence conditions are available on the Creative Commons website (accessible using the links provided) as is the full legal code for the </w:t>
      </w:r>
      <w:hyperlink r:id="rId14" w:history="1">
        <w:r w:rsidRPr="003C539C">
          <w:rPr>
            <w:rStyle w:val="Hyperlink"/>
            <w:color w:val="002D3F" w:themeColor="text2"/>
          </w:rPr>
          <w:t>CC BY 3.0 AU licence</w:t>
        </w:r>
      </w:hyperlink>
      <w:r>
        <w:t>.</w:t>
      </w:r>
    </w:p>
    <w:p w14:paraId="1ACFAA15" w14:textId="612BFFFE" w:rsidR="00EA67FC" w:rsidRDefault="007855CC" w:rsidP="007855CC">
      <w:r w:rsidRPr="003C539C">
        <w:t xml:space="preserve">The document must be attributed as the </w:t>
      </w:r>
      <w:r w:rsidR="00A94E65">
        <w:t>Department of Employment and Workplace Relations Complete Privacy Policy</w:t>
      </w:r>
      <w:r w:rsidRPr="003C539C">
        <w:t>.</w:t>
      </w:r>
      <w:r w:rsidR="00EA67FC">
        <w:br w:type="page"/>
      </w:r>
    </w:p>
    <w:p w14:paraId="2BBCB76E" w14:textId="77777777" w:rsidR="007855CC" w:rsidRDefault="007855CC" w:rsidP="007855CC">
      <w:pPr>
        <w:sectPr w:rsidR="007855CC" w:rsidSect="00EA67FC">
          <w:footerReference w:type="default" r:id="rId15"/>
          <w:type w:val="continuous"/>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01D5BB99" w14:textId="77777777" w:rsidR="007855CC" w:rsidRPr="003C539C" w:rsidRDefault="007855CC" w:rsidP="007855CC">
          <w:pPr>
            <w:pStyle w:val="TOCHeading"/>
          </w:pPr>
          <w:r w:rsidRPr="00D84395">
            <w:t>Contents</w:t>
          </w:r>
        </w:p>
        <w:p w14:paraId="1F05BC26" w14:textId="07B769D2" w:rsidR="00B87513" w:rsidRDefault="0095636C" w:rsidP="00B87513">
          <w:pPr>
            <w:pStyle w:val="TOC1"/>
            <w:rPr>
              <w:rFonts w:eastAsiaTheme="minorEastAsia"/>
              <w:noProof/>
              <w:lang w:eastAsia="en-AU"/>
            </w:rPr>
          </w:pPr>
          <w:r>
            <w:rPr>
              <w:rFonts w:ascii="Calibri" w:eastAsiaTheme="majorEastAsia" w:hAnsi="Calibri" w:cstheme="majorBidi"/>
              <w:color w:val="343741"/>
              <w:sz w:val="32"/>
              <w:szCs w:val="32"/>
            </w:rPr>
            <w:fldChar w:fldCharType="begin"/>
          </w:r>
          <w:r>
            <w:rPr>
              <w:rFonts w:ascii="Calibri" w:eastAsiaTheme="majorEastAsia" w:hAnsi="Calibri" w:cstheme="majorBidi"/>
              <w:color w:val="343741"/>
              <w:sz w:val="32"/>
              <w:szCs w:val="32"/>
            </w:rPr>
            <w:instrText xml:space="preserve"> TOC \o "1-3" \h \z \u </w:instrText>
          </w:r>
          <w:r>
            <w:rPr>
              <w:rFonts w:ascii="Calibri" w:eastAsiaTheme="majorEastAsia" w:hAnsi="Calibri" w:cstheme="majorBidi"/>
              <w:color w:val="343741"/>
              <w:sz w:val="32"/>
              <w:szCs w:val="32"/>
            </w:rPr>
            <w:fldChar w:fldCharType="separate"/>
          </w:r>
          <w:hyperlink w:anchor="_Toc136427235" w:history="1">
            <w:r w:rsidR="00B87513" w:rsidRPr="00762D5C">
              <w:rPr>
                <w:rStyle w:val="Hyperlink"/>
                <w:noProof/>
              </w:rPr>
              <w:t>Introduction</w:t>
            </w:r>
            <w:r w:rsidR="00B87513">
              <w:rPr>
                <w:noProof/>
                <w:webHidden/>
              </w:rPr>
              <w:tab/>
            </w:r>
            <w:r w:rsidR="00B87513">
              <w:rPr>
                <w:noProof/>
                <w:webHidden/>
              </w:rPr>
              <w:fldChar w:fldCharType="begin"/>
            </w:r>
            <w:r w:rsidR="00B87513">
              <w:rPr>
                <w:noProof/>
                <w:webHidden/>
              </w:rPr>
              <w:instrText xml:space="preserve"> PAGEREF _Toc136427235 \h </w:instrText>
            </w:r>
            <w:r w:rsidR="00B87513">
              <w:rPr>
                <w:noProof/>
                <w:webHidden/>
              </w:rPr>
            </w:r>
            <w:r w:rsidR="00B87513">
              <w:rPr>
                <w:noProof/>
                <w:webHidden/>
              </w:rPr>
              <w:fldChar w:fldCharType="separate"/>
            </w:r>
            <w:r w:rsidR="00AF6244">
              <w:rPr>
                <w:noProof/>
                <w:webHidden/>
              </w:rPr>
              <w:t>5</w:t>
            </w:r>
            <w:r w:rsidR="00B87513">
              <w:rPr>
                <w:noProof/>
                <w:webHidden/>
              </w:rPr>
              <w:fldChar w:fldCharType="end"/>
            </w:r>
          </w:hyperlink>
        </w:p>
        <w:p w14:paraId="3A0FD0C1" w14:textId="12D442E1" w:rsidR="00B87513" w:rsidRDefault="00000000">
          <w:pPr>
            <w:pStyle w:val="TOC2"/>
            <w:tabs>
              <w:tab w:val="right" w:leader="dot" w:pos="9060"/>
            </w:tabs>
            <w:rPr>
              <w:rFonts w:eastAsiaTheme="minorEastAsia"/>
              <w:noProof/>
              <w:lang w:eastAsia="en-AU"/>
            </w:rPr>
          </w:pPr>
          <w:hyperlink w:anchor="_Toc136427236" w:history="1">
            <w:r w:rsidR="00B87513" w:rsidRPr="00762D5C">
              <w:rPr>
                <w:rStyle w:val="Hyperlink"/>
                <w:noProof/>
              </w:rPr>
              <w:t>Who should read this privacy policy?</w:t>
            </w:r>
            <w:r w:rsidR="00B87513">
              <w:rPr>
                <w:noProof/>
                <w:webHidden/>
              </w:rPr>
              <w:tab/>
            </w:r>
            <w:r w:rsidR="00B87513">
              <w:rPr>
                <w:noProof/>
                <w:webHidden/>
              </w:rPr>
              <w:fldChar w:fldCharType="begin"/>
            </w:r>
            <w:r w:rsidR="00B87513">
              <w:rPr>
                <w:noProof/>
                <w:webHidden/>
              </w:rPr>
              <w:instrText xml:space="preserve"> PAGEREF _Toc136427236 \h </w:instrText>
            </w:r>
            <w:r w:rsidR="00B87513">
              <w:rPr>
                <w:noProof/>
                <w:webHidden/>
              </w:rPr>
            </w:r>
            <w:r w:rsidR="00B87513">
              <w:rPr>
                <w:noProof/>
                <w:webHidden/>
              </w:rPr>
              <w:fldChar w:fldCharType="separate"/>
            </w:r>
            <w:r w:rsidR="00AF6244">
              <w:rPr>
                <w:noProof/>
                <w:webHidden/>
              </w:rPr>
              <w:t>5</w:t>
            </w:r>
            <w:r w:rsidR="00B87513">
              <w:rPr>
                <w:noProof/>
                <w:webHidden/>
              </w:rPr>
              <w:fldChar w:fldCharType="end"/>
            </w:r>
          </w:hyperlink>
        </w:p>
        <w:p w14:paraId="0BC84985" w14:textId="1AA01BDF" w:rsidR="00B87513" w:rsidRDefault="00000000">
          <w:pPr>
            <w:pStyle w:val="TOC2"/>
            <w:tabs>
              <w:tab w:val="right" w:leader="dot" w:pos="9060"/>
            </w:tabs>
            <w:rPr>
              <w:rFonts w:eastAsiaTheme="minorEastAsia"/>
              <w:noProof/>
              <w:lang w:eastAsia="en-AU"/>
            </w:rPr>
          </w:pPr>
          <w:hyperlink w:anchor="_Toc136427237" w:history="1">
            <w:r w:rsidR="00B87513" w:rsidRPr="00762D5C">
              <w:rPr>
                <w:rStyle w:val="Hyperlink"/>
                <w:noProof/>
              </w:rPr>
              <w:t>Purpose of this privacy policy</w:t>
            </w:r>
            <w:r w:rsidR="00B87513">
              <w:rPr>
                <w:noProof/>
                <w:webHidden/>
              </w:rPr>
              <w:tab/>
            </w:r>
            <w:r w:rsidR="00B87513">
              <w:rPr>
                <w:noProof/>
                <w:webHidden/>
              </w:rPr>
              <w:fldChar w:fldCharType="begin"/>
            </w:r>
            <w:r w:rsidR="00B87513">
              <w:rPr>
                <w:noProof/>
                <w:webHidden/>
              </w:rPr>
              <w:instrText xml:space="preserve"> PAGEREF _Toc136427237 \h </w:instrText>
            </w:r>
            <w:r w:rsidR="00B87513">
              <w:rPr>
                <w:noProof/>
                <w:webHidden/>
              </w:rPr>
            </w:r>
            <w:r w:rsidR="00B87513">
              <w:rPr>
                <w:noProof/>
                <w:webHidden/>
              </w:rPr>
              <w:fldChar w:fldCharType="separate"/>
            </w:r>
            <w:r w:rsidR="00AF6244">
              <w:rPr>
                <w:noProof/>
                <w:webHidden/>
              </w:rPr>
              <w:t>6</w:t>
            </w:r>
            <w:r w:rsidR="00B87513">
              <w:rPr>
                <w:noProof/>
                <w:webHidden/>
              </w:rPr>
              <w:fldChar w:fldCharType="end"/>
            </w:r>
          </w:hyperlink>
        </w:p>
        <w:p w14:paraId="1DB918C8" w14:textId="140FA50D" w:rsidR="00B87513" w:rsidRDefault="00000000">
          <w:pPr>
            <w:pStyle w:val="TOC2"/>
            <w:tabs>
              <w:tab w:val="right" w:leader="dot" w:pos="9060"/>
            </w:tabs>
            <w:rPr>
              <w:rFonts w:eastAsiaTheme="minorEastAsia"/>
              <w:noProof/>
              <w:lang w:eastAsia="en-AU"/>
            </w:rPr>
          </w:pPr>
          <w:hyperlink w:anchor="_Toc136427238" w:history="1">
            <w:r w:rsidR="00B87513" w:rsidRPr="00762D5C">
              <w:rPr>
                <w:rStyle w:val="Hyperlink"/>
                <w:noProof/>
              </w:rPr>
              <w:t>Privacy Act 1988</w:t>
            </w:r>
            <w:r w:rsidR="00B87513">
              <w:rPr>
                <w:noProof/>
                <w:webHidden/>
              </w:rPr>
              <w:tab/>
            </w:r>
            <w:r w:rsidR="00B87513">
              <w:rPr>
                <w:noProof/>
                <w:webHidden/>
              </w:rPr>
              <w:fldChar w:fldCharType="begin"/>
            </w:r>
            <w:r w:rsidR="00B87513">
              <w:rPr>
                <w:noProof/>
                <w:webHidden/>
              </w:rPr>
              <w:instrText xml:space="preserve"> PAGEREF _Toc136427238 \h </w:instrText>
            </w:r>
            <w:r w:rsidR="00B87513">
              <w:rPr>
                <w:noProof/>
                <w:webHidden/>
              </w:rPr>
            </w:r>
            <w:r w:rsidR="00B87513">
              <w:rPr>
                <w:noProof/>
                <w:webHidden/>
              </w:rPr>
              <w:fldChar w:fldCharType="separate"/>
            </w:r>
            <w:r w:rsidR="00AF6244">
              <w:rPr>
                <w:noProof/>
                <w:webHidden/>
              </w:rPr>
              <w:t>6</w:t>
            </w:r>
            <w:r w:rsidR="00B87513">
              <w:rPr>
                <w:noProof/>
                <w:webHidden/>
              </w:rPr>
              <w:fldChar w:fldCharType="end"/>
            </w:r>
          </w:hyperlink>
        </w:p>
        <w:p w14:paraId="60F8839A" w14:textId="04E208AB" w:rsidR="00B87513" w:rsidRDefault="00000000">
          <w:pPr>
            <w:pStyle w:val="TOC2"/>
            <w:tabs>
              <w:tab w:val="right" w:leader="dot" w:pos="9060"/>
            </w:tabs>
            <w:rPr>
              <w:rFonts w:eastAsiaTheme="minorEastAsia"/>
              <w:noProof/>
              <w:lang w:eastAsia="en-AU"/>
            </w:rPr>
          </w:pPr>
          <w:hyperlink w:anchor="_Toc136427239" w:history="1">
            <w:r w:rsidR="00B87513" w:rsidRPr="00762D5C">
              <w:rPr>
                <w:rStyle w:val="Hyperlink"/>
                <w:noProof/>
              </w:rPr>
              <w:t>Information covered under this privacy policy</w:t>
            </w:r>
            <w:r w:rsidR="00B87513">
              <w:rPr>
                <w:noProof/>
                <w:webHidden/>
              </w:rPr>
              <w:tab/>
            </w:r>
            <w:r w:rsidR="00B87513">
              <w:rPr>
                <w:noProof/>
                <w:webHidden/>
              </w:rPr>
              <w:fldChar w:fldCharType="begin"/>
            </w:r>
            <w:r w:rsidR="00B87513">
              <w:rPr>
                <w:noProof/>
                <w:webHidden/>
              </w:rPr>
              <w:instrText xml:space="preserve"> PAGEREF _Toc136427239 \h </w:instrText>
            </w:r>
            <w:r w:rsidR="00B87513">
              <w:rPr>
                <w:noProof/>
                <w:webHidden/>
              </w:rPr>
            </w:r>
            <w:r w:rsidR="00B87513">
              <w:rPr>
                <w:noProof/>
                <w:webHidden/>
              </w:rPr>
              <w:fldChar w:fldCharType="separate"/>
            </w:r>
            <w:r w:rsidR="00AF6244">
              <w:rPr>
                <w:noProof/>
                <w:webHidden/>
              </w:rPr>
              <w:t>7</w:t>
            </w:r>
            <w:r w:rsidR="00B87513">
              <w:rPr>
                <w:noProof/>
                <w:webHidden/>
              </w:rPr>
              <w:fldChar w:fldCharType="end"/>
            </w:r>
          </w:hyperlink>
        </w:p>
        <w:p w14:paraId="38DD87B5" w14:textId="552CB4FA" w:rsidR="00B87513" w:rsidRDefault="00000000" w:rsidP="00B87513">
          <w:pPr>
            <w:pStyle w:val="TOC1"/>
            <w:rPr>
              <w:rFonts w:eastAsiaTheme="minorEastAsia"/>
              <w:noProof/>
              <w:lang w:eastAsia="en-AU"/>
            </w:rPr>
          </w:pPr>
          <w:hyperlink w:anchor="_Toc136427240" w:history="1">
            <w:r w:rsidR="00B87513" w:rsidRPr="00762D5C">
              <w:rPr>
                <w:rStyle w:val="Hyperlink"/>
                <w:noProof/>
              </w:rPr>
              <w:t>Our personal information handling practices</w:t>
            </w:r>
            <w:r w:rsidR="00B87513">
              <w:rPr>
                <w:noProof/>
                <w:webHidden/>
              </w:rPr>
              <w:tab/>
            </w:r>
            <w:r w:rsidR="00B87513">
              <w:rPr>
                <w:noProof/>
                <w:webHidden/>
              </w:rPr>
              <w:fldChar w:fldCharType="begin"/>
            </w:r>
            <w:r w:rsidR="00B87513">
              <w:rPr>
                <w:noProof/>
                <w:webHidden/>
              </w:rPr>
              <w:instrText xml:space="preserve"> PAGEREF _Toc136427240 \h </w:instrText>
            </w:r>
            <w:r w:rsidR="00B87513">
              <w:rPr>
                <w:noProof/>
                <w:webHidden/>
              </w:rPr>
            </w:r>
            <w:r w:rsidR="00B87513">
              <w:rPr>
                <w:noProof/>
                <w:webHidden/>
              </w:rPr>
              <w:fldChar w:fldCharType="separate"/>
            </w:r>
            <w:r w:rsidR="00AF6244">
              <w:rPr>
                <w:noProof/>
                <w:webHidden/>
              </w:rPr>
              <w:t>7</w:t>
            </w:r>
            <w:r w:rsidR="00B87513">
              <w:rPr>
                <w:noProof/>
                <w:webHidden/>
              </w:rPr>
              <w:fldChar w:fldCharType="end"/>
            </w:r>
          </w:hyperlink>
        </w:p>
        <w:p w14:paraId="25ABFFA6" w14:textId="249D62CA" w:rsidR="00B87513" w:rsidRDefault="00000000">
          <w:pPr>
            <w:pStyle w:val="TOC2"/>
            <w:tabs>
              <w:tab w:val="right" w:leader="dot" w:pos="9060"/>
            </w:tabs>
            <w:rPr>
              <w:rFonts w:eastAsiaTheme="minorEastAsia"/>
              <w:noProof/>
              <w:lang w:eastAsia="en-AU"/>
            </w:rPr>
          </w:pPr>
          <w:hyperlink w:anchor="_Toc136427241" w:history="1">
            <w:r w:rsidR="00B87513" w:rsidRPr="00762D5C">
              <w:rPr>
                <w:rStyle w:val="Hyperlink"/>
                <w:noProof/>
              </w:rPr>
              <w:t>Collection of personal information</w:t>
            </w:r>
            <w:r w:rsidR="00B87513">
              <w:rPr>
                <w:noProof/>
                <w:webHidden/>
              </w:rPr>
              <w:tab/>
            </w:r>
            <w:r w:rsidR="00B87513">
              <w:rPr>
                <w:noProof/>
                <w:webHidden/>
              </w:rPr>
              <w:fldChar w:fldCharType="begin"/>
            </w:r>
            <w:r w:rsidR="00B87513">
              <w:rPr>
                <w:noProof/>
                <w:webHidden/>
              </w:rPr>
              <w:instrText xml:space="preserve"> PAGEREF _Toc136427241 \h </w:instrText>
            </w:r>
            <w:r w:rsidR="00B87513">
              <w:rPr>
                <w:noProof/>
                <w:webHidden/>
              </w:rPr>
            </w:r>
            <w:r w:rsidR="00B87513">
              <w:rPr>
                <w:noProof/>
                <w:webHidden/>
              </w:rPr>
              <w:fldChar w:fldCharType="separate"/>
            </w:r>
            <w:r w:rsidR="00AF6244">
              <w:rPr>
                <w:noProof/>
                <w:webHidden/>
              </w:rPr>
              <w:t>7</w:t>
            </w:r>
            <w:r w:rsidR="00B87513">
              <w:rPr>
                <w:noProof/>
                <w:webHidden/>
              </w:rPr>
              <w:fldChar w:fldCharType="end"/>
            </w:r>
          </w:hyperlink>
        </w:p>
        <w:p w14:paraId="527B556D" w14:textId="6A9F86EB" w:rsidR="00B87513" w:rsidRDefault="00000000">
          <w:pPr>
            <w:pStyle w:val="TOC2"/>
            <w:tabs>
              <w:tab w:val="right" w:leader="dot" w:pos="9060"/>
            </w:tabs>
            <w:rPr>
              <w:rFonts w:eastAsiaTheme="minorEastAsia"/>
              <w:noProof/>
              <w:lang w:eastAsia="en-AU"/>
            </w:rPr>
          </w:pPr>
          <w:hyperlink w:anchor="_Toc136427242" w:history="1">
            <w:r w:rsidR="00B87513" w:rsidRPr="00762D5C">
              <w:rPr>
                <w:rStyle w:val="Hyperlink"/>
                <w:noProof/>
              </w:rPr>
              <w:t>Types of personal information collected by us</w:t>
            </w:r>
            <w:r w:rsidR="00B87513">
              <w:rPr>
                <w:noProof/>
                <w:webHidden/>
              </w:rPr>
              <w:tab/>
            </w:r>
            <w:r w:rsidR="00B87513">
              <w:rPr>
                <w:noProof/>
                <w:webHidden/>
              </w:rPr>
              <w:fldChar w:fldCharType="begin"/>
            </w:r>
            <w:r w:rsidR="00B87513">
              <w:rPr>
                <w:noProof/>
                <w:webHidden/>
              </w:rPr>
              <w:instrText xml:space="preserve"> PAGEREF _Toc136427242 \h </w:instrText>
            </w:r>
            <w:r w:rsidR="00B87513">
              <w:rPr>
                <w:noProof/>
                <w:webHidden/>
              </w:rPr>
            </w:r>
            <w:r w:rsidR="00B87513">
              <w:rPr>
                <w:noProof/>
                <w:webHidden/>
              </w:rPr>
              <w:fldChar w:fldCharType="separate"/>
            </w:r>
            <w:r w:rsidR="00AF6244">
              <w:rPr>
                <w:noProof/>
                <w:webHidden/>
              </w:rPr>
              <w:t>8</w:t>
            </w:r>
            <w:r w:rsidR="00B87513">
              <w:rPr>
                <w:noProof/>
                <w:webHidden/>
              </w:rPr>
              <w:fldChar w:fldCharType="end"/>
            </w:r>
          </w:hyperlink>
        </w:p>
        <w:p w14:paraId="6089136F" w14:textId="17E5ADC5" w:rsidR="00B87513" w:rsidRDefault="00000000">
          <w:pPr>
            <w:pStyle w:val="TOC2"/>
            <w:tabs>
              <w:tab w:val="right" w:leader="dot" w:pos="9060"/>
            </w:tabs>
            <w:rPr>
              <w:rFonts w:eastAsiaTheme="minorEastAsia"/>
              <w:noProof/>
              <w:lang w:eastAsia="en-AU"/>
            </w:rPr>
          </w:pPr>
          <w:hyperlink w:anchor="_Toc136427243" w:history="1">
            <w:r w:rsidR="00B87513" w:rsidRPr="00762D5C">
              <w:rPr>
                <w:rStyle w:val="Hyperlink"/>
                <w:noProof/>
              </w:rPr>
              <w:t>Tax file numbers</w:t>
            </w:r>
            <w:r w:rsidR="00B87513">
              <w:rPr>
                <w:noProof/>
                <w:webHidden/>
              </w:rPr>
              <w:tab/>
            </w:r>
            <w:r w:rsidR="00B87513">
              <w:rPr>
                <w:noProof/>
                <w:webHidden/>
              </w:rPr>
              <w:fldChar w:fldCharType="begin"/>
            </w:r>
            <w:r w:rsidR="00B87513">
              <w:rPr>
                <w:noProof/>
                <w:webHidden/>
              </w:rPr>
              <w:instrText xml:space="preserve"> PAGEREF _Toc136427243 \h </w:instrText>
            </w:r>
            <w:r w:rsidR="00B87513">
              <w:rPr>
                <w:noProof/>
                <w:webHidden/>
              </w:rPr>
            </w:r>
            <w:r w:rsidR="00B87513">
              <w:rPr>
                <w:noProof/>
                <w:webHidden/>
              </w:rPr>
              <w:fldChar w:fldCharType="separate"/>
            </w:r>
            <w:r w:rsidR="00AF6244">
              <w:rPr>
                <w:noProof/>
                <w:webHidden/>
              </w:rPr>
              <w:t>9</w:t>
            </w:r>
            <w:r w:rsidR="00B87513">
              <w:rPr>
                <w:noProof/>
                <w:webHidden/>
              </w:rPr>
              <w:fldChar w:fldCharType="end"/>
            </w:r>
          </w:hyperlink>
        </w:p>
        <w:p w14:paraId="05BB6531" w14:textId="28921782" w:rsidR="00B87513" w:rsidRDefault="00000000">
          <w:pPr>
            <w:pStyle w:val="TOC3"/>
            <w:tabs>
              <w:tab w:val="right" w:leader="dot" w:pos="9060"/>
            </w:tabs>
            <w:rPr>
              <w:rFonts w:eastAsiaTheme="minorEastAsia"/>
              <w:noProof/>
              <w:lang w:eastAsia="en-AU"/>
            </w:rPr>
          </w:pPr>
          <w:hyperlink w:anchor="_Toc136427244" w:history="1">
            <w:r w:rsidR="00B87513" w:rsidRPr="00762D5C">
              <w:rPr>
                <w:rStyle w:val="Hyperlink"/>
                <w:noProof/>
              </w:rPr>
              <w:t>Purpose of collection</w:t>
            </w:r>
            <w:r w:rsidR="00B87513">
              <w:rPr>
                <w:noProof/>
                <w:webHidden/>
              </w:rPr>
              <w:tab/>
            </w:r>
            <w:r w:rsidR="00B87513">
              <w:rPr>
                <w:noProof/>
                <w:webHidden/>
              </w:rPr>
              <w:fldChar w:fldCharType="begin"/>
            </w:r>
            <w:r w:rsidR="00B87513">
              <w:rPr>
                <w:noProof/>
                <w:webHidden/>
              </w:rPr>
              <w:instrText xml:space="preserve"> PAGEREF _Toc136427244 \h </w:instrText>
            </w:r>
            <w:r w:rsidR="00B87513">
              <w:rPr>
                <w:noProof/>
                <w:webHidden/>
              </w:rPr>
            </w:r>
            <w:r w:rsidR="00B87513">
              <w:rPr>
                <w:noProof/>
                <w:webHidden/>
              </w:rPr>
              <w:fldChar w:fldCharType="separate"/>
            </w:r>
            <w:r w:rsidR="00AF6244">
              <w:rPr>
                <w:noProof/>
                <w:webHidden/>
              </w:rPr>
              <w:t>9</w:t>
            </w:r>
            <w:r w:rsidR="00B87513">
              <w:rPr>
                <w:noProof/>
                <w:webHidden/>
              </w:rPr>
              <w:fldChar w:fldCharType="end"/>
            </w:r>
          </w:hyperlink>
        </w:p>
        <w:p w14:paraId="0125B071" w14:textId="20ED4FEB" w:rsidR="00B87513" w:rsidRDefault="00000000">
          <w:pPr>
            <w:pStyle w:val="TOC3"/>
            <w:tabs>
              <w:tab w:val="right" w:leader="dot" w:pos="9060"/>
            </w:tabs>
            <w:rPr>
              <w:rFonts w:eastAsiaTheme="minorEastAsia"/>
              <w:noProof/>
              <w:lang w:eastAsia="en-AU"/>
            </w:rPr>
          </w:pPr>
          <w:hyperlink w:anchor="_Toc136427245" w:history="1">
            <w:r w:rsidR="00B87513" w:rsidRPr="00762D5C">
              <w:rPr>
                <w:rStyle w:val="Hyperlink"/>
                <w:rFonts w:eastAsia="Calibri"/>
                <w:noProof/>
              </w:rPr>
              <w:t>Prohibitions and penalties</w:t>
            </w:r>
            <w:r w:rsidR="00B87513">
              <w:rPr>
                <w:noProof/>
                <w:webHidden/>
              </w:rPr>
              <w:tab/>
            </w:r>
            <w:r w:rsidR="00B87513">
              <w:rPr>
                <w:noProof/>
                <w:webHidden/>
              </w:rPr>
              <w:fldChar w:fldCharType="begin"/>
            </w:r>
            <w:r w:rsidR="00B87513">
              <w:rPr>
                <w:noProof/>
                <w:webHidden/>
              </w:rPr>
              <w:instrText xml:space="preserve"> PAGEREF _Toc136427245 \h </w:instrText>
            </w:r>
            <w:r w:rsidR="00B87513">
              <w:rPr>
                <w:noProof/>
                <w:webHidden/>
              </w:rPr>
            </w:r>
            <w:r w:rsidR="00B87513">
              <w:rPr>
                <w:noProof/>
                <w:webHidden/>
              </w:rPr>
              <w:fldChar w:fldCharType="separate"/>
            </w:r>
            <w:r w:rsidR="00AF6244">
              <w:rPr>
                <w:noProof/>
                <w:webHidden/>
              </w:rPr>
              <w:t>10</w:t>
            </w:r>
            <w:r w:rsidR="00B87513">
              <w:rPr>
                <w:noProof/>
                <w:webHidden/>
              </w:rPr>
              <w:fldChar w:fldCharType="end"/>
            </w:r>
          </w:hyperlink>
        </w:p>
        <w:p w14:paraId="1DEE95E7" w14:textId="1B07F0B1" w:rsidR="00B87513" w:rsidRDefault="00000000">
          <w:pPr>
            <w:pStyle w:val="TOC3"/>
            <w:tabs>
              <w:tab w:val="right" w:leader="dot" w:pos="9060"/>
            </w:tabs>
            <w:rPr>
              <w:rFonts w:eastAsiaTheme="minorEastAsia"/>
              <w:noProof/>
              <w:lang w:eastAsia="en-AU"/>
            </w:rPr>
          </w:pPr>
          <w:hyperlink w:anchor="_Toc136427246" w:history="1">
            <w:r w:rsidR="00B87513" w:rsidRPr="00762D5C">
              <w:rPr>
                <w:rStyle w:val="Hyperlink"/>
                <w:noProof/>
              </w:rPr>
              <w:t>Further information</w:t>
            </w:r>
            <w:r w:rsidR="00B87513">
              <w:rPr>
                <w:noProof/>
                <w:webHidden/>
              </w:rPr>
              <w:tab/>
            </w:r>
            <w:r w:rsidR="00B87513">
              <w:rPr>
                <w:noProof/>
                <w:webHidden/>
              </w:rPr>
              <w:fldChar w:fldCharType="begin"/>
            </w:r>
            <w:r w:rsidR="00B87513">
              <w:rPr>
                <w:noProof/>
                <w:webHidden/>
              </w:rPr>
              <w:instrText xml:space="preserve"> PAGEREF _Toc136427246 \h </w:instrText>
            </w:r>
            <w:r w:rsidR="00B87513">
              <w:rPr>
                <w:noProof/>
                <w:webHidden/>
              </w:rPr>
            </w:r>
            <w:r w:rsidR="00B87513">
              <w:rPr>
                <w:noProof/>
                <w:webHidden/>
              </w:rPr>
              <w:fldChar w:fldCharType="separate"/>
            </w:r>
            <w:r w:rsidR="00AF6244">
              <w:rPr>
                <w:noProof/>
                <w:webHidden/>
              </w:rPr>
              <w:t>11</w:t>
            </w:r>
            <w:r w:rsidR="00B87513">
              <w:rPr>
                <w:noProof/>
                <w:webHidden/>
              </w:rPr>
              <w:fldChar w:fldCharType="end"/>
            </w:r>
          </w:hyperlink>
        </w:p>
        <w:p w14:paraId="64F970E5" w14:textId="70E1423D" w:rsidR="00B87513" w:rsidRDefault="00000000">
          <w:pPr>
            <w:pStyle w:val="TOC2"/>
            <w:tabs>
              <w:tab w:val="right" w:leader="dot" w:pos="9060"/>
            </w:tabs>
            <w:rPr>
              <w:rFonts w:eastAsiaTheme="minorEastAsia"/>
              <w:noProof/>
              <w:lang w:eastAsia="en-AU"/>
            </w:rPr>
          </w:pPr>
          <w:hyperlink w:anchor="_Toc136427247" w:history="1">
            <w:r w:rsidR="00B87513" w:rsidRPr="00762D5C">
              <w:rPr>
                <w:rStyle w:val="Hyperlink"/>
                <w:noProof/>
              </w:rPr>
              <w:t>Collection of sensitive information</w:t>
            </w:r>
            <w:r w:rsidR="00B87513">
              <w:rPr>
                <w:noProof/>
                <w:webHidden/>
              </w:rPr>
              <w:tab/>
            </w:r>
            <w:r w:rsidR="00B87513">
              <w:rPr>
                <w:noProof/>
                <w:webHidden/>
              </w:rPr>
              <w:fldChar w:fldCharType="begin"/>
            </w:r>
            <w:r w:rsidR="00B87513">
              <w:rPr>
                <w:noProof/>
                <w:webHidden/>
              </w:rPr>
              <w:instrText xml:space="preserve"> PAGEREF _Toc136427247 \h </w:instrText>
            </w:r>
            <w:r w:rsidR="00B87513">
              <w:rPr>
                <w:noProof/>
                <w:webHidden/>
              </w:rPr>
            </w:r>
            <w:r w:rsidR="00B87513">
              <w:rPr>
                <w:noProof/>
                <w:webHidden/>
              </w:rPr>
              <w:fldChar w:fldCharType="separate"/>
            </w:r>
            <w:r w:rsidR="00AF6244">
              <w:rPr>
                <w:noProof/>
                <w:webHidden/>
              </w:rPr>
              <w:t>11</w:t>
            </w:r>
            <w:r w:rsidR="00B87513">
              <w:rPr>
                <w:noProof/>
                <w:webHidden/>
              </w:rPr>
              <w:fldChar w:fldCharType="end"/>
            </w:r>
          </w:hyperlink>
        </w:p>
        <w:p w14:paraId="506CEC73" w14:textId="64A50F1B" w:rsidR="00B87513" w:rsidRDefault="00000000">
          <w:pPr>
            <w:pStyle w:val="TOC2"/>
            <w:tabs>
              <w:tab w:val="right" w:leader="dot" w:pos="9060"/>
            </w:tabs>
            <w:rPr>
              <w:rFonts w:eastAsiaTheme="minorEastAsia"/>
              <w:noProof/>
              <w:lang w:eastAsia="en-AU"/>
            </w:rPr>
          </w:pPr>
          <w:hyperlink w:anchor="_Toc136427248" w:history="1">
            <w:r w:rsidR="00B87513" w:rsidRPr="00762D5C">
              <w:rPr>
                <w:rStyle w:val="Hyperlink"/>
                <w:rFonts w:eastAsia="Calibri"/>
                <w:noProof/>
              </w:rPr>
              <w:t>Collecting personal information from children and young people</w:t>
            </w:r>
            <w:r w:rsidR="00B87513">
              <w:rPr>
                <w:noProof/>
                <w:webHidden/>
              </w:rPr>
              <w:tab/>
            </w:r>
            <w:r w:rsidR="00B87513">
              <w:rPr>
                <w:noProof/>
                <w:webHidden/>
              </w:rPr>
              <w:fldChar w:fldCharType="begin"/>
            </w:r>
            <w:r w:rsidR="00B87513">
              <w:rPr>
                <w:noProof/>
                <w:webHidden/>
              </w:rPr>
              <w:instrText xml:space="preserve"> PAGEREF _Toc136427248 \h </w:instrText>
            </w:r>
            <w:r w:rsidR="00B87513">
              <w:rPr>
                <w:noProof/>
                <w:webHidden/>
              </w:rPr>
            </w:r>
            <w:r w:rsidR="00B87513">
              <w:rPr>
                <w:noProof/>
                <w:webHidden/>
              </w:rPr>
              <w:fldChar w:fldCharType="separate"/>
            </w:r>
            <w:r w:rsidR="00AF6244">
              <w:rPr>
                <w:noProof/>
                <w:webHidden/>
              </w:rPr>
              <w:t>11</w:t>
            </w:r>
            <w:r w:rsidR="00B87513">
              <w:rPr>
                <w:noProof/>
                <w:webHidden/>
              </w:rPr>
              <w:fldChar w:fldCharType="end"/>
            </w:r>
          </w:hyperlink>
        </w:p>
        <w:p w14:paraId="7DB7E578" w14:textId="052F0744" w:rsidR="00B87513" w:rsidRDefault="00000000">
          <w:pPr>
            <w:pStyle w:val="TOC2"/>
            <w:tabs>
              <w:tab w:val="right" w:leader="dot" w:pos="9060"/>
            </w:tabs>
            <w:rPr>
              <w:rFonts w:eastAsiaTheme="minorEastAsia"/>
              <w:noProof/>
              <w:lang w:eastAsia="en-AU"/>
            </w:rPr>
          </w:pPr>
          <w:hyperlink w:anchor="_Toc136427249" w:history="1">
            <w:r w:rsidR="00B87513" w:rsidRPr="00762D5C">
              <w:rPr>
                <w:rStyle w:val="Hyperlink"/>
                <w:noProof/>
              </w:rPr>
              <w:t>Collection of unsolicited information</w:t>
            </w:r>
            <w:r w:rsidR="00B87513">
              <w:rPr>
                <w:noProof/>
                <w:webHidden/>
              </w:rPr>
              <w:tab/>
            </w:r>
            <w:r w:rsidR="00B87513">
              <w:rPr>
                <w:noProof/>
                <w:webHidden/>
              </w:rPr>
              <w:fldChar w:fldCharType="begin"/>
            </w:r>
            <w:r w:rsidR="00B87513">
              <w:rPr>
                <w:noProof/>
                <w:webHidden/>
              </w:rPr>
              <w:instrText xml:space="preserve"> PAGEREF _Toc136427249 \h </w:instrText>
            </w:r>
            <w:r w:rsidR="00B87513">
              <w:rPr>
                <w:noProof/>
                <w:webHidden/>
              </w:rPr>
            </w:r>
            <w:r w:rsidR="00B87513">
              <w:rPr>
                <w:noProof/>
                <w:webHidden/>
              </w:rPr>
              <w:fldChar w:fldCharType="separate"/>
            </w:r>
            <w:r w:rsidR="00AF6244">
              <w:rPr>
                <w:noProof/>
                <w:webHidden/>
              </w:rPr>
              <w:t>12</w:t>
            </w:r>
            <w:r w:rsidR="00B87513">
              <w:rPr>
                <w:noProof/>
                <w:webHidden/>
              </w:rPr>
              <w:fldChar w:fldCharType="end"/>
            </w:r>
          </w:hyperlink>
        </w:p>
        <w:p w14:paraId="12EB29CD" w14:textId="59CA3B19" w:rsidR="00B87513" w:rsidRDefault="00000000">
          <w:pPr>
            <w:pStyle w:val="TOC2"/>
            <w:tabs>
              <w:tab w:val="right" w:leader="dot" w:pos="9060"/>
            </w:tabs>
            <w:rPr>
              <w:rFonts w:eastAsiaTheme="minorEastAsia"/>
              <w:noProof/>
              <w:lang w:eastAsia="en-AU"/>
            </w:rPr>
          </w:pPr>
          <w:hyperlink w:anchor="_Toc136427250" w:history="1">
            <w:r w:rsidR="00B87513" w:rsidRPr="00762D5C">
              <w:rPr>
                <w:rStyle w:val="Hyperlink"/>
                <w:noProof/>
              </w:rPr>
              <w:t>How we collect personal information</w:t>
            </w:r>
            <w:r w:rsidR="00B87513">
              <w:rPr>
                <w:noProof/>
                <w:webHidden/>
              </w:rPr>
              <w:tab/>
            </w:r>
            <w:r w:rsidR="00B87513">
              <w:rPr>
                <w:noProof/>
                <w:webHidden/>
              </w:rPr>
              <w:fldChar w:fldCharType="begin"/>
            </w:r>
            <w:r w:rsidR="00B87513">
              <w:rPr>
                <w:noProof/>
                <w:webHidden/>
              </w:rPr>
              <w:instrText xml:space="preserve"> PAGEREF _Toc136427250 \h </w:instrText>
            </w:r>
            <w:r w:rsidR="00B87513">
              <w:rPr>
                <w:noProof/>
                <w:webHidden/>
              </w:rPr>
            </w:r>
            <w:r w:rsidR="00B87513">
              <w:rPr>
                <w:noProof/>
                <w:webHidden/>
              </w:rPr>
              <w:fldChar w:fldCharType="separate"/>
            </w:r>
            <w:r w:rsidR="00AF6244">
              <w:rPr>
                <w:noProof/>
                <w:webHidden/>
              </w:rPr>
              <w:t>12</w:t>
            </w:r>
            <w:r w:rsidR="00B87513">
              <w:rPr>
                <w:noProof/>
                <w:webHidden/>
              </w:rPr>
              <w:fldChar w:fldCharType="end"/>
            </w:r>
          </w:hyperlink>
        </w:p>
        <w:p w14:paraId="62AF6507" w14:textId="3D2F4B97" w:rsidR="00B87513" w:rsidRDefault="00000000">
          <w:pPr>
            <w:pStyle w:val="TOC2"/>
            <w:tabs>
              <w:tab w:val="right" w:leader="dot" w:pos="9060"/>
            </w:tabs>
            <w:rPr>
              <w:rFonts w:eastAsiaTheme="minorEastAsia"/>
              <w:noProof/>
              <w:lang w:eastAsia="en-AU"/>
            </w:rPr>
          </w:pPr>
          <w:hyperlink w:anchor="_Toc136427251" w:history="1">
            <w:r w:rsidR="00B87513" w:rsidRPr="00762D5C">
              <w:rPr>
                <w:rStyle w:val="Hyperlink"/>
                <w:rFonts w:eastAsia="Calibri"/>
                <w:noProof/>
              </w:rPr>
              <w:t>Remaining anonymous or using a pseudonym</w:t>
            </w:r>
            <w:r w:rsidR="00B87513">
              <w:rPr>
                <w:noProof/>
                <w:webHidden/>
              </w:rPr>
              <w:tab/>
            </w:r>
            <w:r w:rsidR="00B87513">
              <w:rPr>
                <w:noProof/>
                <w:webHidden/>
              </w:rPr>
              <w:fldChar w:fldCharType="begin"/>
            </w:r>
            <w:r w:rsidR="00B87513">
              <w:rPr>
                <w:noProof/>
                <w:webHidden/>
              </w:rPr>
              <w:instrText xml:space="preserve"> PAGEREF _Toc136427251 \h </w:instrText>
            </w:r>
            <w:r w:rsidR="00B87513">
              <w:rPr>
                <w:noProof/>
                <w:webHidden/>
              </w:rPr>
            </w:r>
            <w:r w:rsidR="00B87513">
              <w:rPr>
                <w:noProof/>
                <w:webHidden/>
              </w:rPr>
              <w:fldChar w:fldCharType="separate"/>
            </w:r>
            <w:r w:rsidR="00AF6244">
              <w:rPr>
                <w:noProof/>
                <w:webHidden/>
              </w:rPr>
              <w:t>13</w:t>
            </w:r>
            <w:r w:rsidR="00B87513">
              <w:rPr>
                <w:noProof/>
                <w:webHidden/>
              </w:rPr>
              <w:fldChar w:fldCharType="end"/>
            </w:r>
          </w:hyperlink>
        </w:p>
        <w:p w14:paraId="7DC3A949" w14:textId="253D2C9D" w:rsidR="00B87513" w:rsidRDefault="00000000">
          <w:pPr>
            <w:pStyle w:val="TOC2"/>
            <w:tabs>
              <w:tab w:val="right" w:leader="dot" w:pos="9060"/>
            </w:tabs>
            <w:rPr>
              <w:rFonts w:eastAsiaTheme="minorEastAsia"/>
              <w:noProof/>
              <w:lang w:eastAsia="en-AU"/>
            </w:rPr>
          </w:pPr>
          <w:hyperlink w:anchor="_Toc136427252" w:history="1">
            <w:r w:rsidR="00B87513" w:rsidRPr="00762D5C">
              <w:rPr>
                <w:rStyle w:val="Hyperlink"/>
                <w:rFonts w:eastAsia="Calibri"/>
                <w:noProof/>
              </w:rPr>
              <w:t>Information collected by our contractors</w:t>
            </w:r>
            <w:r w:rsidR="00B87513">
              <w:rPr>
                <w:noProof/>
                <w:webHidden/>
              </w:rPr>
              <w:tab/>
            </w:r>
            <w:r w:rsidR="00B87513">
              <w:rPr>
                <w:noProof/>
                <w:webHidden/>
              </w:rPr>
              <w:fldChar w:fldCharType="begin"/>
            </w:r>
            <w:r w:rsidR="00B87513">
              <w:rPr>
                <w:noProof/>
                <w:webHidden/>
              </w:rPr>
              <w:instrText xml:space="preserve"> PAGEREF _Toc136427252 \h </w:instrText>
            </w:r>
            <w:r w:rsidR="00B87513">
              <w:rPr>
                <w:noProof/>
                <w:webHidden/>
              </w:rPr>
            </w:r>
            <w:r w:rsidR="00B87513">
              <w:rPr>
                <w:noProof/>
                <w:webHidden/>
              </w:rPr>
              <w:fldChar w:fldCharType="separate"/>
            </w:r>
            <w:r w:rsidR="00AF6244">
              <w:rPr>
                <w:noProof/>
                <w:webHidden/>
              </w:rPr>
              <w:t>13</w:t>
            </w:r>
            <w:r w:rsidR="00B87513">
              <w:rPr>
                <w:noProof/>
                <w:webHidden/>
              </w:rPr>
              <w:fldChar w:fldCharType="end"/>
            </w:r>
          </w:hyperlink>
        </w:p>
        <w:p w14:paraId="56425D5D" w14:textId="14B936A0" w:rsidR="00B87513" w:rsidRDefault="00000000">
          <w:pPr>
            <w:pStyle w:val="TOC2"/>
            <w:tabs>
              <w:tab w:val="right" w:leader="dot" w:pos="9060"/>
            </w:tabs>
            <w:rPr>
              <w:rFonts w:eastAsiaTheme="minorEastAsia"/>
              <w:noProof/>
              <w:lang w:eastAsia="en-AU"/>
            </w:rPr>
          </w:pPr>
          <w:hyperlink w:anchor="_Toc136427253" w:history="1">
            <w:r w:rsidR="00B87513" w:rsidRPr="00762D5C">
              <w:rPr>
                <w:rStyle w:val="Hyperlink"/>
                <w:noProof/>
              </w:rPr>
              <w:t>Storage and data security</w:t>
            </w:r>
            <w:r w:rsidR="00B87513">
              <w:rPr>
                <w:noProof/>
                <w:webHidden/>
              </w:rPr>
              <w:tab/>
            </w:r>
            <w:r w:rsidR="00B87513">
              <w:rPr>
                <w:noProof/>
                <w:webHidden/>
              </w:rPr>
              <w:fldChar w:fldCharType="begin"/>
            </w:r>
            <w:r w:rsidR="00B87513">
              <w:rPr>
                <w:noProof/>
                <w:webHidden/>
              </w:rPr>
              <w:instrText xml:space="preserve"> PAGEREF _Toc136427253 \h </w:instrText>
            </w:r>
            <w:r w:rsidR="00B87513">
              <w:rPr>
                <w:noProof/>
                <w:webHidden/>
              </w:rPr>
            </w:r>
            <w:r w:rsidR="00B87513">
              <w:rPr>
                <w:noProof/>
                <w:webHidden/>
              </w:rPr>
              <w:fldChar w:fldCharType="separate"/>
            </w:r>
            <w:r w:rsidR="00AF6244">
              <w:rPr>
                <w:noProof/>
                <w:webHidden/>
              </w:rPr>
              <w:t>13</w:t>
            </w:r>
            <w:r w:rsidR="00B87513">
              <w:rPr>
                <w:noProof/>
                <w:webHidden/>
              </w:rPr>
              <w:fldChar w:fldCharType="end"/>
            </w:r>
          </w:hyperlink>
        </w:p>
        <w:p w14:paraId="4B049EC3" w14:textId="349F2DEE" w:rsidR="00B87513" w:rsidRDefault="00000000">
          <w:pPr>
            <w:pStyle w:val="TOC3"/>
            <w:tabs>
              <w:tab w:val="right" w:leader="dot" w:pos="9060"/>
            </w:tabs>
            <w:rPr>
              <w:rFonts w:eastAsiaTheme="minorEastAsia"/>
              <w:noProof/>
              <w:lang w:eastAsia="en-AU"/>
            </w:rPr>
          </w:pPr>
          <w:hyperlink w:anchor="_Toc136427254" w:history="1">
            <w:r w:rsidR="00B87513" w:rsidRPr="00762D5C">
              <w:rPr>
                <w:rStyle w:val="Hyperlink"/>
                <w:noProof/>
              </w:rPr>
              <w:t>Storage</w:t>
            </w:r>
            <w:r w:rsidR="00B87513">
              <w:rPr>
                <w:noProof/>
                <w:webHidden/>
              </w:rPr>
              <w:tab/>
            </w:r>
            <w:r w:rsidR="00B87513">
              <w:rPr>
                <w:noProof/>
                <w:webHidden/>
              </w:rPr>
              <w:fldChar w:fldCharType="begin"/>
            </w:r>
            <w:r w:rsidR="00B87513">
              <w:rPr>
                <w:noProof/>
                <w:webHidden/>
              </w:rPr>
              <w:instrText xml:space="preserve"> PAGEREF _Toc136427254 \h </w:instrText>
            </w:r>
            <w:r w:rsidR="00B87513">
              <w:rPr>
                <w:noProof/>
                <w:webHidden/>
              </w:rPr>
            </w:r>
            <w:r w:rsidR="00B87513">
              <w:rPr>
                <w:noProof/>
                <w:webHidden/>
              </w:rPr>
              <w:fldChar w:fldCharType="separate"/>
            </w:r>
            <w:r w:rsidR="00AF6244">
              <w:rPr>
                <w:noProof/>
                <w:webHidden/>
              </w:rPr>
              <w:t>13</w:t>
            </w:r>
            <w:r w:rsidR="00B87513">
              <w:rPr>
                <w:noProof/>
                <w:webHidden/>
              </w:rPr>
              <w:fldChar w:fldCharType="end"/>
            </w:r>
          </w:hyperlink>
        </w:p>
        <w:p w14:paraId="0B4B80D9" w14:textId="15EB7703" w:rsidR="00B87513" w:rsidRDefault="00000000">
          <w:pPr>
            <w:pStyle w:val="TOC3"/>
            <w:tabs>
              <w:tab w:val="right" w:leader="dot" w:pos="9060"/>
            </w:tabs>
            <w:rPr>
              <w:rFonts w:eastAsiaTheme="minorEastAsia"/>
              <w:noProof/>
              <w:lang w:eastAsia="en-AU"/>
            </w:rPr>
          </w:pPr>
          <w:hyperlink w:anchor="_Toc136427255" w:history="1">
            <w:r w:rsidR="00B87513" w:rsidRPr="00762D5C">
              <w:rPr>
                <w:rStyle w:val="Hyperlink"/>
                <w:rFonts w:eastAsia="Calibri"/>
                <w:noProof/>
              </w:rPr>
              <w:t>Data security</w:t>
            </w:r>
            <w:r w:rsidR="00B87513">
              <w:rPr>
                <w:noProof/>
                <w:webHidden/>
              </w:rPr>
              <w:tab/>
            </w:r>
            <w:r w:rsidR="00B87513">
              <w:rPr>
                <w:noProof/>
                <w:webHidden/>
              </w:rPr>
              <w:fldChar w:fldCharType="begin"/>
            </w:r>
            <w:r w:rsidR="00B87513">
              <w:rPr>
                <w:noProof/>
                <w:webHidden/>
              </w:rPr>
              <w:instrText xml:space="preserve"> PAGEREF _Toc136427255 \h </w:instrText>
            </w:r>
            <w:r w:rsidR="00B87513">
              <w:rPr>
                <w:noProof/>
                <w:webHidden/>
              </w:rPr>
            </w:r>
            <w:r w:rsidR="00B87513">
              <w:rPr>
                <w:noProof/>
                <w:webHidden/>
              </w:rPr>
              <w:fldChar w:fldCharType="separate"/>
            </w:r>
            <w:r w:rsidR="00AF6244">
              <w:rPr>
                <w:noProof/>
                <w:webHidden/>
              </w:rPr>
              <w:t>13</w:t>
            </w:r>
            <w:r w:rsidR="00B87513">
              <w:rPr>
                <w:noProof/>
                <w:webHidden/>
              </w:rPr>
              <w:fldChar w:fldCharType="end"/>
            </w:r>
          </w:hyperlink>
        </w:p>
        <w:p w14:paraId="6A9ACEC9" w14:textId="39AD3950" w:rsidR="00B87513" w:rsidRDefault="00000000">
          <w:pPr>
            <w:pStyle w:val="TOC2"/>
            <w:tabs>
              <w:tab w:val="right" w:leader="dot" w:pos="9060"/>
            </w:tabs>
            <w:rPr>
              <w:rFonts w:eastAsiaTheme="minorEastAsia"/>
              <w:noProof/>
              <w:lang w:eastAsia="en-AU"/>
            </w:rPr>
          </w:pPr>
          <w:hyperlink w:anchor="_Toc136427256" w:history="1">
            <w:r w:rsidR="00B87513" w:rsidRPr="00762D5C">
              <w:rPr>
                <w:rStyle w:val="Hyperlink"/>
                <w:noProof/>
              </w:rPr>
              <w:t>Data quality</w:t>
            </w:r>
            <w:r w:rsidR="00B87513">
              <w:rPr>
                <w:noProof/>
                <w:webHidden/>
              </w:rPr>
              <w:tab/>
            </w:r>
            <w:r w:rsidR="00B87513">
              <w:rPr>
                <w:noProof/>
                <w:webHidden/>
              </w:rPr>
              <w:fldChar w:fldCharType="begin"/>
            </w:r>
            <w:r w:rsidR="00B87513">
              <w:rPr>
                <w:noProof/>
                <w:webHidden/>
              </w:rPr>
              <w:instrText xml:space="preserve"> PAGEREF _Toc136427256 \h </w:instrText>
            </w:r>
            <w:r w:rsidR="00B87513">
              <w:rPr>
                <w:noProof/>
                <w:webHidden/>
              </w:rPr>
            </w:r>
            <w:r w:rsidR="00B87513">
              <w:rPr>
                <w:noProof/>
                <w:webHidden/>
              </w:rPr>
              <w:fldChar w:fldCharType="separate"/>
            </w:r>
            <w:r w:rsidR="00AF6244">
              <w:rPr>
                <w:noProof/>
                <w:webHidden/>
              </w:rPr>
              <w:t>14</w:t>
            </w:r>
            <w:r w:rsidR="00B87513">
              <w:rPr>
                <w:noProof/>
                <w:webHidden/>
              </w:rPr>
              <w:fldChar w:fldCharType="end"/>
            </w:r>
          </w:hyperlink>
        </w:p>
        <w:p w14:paraId="4FFBD993" w14:textId="54274493" w:rsidR="00B87513" w:rsidRDefault="00000000">
          <w:pPr>
            <w:pStyle w:val="TOC2"/>
            <w:tabs>
              <w:tab w:val="right" w:leader="dot" w:pos="9060"/>
            </w:tabs>
            <w:rPr>
              <w:rFonts w:eastAsiaTheme="minorEastAsia"/>
              <w:noProof/>
              <w:lang w:eastAsia="en-AU"/>
            </w:rPr>
          </w:pPr>
          <w:hyperlink w:anchor="_Toc136427257" w:history="1">
            <w:r w:rsidR="00B87513" w:rsidRPr="00762D5C">
              <w:rPr>
                <w:rStyle w:val="Hyperlink"/>
                <w:noProof/>
              </w:rPr>
              <w:t>Purposes for which information is collected, held, used and disclosed</w:t>
            </w:r>
            <w:r w:rsidR="00B87513">
              <w:rPr>
                <w:noProof/>
                <w:webHidden/>
              </w:rPr>
              <w:tab/>
            </w:r>
            <w:r w:rsidR="00B87513">
              <w:rPr>
                <w:noProof/>
                <w:webHidden/>
              </w:rPr>
              <w:fldChar w:fldCharType="begin"/>
            </w:r>
            <w:r w:rsidR="00B87513">
              <w:rPr>
                <w:noProof/>
                <w:webHidden/>
              </w:rPr>
              <w:instrText xml:space="preserve"> PAGEREF _Toc136427257 \h </w:instrText>
            </w:r>
            <w:r w:rsidR="00B87513">
              <w:rPr>
                <w:noProof/>
                <w:webHidden/>
              </w:rPr>
            </w:r>
            <w:r w:rsidR="00B87513">
              <w:rPr>
                <w:noProof/>
                <w:webHidden/>
              </w:rPr>
              <w:fldChar w:fldCharType="separate"/>
            </w:r>
            <w:r w:rsidR="00AF6244">
              <w:rPr>
                <w:noProof/>
                <w:webHidden/>
              </w:rPr>
              <w:t>14</w:t>
            </w:r>
            <w:r w:rsidR="00B87513">
              <w:rPr>
                <w:noProof/>
                <w:webHidden/>
              </w:rPr>
              <w:fldChar w:fldCharType="end"/>
            </w:r>
          </w:hyperlink>
        </w:p>
        <w:p w14:paraId="0BD6AD1B" w14:textId="71A02CA4" w:rsidR="00B87513" w:rsidRDefault="00000000">
          <w:pPr>
            <w:pStyle w:val="TOC2"/>
            <w:tabs>
              <w:tab w:val="right" w:leader="dot" w:pos="9060"/>
            </w:tabs>
            <w:rPr>
              <w:rFonts w:eastAsiaTheme="minorEastAsia"/>
              <w:noProof/>
              <w:lang w:eastAsia="en-AU"/>
            </w:rPr>
          </w:pPr>
          <w:hyperlink w:anchor="_Toc136427258" w:history="1">
            <w:r w:rsidR="00B87513" w:rsidRPr="00762D5C">
              <w:rPr>
                <w:rStyle w:val="Hyperlink"/>
                <w:noProof/>
              </w:rPr>
              <w:t>Disclosure of personal information to other Commonwealth agencies providing services to the department</w:t>
            </w:r>
            <w:r w:rsidR="00B87513">
              <w:rPr>
                <w:noProof/>
                <w:webHidden/>
              </w:rPr>
              <w:tab/>
            </w:r>
            <w:r w:rsidR="00B87513">
              <w:rPr>
                <w:noProof/>
                <w:webHidden/>
              </w:rPr>
              <w:fldChar w:fldCharType="begin"/>
            </w:r>
            <w:r w:rsidR="00B87513">
              <w:rPr>
                <w:noProof/>
                <w:webHidden/>
              </w:rPr>
              <w:instrText xml:space="preserve"> PAGEREF _Toc136427258 \h </w:instrText>
            </w:r>
            <w:r w:rsidR="00B87513">
              <w:rPr>
                <w:noProof/>
                <w:webHidden/>
              </w:rPr>
            </w:r>
            <w:r w:rsidR="00B87513">
              <w:rPr>
                <w:noProof/>
                <w:webHidden/>
              </w:rPr>
              <w:fldChar w:fldCharType="separate"/>
            </w:r>
            <w:r w:rsidR="00AF6244">
              <w:rPr>
                <w:noProof/>
                <w:webHidden/>
              </w:rPr>
              <w:t>15</w:t>
            </w:r>
            <w:r w:rsidR="00B87513">
              <w:rPr>
                <w:noProof/>
                <w:webHidden/>
              </w:rPr>
              <w:fldChar w:fldCharType="end"/>
            </w:r>
          </w:hyperlink>
        </w:p>
        <w:p w14:paraId="45BB89F9" w14:textId="5280BB61" w:rsidR="00B87513" w:rsidRDefault="00000000">
          <w:pPr>
            <w:pStyle w:val="TOC2"/>
            <w:tabs>
              <w:tab w:val="right" w:leader="dot" w:pos="9060"/>
            </w:tabs>
            <w:rPr>
              <w:rFonts w:eastAsiaTheme="minorEastAsia"/>
              <w:noProof/>
              <w:lang w:eastAsia="en-AU"/>
            </w:rPr>
          </w:pPr>
          <w:hyperlink w:anchor="_Toc136427259" w:history="1">
            <w:r w:rsidR="00B87513" w:rsidRPr="00762D5C">
              <w:rPr>
                <w:rStyle w:val="Hyperlink"/>
                <w:noProof/>
              </w:rPr>
              <w:t>Disclosure of personal information to Services Australia</w:t>
            </w:r>
            <w:r w:rsidR="00B87513">
              <w:rPr>
                <w:noProof/>
                <w:webHidden/>
              </w:rPr>
              <w:tab/>
            </w:r>
            <w:r w:rsidR="00B87513">
              <w:rPr>
                <w:noProof/>
                <w:webHidden/>
              </w:rPr>
              <w:fldChar w:fldCharType="begin"/>
            </w:r>
            <w:r w:rsidR="00B87513">
              <w:rPr>
                <w:noProof/>
                <w:webHidden/>
              </w:rPr>
              <w:instrText xml:space="preserve"> PAGEREF _Toc136427259 \h </w:instrText>
            </w:r>
            <w:r w:rsidR="00B87513">
              <w:rPr>
                <w:noProof/>
                <w:webHidden/>
              </w:rPr>
            </w:r>
            <w:r w:rsidR="00B87513">
              <w:rPr>
                <w:noProof/>
                <w:webHidden/>
              </w:rPr>
              <w:fldChar w:fldCharType="separate"/>
            </w:r>
            <w:r w:rsidR="00AF6244">
              <w:rPr>
                <w:noProof/>
                <w:webHidden/>
              </w:rPr>
              <w:t>15</w:t>
            </w:r>
            <w:r w:rsidR="00B87513">
              <w:rPr>
                <w:noProof/>
                <w:webHidden/>
              </w:rPr>
              <w:fldChar w:fldCharType="end"/>
            </w:r>
          </w:hyperlink>
        </w:p>
        <w:p w14:paraId="46A8F2E4" w14:textId="5B0D387B" w:rsidR="00B87513" w:rsidRDefault="00000000">
          <w:pPr>
            <w:pStyle w:val="TOC2"/>
            <w:tabs>
              <w:tab w:val="right" w:leader="dot" w:pos="9060"/>
            </w:tabs>
            <w:rPr>
              <w:rFonts w:eastAsiaTheme="minorEastAsia"/>
              <w:noProof/>
              <w:lang w:eastAsia="en-AU"/>
            </w:rPr>
          </w:pPr>
          <w:hyperlink w:anchor="_Toc136427260" w:history="1">
            <w:r w:rsidR="00B87513" w:rsidRPr="00762D5C">
              <w:rPr>
                <w:rStyle w:val="Hyperlink"/>
                <w:rFonts w:eastAsia="Calibri"/>
                <w:noProof/>
              </w:rPr>
              <w:t>Disclosure of personal information to the Australian Taxation Office</w:t>
            </w:r>
            <w:r w:rsidR="00B87513">
              <w:rPr>
                <w:noProof/>
                <w:webHidden/>
              </w:rPr>
              <w:tab/>
            </w:r>
            <w:r w:rsidR="00B87513">
              <w:rPr>
                <w:noProof/>
                <w:webHidden/>
              </w:rPr>
              <w:fldChar w:fldCharType="begin"/>
            </w:r>
            <w:r w:rsidR="00B87513">
              <w:rPr>
                <w:noProof/>
                <w:webHidden/>
              </w:rPr>
              <w:instrText xml:space="preserve"> PAGEREF _Toc136427260 \h </w:instrText>
            </w:r>
            <w:r w:rsidR="00B87513">
              <w:rPr>
                <w:noProof/>
                <w:webHidden/>
              </w:rPr>
            </w:r>
            <w:r w:rsidR="00B87513">
              <w:rPr>
                <w:noProof/>
                <w:webHidden/>
              </w:rPr>
              <w:fldChar w:fldCharType="separate"/>
            </w:r>
            <w:r w:rsidR="00AF6244">
              <w:rPr>
                <w:noProof/>
                <w:webHidden/>
              </w:rPr>
              <w:t>16</w:t>
            </w:r>
            <w:r w:rsidR="00B87513">
              <w:rPr>
                <w:noProof/>
                <w:webHidden/>
              </w:rPr>
              <w:fldChar w:fldCharType="end"/>
            </w:r>
          </w:hyperlink>
        </w:p>
        <w:p w14:paraId="5A7B0213" w14:textId="219969D8" w:rsidR="00B87513" w:rsidRDefault="00000000">
          <w:pPr>
            <w:pStyle w:val="TOC2"/>
            <w:tabs>
              <w:tab w:val="right" w:leader="dot" w:pos="9060"/>
            </w:tabs>
            <w:rPr>
              <w:rFonts w:eastAsiaTheme="minorEastAsia"/>
              <w:noProof/>
              <w:lang w:eastAsia="en-AU"/>
            </w:rPr>
          </w:pPr>
          <w:hyperlink w:anchor="_Toc136427261" w:history="1">
            <w:r w:rsidR="00B87513" w:rsidRPr="00762D5C">
              <w:rPr>
                <w:rStyle w:val="Hyperlink"/>
                <w:rFonts w:eastAsia="Calibri"/>
                <w:noProof/>
              </w:rPr>
              <w:t>Disclosure of personal information overseas</w:t>
            </w:r>
            <w:r w:rsidR="00B87513">
              <w:rPr>
                <w:noProof/>
                <w:webHidden/>
              </w:rPr>
              <w:tab/>
            </w:r>
            <w:r w:rsidR="00B87513">
              <w:rPr>
                <w:noProof/>
                <w:webHidden/>
              </w:rPr>
              <w:fldChar w:fldCharType="begin"/>
            </w:r>
            <w:r w:rsidR="00B87513">
              <w:rPr>
                <w:noProof/>
                <w:webHidden/>
              </w:rPr>
              <w:instrText xml:space="preserve"> PAGEREF _Toc136427261 \h </w:instrText>
            </w:r>
            <w:r w:rsidR="00B87513">
              <w:rPr>
                <w:noProof/>
                <w:webHidden/>
              </w:rPr>
            </w:r>
            <w:r w:rsidR="00B87513">
              <w:rPr>
                <w:noProof/>
                <w:webHidden/>
              </w:rPr>
              <w:fldChar w:fldCharType="separate"/>
            </w:r>
            <w:r w:rsidR="00AF6244">
              <w:rPr>
                <w:noProof/>
                <w:webHidden/>
              </w:rPr>
              <w:t>16</w:t>
            </w:r>
            <w:r w:rsidR="00B87513">
              <w:rPr>
                <w:noProof/>
                <w:webHidden/>
              </w:rPr>
              <w:fldChar w:fldCharType="end"/>
            </w:r>
          </w:hyperlink>
        </w:p>
        <w:p w14:paraId="3C0B664C" w14:textId="2B2A98BF" w:rsidR="00B87513" w:rsidRDefault="00000000">
          <w:pPr>
            <w:pStyle w:val="TOC3"/>
            <w:tabs>
              <w:tab w:val="right" w:leader="dot" w:pos="9060"/>
            </w:tabs>
            <w:rPr>
              <w:rFonts w:eastAsiaTheme="minorEastAsia"/>
              <w:noProof/>
              <w:lang w:eastAsia="en-AU"/>
            </w:rPr>
          </w:pPr>
          <w:hyperlink w:anchor="_Toc136427262" w:history="1">
            <w:r w:rsidR="00B87513" w:rsidRPr="00762D5C">
              <w:rPr>
                <w:rStyle w:val="Hyperlink"/>
                <w:rFonts w:eastAsia="Calibri"/>
                <w:noProof/>
              </w:rPr>
              <w:t>Mailchimp</w:t>
            </w:r>
            <w:r w:rsidR="00B87513">
              <w:rPr>
                <w:noProof/>
                <w:webHidden/>
              </w:rPr>
              <w:tab/>
            </w:r>
            <w:r w:rsidR="00B87513">
              <w:rPr>
                <w:noProof/>
                <w:webHidden/>
              </w:rPr>
              <w:fldChar w:fldCharType="begin"/>
            </w:r>
            <w:r w:rsidR="00B87513">
              <w:rPr>
                <w:noProof/>
                <w:webHidden/>
              </w:rPr>
              <w:instrText xml:space="preserve"> PAGEREF _Toc136427262 \h </w:instrText>
            </w:r>
            <w:r w:rsidR="00B87513">
              <w:rPr>
                <w:noProof/>
                <w:webHidden/>
              </w:rPr>
            </w:r>
            <w:r w:rsidR="00B87513">
              <w:rPr>
                <w:noProof/>
                <w:webHidden/>
              </w:rPr>
              <w:fldChar w:fldCharType="separate"/>
            </w:r>
            <w:r w:rsidR="00AF6244">
              <w:rPr>
                <w:noProof/>
                <w:webHidden/>
              </w:rPr>
              <w:t>17</w:t>
            </w:r>
            <w:r w:rsidR="00B87513">
              <w:rPr>
                <w:noProof/>
                <w:webHidden/>
              </w:rPr>
              <w:fldChar w:fldCharType="end"/>
            </w:r>
          </w:hyperlink>
        </w:p>
        <w:p w14:paraId="1C6051D2" w14:textId="5AA9EA96" w:rsidR="00B87513" w:rsidRDefault="00000000">
          <w:pPr>
            <w:pStyle w:val="TOC3"/>
            <w:tabs>
              <w:tab w:val="right" w:leader="dot" w:pos="9060"/>
            </w:tabs>
            <w:rPr>
              <w:rFonts w:eastAsiaTheme="minorEastAsia"/>
              <w:noProof/>
              <w:lang w:eastAsia="en-AU"/>
            </w:rPr>
          </w:pPr>
          <w:hyperlink w:anchor="_Toc136427263" w:history="1">
            <w:r w:rsidR="00B87513" w:rsidRPr="00762D5C">
              <w:rPr>
                <w:rStyle w:val="Hyperlink"/>
                <w:noProof/>
              </w:rPr>
              <w:t>Slido</w:t>
            </w:r>
            <w:r w:rsidR="00B87513">
              <w:rPr>
                <w:noProof/>
                <w:webHidden/>
              </w:rPr>
              <w:tab/>
            </w:r>
            <w:r w:rsidR="00B87513">
              <w:rPr>
                <w:noProof/>
                <w:webHidden/>
              </w:rPr>
              <w:fldChar w:fldCharType="begin"/>
            </w:r>
            <w:r w:rsidR="00B87513">
              <w:rPr>
                <w:noProof/>
                <w:webHidden/>
              </w:rPr>
              <w:instrText xml:space="preserve"> PAGEREF _Toc136427263 \h </w:instrText>
            </w:r>
            <w:r w:rsidR="00B87513">
              <w:rPr>
                <w:noProof/>
                <w:webHidden/>
              </w:rPr>
            </w:r>
            <w:r w:rsidR="00B87513">
              <w:rPr>
                <w:noProof/>
                <w:webHidden/>
              </w:rPr>
              <w:fldChar w:fldCharType="separate"/>
            </w:r>
            <w:r w:rsidR="00AF6244">
              <w:rPr>
                <w:noProof/>
                <w:webHidden/>
              </w:rPr>
              <w:t>18</w:t>
            </w:r>
            <w:r w:rsidR="00B87513">
              <w:rPr>
                <w:noProof/>
                <w:webHidden/>
              </w:rPr>
              <w:fldChar w:fldCharType="end"/>
            </w:r>
          </w:hyperlink>
        </w:p>
        <w:p w14:paraId="362FA175" w14:textId="6BCB7579" w:rsidR="00B87513" w:rsidRDefault="00000000">
          <w:pPr>
            <w:pStyle w:val="TOC2"/>
            <w:tabs>
              <w:tab w:val="right" w:leader="dot" w:pos="9060"/>
            </w:tabs>
            <w:rPr>
              <w:rFonts w:eastAsiaTheme="minorEastAsia"/>
              <w:noProof/>
              <w:lang w:eastAsia="en-AU"/>
            </w:rPr>
          </w:pPr>
          <w:hyperlink w:anchor="_Toc136427264" w:history="1">
            <w:r w:rsidR="00B87513" w:rsidRPr="00762D5C">
              <w:rPr>
                <w:rStyle w:val="Hyperlink"/>
                <w:noProof/>
              </w:rPr>
              <w:t>Our website</w:t>
            </w:r>
            <w:r w:rsidR="00B87513">
              <w:rPr>
                <w:noProof/>
                <w:webHidden/>
              </w:rPr>
              <w:tab/>
            </w:r>
            <w:r w:rsidR="00B87513">
              <w:rPr>
                <w:noProof/>
                <w:webHidden/>
              </w:rPr>
              <w:fldChar w:fldCharType="begin"/>
            </w:r>
            <w:r w:rsidR="00B87513">
              <w:rPr>
                <w:noProof/>
                <w:webHidden/>
              </w:rPr>
              <w:instrText xml:space="preserve"> PAGEREF _Toc136427264 \h </w:instrText>
            </w:r>
            <w:r w:rsidR="00B87513">
              <w:rPr>
                <w:noProof/>
                <w:webHidden/>
              </w:rPr>
            </w:r>
            <w:r w:rsidR="00B87513">
              <w:rPr>
                <w:noProof/>
                <w:webHidden/>
              </w:rPr>
              <w:fldChar w:fldCharType="separate"/>
            </w:r>
            <w:r w:rsidR="00AF6244">
              <w:rPr>
                <w:noProof/>
                <w:webHidden/>
              </w:rPr>
              <w:t>18</w:t>
            </w:r>
            <w:r w:rsidR="00B87513">
              <w:rPr>
                <w:noProof/>
                <w:webHidden/>
              </w:rPr>
              <w:fldChar w:fldCharType="end"/>
            </w:r>
          </w:hyperlink>
        </w:p>
        <w:p w14:paraId="5C51D9DF" w14:textId="341BB545" w:rsidR="00B87513" w:rsidRDefault="00000000">
          <w:pPr>
            <w:pStyle w:val="TOC3"/>
            <w:tabs>
              <w:tab w:val="right" w:leader="dot" w:pos="9060"/>
            </w:tabs>
            <w:rPr>
              <w:rFonts w:eastAsiaTheme="minorEastAsia"/>
              <w:noProof/>
              <w:lang w:eastAsia="en-AU"/>
            </w:rPr>
          </w:pPr>
          <w:hyperlink w:anchor="_Toc136427265" w:history="1">
            <w:r w:rsidR="00B87513" w:rsidRPr="00762D5C">
              <w:rPr>
                <w:rStyle w:val="Hyperlink"/>
                <w:noProof/>
              </w:rPr>
              <w:t>Passive collection</w:t>
            </w:r>
            <w:r w:rsidR="00B87513">
              <w:rPr>
                <w:noProof/>
                <w:webHidden/>
              </w:rPr>
              <w:tab/>
            </w:r>
            <w:r w:rsidR="00B87513">
              <w:rPr>
                <w:noProof/>
                <w:webHidden/>
              </w:rPr>
              <w:fldChar w:fldCharType="begin"/>
            </w:r>
            <w:r w:rsidR="00B87513">
              <w:rPr>
                <w:noProof/>
                <w:webHidden/>
              </w:rPr>
              <w:instrText xml:space="preserve"> PAGEREF _Toc136427265 \h </w:instrText>
            </w:r>
            <w:r w:rsidR="00B87513">
              <w:rPr>
                <w:noProof/>
                <w:webHidden/>
              </w:rPr>
            </w:r>
            <w:r w:rsidR="00B87513">
              <w:rPr>
                <w:noProof/>
                <w:webHidden/>
              </w:rPr>
              <w:fldChar w:fldCharType="separate"/>
            </w:r>
            <w:r w:rsidR="00AF6244">
              <w:rPr>
                <w:noProof/>
                <w:webHidden/>
              </w:rPr>
              <w:t>18</w:t>
            </w:r>
            <w:r w:rsidR="00B87513">
              <w:rPr>
                <w:noProof/>
                <w:webHidden/>
              </w:rPr>
              <w:fldChar w:fldCharType="end"/>
            </w:r>
          </w:hyperlink>
        </w:p>
        <w:p w14:paraId="4B202E15" w14:textId="4CF02506" w:rsidR="00B87513" w:rsidRDefault="00000000">
          <w:pPr>
            <w:pStyle w:val="TOC3"/>
            <w:tabs>
              <w:tab w:val="right" w:leader="dot" w:pos="9060"/>
            </w:tabs>
            <w:rPr>
              <w:rFonts w:eastAsiaTheme="minorEastAsia"/>
              <w:noProof/>
              <w:lang w:eastAsia="en-AU"/>
            </w:rPr>
          </w:pPr>
          <w:hyperlink w:anchor="_Toc136427266" w:history="1">
            <w:r w:rsidR="00B87513" w:rsidRPr="00762D5C">
              <w:rPr>
                <w:rStyle w:val="Hyperlink"/>
                <w:noProof/>
              </w:rPr>
              <w:t>Active collection</w:t>
            </w:r>
            <w:r w:rsidR="00B87513">
              <w:rPr>
                <w:noProof/>
                <w:webHidden/>
              </w:rPr>
              <w:tab/>
            </w:r>
            <w:r w:rsidR="00B87513">
              <w:rPr>
                <w:noProof/>
                <w:webHidden/>
              </w:rPr>
              <w:fldChar w:fldCharType="begin"/>
            </w:r>
            <w:r w:rsidR="00B87513">
              <w:rPr>
                <w:noProof/>
                <w:webHidden/>
              </w:rPr>
              <w:instrText xml:space="preserve"> PAGEREF _Toc136427266 \h </w:instrText>
            </w:r>
            <w:r w:rsidR="00B87513">
              <w:rPr>
                <w:noProof/>
                <w:webHidden/>
              </w:rPr>
            </w:r>
            <w:r w:rsidR="00B87513">
              <w:rPr>
                <w:noProof/>
                <w:webHidden/>
              </w:rPr>
              <w:fldChar w:fldCharType="separate"/>
            </w:r>
            <w:r w:rsidR="00AF6244">
              <w:rPr>
                <w:noProof/>
                <w:webHidden/>
              </w:rPr>
              <w:t>19</w:t>
            </w:r>
            <w:r w:rsidR="00B87513">
              <w:rPr>
                <w:noProof/>
                <w:webHidden/>
              </w:rPr>
              <w:fldChar w:fldCharType="end"/>
            </w:r>
          </w:hyperlink>
        </w:p>
        <w:p w14:paraId="2C94AEF3" w14:textId="46BB31E3" w:rsidR="00B87513" w:rsidRDefault="00000000">
          <w:pPr>
            <w:pStyle w:val="TOC3"/>
            <w:tabs>
              <w:tab w:val="right" w:leader="dot" w:pos="9060"/>
            </w:tabs>
            <w:rPr>
              <w:rFonts w:eastAsiaTheme="minorEastAsia"/>
              <w:noProof/>
              <w:lang w:eastAsia="en-AU"/>
            </w:rPr>
          </w:pPr>
          <w:hyperlink w:anchor="_Toc136427267" w:history="1">
            <w:r w:rsidR="00B87513" w:rsidRPr="00762D5C">
              <w:rPr>
                <w:rStyle w:val="Hyperlink"/>
                <w:noProof/>
              </w:rPr>
              <w:t>Links to external websites and social networking services</w:t>
            </w:r>
            <w:r w:rsidR="00B87513">
              <w:rPr>
                <w:noProof/>
                <w:webHidden/>
              </w:rPr>
              <w:tab/>
            </w:r>
            <w:r w:rsidR="00B87513">
              <w:rPr>
                <w:noProof/>
                <w:webHidden/>
              </w:rPr>
              <w:fldChar w:fldCharType="begin"/>
            </w:r>
            <w:r w:rsidR="00B87513">
              <w:rPr>
                <w:noProof/>
                <w:webHidden/>
              </w:rPr>
              <w:instrText xml:space="preserve"> PAGEREF _Toc136427267 \h </w:instrText>
            </w:r>
            <w:r w:rsidR="00B87513">
              <w:rPr>
                <w:noProof/>
                <w:webHidden/>
              </w:rPr>
            </w:r>
            <w:r w:rsidR="00B87513">
              <w:rPr>
                <w:noProof/>
                <w:webHidden/>
              </w:rPr>
              <w:fldChar w:fldCharType="separate"/>
            </w:r>
            <w:r w:rsidR="00AF6244">
              <w:rPr>
                <w:noProof/>
                <w:webHidden/>
              </w:rPr>
              <w:t>20</w:t>
            </w:r>
            <w:r w:rsidR="00B87513">
              <w:rPr>
                <w:noProof/>
                <w:webHidden/>
              </w:rPr>
              <w:fldChar w:fldCharType="end"/>
            </w:r>
          </w:hyperlink>
        </w:p>
        <w:p w14:paraId="5F087984" w14:textId="3BCF1A49" w:rsidR="00B87513" w:rsidRDefault="00000000">
          <w:pPr>
            <w:pStyle w:val="TOC3"/>
            <w:tabs>
              <w:tab w:val="right" w:leader="dot" w:pos="9060"/>
            </w:tabs>
            <w:rPr>
              <w:rFonts w:eastAsiaTheme="minorEastAsia"/>
              <w:noProof/>
              <w:lang w:eastAsia="en-AU"/>
            </w:rPr>
          </w:pPr>
          <w:hyperlink w:anchor="_Toc136427268" w:history="1">
            <w:r w:rsidR="00B87513" w:rsidRPr="00762D5C">
              <w:rPr>
                <w:rStyle w:val="Hyperlink"/>
                <w:noProof/>
              </w:rPr>
              <w:t>Electronic communication</w:t>
            </w:r>
            <w:r w:rsidR="00B87513">
              <w:rPr>
                <w:noProof/>
                <w:webHidden/>
              </w:rPr>
              <w:tab/>
            </w:r>
            <w:r w:rsidR="00B87513">
              <w:rPr>
                <w:noProof/>
                <w:webHidden/>
              </w:rPr>
              <w:fldChar w:fldCharType="begin"/>
            </w:r>
            <w:r w:rsidR="00B87513">
              <w:rPr>
                <w:noProof/>
                <w:webHidden/>
              </w:rPr>
              <w:instrText xml:space="preserve"> PAGEREF _Toc136427268 \h </w:instrText>
            </w:r>
            <w:r w:rsidR="00B87513">
              <w:rPr>
                <w:noProof/>
                <w:webHidden/>
              </w:rPr>
            </w:r>
            <w:r w:rsidR="00B87513">
              <w:rPr>
                <w:noProof/>
                <w:webHidden/>
              </w:rPr>
              <w:fldChar w:fldCharType="separate"/>
            </w:r>
            <w:r w:rsidR="00AF6244">
              <w:rPr>
                <w:noProof/>
                <w:webHidden/>
              </w:rPr>
              <w:t>20</w:t>
            </w:r>
            <w:r w:rsidR="00B87513">
              <w:rPr>
                <w:noProof/>
                <w:webHidden/>
              </w:rPr>
              <w:fldChar w:fldCharType="end"/>
            </w:r>
          </w:hyperlink>
        </w:p>
        <w:p w14:paraId="632AA39A" w14:textId="3918CEAB" w:rsidR="00B87513" w:rsidRDefault="00000000">
          <w:pPr>
            <w:pStyle w:val="TOC2"/>
            <w:tabs>
              <w:tab w:val="right" w:leader="dot" w:pos="9060"/>
            </w:tabs>
            <w:rPr>
              <w:rFonts w:eastAsiaTheme="minorEastAsia"/>
              <w:noProof/>
              <w:lang w:eastAsia="en-AU"/>
            </w:rPr>
          </w:pPr>
          <w:hyperlink w:anchor="_Toc136427269" w:history="1">
            <w:r w:rsidR="00B87513" w:rsidRPr="00762D5C">
              <w:rPr>
                <w:rStyle w:val="Hyperlink"/>
                <w:noProof/>
              </w:rPr>
              <w:t>Use of digital platforms</w:t>
            </w:r>
            <w:r w:rsidR="00B87513">
              <w:rPr>
                <w:noProof/>
                <w:webHidden/>
              </w:rPr>
              <w:tab/>
            </w:r>
            <w:r w:rsidR="00B87513">
              <w:rPr>
                <w:noProof/>
                <w:webHidden/>
              </w:rPr>
              <w:fldChar w:fldCharType="begin"/>
            </w:r>
            <w:r w:rsidR="00B87513">
              <w:rPr>
                <w:noProof/>
                <w:webHidden/>
              </w:rPr>
              <w:instrText xml:space="preserve"> PAGEREF _Toc136427269 \h </w:instrText>
            </w:r>
            <w:r w:rsidR="00B87513">
              <w:rPr>
                <w:noProof/>
                <w:webHidden/>
              </w:rPr>
            </w:r>
            <w:r w:rsidR="00B87513">
              <w:rPr>
                <w:noProof/>
                <w:webHidden/>
              </w:rPr>
              <w:fldChar w:fldCharType="separate"/>
            </w:r>
            <w:r w:rsidR="00AF6244">
              <w:rPr>
                <w:noProof/>
                <w:webHidden/>
              </w:rPr>
              <w:t>20</w:t>
            </w:r>
            <w:r w:rsidR="00B87513">
              <w:rPr>
                <w:noProof/>
                <w:webHidden/>
              </w:rPr>
              <w:fldChar w:fldCharType="end"/>
            </w:r>
          </w:hyperlink>
        </w:p>
        <w:p w14:paraId="75D3454D" w14:textId="03E26B5B" w:rsidR="00B87513" w:rsidRDefault="00000000">
          <w:pPr>
            <w:pStyle w:val="TOC3"/>
            <w:tabs>
              <w:tab w:val="right" w:leader="dot" w:pos="9060"/>
            </w:tabs>
            <w:rPr>
              <w:rFonts w:eastAsiaTheme="minorEastAsia"/>
              <w:noProof/>
              <w:lang w:eastAsia="en-AU"/>
            </w:rPr>
          </w:pPr>
          <w:hyperlink w:anchor="_Toc136427270" w:history="1">
            <w:r w:rsidR="00B87513" w:rsidRPr="00762D5C">
              <w:rPr>
                <w:rStyle w:val="Hyperlink"/>
                <w:noProof/>
              </w:rPr>
              <w:t>Swift Digital</w:t>
            </w:r>
            <w:r w:rsidR="00B87513">
              <w:rPr>
                <w:noProof/>
                <w:webHidden/>
              </w:rPr>
              <w:tab/>
            </w:r>
            <w:r w:rsidR="00B87513">
              <w:rPr>
                <w:noProof/>
                <w:webHidden/>
              </w:rPr>
              <w:fldChar w:fldCharType="begin"/>
            </w:r>
            <w:r w:rsidR="00B87513">
              <w:rPr>
                <w:noProof/>
                <w:webHidden/>
              </w:rPr>
              <w:instrText xml:space="preserve"> PAGEREF _Toc136427270 \h </w:instrText>
            </w:r>
            <w:r w:rsidR="00B87513">
              <w:rPr>
                <w:noProof/>
                <w:webHidden/>
              </w:rPr>
            </w:r>
            <w:r w:rsidR="00B87513">
              <w:rPr>
                <w:noProof/>
                <w:webHidden/>
              </w:rPr>
              <w:fldChar w:fldCharType="separate"/>
            </w:r>
            <w:r w:rsidR="00AF6244">
              <w:rPr>
                <w:noProof/>
                <w:webHidden/>
              </w:rPr>
              <w:t>20</w:t>
            </w:r>
            <w:r w:rsidR="00B87513">
              <w:rPr>
                <w:noProof/>
                <w:webHidden/>
              </w:rPr>
              <w:fldChar w:fldCharType="end"/>
            </w:r>
          </w:hyperlink>
        </w:p>
        <w:p w14:paraId="45168C90" w14:textId="65A36CCE" w:rsidR="00B87513" w:rsidRDefault="00000000">
          <w:pPr>
            <w:pStyle w:val="TOC3"/>
            <w:tabs>
              <w:tab w:val="right" w:leader="dot" w:pos="9060"/>
            </w:tabs>
            <w:rPr>
              <w:rFonts w:eastAsiaTheme="minorEastAsia"/>
              <w:noProof/>
              <w:lang w:eastAsia="en-AU"/>
            </w:rPr>
          </w:pPr>
          <w:hyperlink w:anchor="_Toc136427271" w:history="1">
            <w:r w:rsidR="00B87513" w:rsidRPr="00762D5C">
              <w:rPr>
                <w:rStyle w:val="Hyperlink"/>
                <w:noProof/>
              </w:rPr>
              <w:t>Qualtrics</w:t>
            </w:r>
            <w:r w:rsidR="00B87513">
              <w:rPr>
                <w:noProof/>
                <w:webHidden/>
              </w:rPr>
              <w:tab/>
            </w:r>
            <w:r w:rsidR="00B87513">
              <w:rPr>
                <w:noProof/>
                <w:webHidden/>
              </w:rPr>
              <w:fldChar w:fldCharType="begin"/>
            </w:r>
            <w:r w:rsidR="00B87513">
              <w:rPr>
                <w:noProof/>
                <w:webHidden/>
              </w:rPr>
              <w:instrText xml:space="preserve"> PAGEREF _Toc136427271 \h </w:instrText>
            </w:r>
            <w:r w:rsidR="00B87513">
              <w:rPr>
                <w:noProof/>
                <w:webHidden/>
              </w:rPr>
            </w:r>
            <w:r w:rsidR="00B87513">
              <w:rPr>
                <w:noProof/>
                <w:webHidden/>
              </w:rPr>
              <w:fldChar w:fldCharType="separate"/>
            </w:r>
            <w:r w:rsidR="00AF6244">
              <w:rPr>
                <w:noProof/>
                <w:webHidden/>
              </w:rPr>
              <w:t>21</w:t>
            </w:r>
            <w:r w:rsidR="00B87513">
              <w:rPr>
                <w:noProof/>
                <w:webHidden/>
              </w:rPr>
              <w:fldChar w:fldCharType="end"/>
            </w:r>
          </w:hyperlink>
        </w:p>
        <w:p w14:paraId="0D1B583E" w14:textId="00C8D27D" w:rsidR="00B87513" w:rsidRDefault="00000000">
          <w:pPr>
            <w:pStyle w:val="TOC3"/>
            <w:tabs>
              <w:tab w:val="right" w:leader="dot" w:pos="9060"/>
            </w:tabs>
            <w:rPr>
              <w:rFonts w:eastAsiaTheme="minorEastAsia"/>
              <w:noProof/>
              <w:lang w:eastAsia="en-AU"/>
            </w:rPr>
          </w:pPr>
          <w:hyperlink w:anchor="_Toc136427272" w:history="1">
            <w:r w:rsidR="00B87513" w:rsidRPr="00762D5C">
              <w:rPr>
                <w:rStyle w:val="Hyperlink"/>
                <w:noProof/>
              </w:rPr>
              <w:t>SurveyManager (Australian Survey Research Group)</w:t>
            </w:r>
            <w:r w:rsidR="00B87513">
              <w:rPr>
                <w:noProof/>
                <w:webHidden/>
              </w:rPr>
              <w:tab/>
            </w:r>
            <w:r w:rsidR="00B87513">
              <w:rPr>
                <w:noProof/>
                <w:webHidden/>
              </w:rPr>
              <w:fldChar w:fldCharType="begin"/>
            </w:r>
            <w:r w:rsidR="00B87513">
              <w:rPr>
                <w:noProof/>
                <w:webHidden/>
              </w:rPr>
              <w:instrText xml:space="preserve"> PAGEREF _Toc136427272 \h </w:instrText>
            </w:r>
            <w:r w:rsidR="00B87513">
              <w:rPr>
                <w:noProof/>
                <w:webHidden/>
              </w:rPr>
            </w:r>
            <w:r w:rsidR="00B87513">
              <w:rPr>
                <w:noProof/>
                <w:webHidden/>
              </w:rPr>
              <w:fldChar w:fldCharType="separate"/>
            </w:r>
            <w:r w:rsidR="00AF6244">
              <w:rPr>
                <w:noProof/>
                <w:webHidden/>
              </w:rPr>
              <w:t>21</w:t>
            </w:r>
            <w:r w:rsidR="00B87513">
              <w:rPr>
                <w:noProof/>
                <w:webHidden/>
              </w:rPr>
              <w:fldChar w:fldCharType="end"/>
            </w:r>
          </w:hyperlink>
        </w:p>
        <w:p w14:paraId="6D14F386" w14:textId="2CBC0420" w:rsidR="00B87513" w:rsidRDefault="00000000">
          <w:pPr>
            <w:pStyle w:val="TOC2"/>
            <w:tabs>
              <w:tab w:val="right" w:leader="dot" w:pos="9060"/>
            </w:tabs>
            <w:rPr>
              <w:rFonts w:eastAsiaTheme="minorEastAsia"/>
              <w:noProof/>
              <w:lang w:eastAsia="en-AU"/>
            </w:rPr>
          </w:pPr>
          <w:hyperlink w:anchor="_Toc136427273" w:history="1">
            <w:r w:rsidR="00B87513" w:rsidRPr="00762D5C">
              <w:rPr>
                <w:rStyle w:val="Hyperlink"/>
                <w:rFonts w:eastAsia="Calibri"/>
                <w:noProof/>
              </w:rPr>
              <w:t>Unauthorised access, use or disclosure of personal information</w:t>
            </w:r>
            <w:r w:rsidR="00B87513">
              <w:rPr>
                <w:noProof/>
                <w:webHidden/>
              </w:rPr>
              <w:tab/>
            </w:r>
            <w:r w:rsidR="00B87513">
              <w:rPr>
                <w:noProof/>
                <w:webHidden/>
              </w:rPr>
              <w:fldChar w:fldCharType="begin"/>
            </w:r>
            <w:r w:rsidR="00B87513">
              <w:rPr>
                <w:noProof/>
                <w:webHidden/>
              </w:rPr>
              <w:instrText xml:space="preserve"> PAGEREF _Toc136427273 \h </w:instrText>
            </w:r>
            <w:r w:rsidR="00B87513">
              <w:rPr>
                <w:noProof/>
                <w:webHidden/>
              </w:rPr>
            </w:r>
            <w:r w:rsidR="00B87513">
              <w:rPr>
                <w:noProof/>
                <w:webHidden/>
              </w:rPr>
              <w:fldChar w:fldCharType="separate"/>
            </w:r>
            <w:r w:rsidR="00AF6244">
              <w:rPr>
                <w:noProof/>
                <w:webHidden/>
              </w:rPr>
              <w:t>22</w:t>
            </w:r>
            <w:r w:rsidR="00B87513">
              <w:rPr>
                <w:noProof/>
                <w:webHidden/>
              </w:rPr>
              <w:fldChar w:fldCharType="end"/>
            </w:r>
          </w:hyperlink>
        </w:p>
        <w:p w14:paraId="57CF53F0" w14:textId="770229B5" w:rsidR="00B87513" w:rsidRDefault="00000000" w:rsidP="00B87513">
          <w:pPr>
            <w:pStyle w:val="TOC1"/>
            <w:rPr>
              <w:rFonts w:eastAsiaTheme="minorEastAsia"/>
              <w:noProof/>
              <w:lang w:eastAsia="en-AU"/>
            </w:rPr>
          </w:pPr>
          <w:hyperlink w:anchor="_Toc136427274" w:history="1">
            <w:r w:rsidR="00B87513" w:rsidRPr="00762D5C">
              <w:rPr>
                <w:rStyle w:val="Hyperlink"/>
                <w:noProof/>
              </w:rPr>
              <w:t>Accessing and correcting your personal information</w:t>
            </w:r>
            <w:r w:rsidR="00B87513">
              <w:rPr>
                <w:noProof/>
                <w:webHidden/>
              </w:rPr>
              <w:tab/>
            </w:r>
            <w:r w:rsidR="00B87513">
              <w:rPr>
                <w:noProof/>
                <w:webHidden/>
              </w:rPr>
              <w:fldChar w:fldCharType="begin"/>
            </w:r>
            <w:r w:rsidR="00B87513">
              <w:rPr>
                <w:noProof/>
                <w:webHidden/>
              </w:rPr>
              <w:instrText xml:space="preserve"> PAGEREF _Toc136427274 \h </w:instrText>
            </w:r>
            <w:r w:rsidR="00B87513">
              <w:rPr>
                <w:noProof/>
                <w:webHidden/>
              </w:rPr>
            </w:r>
            <w:r w:rsidR="00B87513">
              <w:rPr>
                <w:noProof/>
                <w:webHidden/>
              </w:rPr>
              <w:fldChar w:fldCharType="separate"/>
            </w:r>
            <w:r w:rsidR="00AF6244">
              <w:rPr>
                <w:noProof/>
                <w:webHidden/>
              </w:rPr>
              <w:t>22</w:t>
            </w:r>
            <w:r w:rsidR="00B87513">
              <w:rPr>
                <w:noProof/>
                <w:webHidden/>
              </w:rPr>
              <w:fldChar w:fldCharType="end"/>
            </w:r>
          </w:hyperlink>
        </w:p>
        <w:p w14:paraId="47D40C8F" w14:textId="0EC30C68" w:rsidR="00B87513" w:rsidRDefault="00000000">
          <w:pPr>
            <w:pStyle w:val="TOC2"/>
            <w:tabs>
              <w:tab w:val="right" w:leader="dot" w:pos="9060"/>
            </w:tabs>
            <w:rPr>
              <w:rFonts w:eastAsiaTheme="minorEastAsia"/>
              <w:noProof/>
              <w:lang w:eastAsia="en-AU"/>
            </w:rPr>
          </w:pPr>
          <w:hyperlink w:anchor="_Toc136427275" w:history="1">
            <w:r w:rsidR="00B87513" w:rsidRPr="00762D5C">
              <w:rPr>
                <w:rStyle w:val="Hyperlink"/>
                <w:noProof/>
              </w:rPr>
              <w:t>How to seek access to and correction of personal information</w:t>
            </w:r>
            <w:r w:rsidR="00B87513">
              <w:rPr>
                <w:noProof/>
                <w:webHidden/>
              </w:rPr>
              <w:tab/>
            </w:r>
            <w:r w:rsidR="00B87513">
              <w:rPr>
                <w:noProof/>
                <w:webHidden/>
              </w:rPr>
              <w:fldChar w:fldCharType="begin"/>
            </w:r>
            <w:r w:rsidR="00B87513">
              <w:rPr>
                <w:noProof/>
                <w:webHidden/>
              </w:rPr>
              <w:instrText xml:space="preserve"> PAGEREF _Toc136427275 \h </w:instrText>
            </w:r>
            <w:r w:rsidR="00B87513">
              <w:rPr>
                <w:noProof/>
                <w:webHidden/>
              </w:rPr>
            </w:r>
            <w:r w:rsidR="00B87513">
              <w:rPr>
                <w:noProof/>
                <w:webHidden/>
              </w:rPr>
              <w:fldChar w:fldCharType="separate"/>
            </w:r>
            <w:r w:rsidR="00AF6244">
              <w:rPr>
                <w:noProof/>
                <w:webHidden/>
              </w:rPr>
              <w:t>22</w:t>
            </w:r>
            <w:r w:rsidR="00B87513">
              <w:rPr>
                <w:noProof/>
                <w:webHidden/>
              </w:rPr>
              <w:fldChar w:fldCharType="end"/>
            </w:r>
          </w:hyperlink>
        </w:p>
        <w:p w14:paraId="2CF292C8" w14:textId="308759EB" w:rsidR="00B87513" w:rsidRDefault="00000000">
          <w:pPr>
            <w:pStyle w:val="TOC2"/>
            <w:tabs>
              <w:tab w:val="right" w:leader="dot" w:pos="9060"/>
            </w:tabs>
            <w:rPr>
              <w:rFonts w:eastAsiaTheme="minorEastAsia"/>
              <w:noProof/>
              <w:lang w:eastAsia="en-AU"/>
            </w:rPr>
          </w:pPr>
          <w:hyperlink w:anchor="_Toc136427276" w:history="1">
            <w:r w:rsidR="00B87513" w:rsidRPr="00762D5C">
              <w:rPr>
                <w:rStyle w:val="Hyperlink"/>
                <w:noProof/>
              </w:rPr>
              <w:t>Our access and correction process</w:t>
            </w:r>
            <w:r w:rsidR="00B87513">
              <w:rPr>
                <w:noProof/>
                <w:webHidden/>
              </w:rPr>
              <w:tab/>
            </w:r>
            <w:r w:rsidR="00B87513">
              <w:rPr>
                <w:noProof/>
                <w:webHidden/>
              </w:rPr>
              <w:fldChar w:fldCharType="begin"/>
            </w:r>
            <w:r w:rsidR="00B87513">
              <w:rPr>
                <w:noProof/>
                <w:webHidden/>
              </w:rPr>
              <w:instrText xml:space="preserve"> PAGEREF _Toc136427276 \h </w:instrText>
            </w:r>
            <w:r w:rsidR="00B87513">
              <w:rPr>
                <w:noProof/>
                <w:webHidden/>
              </w:rPr>
            </w:r>
            <w:r w:rsidR="00B87513">
              <w:rPr>
                <w:noProof/>
                <w:webHidden/>
              </w:rPr>
              <w:fldChar w:fldCharType="separate"/>
            </w:r>
            <w:r w:rsidR="00AF6244">
              <w:rPr>
                <w:noProof/>
                <w:webHidden/>
              </w:rPr>
              <w:t>23</w:t>
            </w:r>
            <w:r w:rsidR="00B87513">
              <w:rPr>
                <w:noProof/>
                <w:webHidden/>
              </w:rPr>
              <w:fldChar w:fldCharType="end"/>
            </w:r>
          </w:hyperlink>
        </w:p>
        <w:p w14:paraId="70F5CB69" w14:textId="0C05378D" w:rsidR="00B87513" w:rsidRDefault="00000000">
          <w:pPr>
            <w:pStyle w:val="TOC2"/>
            <w:tabs>
              <w:tab w:val="right" w:leader="dot" w:pos="9060"/>
            </w:tabs>
            <w:rPr>
              <w:rFonts w:eastAsiaTheme="minorEastAsia"/>
              <w:noProof/>
              <w:lang w:eastAsia="en-AU"/>
            </w:rPr>
          </w:pPr>
          <w:hyperlink w:anchor="_Toc136427277" w:history="1">
            <w:r w:rsidR="00B87513" w:rsidRPr="00762D5C">
              <w:rPr>
                <w:rStyle w:val="Hyperlink"/>
                <w:rFonts w:eastAsia="Calibri"/>
                <w:noProof/>
              </w:rPr>
              <w:t>If you are unsatisfied with our response</w:t>
            </w:r>
            <w:r w:rsidR="00B87513">
              <w:rPr>
                <w:noProof/>
                <w:webHidden/>
              </w:rPr>
              <w:tab/>
            </w:r>
            <w:r w:rsidR="00B87513">
              <w:rPr>
                <w:noProof/>
                <w:webHidden/>
              </w:rPr>
              <w:fldChar w:fldCharType="begin"/>
            </w:r>
            <w:r w:rsidR="00B87513">
              <w:rPr>
                <w:noProof/>
                <w:webHidden/>
              </w:rPr>
              <w:instrText xml:space="preserve"> PAGEREF _Toc136427277 \h </w:instrText>
            </w:r>
            <w:r w:rsidR="00B87513">
              <w:rPr>
                <w:noProof/>
                <w:webHidden/>
              </w:rPr>
            </w:r>
            <w:r w:rsidR="00B87513">
              <w:rPr>
                <w:noProof/>
                <w:webHidden/>
              </w:rPr>
              <w:fldChar w:fldCharType="separate"/>
            </w:r>
            <w:r w:rsidR="00AF6244">
              <w:rPr>
                <w:noProof/>
                <w:webHidden/>
              </w:rPr>
              <w:t>23</w:t>
            </w:r>
            <w:r w:rsidR="00B87513">
              <w:rPr>
                <w:noProof/>
                <w:webHidden/>
              </w:rPr>
              <w:fldChar w:fldCharType="end"/>
            </w:r>
          </w:hyperlink>
        </w:p>
        <w:p w14:paraId="2089634C" w14:textId="4FC7CA40" w:rsidR="00B87513" w:rsidRDefault="00000000" w:rsidP="00B87513">
          <w:pPr>
            <w:pStyle w:val="TOC1"/>
            <w:rPr>
              <w:rFonts w:eastAsiaTheme="minorEastAsia"/>
              <w:noProof/>
              <w:lang w:eastAsia="en-AU"/>
            </w:rPr>
          </w:pPr>
          <w:hyperlink w:anchor="_Toc136427278" w:history="1">
            <w:r w:rsidR="00B87513" w:rsidRPr="00762D5C">
              <w:rPr>
                <w:rStyle w:val="Hyperlink"/>
                <w:noProof/>
              </w:rPr>
              <w:t>Privacy Impact Assessments</w:t>
            </w:r>
            <w:r w:rsidR="00B87513">
              <w:rPr>
                <w:noProof/>
                <w:webHidden/>
              </w:rPr>
              <w:tab/>
            </w:r>
            <w:r w:rsidR="00B87513">
              <w:rPr>
                <w:noProof/>
                <w:webHidden/>
              </w:rPr>
              <w:fldChar w:fldCharType="begin"/>
            </w:r>
            <w:r w:rsidR="00B87513">
              <w:rPr>
                <w:noProof/>
                <w:webHidden/>
              </w:rPr>
              <w:instrText xml:space="preserve"> PAGEREF _Toc136427278 \h </w:instrText>
            </w:r>
            <w:r w:rsidR="00B87513">
              <w:rPr>
                <w:noProof/>
                <w:webHidden/>
              </w:rPr>
            </w:r>
            <w:r w:rsidR="00B87513">
              <w:rPr>
                <w:noProof/>
                <w:webHidden/>
              </w:rPr>
              <w:fldChar w:fldCharType="separate"/>
            </w:r>
            <w:r w:rsidR="00AF6244">
              <w:rPr>
                <w:noProof/>
                <w:webHidden/>
              </w:rPr>
              <w:t>23</w:t>
            </w:r>
            <w:r w:rsidR="00B87513">
              <w:rPr>
                <w:noProof/>
                <w:webHidden/>
              </w:rPr>
              <w:fldChar w:fldCharType="end"/>
            </w:r>
          </w:hyperlink>
        </w:p>
        <w:p w14:paraId="51B320AB" w14:textId="1FEEB730" w:rsidR="00B87513" w:rsidRDefault="00000000">
          <w:pPr>
            <w:pStyle w:val="TOC2"/>
            <w:tabs>
              <w:tab w:val="right" w:leader="dot" w:pos="9060"/>
            </w:tabs>
            <w:rPr>
              <w:rFonts w:eastAsiaTheme="minorEastAsia"/>
              <w:noProof/>
              <w:lang w:eastAsia="en-AU"/>
            </w:rPr>
          </w:pPr>
          <w:hyperlink w:anchor="_Toc136427279" w:history="1">
            <w:r w:rsidR="00B87513" w:rsidRPr="00762D5C">
              <w:rPr>
                <w:rStyle w:val="Hyperlink"/>
                <w:noProof/>
              </w:rPr>
              <w:t>What is a Privacy Impact Assessment</w:t>
            </w:r>
            <w:r w:rsidR="00B87513">
              <w:rPr>
                <w:noProof/>
                <w:webHidden/>
              </w:rPr>
              <w:tab/>
            </w:r>
            <w:r w:rsidR="00B87513">
              <w:rPr>
                <w:noProof/>
                <w:webHidden/>
              </w:rPr>
              <w:fldChar w:fldCharType="begin"/>
            </w:r>
            <w:r w:rsidR="00B87513">
              <w:rPr>
                <w:noProof/>
                <w:webHidden/>
              </w:rPr>
              <w:instrText xml:space="preserve"> PAGEREF _Toc136427279 \h </w:instrText>
            </w:r>
            <w:r w:rsidR="00B87513">
              <w:rPr>
                <w:noProof/>
                <w:webHidden/>
              </w:rPr>
            </w:r>
            <w:r w:rsidR="00B87513">
              <w:rPr>
                <w:noProof/>
                <w:webHidden/>
              </w:rPr>
              <w:fldChar w:fldCharType="separate"/>
            </w:r>
            <w:r w:rsidR="00AF6244">
              <w:rPr>
                <w:noProof/>
                <w:webHidden/>
              </w:rPr>
              <w:t>23</w:t>
            </w:r>
            <w:r w:rsidR="00B87513">
              <w:rPr>
                <w:noProof/>
                <w:webHidden/>
              </w:rPr>
              <w:fldChar w:fldCharType="end"/>
            </w:r>
          </w:hyperlink>
        </w:p>
        <w:p w14:paraId="5FF91397" w14:textId="3E48DFFD" w:rsidR="00B87513" w:rsidRDefault="00000000">
          <w:pPr>
            <w:pStyle w:val="TOC2"/>
            <w:tabs>
              <w:tab w:val="right" w:leader="dot" w:pos="9060"/>
            </w:tabs>
            <w:rPr>
              <w:rFonts w:eastAsiaTheme="minorEastAsia"/>
              <w:noProof/>
              <w:lang w:eastAsia="en-AU"/>
            </w:rPr>
          </w:pPr>
          <w:hyperlink w:anchor="_Toc136427280" w:history="1">
            <w:r w:rsidR="00B87513" w:rsidRPr="00762D5C">
              <w:rPr>
                <w:rStyle w:val="Hyperlink"/>
                <w:noProof/>
              </w:rPr>
              <w:t>When we conduct Privacy Impact Assessments</w:t>
            </w:r>
            <w:r w:rsidR="00B87513">
              <w:rPr>
                <w:noProof/>
                <w:webHidden/>
              </w:rPr>
              <w:tab/>
            </w:r>
            <w:r w:rsidR="00B87513">
              <w:rPr>
                <w:noProof/>
                <w:webHidden/>
              </w:rPr>
              <w:fldChar w:fldCharType="begin"/>
            </w:r>
            <w:r w:rsidR="00B87513">
              <w:rPr>
                <w:noProof/>
                <w:webHidden/>
              </w:rPr>
              <w:instrText xml:space="preserve"> PAGEREF _Toc136427280 \h </w:instrText>
            </w:r>
            <w:r w:rsidR="00B87513">
              <w:rPr>
                <w:noProof/>
                <w:webHidden/>
              </w:rPr>
            </w:r>
            <w:r w:rsidR="00B87513">
              <w:rPr>
                <w:noProof/>
                <w:webHidden/>
              </w:rPr>
              <w:fldChar w:fldCharType="separate"/>
            </w:r>
            <w:r w:rsidR="00AF6244">
              <w:rPr>
                <w:noProof/>
                <w:webHidden/>
              </w:rPr>
              <w:t>23</w:t>
            </w:r>
            <w:r w:rsidR="00B87513">
              <w:rPr>
                <w:noProof/>
                <w:webHidden/>
              </w:rPr>
              <w:fldChar w:fldCharType="end"/>
            </w:r>
          </w:hyperlink>
        </w:p>
        <w:p w14:paraId="71716F07" w14:textId="1BE7B418" w:rsidR="00B87513" w:rsidRDefault="00000000" w:rsidP="00B87513">
          <w:pPr>
            <w:pStyle w:val="TOC1"/>
            <w:rPr>
              <w:rFonts w:eastAsiaTheme="minorEastAsia"/>
              <w:noProof/>
              <w:lang w:eastAsia="en-AU"/>
            </w:rPr>
          </w:pPr>
          <w:hyperlink w:anchor="_Toc136427281" w:history="1">
            <w:r w:rsidR="00B87513" w:rsidRPr="00762D5C">
              <w:rPr>
                <w:rStyle w:val="Hyperlink"/>
                <w:rFonts w:eastAsia="Calibri"/>
                <w:noProof/>
              </w:rPr>
              <w:t>Complaints</w:t>
            </w:r>
            <w:r w:rsidR="00B87513">
              <w:rPr>
                <w:noProof/>
                <w:webHidden/>
              </w:rPr>
              <w:tab/>
            </w:r>
            <w:r w:rsidR="00B87513">
              <w:rPr>
                <w:noProof/>
                <w:webHidden/>
              </w:rPr>
              <w:fldChar w:fldCharType="begin"/>
            </w:r>
            <w:r w:rsidR="00B87513">
              <w:rPr>
                <w:noProof/>
                <w:webHidden/>
              </w:rPr>
              <w:instrText xml:space="preserve"> PAGEREF _Toc136427281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27BD6451" w14:textId="23821886" w:rsidR="00B87513" w:rsidRDefault="00000000">
          <w:pPr>
            <w:pStyle w:val="TOC2"/>
            <w:tabs>
              <w:tab w:val="right" w:leader="dot" w:pos="9060"/>
            </w:tabs>
            <w:rPr>
              <w:rFonts w:eastAsiaTheme="minorEastAsia"/>
              <w:noProof/>
              <w:lang w:eastAsia="en-AU"/>
            </w:rPr>
          </w:pPr>
          <w:hyperlink w:anchor="_Toc136427282" w:history="1">
            <w:r w:rsidR="00B87513" w:rsidRPr="00762D5C">
              <w:rPr>
                <w:rStyle w:val="Hyperlink"/>
                <w:noProof/>
              </w:rPr>
              <w:t>How to make a complaint</w:t>
            </w:r>
            <w:r w:rsidR="00B87513">
              <w:rPr>
                <w:noProof/>
                <w:webHidden/>
              </w:rPr>
              <w:tab/>
            </w:r>
            <w:r w:rsidR="00B87513">
              <w:rPr>
                <w:noProof/>
                <w:webHidden/>
              </w:rPr>
              <w:fldChar w:fldCharType="begin"/>
            </w:r>
            <w:r w:rsidR="00B87513">
              <w:rPr>
                <w:noProof/>
                <w:webHidden/>
              </w:rPr>
              <w:instrText xml:space="preserve"> PAGEREF _Toc136427282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27BE4C2C" w14:textId="2A70FA38" w:rsidR="00B87513" w:rsidRDefault="00000000">
          <w:pPr>
            <w:pStyle w:val="TOC2"/>
            <w:tabs>
              <w:tab w:val="right" w:leader="dot" w:pos="9060"/>
            </w:tabs>
            <w:rPr>
              <w:rFonts w:eastAsiaTheme="minorEastAsia"/>
              <w:noProof/>
              <w:lang w:eastAsia="en-AU"/>
            </w:rPr>
          </w:pPr>
          <w:hyperlink w:anchor="_Toc136427283" w:history="1">
            <w:r w:rsidR="00B87513" w:rsidRPr="00762D5C">
              <w:rPr>
                <w:rStyle w:val="Hyperlink"/>
                <w:noProof/>
              </w:rPr>
              <w:t>Our complaint handling process</w:t>
            </w:r>
            <w:r w:rsidR="00B87513">
              <w:rPr>
                <w:noProof/>
                <w:webHidden/>
              </w:rPr>
              <w:tab/>
            </w:r>
            <w:r w:rsidR="00B87513">
              <w:rPr>
                <w:noProof/>
                <w:webHidden/>
              </w:rPr>
              <w:fldChar w:fldCharType="begin"/>
            </w:r>
            <w:r w:rsidR="00B87513">
              <w:rPr>
                <w:noProof/>
                <w:webHidden/>
              </w:rPr>
              <w:instrText xml:space="preserve"> PAGEREF _Toc136427283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4A7CF82B" w14:textId="58B33EDA" w:rsidR="00B87513" w:rsidRDefault="00000000">
          <w:pPr>
            <w:pStyle w:val="TOC2"/>
            <w:tabs>
              <w:tab w:val="right" w:leader="dot" w:pos="9060"/>
            </w:tabs>
            <w:rPr>
              <w:rFonts w:eastAsiaTheme="minorEastAsia"/>
              <w:noProof/>
              <w:lang w:eastAsia="en-AU"/>
            </w:rPr>
          </w:pPr>
          <w:hyperlink w:anchor="_Toc136427284" w:history="1">
            <w:r w:rsidR="00B87513" w:rsidRPr="00762D5C">
              <w:rPr>
                <w:rStyle w:val="Hyperlink"/>
                <w:noProof/>
              </w:rPr>
              <w:t>If you are unsatisfied with our response</w:t>
            </w:r>
            <w:r w:rsidR="00B87513">
              <w:rPr>
                <w:noProof/>
                <w:webHidden/>
              </w:rPr>
              <w:tab/>
            </w:r>
            <w:r w:rsidR="00B87513">
              <w:rPr>
                <w:noProof/>
                <w:webHidden/>
              </w:rPr>
              <w:fldChar w:fldCharType="begin"/>
            </w:r>
            <w:r w:rsidR="00B87513">
              <w:rPr>
                <w:noProof/>
                <w:webHidden/>
              </w:rPr>
              <w:instrText xml:space="preserve"> PAGEREF _Toc136427284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37496EB3" w14:textId="77FF6821" w:rsidR="00B87513" w:rsidRDefault="00000000" w:rsidP="00B87513">
          <w:pPr>
            <w:pStyle w:val="TOC1"/>
            <w:rPr>
              <w:rFonts w:eastAsiaTheme="minorEastAsia"/>
              <w:noProof/>
              <w:lang w:eastAsia="en-AU"/>
            </w:rPr>
          </w:pPr>
          <w:hyperlink w:anchor="_Toc136427285" w:history="1">
            <w:r w:rsidR="00B87513" w:rsidRPr="00762D5C">
              <w:rPr>
                <w:rStyle w:val="Hyperlink"/>
                <w:noProof/>
              </w:rPr>
              <w:t>Contact Us</w:t>
            </w:r>
            <w:r w:rsidR="00B87513">
              <w:rPr>
                <w:noProof/>
                <w:webHidden/>
              </w:rPr>
              <w:tab/>
            </w:r>
            <w:r w:rsidR="00B87513">
              <w:rPr>
                <w:noProof/>
                <w:webHidden/>
              </w:rPr>
              <w:fldChar w:fldCharType="begin"/>
            </w:r>
            <w:r w:rsidR="00B87513">
              <w:rPr>
                <w:noProof/>
                <w:webHidden/>
              </w:rPr>
              <w:instrText xml:space="preserve"> PAGEREF _Toc136427285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1728A425" w14:textId="76DEDDB0" w:rsidR="00B87513" w:rsidRDefault="00000000">
          <w:pPr>
            <w:pStyle w:val="TOC2"/>
            <w:tabs>
              <w:tab w:val="right" w:leader="dot" w:pos="9060"/>
            </w:tabs>
            <w:rPr>
              <w:rFonts w:eastAsiaTheme="minorEastAsia"/>
              <w:noProof/>
              <w:lang w:eastAsia="en-AU"/>
            </w:rPr>
          </w:pPr>
          <w:hyperlink w:anchor="_Toc136427286" w:history="1">
            <w:r w:rsidR="00B87513" w:rsidRPr="00762D5C">
              <w:rPr>
                <w:rStyle w:val="Hyperlink"/>
                <w:noProof/>
              </w:rPr>
              <w:t>General enquiries, complaints, requests for access or correction</w:t>
            </w:r>
            <w:r w:rsidR="00B87513">
              <w:rPr>
                <w:noProof/>
                <w:webHidden/>
              </w:rPr>
              <w:tab/>
            </w:r>
            <w:r w:rsidR="00B87513">
              <w:rPr>
                <w:noProof/>
                <w:webHidden/>
              </w:rPr>
              <w:fldChar w:fldCharType="begin"/>
            </w:r>
            <w:r w:rsidR="00B87513">
              <w:rPr>
                <w:noProof/>
                <w:webHidden/>
              </w:rPr>
              <w:instrText xml:space="preserve"> PAGEREF _Toc136427286 \h </w:instrText>
            </w:r>
            <w:r w:rsidR="00B87513">
              <w:rPr>
                <w:noProof/>
                <w:webHidden/>
              </w:rPr>
            </w:r>
            <w:r w:rsidR="00B87513">
              <w:rPr>
                <w:noProof/>
                <w:webHidden/>
              </w:rPr>
              <w:fldChar w:fldCharType="separate"/>
            </w:r>
            <w:r w:rsidR="00AF6244">
              <w:rPr>
                <w:noProof/>
                <w:webHidden/>
              </w:rPr>
              <w:t>24</w:t>
            </w:r>
            <w:r w:rsidR="00B87513">
              <w:rPr>
                <w:noProof/>
                <w:webHidden/>
              </w:rPr>
              <w:fldChar w:fldCharType="end"/>
            </w:r>
          </w:hyperlink>
        </w:p>
        <w:p w14:paraId="0D2DCE20" w14:textId="0F0FDB12" w:rsidR="00B87513" w:rsidRDefault="00000000">
          <w:pPr>
            <w:pStyle w:val="TOC2"/>
            <w:tabs>
              <w:tab w:val="right" w:leader="dot" w:pos="9060"/>
            </w:tabs>
            <w:rPr>
              <w:rFonts w:eastAsiaTheme="minorEastAsia"/>
              <w:noProof/>
              <w:lang w:eastAsia="en-AU"/>
            </w:rPr>
          </w:pPr>
          <w:hyperlink w:anchor="_Toc136427287" w:history="1">
            <w:r w:rsidR="00B87513" w:rsidRPr="00762D5C">
              <w:rPr>
                <w:rStyle w:val="Hyperlink"/>
                <w:noProof/>
              </w:rPr>
              <w:t>Availability of this privacy policy</w:t>
            </w:r>
            <w:r w:rsidR="00B87513">
              <w:rPr>
                <w:noProof/>
                <w:webHidden/>
              </w:rPr>
              <w:tab/>
            </w:r>
            <w:r w:rsidR="00B87513">
              <w:rPr>
                <w:noProof/>
                <w:webHidden/>
              </w:rPr>
              <w:fldChar w:fldCharType="begin"/>
            </w:r>
            <w:r w:rsidR="00B87513">
              <w:rPr>
                <w:noProof/>
                <w:webHidden/>
              </w:rPr>
              <w:instrText xml:space="preserve"> PAGEREF _Toc136427287 \h </w:instrText>
            </w:r>
            <w:r w:rsidR="00B87513">
              <w:rPr>
                <w:noProof/>
                <w:webHidden/>
              </w:rPr>
            </w:r>
            <w:r w:rsidR="00B87513">
              <w:rPr>
                <w:noProof/>
                <w:webHidden/>
              </w:rPr>
              <w:fldChar w:fldCharType="separate"/>
            </w:r>
            <w:r w:rsidR="00AF6244">
              <w:rPr>
                <w:noProof/>
                <w:webHidden/>
              </w:rPr>
              <w:t>25</w:t>
            </w:r>
            <w:r w:rsidR="00B87513">
              <w:rPr>
                <w:noProof/>
                <w:webHidden/>
              </w:rPr>
              <w:fldChar w:fldCharType="end"/>
            </w:r>
          </w:hyperlink>
        </w:p>
        <w:p w14:paraId="31495B52" w14:textId="274CFC38" w:rsidR="00B87513" w:rsidRDefault="00000000" w:rsidP="00B87513">
          <w:pPr>
            <w:pStyle w:val="TOC1"/>
            <w:rPr>
              <w:rFonts w:eastAsiaTheme="minorEastAsia"/>
              <w:noProof/>
              <w:lang w:eastAsia="en-AU"/>
            </w:rPr>
          </w:pPr>
          <w:hyperlink w:anchor="_Toc136427288" w:history="1">
            <w:r w:rsidR="00B87513" w:rsidRPr="00762D5C">
              <w:rPr>
                <w:rStyle w:val="Hyperlink"/>
                <w:noProof/>
              </w:rPr>
              <w:t>Accountability</w:t>
            </w:r>
            <w:r w:rsidR="00B87513">
              <w:rPr>
                <w:noProof/>
                <w:webHidden/>
              </w:rPr>
              <w:tab/>
            </w:r>
            <w:r w:rsidR="00B87513">
              <w:rPr>
                <w:noProof/>
                <w:webHidden/>
              </w:rPr>
              <w:fldChar w:fldCharType="begin"/>
            </w:r>
            <w:r w:rsidR="00B87513">
              <w:rPr>
                <w:noProof/>
                <w:webHidden/>
              </w:rPr>
              <w:instrText xml:space="preserve"> PAGEREF _Toc136427288 \h </w:instrText>
            </w:r>
            <w:r w:rsidR="00B87513">
              <w:rPr>
                <w:noProof/>
                <w:webHidden/>
              </w:rPr>
            </w:r>
            <w:r w:rsidR="00B87513">
              <w:rPr>
                <w:noProof/>
                <w:webHidden/>
              </w:rPr>
              <w:fldChar w:fldCharType="separate"/>
            </w:r>
            <w:r w:rsidR="00AF6244">
              <w:rPr>
                <w:noProof/>
                <w:webHidden/>
              </w:rPr>
              <w:t>25</w:t>
            </w:r>
            <w:r w:rsidR="00B87513">
              <w:rPr>
                <w:noProof/>
                <w:webHidden/>
              </w:rPr>
              <w:fldChar w:fldCharType="end"/>
            </w:r>
          </w:hyperlink>
        </w:p>
        <w:p w14:paraId="66412D62" w14:textId="4D358D7D" w:rsidR="00B87513" w:rsidRDefault="00000000" w:rsidP="00B87513">
          <w:pPr>
            <w:pStyle w:val="TOC1"/>
            <w:rPr>
              <w:rFonts w:eastAsiaTheme="minorEastAsia"/>
              <w:noProof/>
              <w:lang w:eastAsia="en-AU"/>
            </w:rPr>
          </w:pPr>
          <w:hyperlink w:anchor="_Toc136427289" w:history="1">
            <w:r w:rsidR="00B87513" w:rsidRPr="00762D5C">
              <w:rPr>
                <w:rStyle w:val="Hyperlink"/>
                <w:noProof/>
              </w:rPr>
              <w:t>Annex A: Prohibitions and penalties relating to the collection, recording, use and disclosure of Tax File Numbers</w:t>
            </w:r>
            <w:r w:rsidR="00B87513">
              <w:rPr>
                <w:noProof/>
                <w:webHidden/>
              </w:rPr>
              <w:tab/>
            </w:r>
            <w:r w:rsidR="00B87513">
              <w:rPr>
                <w:noProof/>
                <w:webHidden/>
              </w:rPr>
              <w:fldChar w:fldCharType="begin"/>
            </w:r>
            <w:r w:rsidR="00B87513">
              <w:rPr>
                <w:noProof/>
                <w:webHidden/>
              </w:rPr>
              <w:instrText xml:space="preserve"> PAGEREF _Toc136427289 \h </w:instrText>
            </w:r>
            <w:r w:rsidR="00B87513">
              <w:rPr>
                <w:noProof/>
                <w:webHidden/>
              </w:rPr>
            </w:r>
            <w:r w:rsidR="00B87513">
              <w:rPr>
                <w:noProof/>
                <w:webHidden/>
              </w:rPr>
              <w:fldChar w:fldCharType="separate"/>
            </w:r>
            <w:r w:rsidR="00AF6244">
              <w:rPr>
                <w:noProof/>
                <w:webHidden/>
              </w:rPr>
              <w:t>26</w:t>
            </w:r>
            <w:r w:rsidR="00B87513">
              <w:rPr>
                <w:noProof/>
                <w:webHidden/>
              </w:rPr>
              <w:fldChar w:fldCharType="end"/>
            </w:r>
          </w:hyperlink>
        </w:p>
        <w:p w14:paraId="0EAD83CE" w14:textId="6D76E536" w:rsidR="007855CC" w:rsidRPr="0095636C" w:rsidRDefault="0095636C" w:rsidP="0095636C">
          <w:r>
            <w:rPr>
              <w:rFonts w:ascii="Calibri" w:eastAsiaTheme="majorEastAsia" w:hAnsi="Calibri" w:cstheme="majorBidi"/>
              <w:b/>
              <w:color w:val="343741"/>
              <w:sz w:val="32"/>
              <w:szCs w:val="32"/>
            </w:rPr>
            <w:fldChar w:fldCharType="end"/>
          </w:r>
        </w:p>
      </w:sdtContent>
    </w:sdt>
    <w:p w14:paraId="31A63E98" w14:textId="7676D426" w:rsidR="007855CC" w:rsidRPr="0095636C" w:rsidRDefault="007855CC" w:rsidP="0095636C">
      <w:r>
        <w:br w:type="page"/>
      </w:r>
    </w:p>
    <w:p w14:paraId="51BC0F01" w14:textId="03017FDD" w:rsidR="002B1CE5" w:rsidRPr="00F51C18" w:rsidRDefault="00A94E65" w:rsidP="000A453D">
      <w:pPr>
        <w:pStyle w:val="Heading1"/>
      </w:pPr>
      <w:bookmarkStart w:id="1" w:name="_Toc136427235"/>
      <w:bookmarkEnd w:id="0"/>
      <w:r>
        <w:lastRenderedPageBreak/>
        <w:t>Introduction</w:t>
      </w:r>
      <w:bookmarkEnd w:id="1"/>
    </w:p>
    <w:p w14:paraId="13EFFE50" w14:textId="6FE4ECFD" w:rsidR="00A94E65" w:rsidRPr="00A2790C" w:rsidRDefault="00A94E65" w:rsidP="00A94E65">
      <w:pPr>
        <w:jc w:val="both"/>
        <w:rPr>
          <w:lang w:val="en"/>
        </w:rPr>
      </w:pPr>
      <w:bookmarkStart w:id="2" w:name="_Toc30065223"/>
      <w:r w:rsidRPr="00A94E65">
        <w:t>The Department of Employment</w:t>
      </w:r>
      <w:r>
        <w:t xml:space="preserve"> and Workplace Relations</w:t>
      </w:r>
      <w:r w:rsidRPr="00A94E65">
        <w:t xml:space="preserve"> (‘the department’, ‘we’ or ‘us’) </w:t>
      </w:r>
      <w:r w:rsidR="00280E32" w:rsidRPr="00A2790C">
        <w:rPr>
          <w:lang w:val="en"/>
        </w:rPr>
        <w:t xml:space="preserve">enables access to quality skills, training and employment to support Australians find secure work in fair, productive and safe workplaces – supporting individuals, </w:t>
      </w:r>
      <w:proofErr w:type="gramStart"/>
      <w:r w:rsidR="00280E32" w:rsidRPr="00A2790C">
        <w:rPr>
          <w:lang w:val="en"/>
        </w:rPr>
        <w:t>businesses</w:t>
      </w:r>
      <w:proofErr w:type="gramEnd"/>
      <w:r w:rsidR="00280E32" w:rsidRPr="00A2790C">
        <w:rPr>
          <w:lang w:val="en"/>
        </w:rPr>
        <w:t xml:space="preserve"> and our nation to prosper</w:t>
      </w:r>
      <w:r w:rsidRPr="00A2790C">
        <w:rPr>
          <w:lang w:val="en"/>
        </w:rPr>
        <w:t>. The department’s strategic priorities include:</w:t>
      </w:r>
    </w:p>
    <w:p w14:paraId="03825D24" w14:textId="32CFF61F" w:rsidR="00A94E65" w:rsidRPr="00A2790C" w:rsidRDefault="00A94E65" w:rsidP="00A94E65">
      <w:pPr>
        <w:pStyle w:val="ListBullet"/>
      </w:pPr>
      <w:r w:rsidRPr="00A2790C">
        <w:t xml:space="preserve">Foster a productive and competitive labour market through policies and programs that assist job seekers into work, including secure work, and meet employer and industry </w:t>
      </w:r>
      <w:proofErr w:type="gramStart"/>
      <w:r w:rsidRPr="00A2790C">
        <w:t>needs</w:t>
      </w:r>
      <w:proofErr w:type="gramEnd"/>
    </w:p>
    <w:p w14:paraId="3B3BD950" w14:textId="106CA3AE" w:rsidR="00A94E65" w:rsidRPr="00A2790C" w:rsidRDefault="00A94E65" w:rsidP="00A94E65">
      <w:pPr>
        <w:pStyle w:val="ListBullet"/>
      </w:pPr>
      <w:r w:rsidRPr="00A2790C">
        <w:t>Promote growth in economic productivity and social wellbeing through access to quality skills and training and</w:t>
      </w:r>
    </w:p>
    <w:p w14:paraId="2F91BA73" w14:textId="157D229A" w:rsidR="00A94E65" w:rsidRPr="00A2790C" w:rsidRDefault="00A94E65" w:rsidP="00A94E65">
      <w:pPr>
        <w:pStyle w:val="ListBullet"/>
      </w:pPr>
      <w:r w:rsidRPr="00A2790C">
        <w:t>Facilitate jobs growth, including secure work, through policies and programs that promote fair, productive, and safe workplaces.</w:t>
      </w:r>
    </w:p>
    <w:p w14:paraId="04AAA7C5" w14:textId="6EE718BD" w:rsidR="00A94E65" w:rsidRPr="00A94E65" w:rsidRDefault="00A94E65" w:rsidP="00A94E65">
      <w:pPr>
        <w:jc w:val="both"/>
      </w:pPr>
      <w:r w:rsidRPr="00A2790C">
        <w:t xml:space="preserve">More information is available on the </w:t>
      </w:r>
      <w:hyperlink r:id="rId16" w:history="1">
        <w:r w:rsidRPr="00A2790C">
          <w:rPr>
            <w:color w:val="287BB3"/>
            <w:u w:val="single"/>
          </w:rPr>
          <w:t>Department of Employment of Workplace Relations website</w:t>
        </w:r>
      </w:hyperlink>
      <w:r w:rsidRPr="00A2790C">
        <w:t>.</w:t>
      </w:r>
      <w:r w:rsidRPr="00A2790C">
        <w:rPr>
          <w:vertAlign w:val="superscript"/>
        </w:rPr>
        <w:footnoteReference w:id="1"/>
      </w:r>
    </w:p>
    <w:p w14:paraId="144B83C0" w14:textId="0E7BD073" w:rsidR="002B1CE5" w:rsidRPr="00F51C18" w:rsidRDefault="00A94E65" w:rsidP="00BB18B8">
      <w:pPr>
        <w:pStyle w:val="Heading2"/>
      </w:pPr>
      <w:bookmarkStart w:id="3" w:name="_Toc136427236"/>
      <w:bookmarkEnd w:id="2"/>
      <w:r w:rsidRPr="00A94E65">
        <w:t>Who should read this privacy policy?</w:t>
      </w:r>
      <w:bookmarkEnd w:id="3"/>
    </w:p>
    <w:p w14:paraId="0C833323" w14:textId="77777777" w:rsidR="00A94E65" w:rsidRPr="007D5E65" w:rsidRDefault="00A94E65" w:rsidP="00A94E65">
      <w:pPr>
        <w:jc w:val="both"/>
      </w:pPr>
      <w:r w:rsidRPr="007D5E65">
        <w:t xml:space="preserve">You should read this privacy policy if you are: </w:t>
      </w:r>
    </w:p>
    <w:p w14:paraId="55776941" w14:textId="77777777" w:rsidR="00A94E65" w:rsidRPr="00A94E65" w:rsidRDefault="00A94E65" w:rsidP="00A94E65">
      <w:pPr>
        <w:pStyle w:val="ListBullet"/>
      </w:pPr>
      <w:r w:rsidRPr="00A94E65">
        <w:t>an apprentice</w:t>
      </w:r>
    </w:p>
    <w:p w14:paraId="610DB465" w14:textId="245DD092" w:rsidR="00A94E65" w:rsidRDefault="00A94E65" w:rsidP="00A94E65">
      <w:pPr>
        <w:pStyle w:val="ListBullet"/>
      </w:pPr>
      <w:r w:rsidRPr="00A94E65">
        <w:t>an employer</w:t>
      </w:r>
    </w:p>
    <w:p w14:paraId="3E17293C" w14:textId="1C71F28B" w:rsidR="00071722" w:rsidRPr="00A2790C" w:rsidRDefault="00071722" w:rsidP="00A94E65">
      <w:pPr>
        <w:pStyle w:val="ListBullet"/>
      </w:pPr>
      <w:r w:rsidRPr="00A2790C">
        <w:t>a worker</w:t>
      </w:r>
    </w:p>
    <w:p w14:paraId="65CE7DAD" w14:textId="77777777" w:rsidR="00A94E65" w:rsidRPr="00A94E65" w:rsidRDefault="00A94E65" w:rsidP="00A94E65">
      <w:pPr>
        <w:pStyle w:val="ListBullet"/>
      </w:pPr>
      <w:r w:rsidRPr="00A94E65">
        <w:t>a parent or guardian</w:t>
      </w:r>
    </w:p>
    <w:p w14:paraId="6099A71F" w14:textId="77777777" w:rsidR="00A94E65" w:rsidRPr="00A94E65" w:rsidRDefault="00A94E65" w:rsidP="00A94E65">
      <w:pPr>
        <w:pStyle w:val="ListBullet"/>
      </w:pPr>
      <w:r w:rsidRPr="00A94E65">
        <w:t>a registered training organisation</w:t>
      </w:r>
    </w:p>
    <w:p w14:paraId="01EC4BF3" w14:textId="77777777" w:rsidR="00A94E65" w:rsidRPr="00A94E65" w:rsidRDefault="00A94E65" w:rsidP="00A94E65">
      <w:pPr>
        <w:pStyle w:val="ListBullet"/>
      </w:pPr>
      <w:r w:rsidRPr="00A94E65">
        <w:t>a job seeker</w:t>
      </w:r>
    </w:p>
    <w:p w14:paraId="612A65BE" w14:textId="63EB1F30" w:rsidR="00A94E65" w:rsidRDefault="00A94E65" w:rsidP="00A94E65">
      <w:pPr>
        <w:pStyle w:val="ListBullet"/>
      </w:pPr>
      <w:r w:rsidRPr="00A94E65">
        <w:t>an employment services provider</w:t>
      </w:r>
    </w:p>
    <w:p w14:paraId="4E186474" w14:textId="46E997AB" w:rsidR="00E05A55" w:rsidRPr="00A94E65" w:rsidRDefault="00E05A55" w:rsidP="00A94E65">
      <w:pPr>
        <w:pStyle w:val="ListBullet"/>
      </w:pPr>
      <w:r w:rsidRPr="00E05A55">
        <w:t>an Australian Apprenticeship Support Network provider (or employee)</w:t>
      </w:r>
    </w:p>
    <w:p w14:paraId="328E1A45" w14:textId="77777777" w:rsidR="00A94E65" w:rsidRPr="00A94E65" w:rsidRDefault="00A94E65" w:rsidP="00A94E65">
      <w:pPr>
        <w:pStyle w:val="ListBullet"/>
      </w:pPr>
      <w:r w:rsidRPr="00A94E65">
        <w:t xml:space="preserve">a participant in a program or service delivered by </w:t>
      </w:r>
      <w:proofErr w:type="gramStart"/>
      <w:r w:rsidRPr="00A94E65">
        <w:t>us</w:t>
      </w:r>
      <w:proofErr w:type="gramEnd"/>
    </w:p>
    <w:p w14:paraId="1092974B" w14:textId="77777777" w:rsidR="00A94E65" w:rsidRPr="00A94E65" w:rsidRDefault="00A94E65" w:rsidP="00A94E65">
      <w:pPr>
        <w:pStyle w:val="ListBullet"/>
      </w:pPr>
      <w:r w:rsidRPr="00A94E65">
        <w:t>a contractor, grant recipient, consultant, or supplier of goods or services to us</w:t>
      </w:r>
    </w:p>
    <w:p w14:paraId="62C2E3FF" w14:textId="77777777" w:rsidR="00A94E65" w:rsidRPr="00A94E65" w:rsidRDefault="00A94E65" w:rsidP="00A94E65">
      <w:pPr>
        <w:pStyle w:val="ListBullet"/>
      </w:pPr>
      <w:r w:rsidRPr="00A94E65">
        <w:t xml:space="preserve">an applicant for a grant or a tenderer for a contract provided by </w:t>
      </w:r>
      <w:proofErr w:type="gramStart"/>
      <w:r w:rsidRPr="00A94E65">
        <w:t>us</w:t>
      </w:r>
      <w:proofErr w:type="gramEnd"/>
    </w:p>
    <w:p w14:paraId="69B19FFA" w14:textId="77777777" w:rsidR="00A94E65" w:rsidRPr="00A94E65" w:rsidRDefault="00A94E65" w:rsidP="00A94E65">
      <w:pPr>
        <w:pStyle w:val="ListBullet"/>
      </w:pPr>
      <w:r w:rsidRPr="00A94E65">
        <w:t>a policy stakeholder who works with us</w:t>
      </w:r>
    </w:p>
    <w:p w14:paraId="5E531AB3" w14:textId="77777777" w:rsidR="00A94E65" w:rsidRPr="00A94E65" w:rsidRDefault="00A94E65" w:rsidP="00A94E65">
      <w:pPr>
        <w:pStyle w:val="ListBullet"/>
      </w:pPr>
      <w:r w:rsidRPr="00A94E65">
        <w:t xml:space="preserve">a person whose information may be given to us by a third party, including other Australian Government </w:t>
      </w:r>
      <w:proofErr w:type="gramStart"/>
      <w:r w:rsidRPr="00A94E65">
        <w:t>agencies</w:t>
      </w:r>
      <w:proofErr w:type="gramEnd"/>
    </w:p>
    <w:p w14:paraId="35343FE9" w14:textId="77777777" w:rsidR="00A94E65" w:rsidRPr="007D5E65" w:rsidRDefault="00A94E65" w:rsidP="00A94E65">
      <w:pPr>
        <w:pStyle w:val="ListBullet"/>
        <w:numPr>
          <w:ilvl w:val="0"/>
          <w:numId w:val="15"/>
        </w:numPr>
        <w:ind w:left="357" w:hanging="357"/>
        <w:jc w:val="both"/>
      </w:pPr>
      <w:r w:rsidRPr="007D5E65">
        <w:t xml:space="preserve">an entrant in a competition conducted by </w:t>
      </w:r>
      <w:proofErr w:type="gramStart"/>
      <w:r w:rsidRPr="007D5E65">
        <w:t>us</w:t>
      </w:r>
      <w:proofErr w:type="gramEnd"/>
    </w:p>
    <w:p w14:paraId="3084A34A" w14:textId="3D1A8827" w:rsidR="00A94E65" w:rsidRPr="007D5E65" w:rsidRDefault="00A94E65" w:rsidP="00A94E65">
      <w:pPr>
        <w:pStyle w:val="ListBullet"/>
        <w:numPr>
          <w:ilvl w:val="0"/>
          <w:numId w:val="15"/>
        </w:numPr>
        <w:ind w:left="357" w:hanging="357"/>
        <w:jc w:val="both"/>
      </w:pPr>
      <w:r w:rsidRPr="007D5E65">
        <w:t>a current or past employee</w:t>
      </w:r>
      <w:r w:rsidR="00012DC6">
        <w:t xml:space="preserve"> of the department</w:t>
      </w:r>
    </w:p>
    <w:p w14:paraId="55A6D944" w14:textId="77777777" w:rsidR="00014A3F" w:rsidRDefault="00A94E65" w:rsidP="00A94E65">
      <w:pPr>
        <w:pStyle w:val="ListBullet"/>
        <w:numPr>
          <w:ilvl w:val="0"/>
          <w:numId w:val="15"/>
        </w:numPr>
        <w:ind w:left="357" w:hanging="357"/>
        <w:jc w:val="both"/>
      </w:pPr>
      <w:r w:rsidRPr="007D5E65">
        <w:t xml:space="preserve">a person seeking employment with </w:t>
      </w:r>
      <w:proofErr w:type="gramStart"/>
      <w:r w:rsidRPr="007D5E65">
        <w:t>us</w:t>
      </w:r>
      <w:proofErr w:type="gramEnd"/>
      <w:r>
        <w:t xml:space="preserve"> </w:t>
      </w:r>
    </w:p>
    <w:p w14:paraId="118A26E9" w14:textId="77777777" w:rsidR="00014A3F" w:rsidRDefault="00014A3F" w:rsidP="00A94E65">
      <w:pPr>
        <w:pStyle w:val="ListBullet"/>
        <w:numPr>
          <w:ilvl w:val="0"/>
          <w:numId w:val="15"/>
        </w:numPr>
        <w:ind w:left="357" w:hanging="357"/>
        <w:jc w:val="both"/>
      </w:pPr>
      <w:r w:rsidRPr="00014A3F">
        <w:t>a current or past intern</w:t>
      </w:r>
    </w:p>
    <w:p w14:paraId="6B7918F5" w14:textId="7C037D47" w:rsidR="00A94E65" w:rsidRPr="007D5E65" w:rsidRDefault="00014A3F" w:rsidP="00A94E65">
      <w:pPr>
        <w:pStyle w:val="ListBullet"/>
        <w:numPr>
          <w:ilvl w:val="0"/>
          <w:numId w:val="15"/>
        </w:numPr>
        <w:ind w:left="357" w:hanging="357"/>
        <w:jc w:val="both"/>
      </w:pPr>
      <w:r w:rsidRPr="00014A3F">
        <w:lastRenderedPageBreak/>
        <w:t>a person seeking an internship with us</w:t>
      </w:r>
      <w:r>
        <w:t xml:space="preserve"> </w:t>
      </w:r>
      <w:r w:rsidR="00A94E65">
        <w:t>or</w:t>
      </w:r>
    </w:p>
    <w:p w14:paraId="1FBF6F5C" w14:textId="77777777" w:rsidR="00A94E65" w:rsidRDefault="00A94E65" w:rsidP="00A94E65">
      <w:pPr>
        <w:pStyle w:val="ListBullet"/>
        <w:numPr>
          <w:ilvl w:val="0"/>
          <w:numId w:val="15"/>
        </w:numPr>
        <w:ind w:left="357" w:hanging="357"/>
        <w:jc w:val="both"/>
      </w:pPr>
      <w:r w:rsidRPr="007D5E65">
        <w:t>any other individual whose personal information we may collect, hold, use and disclose from time to time.</w:t>
      </w:r>
    </w:p>
    <w:p w14:paraId="10592D80" w14:textId="7E01AA5F" w:rsidR="002B1CE5" w:rsidRDefault="00441F28" w:rsidP="00BB18B8">
      <w:pPr>
        <w:pStyle w:val="Heading2"/>
      </w:pPr>
      <w:bookmarkStart w:id="4" w:name="_Toc136427237"/>
      <w:r w:rsidRPr="00441F28">
        <w:t>Purpose of this privacy policy</w:t>
      </w:r>
      <w:bookmarkEnd w:id="4"/>
    </w:p>
    <w:p w14:paraId="2057CD99" w14:textId="77777777" w:rsidR="00441F28" w:rsidRPr="00441F28" w:rsidRDefault="00441F28" w:rsidP="00441F28">
      <w:pPr>
        <w:jc w:val="both"/>
      </w:pPr>
      <w:r w:rsidRPr="00441F28">
        <w:t>The purpose of this privacy policy is to:</w:t>
      </w:r>
    </w:p>
    <w:p w14:paraId="63771EC7" w14:textId="77777777" w:rsidR="00441F28" w:rsidRPr="00441F28" w:rsidRDefault="00441F28" w:rsidP="00441F28">
      <w:pPr>
        <w:numPr>
          <w:ilvl w:val="0"/>
          <w:numId w:val="15"/>
        </w:numPr>
        <w:spacing w:line="360" w:lineRule="auto"/>
        <w:ind w:left="357" w:hanging="357"/>
        <w:contextualSpacing/>
        <w:jc w:val="both"/>
      </w:pPr>
      <w:r w:rsidRPr="00441F28">
        <w:t xml:space="preserve">describe the types of personal information that we collect, hold, use and </w:t>
      </w:r>
      <w:proofErr w:type="gramStart"/>
      <w:r w:rsidRPr="00441F28">
        <w:t>disclose</w:t>
      </w:r>
      <w:proofErr w:type="gramEnd"/>
    </w:p>
    <w:p w14:paraId="6BE49AF9" w14:textId="77777777" w:rsidR="00441F28" w:rsidRPr="00441F28" w:rsidRDefault="00441F28" w:rsidP="00441F28">
      <w:pPr>
        <w:numPr>
          <w:ilvl w:val="0"/>
          <w:numId w:val="15"/>
        </w:numPr>
        <w:spacing w:line="360" w:lineRule="auto"/>
        <w:ind w:left="357" w:hanging="357"/>
        <w:contextualSpacing/>
        <w:jc w:val="both"/>
      </w:pPr>
      <w:r w:rsidRPr="00441F28">
        <w:t xml:space="preserve">outline our personal information handling </w:t>
      </w:r>
      <w:proofErr w:type="gramStart"/>
      <w:r w:rsidRPr="00441F28">
        <w:t>practices</w:t>
      </w:r>
      <w:proofErr w:type="gramEnd"/>
    </w:p>
    <w:p w14:paraId="3C1A24C3" w14:textId="77777777" w:rsidR="00441F28" w:rsidRPr="00441F28" w:rsidRDefault="00441F28" w:rsidP="00441F28">
      <w:pPr>
        <w:numPr>
          <w:ilvl w:val="0"/>
          <w:numId w:val="15"/>
        </w:numPr>
        <w:spacing w:line="360" w:lineRule="auto"/>
        <w:ind w:left="357" w:hanging="357"/>
        <w:contextualSpacing/>
        <w:jc w:val="both"/>
      </w:pPr>
      <w:r w:rsidRPr="00441F28">
        <w:t xml:space="preserve">explain our authority to collect your personal information, why it may be held by us, how it is used and how it is </w:t>
      </w:r>
      <w:proofErr w:type="gramStart"/>
      <w:r w:rsidRPr="00441F28">
        <w:t>protected</w:t>
      </w:r>
      <w:proofErr w:type="gramEnd"/>
    </w:p>
    <w:p w14:paraId="520132AB" w14:textId="77777777" w:rsidR="00441F28" w:rsidRPr="00441F28" w:rsidRDefault="00441F28" w:rsidP="00441F28">
      <w:pPr>
        <w:numPr>
          <w:ilvl w:val="0"/>
          <w:numId w:val="15"/>
        </w:numPr>
        <w:spacing w:line="360" w:lineRule="auto"/>
        <w:ind w:left="357" w:hanging="357"/>
        <w:contextualSpacing/>
        <w:jc w:val="both"/>
      </w:pPr>
      <w:r w:rsidRPr="00441F28">
        <w:t>notify whether we are likely to disclose personal information to overseas recipients and, if possible, to whom</w:t>
      </w:r>
    </w:p>
    <w:p w14:paraId="13019E32" w14:textId="77777777" w:rsidR="00441F28" w:rsidRPr="00441F28" w:rsidRDefault="00441F28" w:rsidP="00441F28">
      <w:pPr>
        <w:numPr>
          <w:ilvl w:val="0"/>
          <w:numId w:val="15"/>
        </w:numPr>
        <w:spacing w:line="360" w:lineRule="auto"/>
        <w:ind w:left="357" w:hanging="357"/>
        <w:contextualSpacing/>
        <w:jc w:val="both"/>
      </w:pPr>
      <w:r w:rsidRPr="00441F28">
        <w:t>provide information on how you can access your personal information, correct it if necessary and complain if you believe it has been wrongly collected or inappropriately handled.</w:t>
      </w:r>
    </w:p>
    <w:p w14:paraId="401E8FFF" w14:textId="77777777" w:rsidR="00441F28" w:rsidRPr="00441F28" w:rsidRDefault="00441F28" w:rsidP="00441F28">
      <w:pPr>
        <w:jc w:val="both"/>
      </w:pPr>
      <w:r w:rsidRPr="00441F28">
        <w:t>This privacy policy has been developed to follow the ‘layered policy’ format, which means that it offers layers of greater or lesser detail so people can read as much as they wish and find what they need fast.</w:t>
      </w:r>
    </w:p>
    <w:p w14:paraId="6F870D70" w14:textId="562AF9E9" w:rsidR="00441F28" w:rsidRPr="00A2790C" w:rsidRDefault="00441F28" w:rsidP="00441F28">
      <w:r w:rsidRPr="00A2790C">
        <w:t xml:space="preserve">For a snapshot of our personal information handling practices, please go to the </w:t>
      </w:r>
      <w:hyperlink r:id="rId17" w:history="1">
        <w:r w:rsidRPr="00A2790C">
          <w:rPr>
            <w:color w:val="287BB3"/>
            <w:u w:val="single"/>
          </w:rPr>
          <w:t>Condensed Privacy Policy</w:t>
        </w:r>
      </w:hyperlink>
      <w:r w:rsidRPr="00A2790C">
        <w:rPr>
          <w:color w:val="287BB3"/>
          <w:u w:val="single"/>
        </w:rPr>
        <w:t>.</w:t>
      </w:r>
      <w:r w:rsidRPr="00A2790C">
        <w:rPr>
          <w:vertAlign w:val="superscript"/>
        </w:rPr>
        <w:footnoteReference w:id="2"/>
      </w:r>
      <w:r w:rsidRPr="00A2790C">
        <w:t xml:space="preserve"> This offers an </w:t>
      </w:r>
      <w:proofErr w:type="gramStart"/>
      <w:r w:rsidRPr="00A2790C">
        <w:t>easy to understand</w:t>
      </w:r>
      <w:proofErr w:type="gramEnd"/>
      <w:r w:rsidRPr="00A2790C">
        <w:t xml:space="preserve"> summary of:</w:t>
      </w:r>
    </w:p>
    <w:p w14:paraId="2B1B7FCB" w14:textId="77777777" w:rsidR="00441F28" w:rsidRPr="00A2790C" w:rsidRDefault="00441F28" w:rsidP="00441F28">
      <w:pPr>
        <w:numPr>
          <w:ilvl w:val="0"/>
          <w:numId w:val="15"/>
        </w:numPr>
        <w:spacing w:line="360" w:lineRule="auto"/>
        <w:ind w:left="357" w:hanging="357"/>
        <w:contextualSpacing/>
        <w:jc w:val="both"/>
      </w:pPr>
      <w:r w:rsidRPr="00A2790C">
        <w:t xml:space="preserve">how we collect, use, disclose and store your personal information </w:t>
      </w:r>
    </w:p>
    <w:p w14:paraId="59025D32" w14:textId="77777777" w:rsidR="00441F28" w:rsidRPr="00A2790C" w:rsidRDefault="00441F28" w:rsidP="00441F28">
      <w:pPr>
        <w:numPr>
          <w:ilvl w:val="0"/>
          <w:numId w:val="15"/>
        </w:numPr>
        <w:spacing w:line="360" w:lineRule="auto"/>
        <w:ind w:left="357" w:hanging="357"/>
        <w:contextualSpacing/>
        <w:jc w:val="both"/>
      </w:pPr>
      <w:r w:rsidRPr="00A2790C">
        <w:t xml:space="preserve">how you can contact us if you want to access or correct personal </w:t>
      </w:r>
      <w:proofErr w:type="gramStart"/>
      <w:r w:rsidRPr="00A2790C">
        <w:t>information</w:t>
      </w:r>
      <w:proofErr w:type="gramEnd"/>
      <w:r w:rsidRPr="00A2790C">
        <w:t xml:space="preserve"> we hold about you or complain if you believe it has been wrongly collected or inappropriately handled.</w:t>
      </w:r>
    </w:p>
    <w:p w14:paraId="4ABE27D2" w14:textId="77777777" w:rsidR="00441F28" w:rsidRPr="00A2790C" w:rsidRDefault="00441F28" w:rsidP="00441F28">
      <w:r w:rsidRPr="00A2790C">
        <w:t>Full details of these practices are contained in this document.</w:t>
      </w:r>
    </w:p>
    <w:p w14:paraId="48333CEC" w14:textId="22A5A44C" w:rsidR="002B1CE5" w:rsidRPr="00A2790C" w:rsidRDefault="00441F28" w:rsidP="00441F28">
      <w:pPr>
        <w:jc w:val="both"/>
      </w:pPr>
      <w:r w:rsidRPr="00A2790C">
        <w:t xml:space="preserve">There is also a </w:t>
      </w:r>
      <w:hyperlink r:id="rId18" w:history="1">
        <w:r w:rsidRPr="00A2790C">
          <w:rPr>
            <w:color w:val="287BB3"/>
            <w:u w:val="single"/>
          </w:rPr>
          <w:t>supplementary document</w:t>
        </w:r>
      </w:hyperlink>
      <w:r w:rsidRPr="00A2790C">
        <w:rPr>
          <w:vertAlign w:val="superscript"/>
        </w:rPr>
        <w:footnoteReference w:id="3"/>
      </w:r>
      <w:r w:rsidRPr="00A2790C">
        <w:t xml:space="preserve"> that contains more detailed information about how we handle personal information relating to employment with the department and services provided to the department by contractors or labour hire workers.</w:t>
      </w:r>
    </w:p>
    <w:p w14:paraId="70B51721" w14:textId="7B857C1A" w:rsidR="002B1CE5" w:rsidRPr="00A2790C" w:rsidRDefault="00441F28" w:rsidP="00BB18B8">
      <w:pPr>
        <w:pStyle w:val="Heading2"/>
      </w:pPr>
      <w:bookmarkStart w:id="5" w:name="_Toc136427238"/>
      <w:r w:rsidRPr="00A2790C">
        <w:t>Privacy Act 1988</w:t>
      </w:r>
      <w:bookmarkEnd w:id="5"/>
    </w:p>
    <w:p w14:paraId="14AF3317" w14:textId="4D8A7C02" w:rsidR="00441F28" w:rsidRPr="00A2790C" w:rsidRDefault="00441F28" w:rsidP="00441F28">
      <w:r w:rsidRPr="00A2790C">
        <w:t>The department, including its employees, contractors and agents, is subject to the</w:t>
      </w:r>
      <w:r w:rsidR="00C36872">
        <w:t xml:space="preserve"> </w:t>
      </w:r>
      <w:hyperlink r:id="rId19" w:history="1">
        <w:r w:rsidR="000348CC" w:rsidRPr="00AD51DF">
          <w:rPr>
            <w:rStyle w:val="Hyperlink"/>
            <w:i/>
            <w:iCs/>
            <w:color w:val="287DB2" w:themeColor="accent6"/>
          </w:rPr>
          <w:t>Privacy</w:t>
        </w:r>
        <w:r w:rsidR="00C36872" w:rsidRPr="00AD51DF">
          <w:rPr>
            <w:rStyle w:val="Hyperlink"/>
            <w:i/>
            <w:iCs/>
            <w:color w:val="287DB2" w:themeColor="accent6"/>
          </w:rPr>
          <w:t xml:space="preserve"> </w:t>
        </w:r>
        <w:r w:rsidR="000348CC" w:rsidRPr="00AD51DF">
          <w:rPr>
            <w:rStyle w:val="Hyperlink"/>
            <w:i/>
            <w:iCs/>
            <w:color w:val="287DB2" w:themeColor="accent6"/>
          </w:rPr>
          <w:t>Act</w:t>
        </w:r>
        <w:r w:rsidR="00C36872" w:rsidRPr="00AD51DF">
          <w:rPr>
            <w:rStyle w:val="Hyperlink"/>
            <w:i/>
            <w:iCs/>
            <w:color w:val="287DB2" w:themeColor="accent6"/>
          </w:rPr>
          <w:t xml:space="preserve"> </w:t>
        </w:r>
        <w:r w:rsidR="000348CC" w:rsidRPr="00AD51DF">
          <w:rPr>
            <w:rStyle w:val="Hyperlink"/>
            <w:i/>
            <w:iCs/>
            <w:color w:val="287DB2" w:themeColor="accent6"/>
          </w:rPr>
          <w:t>1988</w:t>
        </w:r>
        <w:r w:rsidR="00C36872" w:rsidRPr="00AD51DF">
          <w:rPr>
            <w:rStyle w:val="Hyperlink"/>
            <w:color w:val="287DB2" w:themeColor="accent6"/>
          </w:rPr>
          <w:t xml:space="preserve"> </w:t>
        </w:r>
        <w:r w:rsidR="000348CC" w:rsidRPr="00AD51DF">
          <w:rPr>
            <w:rStyle w:val="Hyperlink"/>
            <w:color w:val="287DB2" w:themeColor="accent6"/>
          </w:rPr>
          <w:t>(Cth)</w:t>
        </w:r>
      </w:hyperlink>
      <w:r w:rsidR="000348CC">
        <w:rPr>
          <w:rStyle w:val="FootnoteReference"/>
        </w:rPr>
        <w:footnoteReference w:id="4"/>
      </w:r>
      <w:r w:rsidR="000348CC">
        <w:t xml:space="preserve"> </w:t>
      </w:r>
      <w:r w:rsidRPr="00A2790C">
        <w:t>(the Privacy Act) and to the requirements of the Australian Privacy Principles (APPs) contained in Schedule 1 of the Privacy Act.</w:t>
      </w:r>
    </w:p>
    <w:p w14:paraId="2047AB1C" w14:textId="77777777" w:rsidR="00441F28" w:rsidRPr="00441F28" w:rsidRDefault="00441F28" w:rsidP="00441F28">
      <w:r w:rsidRPr="00A2790C">
        <w:t>The APPs regulate how federal public sector agencies and certain private sector organisations can collect, hold, use and disclose personal information and how you can access and correct that information.</w:t>
      </w:r>
    </w:p>
    <w:p w14:paraId="787C1C06" w14:textId="77777777" w:rsidR="00441F28" w:rsidRPr="00441F28" w:rsidRDefault="00441F28" w:rsidP="00441F28">
      <w:r w:rsidRPr="00441F28">
        <w:lastRenderedPageBreak/>
        <w:t xml:space="preserve">The APPs only apply to information about living individuals, not information about corporate entities such as businesses, </w:t>
      </w:r>
      <w:proofErr w:type="gramStart"/>
      <w:r w:rsidRPr="00441F28">
        <w:t>firms</w:t>
      </w:r>
      <w:proofErr w:type="gramEnd"/>
      <w:r w:rsidRPr="00441F28">
        <w:t xml:space="preserve"> or trusts. Detailed information and guidance about the APPs can be found on the </w:t>
      </w:r>
      <w:hyperlink r:id="rId20" w:history="1">
        <w:r w:rsidRPr="00441F28">
          <w:rPr>
            <w:color w:val="287BB3"/>
            <w:u w:val="single"/>
          </w:rPr>
          <w:t>Office of the Australian Information Commissioner</w:t>
        </w:r>
      </w:hyperlink>
      <w:r w:rsidRPr="00441F28">
        <w:rPr>
          <w:vertAlign w:val="superscript"/>
        </w:rPr>
        <w:footnoteReference w:id="5"/>
      </w:r>
      <w:r w:rsidRPr="00441F28">
        <w:t xml:space="preserve"> website.</w:t>
      </w:r>
    </w:p>
    <w:p w14:paraId="6F0ED7D4" w14:textId="6173FBE1" w:rsidR="002B1CE5" w:rsidRDefault="00441F28" w:rsidP="00BB18B8">
      <w:pPr>
        <w:pStyle w:val="Heading2"/>
      </w:pPr>
      <w:bookmarkStart w:id="6" w:name="_Toc136427239"/>
      <w:r w:rsidRPr="00441F28">
        <w:t xml:space="preserve">Information covered under this privacy </w:t>
      </w:r>
      <w:proofErr w:type="gramStart"/>
      <w:r w:rsidRPr="00441F28">
        <w:t>policy</w:t>
      </w:r>
      <w:bookmarkEnd w:id="6"/>
      <w:proofErr w:type="gramEnd"/>
    </w:p>
    <w:p w14:paraId="025D21C8" w14:textId="1074E7CE" w:rsidR="00441F28" w:rsidRPr="00A54B96" w:rsidRDefault="00441F28" w:rsidP="00441F28">
      <w:pPr>
        <w:jc w:val="both"/>
      </w:pPr>
      <w:r w:rsidRPr="00A54B96">
        <w:t>This privacy policy has been developed in accordance with Australian Privacy Principle 1 and embodies our commitment to protecting the personal information</w:t>
      </w:r>
      <w:r w:rsidR="00012DC6">
        <w:t>, including sensitive information,</w:t>
      </w:r>
      <w:r w:rsidRPr="00A54B96">
        <w:t xml:space="preserve"> we collect, hold, use and disclose.</w:t>
      </w:r>
    </w:p>
    <w:p w14:paraId="49E5B75E" w14:textId="77777777" w:rsidR="00441F28" w:rsidRPr="00A54B96" w:rsidRDefault="00441F28" w:rsidP="00441F28">
      <w:pPr>
        <w:jc w:val="both"/>
      </w:pPr>
      <w:r w:rsidRPr="00A54B96">
        <w:t>This privacy policy is not intended to cover our handling of commercially sensitive information or other information that is not defined in the Privacy Act as personal information.</w:t>
      </w:r>
    </w:p>
    <w:p w14:paraId="0CB87675" w14:textId="77777777" w:rsidR="00441F28" w:rsidRPr="00A54B96" w:rsidRDefault="00441F28" w:rsidP="00441F28">
      <w:pPr>
        <w:jc w:val="both"/>
      </w:pPr>
      <w:r w:rsidRPr="00DA2BCD">
        <w:rPr>
          <w:b/>
          <w:bCs/>
        </w:rPr>
        <w:t>‘</w:t>
      </w:r>
      <w:r w:rsidRPr="00A412C3">
        <w:t>Personal information’</w:t>
      </w:r>
      <w:r w:rsidRPr="00A54B96">
        <w:t xml:space="preserve"> means any information (or an opinion) about an identified individual or an individual who is reasonably identifiable, whether true or not and whether recorded in a material form or not.</w:t>
      </w:r>
      <w:r w:rsidRPr="00A54B96">
        <w:rPr>
          <w:vertAlign w:val="superscript"/>
        </w:rPr>
        <w:footnoteReference w:id="6"/>
      </w:r>
      <w:r w:rsidRPr="00A54B96">
        <w:t xml:space="preserve"> </w:t>
      </w:r>
    </w:p>
    <w:p w14:paraId="1BA520CD" w14:textId="77777777" w:rsidR="00441F28" w:rsidRPr="00A54B96" w:rsidRDefault="00441F28" w:rsidP="00441F28">
      <w:r w:rsidRPr="00DA2BCD">
        <w:rPr>
          <w:b/>
          <w:bCs/>
        </w:rPr>
        <w:t>‘</w:t>
      </w:r>
      <w:r w:rsidRPr="00A412C3">
        <w:t>Sensitive information’</w:t>
      </w:r>
      <w:r w:rsidRPr="00A54B96">
        <w:t xml:space="preserve"> is a subset of personal information and includes information about your health, genetics, </w:t>
      </w:r>
      <w:proofErr w:type="gramStart"/>
      <w:r w:rsidRPr="00A54B96">
        <w:t>biometrics</w:t>
      </w:r>
      <w:proofErr w:type="gramEnd"/>
      <w:r w:rsidRPr="00A54B96">
        <w:t xml:space="preserve"> or disability</w:t>
      </w:r>
      <w:r>
        <w:t>,</w:t>
      </w:r>
      <w:r w:rsidRPr="00A54B96">
        <w:t xml:space="preserve"> racial or ethnic origin</w:t>
      </w:r>
      <w:r>
        <w:t>,</w:t>
      </w:r>
      <w:r w:rsidRPr="00A54B96">
        <w:t xml:space="preserve"> religious, political or philosophical beliefs</w:t>
      </w:r>
      <w:r>
        <w:t>,</w:t>
      </w:r>
      <w:r w:rsidRPr="00A54B96">
        <w:t xml:space="preserve"> professional association or trade union memberships, sexuality or criminal record.</w:t>
      </w:r>
      <w:r w:rsidRPr="00A54B96">
        <w:rPr>
          <w:vertAlign w:val="superscript"/>
        </w:rPr>
        <w:footnoteReference w:id="7"/>
      </w:r>
      <w:r w:rsidRPr="00A54B96">
        <w:t xml:space="preserve"> Additional requirements apply to the collection and handling of sensitive information.</w:t>
      </w:r>
    </w:p>
    <w:p w14:paraId="2CB13BDB" w14:textId="1B50A5C2" w:rsidR="002B1CE5" w:rsidRDefault="00441F28" w:rsidP="00BB18B8">
      <w:pPr>
        <w:pStyle w:val="Heading1"/>
      </w:pPr>
      <w:bookmarkStart w:id="7" w:name="_Toc136427240"/>
      <w:r w:rsidRPr="00441F28">
        <w:t>Our personal information handling practices</w:t>
      </w:r>
      <w:bookmarkEnd w:id="7"/>
    </w:p>
    <w:p w14:paraId="7FF3B96C" w14:textId="698D7FEE" w:rsidR="00441F28" w:rsidRPr="00441F28" w:rsidRDefault="00441F28" w:rsidP="00BB18B8">
      <w:pPr>
        <w:pStyle w:val="Heading2"/>
      </w:pPr>
      <w:bookmarkStart w:id="8" w:name="_Toc136427241"/>
      <w:r w:rsidRPr="00441F28">
        <w:t>Collection of personal information</w:t>
      </w:r>
      <w:bookmarkEnd w:id="8"/>
    </w:p>
    <w:p w14:paraId="131BF5B1" w14:textId="77777777" w:rsidR="00441F28" w:rsidRPr="00441F28" w:rsidRDefault="00441F28" w:rsidP="00441F28">
      <w:r w:rsidRPr="00441F28">
        <w:t>Personal information may be collected directly by us, or by people or organisations acting on our behalf (</w:t>
      </w:r>
      <w:proofErr w:type="gramStart"/>
      <w:r w:rsidRPr="00441F28">
        <w:t>e.g.</w:t>
      </w:r>
      <w:proofErr w:type="gramEnd"/>
      <w:r w:rsidRPr="00441F28">
        <w:t xml:space="preserve"> contracted service providers). It may be collected directly from you, or on your behalf from a representative you have authorised. </w:t>
      </w:r>
    </w:p>
    <w:p w14:paraId="32AD44E5" w14:textId="77777777" w:rsidR="00441F28" w:rsidRPr="00441F28" w:rsidRDefault="00441F28" w:rsidP="00441F28">
      <w:r w:rsidRPr="00441F28">
        <w:t xml:space="preserve">We may also obtain personal information collected by other Australian Government agencies, </w:t>
      </w:r>
      <w:proofErr w:type="gramStart"/>
      <w:r w:rsidRPr="00441F28">
        <w:t>state</w:t>
      </w:r>
      <w:proofErr w:type="gramEnd"/>
      <w:r w:rsidRPr="00441F28">
        <w:t xml:space="preserve"> or territory governments, other third parties, or from publicly available sources. This will only occur where you consent, where it is unreasonable or impractical to collect the information only from you or where we are required or authorised to do so by law. </w:t>
      </w:r>
    </w:p>
    <w:p w14:paraId="3C38C482" w14:textId="77777777" w:rsidR="00441F28" w:rsidRPr="00441F28" w:rsidRDefault="00441F28" w:rsidP="00441F28">
      <w:r w:rsidRPr="00441F28">
        <w:t xml:space="preserve">We are also authorised to collect personal information (which may include sensitive information) under a range of Acts that we administer, including but not limited to: </w:t>
      </w:r>
    </w:p>
    <w:p w14:paraId="6E17595C" w14:textId="5D6FEA5B" w:rsidR="00441F28" w:rsidRPr="00A2790C" w:rsidRDefault="00000000" w:rsidP="00441F28">
      <w:pPr>
        <w:numPr>
          <w:ilvl w:val="0"/>
          <w:numId w:val="15"/>
        </w:numPr>
        <w:spacing w:line="360" w:lineRule="auto"/>
        <w:ind w:left="357" w:hanging="357"/>
        <w:contextualSpacing/>
        <w:jc w:val="both"/>
        <w:rPr>
          <w:i/>
          <w:iCs/>
        </w:rPr>
      </w:pPr>
      <w:hyperlink r:id="rId21" w:history="1">
        <w:r w:rsidR="000348CC" w:rsidRPr="00AD51DF">
          <w:rPr>
            <w:rStyle w:val="Hyperlink"/>
            <w:i/>
            <w:iCs/>
            <w:color w:val="287DB2" w:themeColor="accent6"/>
          </w:rPr>
          <w:t>Fair Entitlements Guarantee Act 2012</w:t>
        </w:r>
        <w:r w:rsidR="000348CC" w:rsidRPr="00AD51DF">
          <w:rPr>
            <w:rStyle w:val="Hyperlink"/>
            <w:color w:val="287DB2" w:themeColor="accent6"/>
          </w:rPr>
          <w:t xml:space="preserve"> (Cth)</w:t>
        </w:r>
      </w:hyperlink>
      <w:r w:rsidR="000348CC">
        <w:rPr>
          <w:rStyle w:val="FootnoteReference"/>
        </w:rPr>
        <w:footnoteReference w:id="8"/>
      </w:r>
    </w:p>
    <w:p w14:paraId="57C0D248" w14:textId="394D6C3D" w:rsidR="00441F28" w:rsidRPr="00441F28" w:rsidRDefault="00000000" w:rsidP="00441F28">
      <w:pPr>
        <w:numPr>
          <w:ilvl w:val="0"/>
          <w:numId w:val="15"/>
        </w:numPr>
        <w:spacing w:line="360" w:lineRule="auto"/>
        <w:ind w:left="357" w:hanging="357"/>
        <w:contextualSpacing/>
        <w:jc w:val="both"/>
      </w:pPr>
      <w:hyperlink r:id="rId22" w:history="1">
        <w:r w:rsidR="000348CC" w:rsidRPr="00AD51DF">
          <w:rPr>
            <w:rStyle w:val="Hyperlink"/>
            <w:i/>
            <w:iCs/>
            <w:color w:val="287DB2" w:themeColor="accent6"/>
          </w:rPr>
          <w:t>National Vocational Education and Training Regulator Act 2011</w:t>
        </w:r>
        <w:r w:rsidR="000348CC" w:rsidRPr="00AD51DF">
          <w:rPr>
            <w:rStyle w:val="Hyperlink"/>
            <w:color w:val="287DB2" w:themeColor="accent6"/>
          </w:rPr>
          <w:t xml:space="preserve"> (Cth)</w:t>
        </w:r>
      </w:hyperlink>
      <w:r w:rsidR="000348CC">
        <w:rPr>
          <w:rStyle w:val="FootnoteReference"/>
        </w:rPr>
        <w:footnoteReference w:id="9"/>
      </w:r>
    </w:p>
    <w:p w14:paraId="1B500407" w14:textId="6EB2E359" w:rsidR="00441F28" w:rsidRPr="00441F28" w:rsidRDefault="00000000" w:rsidP="00441F28">
      <w:pPr>
        <w:numPr>
          <w:ilvl w:val="0"/>
          <w:numId w:val="15"/>
        </w:numPr>
        <w:spacing w:line="360" w:lineRule="auto"/>
        <w:ind w:left="357" w:hanging="357"/>
        <w:contextualSpacing/>
        <w:jc w:val="both"/>
      </w:pPr>
      <w:hyperlink r:id="rId23" w:history="1">
        <w:r w:rsidR="000348CC" w:rsidRPr="00AD51DF">
          <w:rPr>
            <w:rStyle w:val="Hyperlink"/>
            <w:i/>
            <w:iCs/>
            <w:color w:val="287DB2" w:themeColor="accent6"/>
          </w:rPr>
          <w:t>Social Security (Administration) Act 1999</w:t>
        </w:r>
        <w:r w:rsidR="000348CC" w:rsidRPr="00AD51DF">
          <w:rPr>
            <w:rStyle w:val="Hyperlink"/>
            <w:color w:val="287DB2" w:themeColor="accent6"/>
          </w:rPr>
          <w:t xml:space="preserve"> (Cth)</w:t>
        </w:r>
      </w:hyperlink>
      <w:r w:rsidR="000348CC">
        <w:rPr>
          <w:rStyle w:val="FootnoteReference"/>
        </w:rPr>
        <w:footnoteReference w:id="10"/>
      </w:r>
      <w:r w:rsidR="000348CC">
        <w:t xml:space="preserve"> </w:t>
      </w:r>
      <w:r w:rsidR="00441F28" w:rsidRPr="00441F28">
        <w:t xml:space="preserve">(insofar as it relates to participation and activity test requirements for participation payment recipients) </w:t>
      </w:r>
    </w:p>
    <w:p w14:paraId="67B73B49" w14:textId="6E927761" w:rsidR="00441F28" w:rsidRPr="00441F28" w:rsidRDefault="00000000" w:rsidP="00441F28">
      <w:pPr>
        <w:numPr>
          <w:ilvl w:val="0"/>
          <w:numId w:val="15"/>
        </w:numPr>
        <w:spacing w:line="360" w:lineRule="auto"/>
        <w:ind w:left="357" w:hanging="357"/>
        <w:contextualSpacing/>
        <w:jc w:val="both"/>
      </w:pPr>
      <w:hyperlink r:id="rId24" w:history="1">
        <w:r w:rsidR="000348CC" w:rsidRPr="00AD51DF">
          <w:rPr>
            <w:rStyle w:val="Hyperlink"/>
            <w:i/>
            <w:iCs/>
            <w:color w:val="287DB2" w:themeColor="accent6"/>
          </w:rPr>
          <w:t>Student Identifiers Act 2014</w:t>
        </w:r>
        <w:r w:rsidR="000348CC" w:rsidRPr="00AD51DF">
          <w:rPr>
            <w:rStyle w:val="Hyperlink"/>
            <w:color w:val="287DB2" w:themeColor="accent6"/>
          </w:rPr>
          <w:t xml:space="preserve"> (Cth)</w:t>
        </w:r>
      </w:hyperlink>
      <w:r w:rsidR="000348CC">
        <w:rPr>
          <w:rStyle w:val="FootnoteReference"/>
        </w:rPr>
        <w:footnoteReference w:id="11"/>
      </w:r>
      <w:r w:rsidR="00085ECA">
        <w:rPr>
          <w:i/>
          <w:iCs/>
        </w:rPr>
        <w:t xml:space="preserve"> </w:t>
      </w:r>
      <w:r w:rsidR="00085ECA" w:rsidRPr="00B87513">
        <w:t>(except to the extent administered by the Minister responsible for Education)</w:t>
      </w:r>
      <w:r w:rsidR="00085ECA">
        <w:rPr>
          <w:i/>
          <w:iCs/>
        </w:rPr>
        <w:t xml:space="preserve"> </w:t>
      </w:r>
    </w:p>
    <w:p w14:paraId="377D3532" w14:textId="3F3917E9" w:rsidR="00441F28" w:rsidRPr="00441F28" w:rsidRDefault="00000000" w:rsidP="00441F28">
      <w:pPr>
        <w:numPr>
          <w:ilvl w:val="0"/>
          <w:numId w:val="15"/>
        </w:numPr>
        <w:spacing w:line="360" w:lineRule="auto"/>
        <w:ind w:left="357" w:hanging="357"/>
        <w:contextualSpacing/>
        <w:jc w:val="both"/>
      </w:pPr>
      <w:hyperlink r:id="rId25" w:history="1">
        <w:r w:rsidR="000348CC" w:rsidRPr="00AD51DF">
          <w:rPr>
            <w:rStyle w:val="Hyperlink"/>
            <w:i/>
            <w:iCs/>
            <w:color w:val="287DB2" w:themeColor="accent6"/>
          </w:rPr>
          <w:t>Trade Support Loans Act 2014</w:t>
        </w:r>
        <w:r w:rsidR="000348CC" w:rsidRPr="00AD51DF">
          <w:rPr>
            <w:rStyle w:val="Hyperlink"/>
            <w:color w:val="287DB2" w:themeColor="accent6"/>
          </w:rPr>
          <w:t xml:space="preserve"> (Cth)</w:t>
        </w:r>
      </w:hyperlink>
      <w:r w:rsidR="000348CC">
        <w:rPr>
          <w:rStyle w:val="FootnoteReference"/>
        </w:rPr>
        <w:footnoteReference w:id="12"/>
      </w:r>
    </w:p>
    <w:p w14:paraId="596E8B84" w14:textId="47DFA015" w:rsidR="00441F28" w:rsidRPr="00441F28" w:rsidRDefault="00000000" w:rsidP="00441F28">
      <w:pPr>
        <w:numPr>
          <w:ilvl w:val="0"/>
          <w:numId w:val="15"/>
        </w:numPr>
        <w:spacing w:line="360" w:lineRule="auto"/>
        <w:ind w:left="357" w:hanging="357"/>
        <w:contextualSpacing/>
        <w:jc w:val="both"/>
      </w:pPr>
      <w:hyperlink r:id="rId26" w:history="1">
        <w:r w:rsidR="000348CC" w:rsidRPr="00AD51DF">
          <w:rPr>
            <w:rStyle w:val="Hyperlink"/>
            <w:i/>
            <w:iCs/>
            <w:color w:val="287DB2" w:themeColor="accent6"/>
          </w:rPr>
          <w:t>VET Student Loans Act 2016</w:t>
        </w:r>
        <w:r w:rsidR="000348CC" w:rsidRPr="00AD51DF">
          <w:rPr>
            <w:rStyle w:val="Hyperlink"/>
            <w:color w:val="287DB2" w:themeColor="accent6"/>
          </w:rPr>
          <w:t xml:space="preserve"> (Cth)</w:t>
        </w:r>
      </w:hyperlink>
      <w:r w:rsidR="000348CC" w:rsidRPr="000348CC">
        <w:t>.</w:t>
      </w:r>
      <w:r w:rsidR="000348CC">
        <w:rPr>
          <w:rStyle w:val="FootnoteReference"/>
        </w:rPr>
        <w:footnoteReference w:id="13"/>
      </w:r>
    </w:p>
    <w:p w14:paraId="57DCF757" w14:textId="301D1D34" w:rsidR="00441F28" w:rsidRPr="00441F28" w:rsidRDefault="00441F28" w:rsidP="00441F28">
      <w:r w:rsidRPr="00441F28">
        <w:t>We will only collect information for a lawful purpose that is reasonably necessary or directly related to one or more of our functions and activities, or where otherwise required or authorised by law. For example, the department may also collect, use and disclose personal information, including sensitive information, for an ‘integrity purpose’ under the</w:t>
      </w:r>
      <w:r w:rsidR="002A3CB1">
        <w:t xml:space="preserve"> </w:t>
      </w:r>
      <w:hyperlink r:id="rId27" w:history="1">
        <w:r w:rsidR="002A3CB1" w:rsidRPr="00AD51DF">
          <w:rPr>
            <w:rStyle w:val="Hyperlink"/>
            <w:i/>
            <w:iCs/>
            <w:color w:val="287DB2" w:themeColor="accent6"/>
          </w:rPr>
          <w:t>Crimes Act 1914</w:t>
        </w:r>
        <w:r w:rsidR="002A3CB1" w:rsidRPr="00AD51DF">
          <w:rPr>
            <w:rStyle w:val="Hyperlink"/>
            <w:color w:val="287DB2" w:themeColor="accent6"/>
          </w:rPr>
          <w:t xml:space="preserve"> (Cth)</w:t>
        </w:r>
      </w:hyperlink>
      <w:r w:rsidR="002A3CB1">
        <w:t>,</w:t>
      </w:r>
      <w:r w:rsidR="002A3CB1">
        <w:rPr>
          <w:rStyle w:val="FootnoteReference"/>
        </w:rPr>
        <w:footnoteReference w:id="14"/>
      </w:r>
      <w:r w:rsidR="002A3CB1">
        <w:t xml:space="preserve"> </w:t>
      </w:r>
      <w:r w:rsidRPr="00441F28">
        <w:t>such as the detection or investigation of misconduct or fraud.</w:t>
      </w:r>
      <w:r w:rsidRPr="00441F28">
        <w:rPr>
          <w:vertAlign w:val="superscript"/>
        </w:rPr>
        <w:footnoteReference w:id="15"/>
      </w:r>
    </w:p>
    <w:p w14:paraId="265208A4" w14:textId="6468D351" w:rsidR="002B1CE5" w:rsidRDefault="00441F28" w:rsidP="00441F28">
      <w:pPr>
        <w:jc w:val="both"/>
      </w:pPr>
      <w:r w:rsidRPr="00441F28">
        <w:t xml:space="preserve">When we collect personal information, we are required under the APPs to notify you of </w:t>
      </w:r>
      <w:proofErr w:type="gramStart"/>
      <w:r w:rsidRPr="00441F28">
        <w:t>a number of</w:t>
      </w:r>
      <w:proofErr w:type="gramEnd"/>
      <w:r w:rsidRPr="00441F28">
        <w:t xml:space="preserve"> matters. These include the purposes for which we collect the information, whether the collection is required or authorised by law, and any person or body to whom we usually disclose the information, including if those persons or bodies are located overseas. We usually provide this notification by including privacy notices on our </w:t>
      </w:r>
      <w:proofErr w:type="gramStart"/>
      <w:r w:rsidRPr="00441F28">
        <w:t>paper based</w:t>
      </w:r>
      <w:proofErr w:type="gramEnd"/>
      <w:r w:rsidRPr="00441F28">
        <w:t xml:space="preserve"> forms and online portals. </w:t>
      </w:r>
    </w:p>
    <w:p w14:paraId="247FC622" w14:textId="0B5CB067" w:rsidR="005B69E0" w:rsidRDefault="005B69E0" w:rsidP="00BB18B8">
      <w:pPr>
        <w:pStyle w:val="Heading2"/>
      </w:pPr>
      <w:bookmarkStart w:id="9" w:name="_Toc136427242"/>
      <w:r w:rsidRPr="005B69E0">
        <w:t xml:space="preserve">Types of personal information collected by </w:t>
      </w:r>
      <w:proofErr w:type="gramStart"/>
      <w:r w:rsidRPr="005B69E0">
        <w:t>us</w:t>
      </w:r>
      <w:bookmarkEnd w:id="9"/>
      <w:proofErr w:type="gramEnd"/>
    </w:p>
    <w:p w14:paraId="096C91C5" w14:textId="77777777" w:rsidR="005B69E0" w:rsidRPr="005B69E0" w:rsidRDefault="005B69E0" w:rsidP="005B69E0">
      <w:pPr>
        <w:jc w:val="both"/>
      </w:pPr>
      <w:r w:rsidRPr="005B69E0">
        <w:t>We collect and hold a broad range of personal information in records relating to:</w:t>
      </w:r>
    </w:p>
    <w:p w14:paraId="2520D9AE" w14:textId="604836FC" w:rsidR="005B69E0" w:rsidRPr="00A2790C" w:rsidRDefault="005B69E0" w:rsidP="005B69E0">
      <w:pPr>
        <w:numPr>
          <w:ilvl w:val="0"/>
          <w:numId w:val="15"/>
        </w:numPr>
        <w:spacing w:line="360" w:lineRule="auto"/>
        <w:ind w:left="357" w:hanging="357"/>
        <w:contextualSpacing/>
        <w:jc w:val="both"/>
      </w:pPr>
      <w:bookmarkStart w:id="10" w:name="_Hlk83287900"/>
      <w:r w:rsidRPr="005B69E0">
        <w:t>employment and personnel matters for our employees, labour hire workers and contractors</w:t>
      </w:r>
      <w:bookmarkEnd w:id="10"/>
      <w:r w:rsidRPr="005B69E0">
        <w:t xml:space="preserve"> (more detailed information can be found in the </w:t>
      </w:r>
      <w:hyperlink r:id="rId28" w:history="1">
        <w:r w:rsidRPr="00A2790C">
          <w:rPr>
            <w:color w:val="287BB3"/>
            <w:u w:val="single"/>
          </w:rPr>
          <w:t>‘Collection of personal information for employment purposes’</w:t>
        </w:r>
      </w:hyperlink>
      <w:r w:rsidRPr="00A2790C">
        <w:rPr>
          <w:vertAlign w:val="superscript"/>
        </w:rPr>
        <w:footnoteReference w:id="16"/>
      </w:r>
      <w:r w:rsidRPr="00A2790C">
        <w:t xml:space="preserve"> supplementary document)</w:t>
      </w:r>
    </w:p>
    <w:p w14:paraId="784BBB01" w14:textId="77777777" w:rsidR="005B69E0" w:rsidRPr="005B69E0" w:rsidRDefault="005B69E0" w:rsidP="005B69E0">
      <w:pPr>
        <w:numPr>
          <w:ilvl w:val="0"/>
          <w:numId w:val="15"/>
        </w:numPr>
        <w:spacing w:line="360" w:lineRule="auto"/>
        <w:ind w:left="357" w:hanging="357"/>
        <w:contextualSpacing/>
        <w:jc w:val="both"/>
      </w:pPr>
      <w:r w:rsidRPr="005B69E0">
        <w:t>performance of our legislative and administrative functions</w:t>
      </w:r>
    </w:p>
    <w:p w14:paraId="0C520A8E" w14:textId="77777777" w:rsidR="005B69E0" w:rsidRPr="005B69E0" w:rsidRDefault="005B69E0" w:rsidP="005B69E0">
      <w:pPr>
        <w:numPr>
          <w:ilvl w:val="0"/>
          <w:numId w:val="15"/>
        </w:numPr>
        <w:spacing w:line="360" w:lineRule="auto"/>
        <w:ind w:left="357" w:hanging="357"/>
        <w:contextualSpacing/>
        <w:jc w:val="both"/>
      </w:pPr>
      <w:r w:rsidRPr="005B69E0">
        <w:t xml:space="preserve">individuals participating in our funded programs and </w:t>
      </w:r>
      <w:proofErr w:type="gramStart"/>
      <w:r w:rsidRPr="005B69E0">
        <w:t>initiatives</w:t>
      </w:r>
      <w:proofErr w:type="gramEnd"/>
    </w:p>
    <w:p w14:paraId="426BA05C" w14:textId="77777777" w:rsidR="005B69E0" w:rsidRPr="005B69E0" w:rsidRDefault="005B69E0" w:rsidP="005B69E0">
      <w:pPr>
        <w:numPr>
          <w:ilvl w:val="0"/>
          <w:numId w:val="15"/>
        </w:numPr>
        <w:spacing w:line="360" w:lineRule="auto"/>
        <w:ind w:left="357" w:hanging="357"/>
        <w:contextualSpacing/>
        <w:jc w:val="both"/>
      </w:pPr>
      <w:bookmarkStart w:id="11" w:name="_Hlk83288065"/>
      <w:r w:rsidRPr="005B69E0">
        <w:t>management of contracts and funding agreements</w:t>
      </w:r>
    </w:p>
    <w:p w14:paraId="35F3BACC" w14:textId="77777777" w:rsidR="005B69E0" w:rsidRPr="005B69E0" w:rsidRDefault="005B69E0" w:rsidP="005B69E0">
      <w:pPr>
        <w:numPr>
          <w:ilvl w:val="0"/>
          <w:numId w:val="15"/>
        </w:numPr>
        <w:spacing w:line="360" w:lineRule="auto"/>
        <w:ind w:left="357" w:hanging="357"/>
        <w:contextualSpacing/>
        <w:jc w:val="both"/>
      </w:pPr>
      <w:r w:rsidRPr="005B69E0">
        <w:t xml:space="preserve">management of fraud and compliance investigations </w:t>
      </w:r>
    </w:p>
    <w:p w14:paraId="6251E1A0" w14:textId="77777777" w:rsidR="005B69E0" w:rsidRPr="005B69E0" w:rsidRDefault="005B69E0" w:rsidP="005B69E0">
      <w:pPr>
        <w:numPr>
          <w:ilvl w:val="0"/>
          <w:numId w:val="15"/>
        </w:numPr>
        <w:spacing w:line="360" w:lineRule="auto"/>
        <w:ind w:left="357" w:hanging="357"/>
        <w:contextualSpacing/>
        <w:jc w:val="both"/>
      </w:pPr>
      <w:bookmarkStart w:id="12" w:name="_Hlk83288086"/>
      <w:bookmarkEnd w:id="11"/>
      <w:r w:rsidRPr="005B69E0">
        <w:t>management of audits (both internal and external)</w:t>
      </w:r>
    </w:p>
    <w:p w14:paraId="7A4995D5" w14:textId="6C99B917" w:rsidR="005B69E0" w:rsidRPr="005B69E0" w:rsidRDefault="005B69E0" w:rsidP="005B69E0">
      <w:pPr>
        <w:numPr>
          <w:ilvl w:val="0"/>
          <w:numId w:val="15"/>
        </w:numPr>
        <w:spacing w:line="360" w:lineRule="auto"/>
        <w:ind w:left="357" w:hanging="357"/>
        <w:contextualSpacing/>
        <w:jc w:val="both"/>
      </w:pPr>
      <w:bookmarkStart w:id="13" w:name="_Hlk83288136"/>
      <w:bookmarkEnd w:id="12"/>
      <w:r w:rsidRPr="005B69E0">
        <w:t xml:space="preserve">correspondence from members of the public to us and our Ministers and Parliamentary Secretaries, or correspondence otherwise referred to us by other departments or </w:t>
      </w:r>
      <w:proofErr w:type="gramStart"/>
      <w:r w:rsidRPr="005B69E0">
        <w:t>Ministers</w:t>
      </w:r>
      <w:proofErr w:type="gramEnd"/>
    </w:p>
    <w:p w14:paraId="7405FCFE" w14:textId="77777777" w:rsidR="005B69E0" w:rsidRPr="005B69E0" w:rsidRDefault="005B69E0" w:rsidP="005B69E0">
      <w:pPr>
        <w:numPr>
          <w:ilvl w:val="0"/>
          <w:numId w:val="15"/>
        </w:numPr>
        <w:spacing w:line="360" w:lineRule="auto"/>
        <w:ind w:left="357" w:hanging="357"/>
        <w:contextualSpacing/>
        <w:jc w:val="both"/>
      </w:pPr>
      <w:bookmarkStart w:id="14" w:name="_Hlk83298266"/>
      <w:r w:rsidRPr="005B69E0">
        <w:t xml:space="preserve">complaints (including privacy complaints) </w:t>
      </w:r>
      <w:proofErr w:type="gramStart"/>
      <w:r w:rsidRPr="005B69E0">
        <w:t>made</w:t>
      </w:r>
      <w:proofErr w:type="gramEnd"/>
      <w:r w:rsidRPr="005B69E0">
        <w:t xml:space="preserve"> and feedback provided to us</w:t>
      </w:r>
      <w:bookmarkEnd w:id="14"/>
    </w:p>
    <w:bookmarkEnd w:id="13"/>
    <w:p w14:paraId="24C79CC7" w14:textId="5D5E65C9" w:rsidR="005B69E0" w:rsidRPr="005B69E0" w:rsidRDefault="005B69E0" w:rsidP="005B69E0">
      <w:pPr>
        <w:numPr>
          <w:ilvl w:val="0"/>
          <w:numId w:val="15"/>
        </w:numPr>
        <w:spacing w:line="360" w:lineRule="auto"/>
        <w:ind w:left="357" w:hanging="357"/>
        <w:contextualSpacing/>
        <w:jc w:val="both"/>
      </w:pPr>
      <w:r w:rsidRPr="005B69E0">
        <w:lastRenderedPageBreak/>
        <w:t>requests made to us under the</w:t>
      </w:r>
      <w:r w:rsidR="002A3CB1">
        <w:t xml:space="preserve"> </w:t>
      </w:r>
      <w:hyperlink r:id="rId29" w:history="1">
        <w:r w:rsidR="002A3CB1" w:rsidRPr="00AD51DF">
          <w:rPr>
            <w:rStyle w:val="Hyperlink"/>
            <w:i/>
            <w:iCs/>
            <w:color w:val="287DB2" w:themeColor="accent6"/>
          </w:rPr>
          <w:t>Freedom of Information Act 1982</w:t>
        </w:r>
        <w:r w:rsidR="002A3CB1" w:rsidRPr="00AD51DF">
          <w:rPr>
            <w:rStyle w:val="Hyperlink"/>
            <w:color w:val="287DB2" w:themeColor="accent6"/>
          </w:rPr>
          <w:t xml:space="preserve"> (Cth)</w:t>
        </w:r>
      </w:hyperlink>
      <w:r w:rsidR="002A3CB1">
        <w:rPr>
          <w:rStyle w:val="FootnoteReference"/>
        </w:rPr>
        <w:footnoteReference w:id="17"/>
      </w:r>
      <w:r w:rsidRPr="005B69E0">
        <w:t xml:space="preserve"> (FOI Act) or the Privacy Act </w:t>
      </w:r>
      <w:bookmarkStart w:id="15" w:name="_Hlk83288186"/>
    </w:p>
    <w:p w14:paraId="18D6458D" w14:textId="77777777" w:rsidR="005B69E0" w:rsidRPr="005B69E0" w:rsidRDefault="005B69E0" w:rsidP="005B69E0">
      <w:pPr>
        <w:numPr>
          <w:ilvl w:val="0"/>
          <w:numId w:val="15"/>
        </w:numPr>
        <w:spacing w:line="360" w:lineRule="auto"/>
        <w:ind w:left="357" w:hanging="357"/>
        <w:jc w:val="both"/>
      </w:pPr>
      <w:r w:rsidRPr="005B69E0">
        <w:t>the provision of legal advice by internal and external lawyers.</w:t>
      </w:r>
      <w:bookmarkEnd w:id="15"/>
    </w:p>
    <w:p w14:paraId="6F370218" w14:textId="77777777" w:rsidR="005B69E0" w:rsidRPr="005B69E0" w:rsidRDefault="005B69E0" w:rsidP="005B69E0">
      <w:pPr>
        <w:spacing w:line="360" w:lineRule="auto"/>
        <w:contextualSpacing/>
        <w:jc w:val="both"/>
      </w:pPr>
      <w:r w:rsidRPr="005B69E0">
        <w:t>This personal information may include but is not limited to:</w:t>
      </w:r>
    </w:p>
    <w:p w14:paraId="2C5844B0" w14:textId="6EEC0CB3" w:rsidR="005B69E0" w:rsidRPr="005B69E0" w:rsidRDefault="005B69E0" w:rsidP="005B69E0">
      <w:pPr>
        <w:numPr>
          <w:ilvl w:val="0"/>
          <w:numId w:val="16"/>
        </w:numPr>
        <w:spacing w:line="360" w:lineRule="auto"/>
        <w:ind w:left="360"/>
        <w:contextualSpacing/>
      </w:pPr>
      <w:r w:rsidRPr="005B69E0">
        <w:t>your name, address and contact details (</w:t>
      </w:r>
      <w:proofErr w:type="gramStart"/>
      <w:r w:rsidRPr="005B69E0">
        <w:t>e.g.</w:t>
      </w:r>
      <w:proofErr w:type="gramEnd"/>
      <w:r w:rsidRPr="005B69E0">
        <w:t xml:space="preserve"> phone, email and fax)</w:t>
      </w:r>
    </w:p>
    <w:p w14:paraId="514FD20D" w14:textId="77777777" w:rsidR="005B69E0" w:rsidRPr="005B69E0" w:rsidRDefault="005B69E0" w:rsidP="005B69E0">
      <w:pPr>
        <w:numPr>
          <w:ilvl w:val="0"/>
          <w:numId w:val="16"/>
        </w:numPr>
        <w:spacing w:line="360" w:lineRule="auto"/>
        <w:ind w:left="360"/>
        <w:contextualSpacing/>
      </w:pPr>
      <w:r w:rsidRPr="005B69E0">
        <w:t>photographs, video recordings and audio recordings of you</w:t>
      </w:r>
    </w:p>
    <w:p w14:paraId="7E3A2CD0" w14:textId="77777777" w:rsidR="005B69E0" w:rsidRPr="005B69E0" w:rsidRDefault="005B69E0" w:rsidP="005B69E0">
      <w:pPr>
        <w:numPr>
          <w:ilvl w:val="0"/>
          <w:numId w:val="16"/>
        </w:numPr>
        <w:spacing w:line="360" w:lineRule="auto"/>
        <w:ind w:left="360"/>
        <w:contextualSpacing/>
      </w:pPr>
      <w:r w:rsidRPr="005B69E0">
        <w:t>information about your personal circumstances (</w:t>
      </w:r>
      <w:proofErr w:type="gramStart"/>
      <w:r w:rsidRPr="005B69E0">
        <w:t>e.g.</w:t>
      </w:r>
      <w:proofErr w:type="gramEnd"/>
      <w:r w:rsidRPr="005B69E0">
        <w:t xml:space="preserve"> marital status, age, gender, occupation, accommodation and relevant information about your partner or children)</w:t>
      </w:r>
    </w:p>
    <w:p w14:paraId="18D61D94" w14:textId="77777777" w:rsidR="005B69E0" w:rsidRPr="005B69E0" w:rsidRDefault="005B69E0" w:rsidP="005B69E0">
      <w:pPr>
        <w:numPr>
          <w:ilvl w:val="0"/>
          <w:numId w:val="16"/>
        </w:numPr>
        <w:spacing w:line="360" w:lineRule="auto"/>
        <w:ind w:left="360"/>
        <w:contextualSpacing/>
      </w:pPr>
      <w:r w:rsidRPr="005B69E0">
        <w:t>information about your financial affairs (</w:t>
      </w:r>
      <w:proofErr w:type="gramStart"/>
      <w:r w:rsidRPr="005B69E0">
        <w:t>e.g.</w:t>
      </w:r>
      <w:proofErr w:type="gramEnd"/>
      <w:r w:rsidRPr="005B69E0">
        <w:t xml:space="preserve"> payment details, bank account details and information about business and financial interests)</w:t>
      </w:r>
    </w:p>
    <w:p w14:paraId="69396D89" w14:textId="4991E094" w:rsidR="005B69E0" w:rsidRPr="005B69E0" w:rsidRDefault="005B69E0" w:rsidP="005B69E0">
      <w:pPr>
        <w:numPr>
          <w:ilvl w:val="0"/>
          <w:numId w:val="16"/>
        </w:numPr>
        <w:spacing w:line="360" w:lineRule="auto"/>
        <w:ind w:left="360"/>
        <w:contextualSpacing/>
      </w:pPr>
      <w:r w:rsidRPr="005B69E0">
        <w:t>information about your identity (</w:t>
      </w:r>
      <w:proofErr w:type="gramStart"/>
      <w:r w:rsidRPr="005B69E0">
        <w:t>e.g.</w:t>
      </w:r>
      <w:proofErr w:type="gramEnd"/>
      <w:r w:rsidRPr="005B69E0">
        <w:t xml:space="preserve"> date of birth, country of birth, passport details, visa details, driver licence)</w:t>
      </w:r>
    </w:p>
    <w:p w14:paraId="5B2C1881" w14:textId="77777777" w:rsidR="005B69E0" w:rsidRPr="005B69E0" w:rsidRDefault="005B69E0" w:rsidP="005B69E0">
      <w:pPr>
        <w:numPr>
          <w:ilvl w:val="0"/>
          <w:numId w:val="16"/>
        </w:numPr>
        <w:spacing w:line="360" w:lineRule="auto"/>
        <w:ind w:left="360"/>
        <w:contextualSpacing/>
      </w:pPr>
      <w:r w:rsidRPr="005B69E0">
        <w:t>information about your employment (</w:t>
      </w:r>
      <w:proofErr w:type="gramStart"/>
      <w:r w:rsidRPr="005B69E0">
        <w:t>e.g.</w:t>
      </w:r>
      <w:proofErr w:type="gramEnd"/>
      <w:r w:rsidRPr="005B69E0">
        <w:t xml:space="preserve"> work history, referee comments, remuneration)</w:t>
      </w:r>
    </w:p>
    <w:p w14:paraId="45B4F0BE" w14:textId="77777777" w:rsidR="005B69E0" w:rsidRPr="005B69E0" w:rsidRDefault="005B69E0" w:rsidP="005B69E0">
      <w:pPr>
        <w:numPr>
          <w:ilvl w:val="0"/>
          <w:numId w:val="16"/>
        </w:numPr>
        <w:spacing w:line="360" w:lineRule="auto"/>
        <w:ind w:left="360"/>
        <w:contextualSpacing/>
      </w:pPr>
      <w:r w:rsidRPr="005B69E0">
        <w:t>information about your background (</w:t>
      </w:r>
      <w:proofErr w:type="gramStart"/>
      <w:r w:rsidRPr="005B69E0">
        <w:t>e.g.</w:t>
      </w:r>
      <w:proofErr w:type="gramEnd"/>
      <w:r w:rsidRPr="005B69E0">
        <w:t xml:space="preserve"> educational qualifications, the languages you speak and your English proficiency)</w:t>
      </w:r>
    </w:p>
    <w:p w14:paraId="498487BC" w14:textId="77777777" w:rsidR="005B69E0" w:rsidRPr="005B69E0" w:rsidRDefault="005B69E0" w:rsidP="005B69E0">
      <w:pPr>
        <w:numPr>
          <w:ilvl w:val="0"/>
          <w:numId w:val="16"/>
        </w:numPr>
        <w:spacing w:line="360" w:lineRule="auto"/>
        <w:ind w:left="360"/>
        <w:contextualSpacing/>
      </w:pPr>
      <w:r w:rsidRPr="005B69E0">
        <w:t>information about your studies and training (</w:t>
      </w:r>
      <w:proofErr w:type="gramStart"/>
      <w:r w:rsidRPr="005B69E0">
        <w:t>e.g.</w:t>
      </w:r>
      <w:proofErr w:type="gramEnd"/>
      <w:r w:rsidRPr="005B69E0">
        <w:t xml:space="preserve"> training results, courses completed)</w:t>
      </w:r>
    </w:p>
    <w:p w14:paraId="7C58018C" w14:textId="5776EE3C" w:rsidR="005B69E0" w:rsidRPr="005B69E0" w:rsidRDefault="005B69E0" w:rsidP="005B69E0">
      <w:pPr>
        <w:numPr>
          <w:ilvl w:val="0"/>
          <w:numId w:val="16"/>
        </w:numPr>
        <w:spacing w:line="360" w:lineRule="auto"/>
        <w:ind w:left="360"/>
        <w:contextualSpacing/>
      </w:pPr>
      <w:r w:rsidRPr="005B69E0">
        <w:t>government identifiers (</w:t>
      </w:r>
      <w:proofErr w:type="gramStart"/>
      <w:r w:rsidRPr="005B69E0">
        <w:t>e.g.</w:t>
      </w:r>
      <w:proofErr w:type="gramEnd"/>
      <w:r w:rsidRPr="005B69E0">
        <w:t xml:space="preserve"> C</w:t>
      </w:r>
      <w:r w:rsidR="007F5FA9">
        <w:t>ustomer</w:t>
      </w:r>
      <w:r w:rsidRPr="005B69E0">
        <w:t xml:space="preserve"> Reference Number, Tax File Number or Unique Student Identifier)</w:t>
      </w:r>
    </w:p>
    <w:p w14:paraId="57405849" w14:textId="77777777" w:rsidR="005B69E0" w:rsidRPr="005B69E0" w:rsidRDefault="005B69E0" w:rsidP="005B69E0">
      <w:pPr>
        <w:numPr>
          <w:ilvl w:val="0"/>
          <w:numId w:val="16"/>
        </w:numPr>
        <w:spacing w:line="360" w:lineRule="auto"/>
        <w:ind w:left="360"/>
        <w:contextualSpacing/>
      </w:pPr>
      <w:r w:rsidRPr="005B69E0">
        <w:t xml:space="preserve">information about assistance provided to you under our funding </w:t>
      </w:r>
      <w:proofErr w:type="gramStart"/>
      <w:r w:rsidRPr="005B69E0">
        <w:t>arrangements</w:t>
      </w:r>
      <w:proofErr w:type="gramEnd"/>
      <w:r w:rsidRPr="005B69E0">
        <w:t xml:space="preserve"> </w:t>
      </w:r>
    </w:p>
    <w:p w14:paraId="5A87CF3F" w14:textId="77777777" w:rsidR="005B69E0" w:rsidRPr="005B69E0" w:rsidRDefault="005B69E0" w:rsidP="005B69E0">
      <w:pPr>
        <w:numPr>
          <w:ilvl w:val="0"/>
          <w:numId w:val="16"/>
        </w:numPr>
        <w:spacing w:line="360" w:lineRule="auto"/>
        <w:ind w:left="360"/>
        <w:contextualSpacing/>
      </w:pPr>
      <w:r w:rsidRPr="005B69E0">
        <w:t>information about entitlements under Australian Government legislation.</w:t>
      </w:r>
    </w:p>
    <w:p w14:paraId="7DE825FF" w14:textId="1D85BC3D" w:rsidR="005B69E0" w:rsidRDefault="00A9546F" w:rsidP="00BB18B8">
      <w:pPr>
        <w:pStyle w:val="Heading2"/>
      </w:pPr>
      <w:bookmarkStart w:id="16" w:name="_Toc136427243"/>
      <w:r w:rsidRPr="00A9546F">
        <w:t>Tax file numbers</w:t>
      </w:r>
      <w:bookmarkEnd w:id="16"/>
    </w:p>
    <w:p w14:paraId="2E933BFD" w14:textId="58F00748" w:rsidR="00A9546F" w:rsidRDefault="00A9546F" w:rsidP="00BB18B8">
      <w:pPr>
        <w:pStyle w:val="Heading3"/>
      </w:pPr>
      <w:bookmarkStart w:id="17" w:name="_Toc136427244"/>
      <w:r w:rsidRPr="00A9546F">
        <w:t>Purpose of collection</w:t>
      </w:r>
      <w:bookmarkEnd w:id="17"/>
    </w:p>
    <w:p w14:paraId="3E322F60" w14:textId="77777777" w:rsidR="00A9546F" w:rsidRPr="00A9546F" w:rsidRDefault="00A9546F" w:rsidP="00A9546F">
      <w:pPr>
        <w:jc w:val="both"/>
        <w:rPr>
          <w:rFonts w:ascii="Calibri" w:eastAsia="Calibri" w:hAnsi="Calibri" w:cs="Arial"/>
        </w:rPr>
      </w:pPr>
      <w:r w:rsidRPr="00A9546F">
        <w:rPr>
          <w:rFonts w:ascii="Calibri" w:eastAsia="Calibri" w:hAnsi="Calibri" w:cs="Arial"/>
        </w:rPr>
        <w:t>A tax file number (TFN) is a unique identifier issued by the Commissioner of Taxation. The department may collect TFNs for the following purposes:</w:t>
      </w:r>
    </w:p>
    <w:p w14:paraId="2650435A" w14:textId="38120847" w:rsidR="00A9546F" w:rsidRPr="00A9546F" w:rsidRDefault="00A9546F" w:rsidP="00A9546F">
      <w:pPr>
        <w:pStyle w:val="ListBullet"/>
      </w:pPr>
      <w:r w:rsidRPr="00A9546F">
        <w:t xml:space="preserve">to administer the programs we manage, including but not limited to the </w:t>
      </w:r>
      <w:r>
        <w:t>Self-Employment Assistance Program</w:t>
      </w:r>
      <w:r w:rsidRPr="00A9546F">
        <w:t xml:space="preserve">, </w:t>
      </w:r>
      <w:r w:rsidR="00012DC6">
        <w:t xml:space="preserve">Australian Apprenticeships Incentive </w:t>
      </w:r>
      <w:r w:rsidR="005E5BD7">
        <w:t>System</w:t>
      </w:r>
      <w:r w:rsidR="00012DC6">
        <w:t xml:space="preserve">, </w:t>
      </w:r>
      <w:r w:rsidRPr="00A9546F">
        <w:t>Trade Support Loans and VET Student Loans</w:t>
      </w:r>
    </w:p>
    <w:p w14:paraId="2EE3FE99" w14:textId="682E051E" w:rsidR="00A9546F" w:rsidRPr="00A9546F" w:rsidRDefault="00A9546F" w:rsidP="00A9546F">
      <w:pPr>
        <w:pStyle w:val="ListBullet"/>
      </w:pPr>
      <w:r w:rsidRPr="00A9546F">
        <w:t>to make payments of salaries and wages to eligible employees and contractors</w:t>
      </w:r>
      <w:r>
        <w:t>.</w:t>
      </w:r>
    </w:p>
    <w:p w14:paraId="7BAB10B7" w14:textId="7FE2FE36" w:rsidR="00A9546F" w:rsidRDefault="00A9546F" w:rsidP="00A9546F">
      <w:pPr>
        <w:jc w:val="both"/>
        <w:rPr>
          <w:rFonts w:ascii="Calibri" w:eastAsia="Calibri" w:hAnsi="Calibri" w:cs="Arial"/>
        </w:rPr>
      </w:pPr>
      <w:r w:rsidRPr="00A9546F">
        <w:rPr>
          <w:rFonts w:ascii="Calibri" w:eastAsia="Calibri" w:hAnsi="Calibri" w:cs="Arial"/>
        </w:rPr>
        <w:lastRenderedPageBreak/>
        <w:t>The department’s collection of TFNs is authorised under the</w:t>
      </w:r>
      <w:r w:rsidR="002A3CB1">
        <w:rPr>
          <w:rFonts w:ascii="Calibri" w:eastAsia="Calibri" w:hAnsi="Calibri" w:cs="Arial"/>
        </w:rPr>
        <w:t xml:space="preserve"> </w:t>
      </w:r>
      <w:hyperlink r:id="rId30" w:history="1">
        <w:r w:rsidR="002A3CB1" w:rsidRPr="00AD51DF">
          <w:rPr>
            <w:rStyle w:val="Hyperlink"/>
            <w:rFonts w:ascii="Calibri" w:eastAsia="Calibri" w:hAnsi="Calibri" w:cs="Arial"/>
            <w:i/>
            <w:iCs/>
            <w:color w:val="287DB2" w:themeColor="accent6"/>
          </w:rPr>
          <w:t>Income Tax Assessment Act 1936</w:t>
        </w:r>
        <w:r w:rsidR="002A3CB1" w:rsidRPr="00AD51DF">
          <w:rPr>
            <w:rStyle w:val="Hyperlink"/>
            <w:rFonts w:ascii="Calibri" w:eastAsia="Calibri" w:hAnsi="Calibri" w:cs="Arial"/>
            <w:color w:val="287DB2" w:themeColor="accent6"/>
          </w:rPr>
          <w:t xml:space="preserve"> (Cth)</w:t>
        </w:r>
      </w:hyperlink>
      <w:r w:rsidR="002A3CB1">
        <w:rPr>
          <w:rStyle w:val="FootnoteReference"/>
          <w:rFonts w:ascii="Calibri" w:eastAsia="Calibri" w:hAnsi="Calibri" w:cs="Arial"/>
        </w:rPr>
        <w:footnoteReference w:id="18"/>
      </w:r>
      <w:r w:rsidRPr="00A9546F">
        <w:rPr>
          <w:rFonts w:ascii="Calibri" w:eastAsia="Calibri" w:hAnsi="Calibri" w:cs="Arial"/>
        </w:rPr>
        <w:t xml:space="preserve"> and the</w:t>
      </w:r>
      <w:r w:rsidR="002A3CB1">
        <w:rPr>
          <w:rFonts w:ascii="Calibri" w:eastAsia="Calibri" w:hAnsi="Calibri" w:cs="Arial"/>
        </w:rPr>
        <w:t xml:space="preserve"> </w:t>
      </w:r>
      <w:hyperlink r:id="rId31" w:history="1">
        <w:r w:rsidR="002A3CB1" w:rsidRPr="00AD51DF">
          <w:rPr>
            <w:rStyle w:val="Hyperlink"/>
            <w:rFonts w:ascii="Calibri" w:eastAsia="Calibri" w:hAnsi="Calibri" w:cs="Arial"/>
            <w:i/>
            <w:iCs/>
            <w:color w:val="287DB2" w:themeColor="accent6"/>
          </w:rPr>
          <w:t>Taxation Administration Act 1953</w:t>
        </w:r>
        <w:r w:rsidR="002A3CB1" w:rsidRPr="00AD51DF">
          <w:rPr>
            <w:rStyle w:val="Hyperlink"/>
            <w:rFonts w:ascii="Calibri" w:eastAsia="Calibri" w:hAnsi="Calibri" w:cs="Arial"/>
            <w:color w:val="287DB2" w:themeColor="accent6"/>
          </w:rPr>
          <w:t xml:space="preserve"> (Cth)</w:t>
        </w:r>
      </w:hyperlink>
      <w:r w:rsidR="002A3CB1">
        <w:rPr>
          <w:rFonts w:ascii="Calibri" w:eastAsia="Calibri" w:hAnsi="Calibri" w:cs="Arial"/>
        </w:rPr>
        <w:t>.</w:t>
      </w:r>
      <w:r w:rsidR="002A3CB1">
        <w:rPr>
          <w:rStyle w:val="FootnoteReference"/>
          <w:rFonts w:ascii="Calibri" w:eastAsia="Calibri" w:hAnsi="Calibri" w:cs="Arial"/>
        </w:rPr>
        <w:footnoteReference w:id="19"/>
      </w:r>
      <w:r w:rsidRPr="00A9546F">
        <w:rPr>
          <w:rFonts w:ascii="Calibri" w:eastAsia="Calibri" w:hAnsi="Calibri" w:cs="Arial"/>
        </w:rPr>
        <w:t xml:space="preserve"> You are not legally obliged to provide your TFN, but there may be financial consequences if you choose not to do so.</w:t>
      </w:r>
    </w:p>
    <w:p w14:paraId="07D9E0FC" w14:textId="3BADA31A" w:rsidR="00A9546F" w:rsidRDefault="00A9546F" w:rsidP="007B35AC">
      <w:pPr>
        <w:pStyle w:val="Heading3"/>
        <w:rPr>
          <w:rFonts w:eastAsia="Calibri"/>
        </w:rPr>
      </w:pPr>
      <w:bookmarkStart w:id="18" w:name="_Toc136427245"/>
      <w:r>
        <w:rPr>
          <w:rFonts w:eastAsia="Calibri"/>
        </w:rPr>
        <w:t>Prohibitions and penalties</w:t>
      </w:r>
      <w:bookmarkEnd w:id="18"/>
    </w:p>
    <w:p w14:paraId="1354A4E1" w14:textId="77777777" w:rsidR="00A9546F" w:rsidRPr="00A9546F" w:rsidRDefault="00A9546F" w:rsidP="00A9546F">
      <w:pPr>
        <w:rPr>
          <w:rFonts w:ascii="Calibri" w:eastAsia="Calibri" w:hAnsi="Calibri" w:cs="Arial"/>
        </w:rPr>
      </w:pPr>
      <w:r w:rsidRPr="00A9546F">
        <w:rPr>
          <w:rFonts w:ascii="Calibri" w:eastAsia="Calibri" w:hAnsi="Calibri" w:cs="Arial"/>
        </w:rPr>
        <w:t>Certain Commonwealth legislation prohibits the collection, recording, use and disclosure of TFN information. Relevantly:</w:t>
      </w:r>
    </w:p>
    <w:p w14:paraId="31461013" w14:textId="6A01013D" w:rsidR="00A9546F" w:rsidRPr="00A9546F" w:rsidRDefault="00A9546F" w:rsidP="00A9546F">
      <w:pPr>
        <w:pStyle w:val="List"/>
      </w:pPr>
      <w:r w:rsidRPr="00A9546F">
        <w:t>The</w:t>
      </w:r>
      <w:r w:rsidR="00C5791F">
        <w:t xml:space="preserve"> </w:t>
      </w:r>
      <w:hyperlink r:id="rId32" w:history="1">
        <w:r w:rsidR="00C5791F" w:rsidRPr="00AD51DF">
          <w:rPr>
            <w:rStyle w:val="Hyperlink"/>
            <w:i/>
            <w:iCs/>
            <w:color w:val="287DB2" w:themeColor="accent6"/>
          </w:rPr>
          <w:t>Privacy (Tax File Number) Rule 2015</w:t>
        </w:r>
        <w:r w:rsidR="00C5791F" w:rsidRPr="00AD51DF">
          <w:rPr>
            <w:rStyle w:val="Hyperlink"/>
            <w:color w:val="287DB2" w:themeColor="accent6"/>
          </w:rPr>
          <w:t xml:space="preserve"> (Cth)</w:t>
        </w:r>
      </w:hyperlink>
      <w:r w:rsidR="00C5791F">
        <w:rPr>
          <w:rStyle w:val="FootnoteReference"/>
        </w:rPr>
        <w:footnoteReference w:id="20"/>
      </w:r>
      <w:r w:rsidRPr="00A9546F">
        <w:t xml:space="preserve"> (TFN Rule) and</w:t>
      </w:r>
      <w:r w:rsidR="00AD51DF">
        <w:t xml:space="preserve"> the</w:t>
      </w:r>
      <w:r w:rsidRPr="00A9546F">
        <w:t xml:space="preserve"> </w:t>
      </w:r>
      <w:hyperlink r:id="rId33" w:history="1">
        <w:r w:rsidR="00AD51DF" w:rsidRPr="00AD51DF">
          <w:rPr>
            <w:rStyle w:val="Hyperlink"/>
            <w:i/>
            <w:iCs/>
            <w:color w:val="287DB2" w:themeColor="accent6"/>
          </w:rPr>
          <w:t>Taxation Administration Act 1953</w:t>
        </w:r>
        <w:r w:rsidR="00AD51DF" w:rsidRPr="00AD51DF">
          <w:rPr>
            <w:rStyle w:val="Hyperlink"/>
            <w:color w:val="287DB2" w:themeColor="accent6"/>
          </w:rPr>
          <w:t xml:space="preserve"> (Cth)</w:t>
        </w:r>
      </w:hyperlink>
      <w:r w:rsidR="00C5791F">
        <w:rPr>
          <w:rStyle w:val="FootnoteReference"/>
        </w:rPr>
        <w:footnoteReference w:id="21"/>
      </w:r>
      <w:r w:rsidRPr="00A9546F">
        <w:t xml:space="preserve"> (TAA) contain prohibitions on:</w:t>
      </w:r>
    </w:p>
    <w:p w14:paraId="67E3758D" w14:textId="7C616893" w:rsidR="00A9546F" w:rsidRPr="00A9546F" w:rsidRDefault="00A9546F" w:rsidP="00A9546F">
      <w:pPr>
        <w:pStyle w:val="List"/>
        <w:numPr>
          <w:ilvl w:val="1"/>
          <w:numId w:val="13"/>
        </w:numPr>
      </w:pPr>
      <w:r w:rsidRPr="00A9546F">
        <w:t>requiring, requesting or collecting TFN information for unauthorised purposes (TFN subrule 8(1) and subsection 8</w:t>
      </w:r>
      <w:proofErr w:type="gramStart"/>
      <w:r w:rsidRPr="00A9546F">
        <w:t>WA(</w:t>
      </w:r>
      <w:proofErr w:type="gramEnd"/>
      <w:r w:rsidRPr="00A9546F">
        <w:t>1) of the TAA)</w:t>
      </w:r>
    </w:p>
    <w:p w14:paraId="1C219B76" w14:textId="77777777" w:rsidR="00A9546F" w:rsidRPr="00A9546F" w:rsidRDefault="00A9546F" w:rsidP="00A9546F">
      <w:pPr>
        <w:pStyle w:val="List"/>
        <w:numPr>
          <w:ilvl w:val="1"/>
          <w:numId w:val="13"/>
        </w:numPr>
      </w:pPr>
      <w:r w:rsidRPr="00A9546F">
        <w:t>recording, using or disclosing TFN information unless permitted under taxation, personal assistance or superannuation law (TFN Rules 9 and 10; and subsection 8</w:t>
      </w:r>
      <w:proofErr w:type="gramStart"/>
      <w:r w:rsidRPr="00A9546F">
        <w:t>WB(</w:t>
      </w:r>
      <w:proofErr w:type="gramEnd"/>
      <w:r w:rsidRPr="00A9546F">
        <w:t>1) of the TAA).</w:t>
      </w:r>
    </w:p>
    <w:p w14:paraId="5055AD4C" w14:textId="77777777" w:rsidR="00A9546F" w:rsidRPr="00A9546F" w:rsidRDefault="00A9546F" w:rsidP="00411C26">
      <w:pPr>
        <w:ind w:left="357"/>
      </w:pPr>
      <w:r w:rsidRPr="00A9546F">
        <w:t>A breach of the TFN Rule is an interference with privacy under the Privacy Act. Individuals who consider that their TFN information has been mishandled may make a complaint to the Australian Information Commissioner. Where the breach of privacy is considered serious, the Australian Information Commissioner may seek a civil penalty.</w:t>
      </w:r>
    </w:p>
    <w:p w14:paraId="72D86CDE" w14:textId="0276697E" w:rsidR="00A9546F" w:rsidRPr="00A9546F" w:rsidRDefault="00A9546F" w:rsidP="00411C26">
      <w:pPr>
        <w:ind w:left="357"/>
      </w:pPr>
      <w:r w:rsidRPr="00A9546F">
        <w:t xml:space="preserve">A breach of either sections 8WA and 8WB of the TAA is punishable by a fine of 100 penalty units or 2 years imprisonment or both. </w:t>
      </w:r>
      <w:r w:rsidRPr="00A9546F">
        <w:rPr>
          <w:i/>
        </w:rPr>
        <w:t>NOTE: Effective from</w:t>
      </w:r>
      <w:r w:rsidR="000303B9">
        <w:rPr>
          <w:i/>
        </w:rPr>
        <w:t xml:space="preserve"> 1 January 2023</w:t>
      </w:r>
      <w:r w:rsidRPr="00A9546F">
        <w:rPr>
          <w:i/>
        </w:rPr>
        <w:t>, 1 penalty unit is equal to $2</w:t>
      </w:r>
      <w:r w:rsidR="00CC7ED2">
        <w:rPr>
          <w:i/>
        </w:rPr>
        <w:t>75</w:t>
      </w:r>
      <w:r w:rsidRPr="00A9546F">
        <w:rPr>
          <w:i/>
        </w:rPr>
        <w:t xml:space="preserve">. This unit value will automatically increase in line with the consumer price index from 1 July </w:t>
      </w:r>
      <w:r w:rsidR="00CC7ED2" w:rsidRPr="00A9546F">
        <w:rPr>
          <w:i/>
        </w:rPr>
        <w:t>202</w:t>
      </w:r>
      <w:r w:rsidR="00CC7ED2">
        <w:rPr>
          <w:i/>
        </w:rPr>
        <w:t>3</w:t>
      </w:r>
      <w:r w:rsidR="00CC7ED2" w:rsidRPr="00A9546F">
        <w:rPr>
          <w:i/>
        </w:rPr>
        <w:t xml:space="preserve"> </w:t>
      </w:r>
      <w:r w:rsidRPr="00A9546F">
        <w:rPr>
          <w:i/>
        </w:rPr>
        <w:t>and every three years after.</w:t>
      </w:r>
    </w:p>
    <w:p w14:paraId="4E6DA80E" w14:textId="0FAAE5CE" w:rsidR="008F0FA1" w:rsidRDefault="00A9546F" w:rsidP="00BB18B8">
      <w:pPr>
        <w:pStyle w:val="List"/>
      </w:pPr>
      <w:r w:rsidRPr="00A9546F">
        <w:t>The</w:t>
      </w:r>
      <w:r w:rsidR="00C5791F">
        <w:t xml:space="preserve"> </w:t>
      </w:r>
      <w:hyperlink r:id="rId34" w:history="1">
        <w:r w:rsidR="00C5791F" w:rsidRPr="00AD51DF">
          <w:rPr>
            <w:rStyle w:val="Hyperlink"/>
            <w:i/>
            <w:iCs/>
            <w:color w:val="287DB2" w:themeColor="accent6"/>
          </w:rPr>
          <w:t>Social Security (Administration) Act 1999</w:t>
        </w:r>
        <w:r w:rsidR="00C5791F" w:rsidRPr="00AD51DF">
          <w:rPr>
            <w:rStyle w:val="Hyperlink"/>
            <w:color w:val="287DB2" w:themeColor="accent6"/>
          </w:rPr>
          <w:t xml:space="preserve"> (Cth)</w:t>
        </w:r>
      </w:hyperlink>
      <w:r w:rsidR="00C5791F">
        <w:rPr>
          <w:rStyle w:val="FootnoteReference"/>
        </w:rPr>
        <w:footnoteReference w:id="22"/>
      </w:r>
      <w:r w:rsidRPr="00A9546F">
        <w:t xml:space="preserve"> </w:t>
      </w:r>
      <w:r w:rsidRPr="00A9546F">
        <w:rPr>
          <w:rFonts w:eastAsia="Times New Roman" w:cs="Calibri"/>
          <w:lang w:eastAsia="en-AU"/>
        </w:rPr>
        <w:t>(the Administration Act)</w:t>
      </w:r>
      <w:r w:rsidRPr="00A9546F">
        <w:t xml:space="preserve"> </w:t>
      </w:r>
      <w:r>
        <w:t>is a</w:t>
      </w:r>
      <w:r w:rsidRPr="00A9546F">
        <w:t xml:space="preserve"> personal assistance law within the definition contained in TFN subrule 6(2). </w:t>
      </w:r>
      <w:r>
        <w:t>The Administration Act</w:t>
      </w:r>
      <w:r w:rsidRPr="00A9546F">
        <w:t xml:space="preserve"> contain</w:t>
      </w:r>
      <w:r>
        <w:t>s</w:t>
      </w:r>
      <w:r w:rsidRPr="00A9546F">
        <w:t xml:space="preserve"> prohibitions on the making of a record, disclosure, use, </w:t>
      </w:r>
      <w:proofErr w:type="gramStart"/>
      <w:r w:rsidRPr="00A9546F">
        <w:t>solicitation</w:t>
      </w:r>
      <w:proofErr w:type="gramEnd"/>
      <w:r w:rsidRPr="00A9546F">
        <w:t xml:space="preserve"> or supply of information that is protected information, which includes TFNs (sections 203, 204, 205</w:t>
      </w:r>
      <w:r w:rsidR="00411C26">
        <w:t>,</w:t>
      </w:r>
      <w:r w:rsidRPr="00A9546F">
        <w:t xml:space="preserve"> 206</w:t>
      </w:r>
      <w:r w:rsidR="00411C26">
        <w:t xml:space="preserve"> and 207</w:t>
      </w:r>
      <w:r w:rsidR="00411C26" w:rsidRPr="00411C26">
        <w:t xml:space="preserve"> </w:t>
      </w:r>
      <w:r w:rsidR="00411C26">
        <w:t>of the Administration Act</w:t>
      </w:r>
      <w:r w:rsidRPr="00A9546F">
        <w:t>). These offences are punishable by two years’ imprisonment. There are exceptions permitting the collection, use or disclosure of protected information in limited circumstances, as outlined under Part 5, Division 3 of the Administration Act.</w:t>
      </w:r>
      <w:bookmarkStart w:id="19" w:name="_Toc136427246"/>
    </w:p>
    <w:p w14:paraId="63089B8D" w14:textId="77777777" w:rsidR="008F0FA1" w:rsidRDefault="008F0FA1" w:rsidP="008F0FA1">
      <w:pPr>
        <w:pStyle w:val="List"/>
        <w:numPr>
          <w:ilvl w:val="0"/>
          <w:numId w:val="0"/>
        </w:numPr>
        <w:ind w:left="357"/>
      </w:pPr>
    </w:p>
    <w:p w14:paraId="4812BD59" w14:textId="77777777" w:rsidR="008F0FA1" w:rsidRDefault="008F0FA1" w:rsidP="008F0FA1">
      <w:pPr>
        <w:pStyle w:val="List"/>
        <w:numPr>
          <w:ilvl w:val="0"/>
          <w:numId w:val="0"/>
        </w:numPr>
        <w:ind w:left="357"/>
      </w:pPr>
    </w:p>
    <w:p w14:paraId="511EBD27" w14:textId="2A3EC317" w:rsidR="00A9546F" w:rsidRDefault="00A9546F" w:rsidP="00BB18B8">
      <w:pPr>
        <w:pStyle w:val="Heading3"/>
      </w:pPr>
      <w:r>
        <w:lastRenderedPageBreak/>
        <w:t>Further information</w:t>
      </w:r>
      <w:bookmarkEnd w:id="19"/>
    </w:p>
    <w:p w14:paraId="2F6EDECE" w14:textId="77777777" w:rsidR="00A9546F" w:rsidRPr="00A9546F" w:rsidRDefault="00A9546F" w:rsidP="00A9546F">
      <w:pPr>
        <w:spacing w:after="0"/>
        <w:jc w:val="both"/>
        <w:rPr>
          <w:rFonts w:ascii="Calibri" w:eastAsia="Calibri" w:hAnsi="Calibri" w:cs="Arial"/>
        </w:rPr>
      </w:pPr>
      <w:r w:rsidRPr="00A9546F">
        <w:rPr>
          <w:rFonts w:ascii="Calibri" w:eastAsia="Calibri" w:hAnsi="Calibri" w:cs="Arial"/>
        </w:rPr>
        <w:t xml:space="preserve">If you would like further information about protections surrounding tax file </w:t>
      </w:r>
      <w:proofErr w:type="gramStart"/>
      <w:r w:rsidRPr="00A9546F">
        <w:rPr>
          <w:rFonts w:ascii="Calibri" w:eastAsia="Calibri" w:hAnsi="Calibri" w:cs="Arial"/>
        </w:rPr>
        <w:t>numbers</w:t>
      </w:r>
      <w:proofErr w:type="gramEnd"/>
      <w:r w:rsidRPr="00A9546F">
        <w:rPr>
          <w:rFonts w:ascii="Calibri" w:eastAsia="Calibri" w:hAnsi="Calibri" w:cs="Arial"/>
        </w:rPr>
        <w:t xml:space="preserve"> you may wish to consult:</w:t>
      </w:r>
    </w:p>
    <w:p w14:paraId="4B66426D" w14:textId="77777777" w:rsidR="00A9546F" w:rsidRPr="00A9546F" w:rsidRDefault="00A9546F" w:rsidP="00A9546F">
      <w:pPr>
        <w:numPr>
          <w:ilvl w:val="0"/>
          <w:numId w:val="17"/>
        </w:numPr>
        <w:tabs>
          <w:tab w:val="left" w:pos="720"/>
        </w:tabs>
        <w:spacing w:line="360" w:lineRule="auto"/>
        <w:ind w:left="357" w:hanging="357"/>
        <w:contextualSpacing/>
        <w:rPr>
          <w:rFonts w:ascii="Calibri" w:eastAsia="Calibri" w:hAnsi="Calibri" w:cs="Arial"/>
        </w:rPr>
      </w:pPr>
      <w:r w:rsidRPr="00A9546F">
        <w:rPr>
          <w:rFonts w:ascii="Calibri" w:eastAsia="Calibri" w:hAnsi="Calibri" w:cs="Arial"/>
        </w:rPr>
        <w:t xml:space="preserve">The </w:t>
      </w:r>
      <w:hyperlink r:id="rId35" w:history="1">
        <w:r w:rsidRPr="00A9546F">
          <w:rPr>
            <w:rFonts w:ascii="Calibri" w:eastAsia="Calibri" w:hAnsi="Calibri" w:cs="Arial"/>
            <w:color w:val="287BB3"/>
            <w:u w:val="single"/>
          </w:rPr>
          <w:t>Office of the Australian Information Commissioner’s</w:t>
        </w:r>
      </w:hyperlink>
      <w:r w:rsidRPr="00A9546F">
        <w:rPr>
          <w:rFonts w:ascii="Calibri" w:eastAsia="Calibri" w:hAnsi="Calibri" w:cs="Arial"/>
          <w:vertAlign w:val="superscript"/>
        </w:rPr>
        <w:footnoteReference w:id="23"/>
      </w:r>
      <w:r w:rsidRPr="00A9546F">
        <w:rPr>
          <w:rFonts w:ascii="Calibri" w:eastAsia="Calibri" w:hAnsi="Calibri" w:cs="Arial"/>
        </w:rPr>
        <w:t xml:space="preserve"> website </w:t>
      </w:r>
    </w:p>
    <w:p w14:paraId="2D0F3547" w14:textId="77777777" w:rsidR="00A9546F" w:rsidRPr="00A9546F" w:rsidRDefault="00A9546F" w:rsidP="00A9546F">
      <w:pPr>
        <w:numPr>
          <w:ilvl w:val="0"/>
          <w:numId w:val="17"/>
        </w:numPr>
        <w:tabs>
          <w:tab w:val="left" w:pos="720"/>
        </w:tabs>
        <w:spacing w:line="360" w:lineRule="auto"/>
        <w:ind w:left="357" w:hanging="357"/>
        <w:contextualSpacing/>
        <w:rPr>
          <w:rFonts w:ascii="Calibri" w:eastAsia="Calibri" w:hAnsi="Calibri" w:cs="Arial"/>
        </w:rPr>
      </w:pPr>
      <w:r w:rsidRPr="00A9546F">
        <w:rPr>
          <w:rFonts w:ascii="Calibri" w:eastAsia="Calibri" w:hAnsi="Calibri" w:cs="Arial"/>
        </w:rPr>
        <w:t xml:space="preserve">The TFN Rule which regulates the collection, storage, use, disclosure, </w:t>
      </w:r>
      <w:proofErr w:type="gramStart"/>
      <w:r w:rsidRPr="00A9546F">
        <w:rPr>
          <w:rFonts w:ascii="Calibri" w:eastAsia="Calibri" w:hAnsi="Calibri" w:cs="Arial"/>
        </w:rPr>
        <w:t>security</w:t>
      </w:r>
      <w:proofErr w:type="gramEnd"/>
      <w:r w:rsidRPr="00A9546F">
        <w:rPr>
          <w:rFonts w:ascii="Calibri" w:eastAsia="Calibri" w:hAnsi="Calibri" w:cs="Arial"/>
        </w:rPr>
        <w:t xml:space="preserve"> and disposal of TFNs. The above information is provided to comply with the department’s obligation under subrule 14(1) of the TFN Rule. The TFN Rule is available on the </w:t>
      </w:r>
      <w:hyperlink r:id="rId36" w:history="1">
        <w:r w:rsidRPr="00A9546F">
          <w:rPr>
            <w:rFonts w:ascii="Calibri" w:eastAsia="Calibri" w:hAnsi="Calibri" w:cs="Arial"/>
            <w:color w:val="287BB3"/>
            <w:u w:val="single"/>
          </w:rPr>
          <w:t>Federal Register of Legislation</w:t>
        </w:r>
      </w:hyperlink>
      <w:r w:rsidRPr="00A9546F">
        <w:rPr>
          <w:rFonts w:ascii="Calibri" w:eastAsia="Calibri" w:hAnsi="Calibri" w:cs="Arial"/>
          <w:vertAlign w:val="superscript"/>
        </w:rPr>
        <w:footnoteReference w:id="24"/>
      </w:r>
      <w:r w:rsidRPr="00A9546F">
        <w:rPr>
          <w:rFonts w:ascii="Calibri" w:eastAsia="Calibri" w:hAnsi="Calibri" w:cs="Arial"/>
        </w:rPr>
        <w:t xml:space="preserve"> </w:t>
      </w:r>
      <w:proofErr w:type="gramStart"/>
      <w:r w:rsidRPr="00A9546F">
        <w:rPr>
          <w:rFonts w:ascii="Calibri" w:eastAsia="Calibri" w:hAnsi="Calibri" w:cs="Arial"/>
        </w:rPr>
        <w:t>website</w:t>
      </w:r>
      <w:proofErr w:type="gramEnd"/>
    </w:p>
    <w:p w14:paraId="3B7BAAED" w14:textId="6E84C3DD" w:rsidR="00A9546F" w:rsidRPr="00A9546F" w:rsidRDefault="00A9546F" w:rsidP="00A9546F">
      <w:pPr>
        <w:numPr>
          <w:ilvl w:val="0"/>
          <w:numId w:val="17"/>
        </w:numPr>
        <w:tabs>
          <w:tab w:val="left" w:pos="720"/>
        </w:tabs>
        <w:spacing w:line="360" w:lineRule="auto"/>
        <w:ind w:left="357" w:hanging="357"/>
        <w:contextualSpacing/>
        <w:jc w:val="both"/>
        <w:rPr>
          <w:rFonts w:ascii="Calibri" w:eastAsia="Calibri" w:hAnsi="Calibri" w:cs="Arial"/>
        </w:rPr>
      </w:pPr>
      <w:r w:rsidRPr="00A9546F">
        <w:rPr>
          <w:rFonts w:ascii="Calibri" w:eastAsia="Calibri" w:hAnsi="Calibri" w:cs="Arial"/>
        </w:rPr>
        <w:t xml:space="preserve">Annex A of this Privacy </w:t>
      </w:r>
      <w:r w:rsidRPr="00B87513">
        <w:rPr>
          <w:rFonts w:ascii="Calibri" w:eastAsia="Calibri" w:hAnsi="Calibri" w:cs="Arial"/>
        </w:rPr>
        <w:t>Policy, which contains a table detailing prohibitions and penalties</w:t>
      </w:r>
      <w:bookmarkStart w:id="20" w:name="_Toc34298587"/>
      <w:bookmarkEnd w:id="20"/>
      <w:r w:rsidR="00116E5E" w:rsidRPr="00B87513">
        <w:rPr>
          <w:rFonts w:ascii="Calibri" w:eastAsia="Calibri" w:hAnsi="Calibri" w:cs="Arial"/>
        </w:rPr>
        <w:t xml:space="preserve"> relevant to the department’s handling of TFNs</w:t>
      </w:r>
      <w:r w:rsidR="004C1F87" w:rsidRPr="00B87513">
        <w:rPr>
          <w:rFonts w:ascii="Calibri" w:eastAsia="Calibri" w:hAnsi="Calibri" w:cs="Arial"/>
        </w:rPr>
        <w:t>.</w:t>
      </w:r>
    </w:p>
    <w:p w14:paraId="2A3C95AF" w14:textId="3DF32FE0" w:rsidR="00A9546F" w:rsidRDefault="00A9546F" w:rsidP="00BB18B8">
      <w:pPr>
        <w:pStyle w:val="Heading2"/>
      </w:pPr>
      <w:bookmarkStart w:id="21" w:name="_Toc136427247"/>
      <w:r>
        <w:t>Collection of sensitive information</w:t>
      </w:r>
      <w:bookmarkEnd w:id="21"/>
    </w:p>
    <w:p w14:paraId="7008DD2B" w14:textId="1F7CADFB" w:rsidR="007C7F3B" w:rsidRPr="007C7F3B" w:rsidRDefault="007C7F3B" w:rsidP="007C7F3B">
      <w:pPr>
        <w:rPr>
          <w:rFonts w:ascii="Calibri" w:eastAsia="Calibri" w:hAnsi="Calibri" w:cs="Arial"/>
        </w:rPr>
      </w:pPr>
      <w:r w:rsidRPr="007C7F3B">
        <w:rPr>
          <w:rFonts w:ascii="Calibri" w:eastAsia="Calibri" w:hAnsi="Calibri" w:cs="Arial"/>
        </w:rPr>
        <w:t xml:space="preserve">In carrying out our functions and activities we may collect personal information that is </w:t>
      </w:r>
      <w:r w:rsidRPr="007C7F3B">
        <w:rPr>
          <w:rFonts w:ascii="Calibri" w:eastAsia="Calibri" w:hAnsi="Calibri" w:cs="Arial"/>
          <w:iCs/>
        </w:rPr>
        <w:t>sensitive information</w:t>
      </w:r>
      <w:r w:rsidRPr="007C7F3B">
        <w:rPr>
          <w:rFonts w:ascii="Calibri" w:eastAsia="Calibri" w:hAnsi="Calibri" w:cs="Arial"/>
        </w:rPr>
        <w:t xml:space="preserve">. The APPs impose additional obligations on us when collecting, </w:t>
      </w:r>
      <w:proofErr w:type="gramStart"/>
      <w:r w:rsidRPr="007C7F3B">
        <w:rPr>
          <w:rFonts w:ascii="Calibri" w:eastAsia="Calibri" w:hAnsi="Calibri" w:cs="Arial"/>
        </w:rPr>
        <w:t>using</w:t>
      </w:r>
      <w:proofErr w:type="gramEnd"/>
      <w:r w:rsidRPr="007C7F3B">
        <w:rPr>
          <w:rFonts w:ascii="Calibri" w:eastAsia="Calibri" w:hAnsi="Calibri" w:cs="Arial"/>
        </w:rPr>
        <w:t xml:space="preserve"> or disclosing sensitive information. We may only collect sensitive information from you:</w:t>
      </w:r>
    </w:p>
    <w:p w14:paraId="1F19B80E" w14:textId="77777777" w:rsidR="007C7F3B" w:rsidRPr="007C7F3B" w:rsidRDefault="007C7F3B" w:rsidP="007C7F3B">
      <w:pPr>
        <w:pStyle w:val="ListBullet"/>
      </w:pPr>
      <w:r w:rsidRPr="007C7F3B">
        <w:t xml:space="preserve">where you provide your consent </w:t>
      </w:r>
    </w:p>
    <w:p w14:paraId="38B6A743" w14:textId="77777777" w:rsidR="007C7F3B" w:rsidRPr="007C7F3B" w:rsidRDefault="007C7F3B" w:rsidP="007C7F3B">
      <w:pPr>
        <w:pStyle w:val="ListBullet"/>
      </w:pPr>
      <w:r w:rsidRPr="007C7F3B">
        <w:t>where required or authorised by law or</w:t>
      </w:r>
    </w:p>
    <w:p w14:paraId="523B7554" w14:textId="77777777" w:rsidR="007C7F3B" w:rsidRPr="007C7F3B" w:rsidRDefault="007C7F3B" w:rsidP="007C7F3B">
      <w:pPr>
        <w:pStyle w:val="ListBullet"/>
      </w:pPr>
      <w:r w:rsidRPr="007C7F3B">
        <w:t>where a permitted general situation exists such as to prevent a serious threat to safety.</w:t>
      </w:r>
      <w:r w:rsidRPr="007C7F3B">
        <w:rPr>
          <w:vertAlign w:val="superscript"/>
        </w:rPr>
        <w:footnoteReference w:id="25"/>
      </w:r>
      <w:r w:rsidRPr="007C7F3B">
        <w:t xml:space="preserve"> </w:t>
      </w:r>
    </w:p>
    <w:p w14:paraId="4E10F600" w14:textId="26E4DB73" w:rsidR="007C7F3B" w:rsidRDefault="007C7F3B" w:rsidP="007C7F3B">
      <w:pPr>
        <w:rPr>
          <w:rFonts w:ascii="Calibri" w:eastAsia="Calibri" w:hAnsi="Calibri" w:cs="Arial"/>
        </w:rPr>
      </w:pPr>
      <w:r w:rsidRPr="007C7F3B">
        <w:rPr>
          <w:rFonts w:ascii="Calibri" w:eastAsia="Calibri" w:hAnsi="Calibri" w:cs="Arial"/>
        </w:rPr>
        <w:t xml:space="preserve">We also collect sensitive information </w:t>
      </w:r>
      <w:proofErr w:type="gramStart"/>
      <w:r w:rsidRPr="007C7F3B">
        <w:rPr>
          <w:rFonts w:ascii="Calibri" w:eastAsia="Calibri" w:hAnsi="Calibri" w:cs="Arial"/>
        </w:rPr>
        <w:t>where</w:t>
      </w:r>
      <w:proofErr w:type="gramEnd"/>
      <w:r w:rsidRPr="007C7F3B">
        <w:rPr>
          <w:rFonts w:ascii="Calibri" w:eastAsia="Calibri" w:hAnsi="Calibri" w:cs="Arial"/>
        </w:rPr>
        <w:t xml:space="preserve"> authorised to do so, for the purposes of: human resource management, preventing, detecting, investigating or dealing with misconduct and fraud, cyber-attacks against the Commonwealth, or other unlawful activity relating to the Commonwealth, and responding to inquiries by courts, tribunals and other external review bodies.</w:t>
      </w:r>
    </w:p>
    <w:p w14:paraId="34C397CE" w14:textId="0E48E988" w:rsidR="007C7F3B" w:rsidRDefault="007C7F3B" w:rsidP="00BB18B8">
      <w:pPr>
        <w:pStyle w:val="Heading2"/>
        <w:rPr>
          <w:rFonts w:eastAsia="Calibri"/>
        </w:rPr>
      </w:pPr>
      <w:bookmarkStart w:id="22" w:name="_Toc136427248"/>
      <w:r w:rsidRPr="007C7F3B">
        <w:rPr>
          <w:rFonts w:eastAsia="Calibri"/>
        </w:rPr>
        <w:t>Collecting personal information from children and young people</w:t>
      </w:r>
      <w:bookmarkEnd w:id="22"/>
    </w:p>
    <w:p w14:paraId="1D1A6856" w14:textId="40A82E7E" w:rsidR="007C7F3B" w:rsidRPr="007C7F3B" w:rsidRDefault="007C7F3B" w:rsidP="007C7F3B">
      <w:pPr>
        <w:rPr>
          <w:rFonts w:ascii="Calibri" w:eastAsia="Calibri" w:hAnsi="Calibri" w:cs="Arial"/>
        </w:rPr>
      </w:pPr>
      <w:r w:rsidRPr="007C7F3B">
        <w:rPr>
          <w:rFonts w:ascii="Calibri" w:eastAsia="Calibri" w:hAnsi="Calibri" w:cs="Arial"/>
        </w:rPr>
        <w:t>In carrying out our functions and activities we may collect personal information about children and young people, either directly from them</w:t>
      </w:r>
      <w:r w:rsidR="007F5FA9">
        <w:rPr>
          <w:rFonts w:ascii="Calibri" w:eastAsia="Calibri" w:hAnsi="Calibri" w:cs="Arial"/>
        </w:rPr>
        <w:t xml:space="preserve"> or</w:t>
      </w:r>
      <w:r w:rsidRPr="007C7F3B">
        <w:rPr>
          <w:rFonts w:ascii="Calibri" w:eastAsia="Calibri" w:hAnsi="Calibri" w:cs="Arial"/>
        </w:rPr>
        <w:t xml:space="preserve"> through their parents or guardians. Where children and young people are aged 15 or over, our general policy is to collect information directly from them as they are likely to have the capacity to understand any privacy notices provided to them and to give informed consent to the collection. For children under the age of 15, or where capacity to provide consent is at issue, our policy is to notify and seek the consent of a parent or guardian, except in circumstances where seeking consent is unreasonable or impracticable, or where the collection is required or authorised by or under an Australian law or by a court/tribunal order.</w:t>
      </w:r>
    </w:p>
    <w:p w14:paraId="1E33B444" w14:textId="38913154" w:rsidR="007C7F3B" w:rsidRDefault="007C7F3B" w:rsidP="00BB18B8">
      <w:pPr>
        <w:pStyle w:val="Heading2"/>
      </w:pPr>
      <w:bookmarkStart w:id="23" w:name="_Toc136427249"/>
      <w:r w:rsidRPr="007C7F3B">
        <w:lastRenderedPageBreak/>
        <w:t>Collection of unsolicited information</w:t>
      </w:r>
      <w:bookmarkEnd w:id="23"/>
    </w:p>
    <w:p w14:paraId="2EB74C15" w14:textId="77777777" w:rsidR="007C7F3B" w:rsidRPr="007C7F3B" w:rsidRDefault="007C7F3B" w:rsidP="007C7F3B">
      <w:pPr>
        <w:rPr>
          <w:rFonts w:ascii="Calibri" w:eastAsia="Calibri" w:hAnsi="Calibri" w:cs="Arial"/>
        </w:rPr>
      </w:pPr>
      <w:r w:rsidRPr="007C7F3B">
        <w:rPr>
          <w:rFonts w:ascii="Calibri" w:eastAsia="Calibri" w:hAnsi="Calibri" w:cs="Arial"/>
        </w:rPr>
        <w:t>Sometimes personal information is not sought by us but is delivered or sent to us by either the individual or a third party without us having requested it. This information is considered ‘unsolicited’.</w:t>
      </w:r>
    </w:p>
    <w:p w14:paraId="48EE88D0" w14:textId="728F15FE" w:rsidR="007C7F3B" w:rsidRPr="007C7F3B" w:rsidRDefault="007C7F3B" w:rsidP="007C7F3B">
      <w:pPr>
        <w:rPr>
          <w:rFonts w:ascii="Calibri" w:eastAsia="Calibri" w:hAnsi="Calibri" w:cs="Arial"/>
        </w:rPr>
      </w:pPr>
      <w:r w:rsidRPr="007C7F3B">
        <w:rPr>
          <w:rFonts w:ascii="Calibri" w:eastAsia="Calibri" w:hAnsi="Calibri" w:cs="Arial"/>
        </w:rPr>
        <w:t>Where unsolicited information is received by us, we will, within a reasonable period, determine</w:t>
      </w:r>
      <w:r w:rsidR="00C5791F">
        <w:rPr>
          <w:rFonts w:ascii="Calibri" w:eastAsia="Calibri" w:hAnsi="Calibri" w:cs="Arial"/>
        </w:rPr>
        <w:t> </w:t>
      </w:r>
      <w:r w:rsidRPr="007C7F3B">
        <w:rPr>
          <w:rFonts w:ascii="Calibri" w:eastAsia="Calibri" w:hAnsi="Calibri" w:cs="Arial"/>
        </w:rPr>
        <w:t>whether that information is directly related to one or more of our functions or activities. If</w:t>
      </w:r>
      <w:r w:rsidR="00C5791F">
        <w:rPr>
          <w:rFonts w:ascii="Calibri" w:eastAsia="Calibri" w:hAnsi="Calibri" w:cs="Arial"/>
        </w:rPr>
        <w:t> </w:t>
      </w:r>
      <w:r w:rsidRPr="007C7F3B">
        <w:rPr>
          <w:rFonts w:ascii="Calibri" w:eastAsia="Calibri" w:hAnsi="Calibri" w:cs="Arial"/>
        </w:rPr>
        <w:t>this cannot be determined, we may, as soon as practicable and in accordance with the</w:t>
      </w:r>
      <w:r w:rsidR="00C5791F">
        <w:rPr>
          <w:rFonts w:ascii="Calibri" w:eastAsia="Calibri" w:hAnsi="Calibri" w:cs="Arial"/>
        </w:rPr>
        <w:t xml:space="preserve"> </w:t>
      </w:r>
      <w:hyperlink r:id="rId37" w:history="1">
        <w:r w:rsidR="00C5791F" w:rsidRPr="00AD51DF">
          <w:rPr>
            <w:rStyle w:val="Hyperlink"/>
            <w:rFonts w:ascii="Calibri" w:eastAsia="Calibri" w:hAnsi="Calibri" w:cs="Arial"/>
            <w:i/>
            <w:iCs/>
            <w:color w:val="287DB2" w:themeColor="accent6"/>
          </w:rPr>
          <w:t>Archives Act 1983</w:t>
        </w:r>
        <w:r w:rsidR="00C5791F" w:rsidRPr="00AD51DF">
          <w:rPr>
            <w:rStyle w:val="Hyperlink"/>
            <w:rFonts w:ascii="Calibri" w:eastAsia="Calibri" w:hAnsi="Calibri" w:cs="Arial"/>
            <w:color w:val="287DB2" w:themeColor="accent6"/>
          </w:rPr>
          <w:t> (Cth)</w:t>
        </w:r>
      </w:hyperlink>
      <w:r w:rsidR="00C5791F">
        <w:rPr>
          <w:rStyle w:val="FootnoteReference"/>
          <w:rFonts w:ascii="Calibri" w:eastAsia="Calibri" w:hAnsi="Calibri" w:cs="Arial"/>
        </w:rPr>
        <w:footnoteReference w:id="26"/>
      </w:r>
      <w:r w:rsidRPr="007C7F3B">
        <w:rPr>
          <w:rFonts w:ascii="Calibri" w:eastAsia="Calibri" w:hAnsi="Calibri" w:cs="Arial"/>
        </w:rPr>
        <w:t xml:space="preserve"> (Archives Act) and the Privacy Act, destroy or de-identify the information. If this can be determined we will notify you of the purpose of collection and our intended uses and disclosures according to the requirements of the APPs, unless it is impracticable or unreasonable for us to do so.</w:t>
      </w:r>
    </w:p>
    <w:p w14:paraId="351E2EAB" w14:textId="795415DA" w:rsidR="007C7F3B" w:rsidRDefault="007C7F3B" w:rsidP="00BB18B8">
      <w:pPr>
        <w:pStyle w:val="Heading2"/>
      </w:pPr>
      <w:bookmarkStart w:id="24" w:name="_Toc136427250"/>
      <w:r w:rsidRPr="007C7F3B">
        <w:t>How we collect personal information</w:t>
      </w:r>
      <w:bookmarkEnd w:id="24"/>
    </w:p>
    <w:p w14:paraId="59C0E75C" w14:textId="77777777" w:rsidR="007C7F3B" w:rsidRPr="007C7F3B" w:rsidRDefault="007C7F3B" w:rsidP="007C7F3B">
      <w:pPr>
        <w:rPr>
          <w:rFonts w:ascii="Calibri" w:eastAsia="Calibri" w:hAnsi="Calibri" w:cs="Arial"/>
        </w:rPr>
      </w:pPr>
      <w:r w:rsidRPr="007C7F3B">
        <w:rPr>
          <w:rFonts w:ascii="Calibri" w:eastAsia="Calibri" w:hAnsi="Calibri" w:cs="Arial"/>
        </w:rPr>
        <w:t>We collect your personal information through a variety of channels, which may include forms or notices, online portals, social media websites and accounts, electronic or paper correspondence and from data sharing, matching or linkage arrangements with other Australian Government and state and territory agencies, or from other third parties. In some instances, this may include incidental collection of information that you or our staff members have provided to us, through data analytics undertaken in relation to our systems.</w:t>
      </w:r>
    </w:p>
    <w:p w14:paraId="5878A962" w14:textId="77777777" w:rsidR="007C7F3B" w:rsidRPr="007C7F3B" w:rsidRDefault="007C7F3B" w:rsidP="007C7F3B">
      <w:pPr>
        <w:rPr>
          <w:rFonts w:ascii="Calibri" w:eastAsia="Calibri" w:hAnsi="Calibri" w:cs="Arial"/>
        </w:rPr>
      </w:pPr>
      <w:r w:rsidRPr="007C7F3B">
        <w:rPr>
          <w:rFonts w:ascii="Calibri" w:eastAsia="Calibri" w:hAnsi="Calibri" w:cs="Arial"/>
        </w:rPr>
        <w:t>We may also collect your personal information if you:</w:t>
      </w:r>
    </w:p>
    <w:p w14:paraId="28070333" w14:textId="77777777" w:rsidR="007C7F3B" w:rsidRPr="007C7F3B" w:rsidRDefault="007C7F3B" w:rsidP="009F509D">
      <w:pPr>
        <w:pStyle w:val="ListBullet"/>
        <w:spacing w:line="276" w:lineRule="auto"/>
      </w:pPr>
      <w:r w:rsidRPr="007C7F3B">
        <w:t xml:space="preserve">communicate with us by telephone, mail, email, fax or </w:t>
      </w:r>
      <w:proofErr w:type="gramStart"/>
      <w:r w:rsidRPr="007C7F3B">
        <w:t>SMS</w:t>
      </w:r>
      <w:proofErr w:type="gramEnd"/>
    </w:p>
    <w:p w14:paraId="301272E7" w14:textId="77777777" w:rsidR="007C7F3B" w:rsidRPr="007C7F3B" w:rsidRDefault="007C7F3B" w:rsidP="009F509D">
      <w:pPr>
        <w:pStyle w:val="ListBullet"/>
        <w:spacing w:line="276" w:lineRule="auto"/>
      </w:pPr>
      <w:r w:rsidRPr="007C7F3B">
        <w:t xml:space="preserve">attend a </w:t>
      </w:r>
      <w:proofErr w:type="gramStart"/>
      <w:r w:rsidRPr="007C7F3B">
        <w:t>face to face</w:t>
      </w:r>
      <w:proofErr w:type="gramEnd"/>
      <w:r w:rsidRPr="007C7F3B">
        <w:t xml:space="preserve"> meeting or event conducted by us or by people or organisations acting on our behalf (e.g. contracted service providers) </w:t>
      </w:r>
    </w:p>
    <w:p w14:paraId="4ECEC44F" w14:textId="77777777" w:rsidR="007C7F3B" w:rsidRPr="007C7F3B" w:rsidRDefault="007C7F3B" w:rsidP="009F509D">
      <w:pPr>
        <w:pStyle w:val="ListBullet"/>
        <w:spacing w:line="276" w:lineRule="auto"/>
      </w:pPr>
      <w:r w:rsidRPr="007C7F3B">
        <w:t xml:space="preserve">use our </w:t>
      </w:r>
      <w:proofErr w:type="gramStart"/>
      <w:r w:rsidRPr="007C7F3B">
        <w:t>websites</w:t>
      </w:r>
      <w:proofErr w:type="gramEnd"/>
    </w:p>
    <w:p w14:paraId="6D4DF3F9" w14:textId="77777777" w:rsidR="007C7F3B" w:rsidRPr="007C7F3B" w:rsidRDefault="007C7F3B" w:rsidP="009F509D">
      <w:pPr>
        <w:pStyle w:val="ListBullet"/>
        <w:spacing w:line="276" w:lineRule="auto"/>
      </w:pPr>
      <w:r w:rsidRPr="007C7F3B">
        <w:t xml:space="preserve">participate in a survey administered by </w:t>
      </w:r>
      <w:proofErr w:type="gramStart"/>
      <w:r w:rsidRPr="007C7F3B">
        <w:t>us</w:t>
      </w:r>
      <w:proofErr w:type="gramEnd"/>
      <w:r w:rsidRPr="007C7F3B">
        <w:t xml:space="preserve"> </w:t>
      </w:r>
    </w:p>
    <w:p w14:paraId="62957929" w14:textId="77777777" w:rsidR="007C7F3B" w:rsidRPr="007C7F3B" w:rsidRDefault="007C7F3B" w:rsidP="009F509D">
      <w:pPr>
        <w:pStyle w:val="ListBullet"/>
        <w:spacing w:line="276" w:lineRule="auto"/>
      </w:pPr>
      <w:r w:rsidRPr="007C7F3B">
        <w:t xml:space="preserve">interact with us on our social media platforms. </w:t>
      </w:r>
    </w:p>
    <w:p w14:paraId="1B5614B4" w14:textId="77777777" w:rsidR="007C7F3B" w:rsidRPr="007C7F3B" w:rsidRDefault="007C7F3B" w:rsidP="007F5FA9">
      <w:r w:rsidRPr="007C7F3B">
        <w:t>We also monitor news and media, including social media, in the public domain.</w:t>
      </w:r>
    </w:p>
    <w:p w14:paraId="50650C11" w14:textId="0A74BC3B" w:rsidR="007C7F3B" w:rsidRDefault="007C7F3B" w:rsidP="007C7F3B">
      <w:pPr>
        <w:rPr>
          <w:rFonts w:ascii="Calibri" w:eastAsia="Calibri" w:hAnsi="Calibri" w:cs="Arial"/>
        </w:rPr>
      </w:pPr>
      <w:r w:rsidRPr="007C7F3B">
        <w:rPr>
          <w:rFonts w:ascii="Calibri" w:eastAsia="Calibri" w:hAnsi="Calibri" w:cs="Arial"/>
        </w:rPr>
        <w:t>By signing paper documents or agreeing to the terms and conditions and disclaimers for electronic documents you are consenting to the collection of any personal information you provide to us.</w:t>
      </w:r>
    </w:p>
    <w:p w14:paraId="3B65E9CB" w14:textId="52F27001" w:rsidR="00A416C7" w:rsidRDefault="00A416C7" w:rsidP="007C7F3B">
      <w:pPr>
        <w:rPr>
          <w:rFonts w:ascii="Calibri" w:eastAsia="Calibri" w:hAnsi="Calibri" w:cs="Arial"/>
        </w:rPr>
      </w:pPr>
      <w:r>
        <w:rPr>
          <w:rFonts w:ascii="Calibri" w:eastAsia="Calibri" w:hAnsi="Calibri" w:cs="Arial"/>
        </w:rPr>
        <w:t>We may collect your personal information from third parties, including but not limited to:</w:t>
      </w:r>
    </w:p>
    <w:p w14:paraId="39BFA9DF" w14:textId="6EA6ADC1" w:rsidR="00A416C7" w:rsidRDefault="00A416C7" w:rsidP="008F0FA1">
      <w:pPr>
        <w:pStyle w:val="ListBullet"/>
        <w:spacing w:line="276" w:lineRule="auto"/>
      </w:pPr>
      <w:r>
        <w:t>other Australian government agencies</w:t>
      </w:r>
    </w:p>
    <w:p w14:paraId="24FBDED6" w14:textId="2D409FBC" w:rsidR="00A416C7" w:rsidRDefault="00A416C7" w:rsidP="008F0FA1">
      <w:pPr>
        <w:pStyle w:val="ListBullet"/>
        <w:spacing w:line="276" w:lineRule="auto"/>
      </w:pPr>
      <w:r>
        <w:t>State and Territory government agencies</w:t>
      </w:r>
    </w:p>
    <w:p w14:paraId="32CD9D6E" w14:textId="51A61697" w:rsidR="00A416C7" w:rsidRDefault="00A416C7" w:rsidP="008F0FA1">
      <w:pPr>
        <w:pStyle w:val="ListBullet"/>
        <w:spacing w:line="276" w:lineRule="auto"/>
      </w:pPr>
      <w:r>
        <w:t>contracted service providers</w:t>
      </w:r>
    </w:p>
    <w:p w14:paraId="6BBD7911" w14:textId="53EA0C87" w:rsidR="00A416C7" w:rsidRDefault="00A416C7" w:rsidP="008F0FA1">
      <w:pPr>
        <w:pStyle w:val="ListBullet"/>
        <w:spacing w:line="276" w:lineRule="auto"/>
      </w:pPr>
      <w:r>
        <w:t>employers</w:t>
      </w:r>
    </w:p>
    <w:p w14:paraId="54EF80EA" w14:textId="7A99FDA2" w:rsidR="00A416C7" w:rsidRDefault="00A416C7" w:rsidP="008F0FA1">
      <w:pPr>
        <w:pStyle w:val="ListBullet"/>
        <w:spacing w:line="276" w:lineRule="auto"/>
      </w:pPr>
      <w:r>
        <w:t>education and training providers</w:t>
      </w:r>
    </w:p>
    <w:p w14:paraId="7C5C30DA" w14:textId="23DDD19B" w:rsidR="00A416C7" w:rsidRPr="007C7F3B" w:rsidRDefault="00A416C7" w:rsidP="008F0FA1">
      <w:pPr>
        <w:pStyle w:val="ListBullet"/>
        <w:spacing w:line="276" w:lineRule="auto"/>
      </w:pPr>
      <w:r>
        <w:t>suppliers</w:t>
      </w:r>
    </w:p>
    <w:p w14:paraId="1C9AA6EA" w14:textId="57020B23" w:rsidR="007C7F3B" w:rsidRDefault="007C7F3B" w:rsidP="00BB18B8">
      <w:pPr>
        <w:pStyle w:val="Heading2"/>
        <w:rPr>
          <w:rFonts w:eastAsia="Calibri"/>
        </w:rPr>
      </w:pPr>
      <w:bookmarkStart w:id="25" w:name="_Toc136427251"/>
      <w:r w:rsidRPr="007C7F3B">
        <w:rPr>
          <w:rFonts w:eastAsia="Calibri"/>
        </w:rPr>
        <w:lastRenderedPageBreak/>
        <w:t>Remaining anonymous or using a pseudonym</w:t>
      </w:r>
      <w:bookmarkEnd w:id="25"/>
    </w:p>
    <w:p w14:paraId="4C218C63" w14:textId="7843C472" w:rsidR="007C7F3B" w:rsidRPr="007C7F3B" w:rsidRDefault="007C7F3B" w:rsidP="007C7F3B">
      <w:pPr>
        <w:rPr>
          <w:rFonts w:ascii="Calibri" w:eastAsia="Calibri" w:hAnsi="Calibri" w:cs="Arial"/>
        </w:rPr>
      </w:pPr>
      <w:r w:rsidRPr="007C7F3B">
        <w:rPr>
          <w:rFonts w:ascii="Calibri" w:eastAsia="Calibri" w:hAnsi="Calibri" w:cs="Arial"/>
        </w:rPr>
        <w:t>You may wish not to identify yourself or to use a different name (pseudonym) when interacting with us, for example, to make an enquiry or complaint</w:t>
      </w:r>
      <w:r>
        <w:rPr>
          <w:rFonts w:ascii="Calibri" w:eastAsia="Calibri" w:hAnsi="Calibri" w:cs="Arial"/>
        </w:rPr>
        <w:t>.</w:t>
      </w:r>
    </w:p>
    <w:p w14:paraId="3E13806A" w14:textId="5AE396B8" w:rsidR="007C7F3B" w:rsidRPr="007C7F3B" w:rsidRDefault="007C7F3B" w:rsidP="007C7F3B">
      <w:pPr>
        <w:rPr>
          <w:rFonts w:ascii="Calibri" w:eastAsia="Calibri" w:hAnsi="Calibri" w:cs="Arial"/>
        </w:rPr>
      </w:pPr>
      <w:r w:rsidRPr="007C7F3B">
        <w:rPr>
          <w:rFonts w:ascii="Calibri" w:eastAsia="Calibri" w:hAnsi="Calibri" w:cs="Arial"/>
        </w:rPr>
        <w:t xml:space="preserve">In some cases, you will be able to remain anonymous or use a pseudonym, however, there will be occasions where it will be impractical for you to remain anonymous or use a pseudonym and, where appropriate, we will advise you accordingly. For example, the department may be unable to </w:t>
      </w:r>
      <w:r w:rsidR="00211D08">
        <w:rPr>
          <w:rFonts w:ascii="Calibri" w:eastAsia="Calibri" w:hAnsi="Calibri" w:cs="Arial"/>
        </w:rPr>
        <w:t xml:space="preserve">assess your eligibility for a program or service, </w:t>
      </w:r>
      <w:r w:rsidRPr="007C7F3B">
        <w:rPr>
          <w:rFonts w:ascii="Calibri" w:eastAsia="Calibri" w:hAnsi="Calibri" w:cs="Arial"/>
        </w:rPr>
        <w:t>investigate and resolve a complaint you have or complete an assessment or investigation related to compliance with its procedures or policies if you do not identify yourself.</w:t>
      </w:r>
    </w:p>
    <w:p w14:paraId="34224B61" w14:textId="5F5211CC" w:rsidR="0095636C" w:rsidRDefault="007C7F3B" w:rsidP="007C7F3B">
      <w:pPr>
        <w:spacing w:after="0"/>
        <w:jc w:val="both"/>
        <w:rPr>
          <w:rFonts w:ascii="Calibri" w:eastAsia="Calibri" w:hAnsi="Calibri" w:cs="Arial"/>
        </w:rPr>
      </w:pPr>
      <w:r w:rsidRPr="007C7F3B">
        <w:rPr>
          <w:rFonts w:ascii="Calibri" w:eastAsia="Calibri" w:hAnsi="Calibri" w:cs="Arial"/>
        </w:rPr>
        <w:t>There may also be situations where the department is required or authorised by law to deal only with an identified individual, in which case it may be necessary for you to identify yourself. For example, it would be difficult for the department to give you access to your personal information under the Privacy Act or other legislation such as the FOI Act if you did not provide enough identification to satisfy the department that the relevant personal information was related to you.</w:t>
      </w:r>
    </w:p>
    <w:p w14:paraId="6A819653" w14:textId="5A7D7D70" w:rsidR="007C7F3B" w:rsidRDefault="00211D08" w:rsidP="00BB18B8">
      <w:pPr>
        <w:pStyle w:val="Heading2"/>
        <w:rPr>
          <w:rFonts w:eastAsia="Calibri"/>
        </w:rPr>
      </w:pPr>
      <w:bookmarkStart w:id="26" w:name="_Toc136427252"/>
      <w:r w:rsidRPr="00211D08">
        <w:rPr>
          <w:rFonts w:eastAsia="Calibri"/>
        </w:rPr>
        <w:t xml:space="preserve">Information collected by our </w:t>
      </w:r>
      <w:proofErr w:type="gramStart"/>
      <w:r w:rsidRPr="00211D08">
        <w:rPr>
          <w:rFonts w:eastAsia="Calibri"/>
        </w:rPr>
        <w:t>contractors</w:t>
      </w:r>
      <w:bookmarkEnd w:id="26"/>
      <w:proofErr w:type="gramEnd"/>
    </w:p>
    <w:p w14:paraId="33B6CF92" w14:textId="77777777" w:rsidR="00211D08" w:rsidRPr="00211D08" w:rsidRDefault="00211D08" w:rsidP="00211D08">
      <w:pPr>
        <w:rPr>
          <w:rFonts w:ascii="Calibri" w:eastAsia="Calibri" w:hAnsi="Calibri" w:cs="Arial"/>
        </w:rPr>
      </w:pPr>
      <w:r w:rsidRPr="00211D08">
        <w:rPr>
          <w:rFonts w:ascii="Calibri" w:eastAsia="Calibri" w:hAnsi="Calibri" w:cs="Arial"/>
        </w:rPr>
        <w:t xml:space="preserve">Under the Privacy Act, we are required to take contractual measures to ensure that contracted service providers (including subcontractors) comply with the same privacy requirements applicable to us. When the department enters into agreements with contracted service providers, it imposes contractual obligations on providers to ensure they comply with relevant privacy obligations when collecting, using, </w:t>
      </w:r>
      <w:proofErr w:type="gramStart"/>
      <w:r w:rsidRPr="00211D08">
        <w:rPr>
          <w:rFonts w:ascii="Calibri" w:eastAsia="Calibri" w:hAnsi="Calibri" w:cs="Arial"/>
        </w:rPr>
        <w:t>disclosing</w:t>
      </w:r>
      <w:proofErr w:type="gramEnd"/>
      <w:r w:rsidRPr="00211D08">
        <w:rPr>
          <w:rFonts w:ascii="Calibri" w:eastAsia="Calibri" w:hAnsi="Calibri" w:cs="Arial"/>
        </w:rPr>
        <w:t xml:space="preserve"> and holding personal information relating to the department’s programs.</w:t>
      </w:r>
    </w:p>
    <w:p w14:paraId="1B422647" w14:textId="7074D363" w:rsidR="00211D08" w:rsidRDefault="00211D08" w:rsidP="00BB18B8">
      <w:pPr>
        <w:pStyle w:val="Heading2"/>
      </w:pPr>
      <w:bookmarkStart w:id="27" w:name="_Toc136427253"/>
      <w:r w:rsidRPr="00211D08">
        <w:t>Storage and data security</w:t>
      </w:r>
      <w:bookmarkEnd w:id="27"/>
    </w:p>
    <w:p w14:paraId="4CDE68DC" w14:textId="74D0589F" w:rsidR="00211D08" w:rsidRDefault="00211D08" w:rsidP="00BB18B8">
      <w:pPr>
        <w:pStyle w:val="Heading3"/>
      </w:pPr>
      <w:bookmarkStart w:id="28" w:name="_Toc136427254"/>
      <w:r>
        <w:t>Storage</w:t>
      </w:r>
      <w:bookmarkEnd w:id="28"/>
    </w:p>
    <w:p w14:paraId="01EA58E2" w14:textId="599A7883" w:rsidR="00211D08" w:rsidRPr="00211D08" w:rsidRDefault="006B5BB9" w:rsidP="00211D08">
      <w:pPr>
        <w:rPr>
          <w:rFonts w:ascii="Calibri" w:eastAsia="Calibri" w:hAnsi="Calibri" w:cs="Arial"/>
        </w:rPr>
      </w:pPr>
      <w:r>
        <w:rPr>
          <w:rFonts w:ascii="Calibri" w:eastAsia="Calibri" w:hAnsi="Calibri" w:cs="Arial"/>
        </w:rPr>
        <w:t>P</w:t>
      </w:r>
      <w:r w:rsidR="00211D08" w:rsidRPr="00211D08">
        <w:rPr>
          <w:rFonts w:ascii="Calibri" w:eastAsia="Calibri" w:hAnsi="Calibri" w:cs="Arial"/>
        </w:rPr>
        <w:t xml:space="preserve">ersonal information </w:t>
      </w:r>
      <w:r>
        <w:rPr>
          <w:rFonts w:ascii="Calibri" w:eastAsia="Calibri" w:hAnsi="Calibri" w:cs="Arial"/>
        </w:rPr>
        <w:t xml:space="preserve">is stored by us or by organisations acting on our behalf, for example, contracted service providers, </w:t>
      </w:r>
      <w:r w:rsidR="00211D08" w:rsidRPr="00211D08">
        <w:rPr>
          <w:rFonts w:ascii="Calibri" w:eastAsia="Calibri" w:hAnsi="Calibri" w:cs="Arial"/>
        </w:rPr>
        <w:t>in a range of paper-based and electronic records, including records that may be stored in the cloud.</w:t>
      </w:r>
    </w:p>
    <w:p w14:paraId="166099C4" w14:textId="525DAF96" w:rsidR="00211D08" w:rsidRDefault="00211D08" w:rsidP="00211D08">
      <w:pPr>
        <w:rPr>
          <w:rFonts w:ascii="Calibri" w:eastAsia="Calibri" w:hAnsi="Calibri" w:cs="Arial"/>
        </w:rPr>
      </w:pPr>
      <w:r w:rsidRPr="00211D08">
        <w:rPr>
          <w:rFonts w:ascii="Calibri" w:eastAsia="Calibri" w:hAnsi="Calibri" w:cs="Arial"/>
        </w:rPr>
        <w:t>Storage of personal information (and the disposal of information when no longer required) is managed in accordance with the Australian Government’s records management regime</w:t>
      </w:r>
      <w:bookmarkStart w:id="29" w:name="_Hlk83299189"/>
      <w:r w:rsidRPr="00211D08">
        <w:rPr>
          <w:rFonts w:ascii="Calibri" w:eastAsia="Calibri" w:hAnsi="Calibri" w:cs="Arial"/>
        </w:rPr>
        <w:t>, including the Archives Act, records authorities, general disposal authorities and other whole of government policies or standards issued by the National Archives of Australia</w:t>
      </w:r>
      <w:bookmarkEnd w:id="29"/>
      <w:r w:rsidRPr="00211D08">
        <w:rPr>
          <w:rFonts w:ascii="Calibri" w:eastAsia="Calibri" w:hAnsi="Calibri" w:cs="Arial"/>
        </w:rPr>
        <w:t>.</w:t>
      </w:r>
    </w:p>
    <w:p w14:paraId="6F25E0A9" w14:textId="6FCDA778" w:rsidR="00211D08" w:rsidRDefault="00211D08" w:rsidP="00BB18B8">
      <w:pPr>
        <w:pStyle w:val="Heading3"/>
        <w:rPr>
          <w:rFonts w:eastAsia="Calibri"/>
        </w:rPr>
      </w:pPr>
      <w:bookmarkStart w:id="30" w:name="_Toc136427255"/>
      <w:r>
        <w:rPr>
          <w:rFonts w:eastAsia="Calibri"/>
        </w:rPr>
        <w:t>Data security</w:t>
      </w:r>
      <w:bookmarkEnd w:id="30"/>
    </w:p>
    <w:p w14:paraId="6B060176" w14:textId="77777777" w:rsidR="00211D08" w:rsidRPr="00211D08" w:rsidRDefault="00211D08" w:rsidP="00211D08">
      <w:pPr>
        <w:rPr>
          <w:rFonts w:ascii="Calibri" w:eastAsia="Calibri" w:hAnsi="Calibri" w:cs="Arial"/>
        </w:rPr>
      </w:pPr>
      <w:r w:rsidRPr="00211D08">
        <w:rPr>
          <w:rFonts w:ascii="Calibri" w:eastAsia="Calibri" w:hAnsi="Calibri" w:cs="Arial"/>
        </w:rPr>
        <w:t xml:space="preserve">We take all reasonable steps to protect the personal information held in our possession against loss, unauthorised access, use, modification, </w:t>
      </w:r>
      <w:proofErr w:type="gramStart"/>
      <w:r w:rsidRPr="00211D08">
        <w:rPr>
          <w:rFonts w:ascii="Calibri" w:eastAsia="Calibri" w:hAnsi="Calibri" w:cs="Arial"/>
        </w:rPr>
        <w:t>disclosure</w:t>
      </w:r>
      <w:proofErr w:type="gramEnd"/>
      <w:r w:rsidRPr="00211D08">
        <w:rPr>
          <w:rFonts w:ascii="Calibri" w:eastAsia="Calibri" w:hAnsi="Calibri" w:cs="Arial"/>
        </w:rPr>
        <w:t xml:space="preserve"> or misuse.</w:t>
      </w:r>
    </w:p>
    <w:p w14:paraId="6072F823" w14:textId="77777777" w:rsidR="00211D08" w:rsidRPr="00211D08" w:rsidRDefault="00211D08" w:rsidP="00211D08">
      <w:pPr>
        <w:rPr>
          <w:rFonts w:ascii="Calibri" w:eastAsia="Calibri" w:hAnsi="Calibri" w:cs="Arial"/>
        </w:rPr>
      </w:pPr>
      <w:r w:rsidRPr="00211D08">
        <w:rPr>
          <w:rFonts w:ascii="Calibri" w:eastAsia="Calibri" w:hAnsi="Calibri" w:cs="Arial"/>
        </w:rPr>
        <w:t>Access to your personal information held by us is restricted to authorised persons who are departmental employees or contractors, on a need-to-know basis.</w:t>
      </w:r>
    </w:p>
    <w:p w14:paraId="35A642B0" w14:textId="77777777" w:rsidR="00211D08" w:rsidRPr="00211D08" w:rsidRDefault="00211D08" w:rsidP="00211D08">
      <w:pPr>
        <w:rPr>
          <w:rFonts w:ascii="Calibri" w:eastAsia="Calibri" w:hAnsi="Calibri" w:cs="Arial"/>
        </w:rPr>
      </w:pPr>
      <w:r w:rsidRPr="00211D08">
        <w:rPr>
          <w:rFonts w:ascii="Calibri" w:eastAsia="Calibri" w:hAnsi="Calibri" w:cs="Arial"/>
        </w:rPr>
        <w:t xml:space="preserve">Electronic and paper records containing personal information are protected in accordance with Australian Government security policies, including the Attorney-General’s Department’s </w:t>
      </w:r>
      <w:hyperlink r:id="rId38" w:history="1">
        <w:r w:rsidRPr="00211D08">
          <w:rPr>
            <w:rFonts w:ascii="Calibri" w:eastAsia="Calibri" w:hAnsi="Calibri" w:cs="Arial"/>
            <w:color w:val="287BB3"/>
            <w:u w:val="single"/>
          </w:rPr>
          <w:t>Protective Security Policy Framework</w:t>
        </w:r>
      </w:hyperlink>
      <w:r w:rsidRPr="00211D08">
        <w:rPr>
          <w:rFonts w:ascii="Calibri" w:eastAsia="Calibri" w:hAnsi="Calibri" w:cs="Arial"/>
          <w:vertAlign w:val="superscript"/>
        </w:rPr>
        <w:footnoteReference w:id="27"/>
      </w:r>
      <w:r w:rsidRPr="00211D08">
        <w:rPr>
          <w:rFonts w:ascii="Calibri" w:eastAsia="Calibri" w:hAnsi="Calibri" w:cs="Arial"/>
        </w:rPr>
        <w:t xml:space="preserve"> and the Australian Signals Directorate’s </w:t>
      </w:r>
      <w:hyperlink r:id="rId39" w:history="1">
        <w:r w:rsidRPr="00211D08">
          <w:rPr>
            <w:rFonts w:ascii="Calibri" w:eastAsia="Calibri" w:hAnsi="Calibri" w:cs="Arial"/>
            <w:color w:val="287BB3"/>
            <w:u w:val="single"/>
          </w:rPr>
          <w:t>Information Security Manual</w:t>
        </w:r>
      </w:hyperlink>
      <w:r w:rsidRPr="00211D08">
        <w:rPr>
          <w:rFonts w:ascii="Calibri" w:eastAsia="Calibri" w:hAnsi="Calibri" w:cs="Arial"/>
          <w:color w:val="287BB3"/>
          <w:u w:val="single"/>
        </w:rPr>
        <w:t>.</w:t>
      </w:r>
      <w:r w:rsidRPr="00211D08">
        <w:rPr>
          <w:rFonts w:ascii="Calibri" w:eastAsia="Calibri" w:hAnsi="Calibri" w:cs="Arial"/>
          <w:vertAlign w:val="superscript"/>
        </w:rPr>
        <w:footnoteReference w:id="28"/>
      </w:r>
    </w:p>
    <w:p w14:paraId="465929F6" w14:textId="77777777" w:rsidR="00211D08" w:rsidRPr="00211D08" w:rsidRDefault="00211D08" w:rsidP="00211D08">
      <w:pPr>
        <w:rPr>
          <w:rFonts w:ascii="Calibri" w:eastAsia="Calibri" w:hAnsi="Calibri" w:cs="Arial"/>
        </w:rPr>
      </w:pPr>
      <w:r w:rsidRPr="00211D08">
        <w:rPr>
          <w:rFonts w:ascii="Calibri" w:eastAsia="Calibri" w:hAnsi="Calibri" w:cs="Arial"/>
        </w:rPr>
        <w:t>We conduct regular audits to ensure we adhere to these policies.</w:t>
      </w:r>
    </w:p>
    <w:p w14:paraId="3F9EA7C5" w14:textId="40D29850" w:rsidR="00211D08" w:rsidRDefault="00455668" w:rsidP="00BB18B8">
      <w:pPr>
        <w:pStyle w:val="Heading2"/>
      </w:pPr>
      <w:bookmarkStart w:id="31" w:name="_Toc136427256"/>
      <w:r w:rsidRPr="00455668">
        <w:t>Data quality</w:t>
      </w:r>
      <w:bookmarkEnd w:id="31"/>
    </w:p>
    <w:p w14:paraId="6D6C42A3" w14:textId="77777777" w:rsidR="00455668" w:rsidRPr="00455668" w:rsidRDefault="00455668" w:rsidP="00455668">
      <w:pPr>
        <w:rPr>
          <w:rFonts w:ascii="Calibri" w:eastAsia="Calibri" w:hAnsi="Calibri" w:cs="Arial"/>
        </w:rPr>
      </w:pPr>
      <w:r w:rsidRPr="00455668">
        <w:rPr>
          <w:rFonts w:ascii="Calibri" w:eastAsia="Calibri" w:hAnsi="Calibri" w:cs="Arial"/>
        </w:rPr>
        <w:t xml:space="preserve">We take all reasonable steps to ensure that the personal information we collect is accurate, up-to-date, complete, </w:t>
      </w:r>
      <w:proofErr w:type="gramStart"/>
      <w:r w:rsidRPr="00455668">
        <w:rPr>
          <w:rFonts w:ascii="Calibri" w:eastAsia="Calibri" w:hAnsi="Calibri" w:cs="Arial"/>
        </w:rPr>
        <w:t>relevant</w:t>
      </w:r>
      <w:proofErr w:type="gramEnd"/>
      <w:r w:rsidRPr="00455668">
        <w:rPr>
          <w:rFonts w:ascii="Calibri" w:eastAsia="Calibri" w:hAnsi="Calibri" w:cs="Arial"/>
        </w:rPr>
        <w:t xml:space="preserve"> and not misleading.</w:t>
      </w:r>
    </w:p>
    <w:p w14:paraId="6D454CAA" w14:textId="7ADF23B5" w:rsidR="00455668" w:rsidRPr="00455668" w:rsidRDefault="00455668" w:rsidP="00455668">
      <w:pPr>
        <w:rPr>
          <w:rFonts w:ascii="Calibri" w:eastAsia="Calibri" w:hAnsi="Calibri" w:cs="Arial"/>
        </w:rPr>
      </w:pPr>
      <w:r w:rsidRPr="00455668">
        <w:rPr>
          <w:rFonts w:ascii="Calibri" w:eastAsia="Calibri" w:hAnsi="Calibri" w:cs="Arial"/>
        </w:rPr>
        <w:t xml:space="preserve">These steps include responding to requests to correct personal information when it is reasonable and appropriate to do so. For further information on correcting personal information see </w:t>
      </w:r>
      <w:r w:rsidR="00F93CCF">
        <w:rPr>
          <w:rFonts w:ascii="Calibri" w:eastAsia="Calibri" w:hAnsi="Calibri" w:cs="Arial"/>
        </w:rPr>
        <w:t>below</w:t>
      </w:r>
      <w:r w:rsidRPr="00455668">
        <w:rPr>
          <w:rFonts w:ascii="Calibri" w:eastAsia="Calibri" w:hAnsi="Calibri" w:cs="Arial"/>
        </w:rPr>
        <w:t>.</w:t>
      </w:r>
    </w:p>
    <w:p w14:paraId="169B13DD" w14:textId="37611E5A" w:rsidR="00455668" w:rsidRPr="00455668" w:rsidRDefault="00455668" w:rsidP="00455668">
      <w:pPr>
        <w:rPr>
          <w:rFonts w:ascii="Calibri" w:eastAsia="Calibri" w:hAnsi="Calibri" w:cs="Arial"/>
        </w:rPr>
      </w:pPr>
      <w:r w:rsidRPr="00455668">
        <w:rPr>
          <w:rFonts w:ascii="Calibri" w:eastAsia="Calibri" w:hAnsi="Calibri" w:cs="Arial"/>
        </w:rPr>
        <w:t xml:space="preserve">Audits and quality inspections are also conducted from time to time </w:t>
      </w:r>
      <w:r w:rsidR="005E5BD7">
        <w:rPr>
          <w:rFonts w:ascii="Calibri" w:eastAsia="Calibri" w:hAnsi="Calibri" w:cs="Arial"/>
        </w:rPr>
        <w:t xml:space="preserve">internally within the department and by the Australian National Audit Office </w:t>
      </w:r>
      <w:r w:rsidRPr="00455668">
        <w:rPr>
          <w:rFonts w:ascii="Calibri" w:eastAsia="Calibri" w:hAnsi="Calibri" w:cs="Arial"/>
        </w:rPr>
        <w:t>to ensure the accuracy and integrity of information, and any systemic data quality issues are identified and resolved promptly.</w:t>
      </w:r>
    </w:p>
    <w:p w14:paraId="6A2A1079" w14:textId="11FBEA49" w:rsidR="00455668" w:rsidRPr="00455668" w:rsidRDefault="00455668" w:rsidP="00BB18B8">
      <w:pPr>
        <w:pStyle w:val="Heading2"/>
      </w:pPr>
      <w:bookmarkStart w:id="32" w:name="_Toc136427257"/>
      <w:r w:rsidRPr="00455668">
        <w:t xml:space="preserve">Purposes for which information is collected, held, used and </w:t>
      </w:r>
      <w:proofErr w:type="gramStart"/>
      <w:r w:rsidRPr="00455668">
        <w:t>disclosed</w:t>
      </w:r>
      <w:bookmarkEnd w:id="32"/>
      <w:proofErr w:type="gramEnd"/>
    </w:p>
    <w:p w14:paraId="5BD8DEB7" w14:textId="77777777" w:rsidR="00455668" w:rsidRPr="00455668" w:rsidRDefault="00455668" w:rsidP="00455668">
      <w:pPr>
        <w:rPr>
          <w:rFonts w:ascii="Calibri" w:eastAsia="Calibri" w:hAnsi="Calibri" w:cs="Arial"/>
        </w:rPr>
      </w:pPr>
      <w:r w:rsidRPr="00455668">
        <w:rPr>
          <w:rFonts w:ascii="Calibri" w:eastAsia="Calibri" w:hAnsi="Calibri" w:cs="Arial"/>
        </w:rPr>
        <w:t>We collect, hold, use and disclose personal information for a variety of different purposes including:</w:t>
      </w:r>
    </w:p>
    <w:p w14:paraId="29E506C6" w14:textId="77777777" w:rsidR="00455668" w:rsidRPr="00455668" w:rsidRDefault="00455668" w:rsidP="00455668">
      <w:pPr>
        <w:pStyle w:val="ListBullet"/>
      </w:pPr>
      <w:r w:rsidRPr="00455668">
        <w:t xml:space="preserve">performing our management, </w:t>
      </w:r>
      <w:proofErr w:type="gramStart"/>
      <w:r w:rsidRPr="00455668">
        <w:t>employment</w:t>
      </w:r>
      <w:proofErr w:type="gramEnd"/>
      <w:r w:rsidRPr="00455668">
        <w:t xml:space="preserve"> and personnel functions in relation to our staff and contractors</w:t>
      </w:r>
    </w:p>
    <w:p w14:paraId="5241A0D0" w14:textId="77777777" w:rsidR="00455668" w:rsidRPr="00455668" w:rsidRDefault="00455668" w:rsidP="00455668">
      <w:pPr>
        <w:pStyle w:val="ListBullet"/>
      </w:pPr>
      <w:r w:rsidRPr="00455668">
        <w:t xml:space="preserve">performing our legislative and administrative functions </w:t>
      </w:r>
    </w:p>
    <w:p w14:paraId="3AC31EF5" w14:textId="7F5FEB5E" w:rsidR="00455668" w:rsidRPr="00455668" w:rsidRDefault="00455668" w:rsidP="00455668">
      <w:pPr>
        <w:pStyle w:val="ListBullet"/>
      </w:pPr>
      <w:r w:rsidRPr="00455668">
        <w:t xml:space="preserve">policy development, </w:t>
      </w:r>
      <w:proofErr w:type="gramStart"/>
      <w:r w:rsidRPr="00455668">
        <w:t>research</w:t>
      </w:r>
      <w:proofErr w:type="gramEnd"/>
      <w:r w:rsidRPr="00455668">
        <w:t xml:space="preserve"> and evaluation</w:t>
      </w:r>
      <w:r w:rsidR="00E05A55">
        <w:t xml:space="preserve"> in relation to functions and activities of the department</w:t>
      </w:r>
    </w:p>
    <w:p w14:paraId="6A877D36" w14:textId="55988D07" w:rsidR="00455668" w:rsidRDefault="00455668" w:rsidP="00455668">
      <w:pPr>
        <w:pStyle w:val="ListBullet"/>
      </w:pPr>
      <w:r w:rsidRPr="00455668">
        <w:t>data sharing or data integration with other Australian Government agencies, including but not limited to, data sharing or data integration with the Australian Bureau of Statistics for the Multi-Agency Data Integration Project</w:t>
      </w:r>
    </w:p>
    <w:p w14:paraId="7851FB0E" w14:textId="645A1BAB" w:rsidR="00E05A55" w:rsidRPr="00455668" w:rsidRDefault="00E05A55" w:rsidP="00455668">
      <w:pPr>
        <w:pStyle w:val="ListBullet"/>
      </w:pPr>
      <w:r>
        <w:t>data sharing with</w:t>
      </w:r>
      <w:r w:rsidRPr="00E05A55">
        <w:t xml:space="preserve"> state and territory governments, including but not limited to State Training Authorities, for the purposes of data integration, reporting, research, evaluation and </w:t>
      </w:r>
      <w:proofErr w:type="gramStart"/>
      <w:r w:rsidRPr="00E05A55">
        <w:t>analysis</w:t>
      </w:r>
      <w:proofErr w:type="gramEnd"/>
    </w:p>
    <w:p w14:paraId="6ADB6325" w14:textId="0365AB92" w:rsidR="00455668" w:rsidRPr="00A2790C" w:rsidRDefault="00455668" w:rsidP="00455668">
      <w:pPr>
        <w:pStyle w:val="ListBullet"/>
      </w:pPr>
      <w:r w:rsidRPr="00455668">
        <w:t>assessing eligibility for Commonwealth financial assistance in relation to VET students</w:t>
      </w:r>
      <w:r w:rsidR="00E05A55">
        <w:t xml:space="preserve">, Australian Apprenticeships Incentive </w:t>
      </w:r>
      <w:proofErr w:type="gramStart"/>
      <w:r w:rsidR="00E05A55">
        <w:t>System</w:t>
      </w:r>
      <w:proofErr w:type="gramEnd"/>
      <w:r>
        <w:t xml:space="preserve"> </w:t>
      </w:r>
      <w:r w:rsidRPr="00A2790C">
        <w:t xml:space="preserve">and the Fair Entitlements Guarantee </w:t>
      </w:r>
    </w:p>
    <w:p w14:paraId="7D777D2C" w14:textId="77777777" w:rsidR="00455668" w:rsidRPr="00455668" w:rsidRDefault="00455668" w:rsidP="00455668">
      <w:pPr>
        <w:pStyle w:val="ListBullet"/>
      </w:pPr>
      <w:r w:rsidRPr="00455668">
        <w:t>complaints handling</w:t>
      </w:r>
    </w:p>
    <w:p w14:paraId="6C09EF34" w14:textId="77777777" w:rsidR="00455668" w:rsidRPr="00455668" w:rsidRDefault="00455668" w:rsidP="00455668">
      <w:pPr>
        <w:pStyle w:val="ListBullet"/>
      </w:pPr>
      <w:r w:rsidRPr="00455668">
        <w:t xml:space="preserve">administering requests received by us under the FOI Act or the Privacy Act </w:t>
      </w:r>
    </w:p>
    <w:p w14:paraId="542A7F39" w14:textId="77777777" w:rsidR="00455668" w:rsidRPr="00455668" w:rsidRDefault="00455668" w:rsidP="00455668">
      <w:pPr>
        <w:pStyle w:val="ListBullet"/>
      </w:pPr>
      <w:r w:rsidRPr="00455668">
        <w:t xml:space="preserve">preventing, detecting, </w:t>
      </w:r>
      <w:proofErr w:type="gramStart"/>
      <w:r w:rsidRPr="00455668">
        <w:t>investigating</w:t>
      </w:r>
      <w:proofErr w:type="gramEnd"/>
      <w:r w:rsidRPr="00455668">
        <w:t xml:space="preserve"> or dealing with misconduct and fraud, cyber-attacks against the Commonwealth, or other unlawful activity relating to the Commonwealth </w:t>
      </w:r>
    </w:p>
    <w:p w14:paraId="7D5F85BF" w14:textId="77777777" w:rsidR="00455668" w:rsidRPr="00455668" w:rsidRDefault="00455668" w:rsidP="00455668">
      <w:pPr>
        <w:pStyle w:val="ListBullet"/>
      </w:pPr>
      <w:r w:rsidRPr="00455668">
        <w:t>program management</w:t>
      </w:r>
    </w:p>
    <w:p w14:paraId="549ADAA2" w14:textId="35B33BBC" w:rsidR="00455668" w:rsidRPr="00455668" w:rsidRDefault="00455668" w:rsidP="00455668">
      <w:pPr>
        <w:pStyle w:val="ListBullet"/>
      </w:pPr>
      <w:r w:rsidRPr="00455668">
        <w:lastRenderedPageBreak/>
        <w:t xml:space="preserve">maintaining effective working relationships with state and territory governments, non-government </w:t>
      </w:r>
      <w:r>
        <w:t>VET</w:t>
      </w:r>
      <w:r w:rsidRPr="00455668">
        <w:t xml:space="preserve"> authorities and providers, and other relevant stakeholders  </w:t>
      </w:r>
    </w:p>
    <w:p w14:paraId="53C26892" w14:textId="77777777" w:rsidR="00455668" w:rsidRPr="00455668" w:rsidRDefault="00455668" w:rsidP="00455668">
      <w:pPr>
        <w:pStyle w:val="ListBullet"/>
      </w:pPr>
      <w:r w:rsidRPr="00455668">
        <w:t xml:space="preserve">policy advice and support to our Ministers </w:t>
      </w:r>
    </w:p>
    <w:p w14:paraId="76AF840A" w14:textId="1E890FA8" w:rsidR="006B5BB9" w:rsidRPr="00455668" w:rsidRDefault="00455668" w:rsidP="006B5BB9">
      <w:pPr>
        <w:pStyle w:val="ListBullet"/>
      </w:pPr>
      <w:r w:rsidRPr="00455668">
        <w:t>contract management</w:t>
      </w:r>
    </w:p>
    <w:p w14:paraId="7FD3EEEB" w14:textId="77777777" w:rsidR="00455668" w:rsidRPr="00455668" w:rsidRDefault="00455668" w:rsidP="00455668">
      <w:pPr>
        <w:pStyle w:val="ListBullet"/>
      </w:pPr>
      <w:r w:rsidRPr="00455668">
        <w:t>management of correspondence with the public.</w:t>
      </w:r>
    </w:p>
    <w:p w14:paraId="00819C45" w14:textId="77777777" w:rsidR="00455668" w:rsidRPr="00455668" w:rsidRDefault="00455668" w:rsidP="00455668">
      <w:pPr>
        <w:rPr>
          <w:rFonts w:ascii="Calibri" w:eastAsia="Calibri" w:hAnsi="Calibri" w:cs="Arial"/>
        </w:rPr>
      </w:pPr>
      <w:bookmarkStart w:id="33" w:name="_Hlk83291369"/>
      <w:r w:rsidRPr="00455668">
        <w:rPr>
          <w:rFonts w:ascii="Calibri" w:eastAsia="Calibri" w:hAnsi="Calibri" w:cs="Arial"/>
        </w:rPr>
        <w:t>We use and disclose personal information for the primary purposes for which it is collected.</w:t>
      </w:r>
    </w:p>
    <w:bookmarkEnd w:id="33"/>
    <w:p w14:paraId="0754AFF4" w14:textId="77777777" w:rsidR="00455668" w:rsidRPr="00455668" w:rsidRDefault="00455668" w:rsidP="00455668">
      <w:pPr>
        <w:rPr>
          <w:rFonts w:ascii="Calibri" w:eastAsia="Calibri" w:hAnsi="Calibri" w:cs="Arial"/>
        </w:rPr>
      </w:pPr>
      <w:r w:rsidRPr="00455668">
        <w:rPr>
          <w:rFonts w:ascii="Calibri" w:eastAsia="Calibri" w:hAnsi="Calibri" w:cs="Arial"/>
        </w:rPr>
        <w:t>We will only use your personal information for secondary purposes where we are able to do so in accordance with the Privacy Act. This may include where you have consented to this secondary purpose, or where the secondary purpose is related (or if sensitive information, directly related) to the primary purpose and you would reasonably expect us to use or disclose the information for the secondary purpose, where it is required or authorised by law or where a permitted general situation exists such as to prevent a serious threat to safety.</w:t>
      </w:r>
    </w:p>
    <w:p w14:paraId="56EECF8C" w14:textId="77777777" w:rsidR="00455668" w:rsidRPr="00455668" w:rsidRDefault="00455668" w:rsidP="00455668">
      <w:pPr>
        <w:rPr>
          <w:rFonts w:ascii="Calibri" w:eastAsia="Calibri" w:hAnsi="Calibri" w:cs="Arial"/>
        </w:rPr>
      </w:pPr>
      <w:r w:rsidRPr="00455668">
        <w:rPr>
          <w:rFonts w:ascii="Calibri" w:eastAsia="Calibri" w:hAnsi="Calibri" w:cs="Arial"/>
        </w:rPr>
        <w:t xml:space="preserve">Likely secondary purposes for which we may use or disclose your personal information include but are not limited to: </w:t>
      </w:r>
    </w:p>
    <w:p w14:paraId="229D2423" w14:textId="160E0FFD" w:rsidR="00455668" w:rsidRDefault="00455668" w:rsidP="00455668">
      <w:pPr>
        <w:pStyle w:val="ListBullet"/>
      </w:pPr>
      <w:r w:rsidRPr="00455668">
        <w:t xml:space="preserve">quality assurance, auditing, reporting, research, </w:t>
      </w:r>
      <w:proofErr w:type="gramStart"/>
      <w:r w:rsidRPr="00455668">
        <w:t>evaluation</w:t>
      </w:r>
      <w:proofErr w:type="gramEnd"/>
      <w:r w:rsidRPr="00455668">
        <w:t xml:space="preserve"> and analysis</w:t>
      </w:r>
    </w:p>
    <w:p w14:paraId="73B27E4C" w14:textId="2DA9811D" w:rsidR="006B5BB9" w:rsidRPr="00455668" w:rsidRDefault="006B5BB9" w:rsidP="006B5BB9">
      <w:pPr>
        <w:pStyle w:val="ListBullet"/>
      </w:pPr>
      <w:r w:rsidRPr="006B5BB9">
        <w:t>the provision of legal advice by internal and external lawyers</w:t>
      </w:r>
    </w:p>
    <w:p w14:paraId="01800EA9" w14:textId="77777777" w:rsidR="00455668" w:rsidRPr="00455668" w:rsidRDefault="00455668" w:rsidP="00455668">
      <w:pPr>
        <w:pStyle w:val="ListBullet"/>
      </w:pPr>
      <w:r w:rsidRPr="00455668">
        <w:t>investigations of fraud or misconduct, data sharing, data integration, data matching and promotional purposes</w:t>
      </w:r>
    </w:p>
    <w:p w14:paraId="28BF28DC" w14:textId="1643C318" w:rsidR="00455668" w:rsidRDefault="00455668" w:rsidP="00455668">
      <w:pPr>
        <w:pStyle w:val="ListBullet"/>
      </w:pPr>
      <w:r w:rsidRPr="00455668">
        <w:t xml:space="preserve">in connection with measures aimed at preventing, detecting, investigating, or dealing with misconduct and fraud, cyber-attacks against the Commonwealth, or other unlawful activity relating to the </w:t>
      </w:r>
      <w:proofErr w:type="gramStart"/>
      <w:r w:rsidRPr="00455668">
        <w:t>Commonwealth</w:t>
      </w:r>
      <w:proofErr w:type="gramEnd"/>
    </w:p>
    <w:p w14:paraId="79385F87" w14:textId="41805931" w:rsidR="00E05A55" w:rsidRDefault="00E05A55" w:rsidP="00455668">
      <w:pPr>
        <w:pStyle w:val="ListBullet"/>
      </w:pPr>
      <w:r>
        <w:t xml:space="preserve">data sharing with accredited users under the </w:t>
      </w:r>
      <w:hyperlink r:id="rId40" w:history="1">
        <w:r w:rsidR="00C5791F" w:rsidRPr="00AD51DF">
          <w:rPr>
            <w:rStyle w:val="Hyperlink"/>
            <w:i/>
            <w:iCs/>
            <w:color w:val="287DB2" w:themeColor="accent6"/>
          </w:rPr>
          <w:t>Data Availability and Transparency Act 2022</w:t>
        </w:r>
        <w:r w:rsidR="00C5791F" w:rsidRPr="00AD51DF">
          <w:rPr>
            <w:rStyle w:val="Hyperlink"/>
            <w:color w:val="287DB2" w:themeColor="accent6"/>
          </w:rPr>
          <w:t xml:space="preserve"> (Cth)</w:t>
        </w:r>
      </w:hyperlink>
      <w:r>
        <w:t>.</w:t>
      </w:r>
      <w:r w:rsidR="00C5791F">
        <w:rPr>
          <w:rStyle w:val="FootnoteReference"/>
        </w:rPr>
        <w:footnoteReference w:id="29"/>
      </w:r>
    </w:p>
    <w:p w14:paraId="0F0929B4" w14:textId="1DD778FC" w:rsidR="00455668" w:rsidRDefault="00455668" w:rsidP="00BB18B8">
      <w:pPr>
        <w:pStyle w:val="Heading2"/>
      </w:pPr>
      <w:bookmarkStart w:id="34" w:name="_Toc136427258"/>
      <w:r w:rsidRPr="00455668">
        <w:t>Disclosure of personal information to other Commonwealth agencies providing services to the department</w:t>
      </w:r>
      <w:bookmarkEnd w:id="34"/>
    </w:p>
    <w:p w14:paraId="220B5C9E" w14:textId="77777777" w:rsidR="00F93CCF" w:rsidRPr="00F93CCF" w:rsidRDefault="00F93CCF" w:rsidP="00F93CCF">
      <w:pPr>
        <w:rPr>
          <w:rFonts w:ascii="Calibri" w:eastAsia="Calibri" w:hAnsi="Calibri" w:cs="Arial"/>
        </w:rPr>
      </w:pPr>
      <w:r w:rsidRPr="00F93CCF">
        <w:rPr>
          <w:rFonts w:ascii="Calibri" w:eastAsia="Calibri" w:hAnsi="Calibri" w:cs="Arial"/>
        </w:rPr>
        <w:t xml:space="preserve">We may disclose your personal information to other Commonwealth agencies that provide services to the department, in particular the Service Delivery Office within the Department of Finance (Finance), which provides a range of corporate services to the department. For more information, please refer to the </w:t>
      </w:r>
      <w:hyperlink r:id="rId41" w:history="1">
        <w:r w:rsidRPr="00F93CCF">
          <w:rPr>
            <w:rFonts w:ascii="Calibri" w:eastAsia="Calibri" w:hAnsi="Calibri" w:cs="Arial"/>
            <w:color w:val="287BB3"/>
            <w:u w:val="single"/>
          </w:rPr>
          <w:t>Service Delivery Office</w:t>
        </w:r>
      </w:hyperlink>
      <w:r w:rsidRPr="00F93CCF">
        <w:rPr>
          <w:rFonts w:ascii="Calibri" w:eastAsia="Calibri" w:hAnsi="Calibri" w:cs="Arial"/>
          <w:color w:val="287BB3"/>
          <w:u w:val="single"/>
        </w:rPr>
        <w:t>.</w:t>
      </w:r>
      <w:r w:rsidRPr="00F93CCF">
        <w:rPr>
          <w:rFonts w:ascii="Calibri" w:eastAsia="Calibri" w:hAnsi="Calibri" w:cs="Arial"/>
          <w:vertAlign w:val="superscript"/>
        </w:rPr>
        <w:footnoteReference w:id="30"/>
      </w:r>
    </w:p>
    <w:p w14:paraId="6E4917DD" w14:textId="70FB6887" w:rsidR="00455668" w:rsidRDefault="00F93CCF" w:rsidP="00BB18B8">
      <w:pPr>
        <w:pStyle w:val="Heading2"/>
      </w:pPr>
      <w:bookmarkStart w:id="35" w:name="_Toc136427259"/>
      <w:r w:rsidRPr="00F93CCF">
        <w:t>Disclosure of personal information to Services Australia</w:t>
      </w:r>
      <w:bookmarkEnd w:id="35"/>
    </w:p>
    <w:p w14:paraId="554E6033" w14:textId="32098CF9" w:rsidR="00E05A55" w:rsidRPr="00F93CCF" w:rsidRDefault="00F93CCF" w:rsidP="00F93CCF">
      <w:pPr>
        <w:rPr>
          <w:rFonts w:ascii="Calibri" w:eastAsia="Calibri" w:hAnsi="Calibri" w:cs="Arial"/>
        </w:rPr>
      </w:pPr>
      <w:r w:rsidRPr="00F93CCF">
        <w:rPr>
          <w:rFonts w:ascii="Calibri" w:eastAsia="Calibri" w:hAnsi="Calibri" w:cs="Arial"/>
        </w:rPr>
        <w:t xml:space="preserve">Services Australia performs a range of </w:t>
      </w:r>
      <w:r>
        <w:rPr>
          <w:rFonts w:ascii="Calibri" w:eastAsia="Calibri" w:hAnsi="Calibri" w:cs="Arial"/>
        </w:rPr>
        <w:t>functions related to the operation of Workforce Australia</w:t>
      </w:r>
      <w:r w:rsidR="005E5BD7">
        <w:rPr>
          <w:rFonts w:ascii="Calibri" w:eastAsia="Calibri" w:hAnsi="Calibri" w:cs="Arial"/>
        </w:rPr>
        <w:t xml:space="preserve"> programs</w:t>
      </w:r>
      <w:r w:rsidRPr="00F93CCF">
        <w:rPr>
          <w:rFonts w:ascii="Calibri" w:eastAsia="Calibri" w:hAnsi="Calibri" w:cs="Arial"/>
        </w:rPr>
        <w:t xml:space="preserve">. </w:t>
      </w:r>
      <w:r w:rsidR="00E05A55">
        <w:rPr>
          <w:rFonts w:ascii="Calibri" w:eastAsia="Calibri" w:hAnsi="Calibri" w:cs="Arial"/>
        </w:rPr>
        <w:t xml:space="preserve">Services Australia also assists in processing claims for payment under the Australian </w:t>
      </w:r>
      <w:r w:rsidR="00E05A55">
        <w:rPr>
          <w:rFonts w:ascii="Calibri" w:eastAsia="Calibri" w:hAnsi="Calibri" w:cs="Arial"/>
        </w:rPr>
        <w:lastRenderedPageBreak/>
        <w:t xml:space="preserve">Apprenticeships Incentive System. </w:t>
      </w:r>
      <w:r w:rsidRPr="00F93CCF">
        <w:rPr>
          <w:rFonts w:ascii="Calibri" w:eastAsia="Calibri" w:hAnsi="Calibri" w:cs="Arial"/>
        </w:rPr>
        <w:t xml:space="preserve">We may disclose your personal information to Services Australia in connection with Services Australia’s delivery of these </w:t>
      </w:r>
      <w:r>
        <w:rPr>
          <w:rFonts w:ascii="Calibri" w:eastAsia="Calibri" w:hAnsi="Calibri" w:cs="Arial"/>
        </w:rPr>
        <w:t>functions</w:t>
      </w:r>
      <w:r w:rsidRPr="00F93CCF">
        <w:rPr>
          <w:rFonts w:ascii="Calibri" w:eastAsia="Calibri" w:hAnsi="Calibri" w:cs="Arial"/>
        </w:rPr>
        <w:t>.</w:t>
      </w:r>
    </w:p>
    <w:p w14:paraId="71B8711E" w14:textId="7B6051B8" w:rsidR="00F93CCF" w:rsidRDefault="00F93CCF" w:rsidP="00F93CCF">
      <w:pPr>
        <w:rPr>
          <w:rFonts w:ascii="Calibri" w:eastAsia="Calibri" w:hAnsi="Calibri" w:cs="Arial"/>
        </w:rPr>
      </w:pPr>
      <w:r w:rsidRPr="00F93CCF">
        <w:rPr>
          <w:rFonts w:ascii="Calibri" w:eastAsia="Calibri" w:hAnsi="Calibri" w:cs="Arial"/>
          <w:lang w:val="en-GB"/>
        </w:rPr>
        <w:t xml:space="preserve">If you use the Australia Government Digital Identity System </w:t>
      </w:r>
      <w:r w:rsidR="005E5BD7">
        <w:rPr>
          <w:rFonts w:ascii="Calibri" w:eastAsia="Calibri" w:hAnsi="Calibri" w:cs="Arial"/>
          <w:lang w:val="en-GB"/>
        </w:rPr>
        <w:t>(</w:t>
      </w:r>
      <w:proofErr w:type="spellStart"/>
      <w:r w:rsidR="005E5BD7">
        <w:rPr>
          <w:rFonts w:ascii="Calibri" w:eastAsia="Calibri" w:hAnsi="Calibri" w:cs="Arial"/>
          <w:lang w:val="en-GB"/>
        </w:rPr>
        <w:t>myGovID</w:t>
      </w:r>
      <w:proofErr w:type="spellEnd"/>
      <w:r w:rsidR="005E5BD7">
        <w:rPr>
          <w:rFonts w:ascii="Calibri" w:eastAsia="Calibri" w:hAnsi="Calibri" w:cs="Arial"/>
          <w:lang w:val="en-GB"/>
        </w:rPr>
        <w:t xml:space="preserve">) </w:t>
      </w:r>
      <w:r w:rsidRPr="00F93CCF">
        <w:rPr>
          <w:rFonts w:ascii="Calibri" w:eastAsia="Calibri" w:hAnsi="Calibri" w:cs="Arial"/>
          <w:lang w:val="en-GB"/>
        </w:rPr>
        <w:t xml:space="preserve">to access the department’s services then your personal information linked to your Digital Identity (such as your given names, last name, date of birth, or email address) may be provided to the Oversight Authority of the System, currently Services Australia, in certain circumstances. Your personal information will only be provided to the Oversight Authority to assist the Oversight Authority to perform its functions, such as if a suspected fraud or cyber security incident has been detected within the System. For more information on how the Oversight Authority handles personal information, see the </w:t>
      </w:r>
      <w:hyperlink r:id="rId42" w:history="1">
        <w:r w:rsidRPr="00AD51DF">
          <w:rPr>
            <w:rStyle w:val="Hyperlink"/>
            <w:rFonts w:ascii="Calibri" w:eastAsia="Calibri" w:hAnsi="Calibri" w:cs="Arial"/>
            <w:color w:val="287DB2" w:themeColor="accent6"/>
            <w:lang w:val="en-GB"/>
          </w:rPr>
          <w:t>Oversight Authority Privacy Policy</w:t>
        </w:r>
      </w:hyperlink>
      <w:r w:rsidR="005E2B7F">
        <w:rPr>
          <w:rFonts w:ascii="Calibri" w:eastAsia="Calibri" w:hAnsi="Calibri" w:cs="Arial"/>
          <w:lang w:val="en-GB"/>
        </w:rPr>
        <w:t>.</w:t>
      </w:r>
      <w:r w:rsidR="005E2B7F">
        <w:rPr>
          <w:rStyle w:val="FootnoteReference"/>
          <w:rFonts w:ascii="Calibri" w:eastAsia="Calibri" w:hAnsi="Calibri" w:cs="Arial"/>
          <w:lang w:val="en-GB"/>
        </w:rPr>
        <w:footnoteReference w:id="31"/>
      </w:r>
      <w:r w:rsidRPr="00F93CCF">
        <w:rPr>
          <w:rFonts w:ascii="Calibri" w:eastAsia="Calibri" w:hAnsi="Calibri" w:cs="Arial"/>
        </w:rPr>
        <w:t xml:space="preserve"> </w:t>
      </w:r>
    </w:p>
    <w:p w14:paraId="23DF0CAF" w14:textId="3920AAD1" w:rsidR="00F93CCF" w:rsidRDefault="00F93CCF" w:rsidP="00BB18B8">
      <w:pPr>
        <w:pStyle w:val="Heading2"/>
        <w:rPr>
          <w:rFonts w:eastAsia="Calibri"/>
        </w:rPr>
      </w:pPr>
      <w:bookmarkStart w:id="36" w:name="_Toc136427260"/>
      <w:r w:rsidRPr="00F93CCF">
        <w:rPr>
          <w:rFonts w:eastAsia="Calibri"/>
        </w:rPr>
        <w:t>Disclosure of personal information to the Australian Taxation Office</w:t>
      </w:r>
      <w:bookmarkEnd w:id="36"/>
    </w:p>
    <w:p w14:paraId="536EF7B5" w14:textId="392BF99A" w:rsidR="00F93CCF" w:rsidRPr="00F93CCF" w:rsidRDefault="00F93CCF" w:rsidP="00F93CCF">
      <w:pPr>
        <w:rPr>
          <w:rFonts w:ascii="Calibri" w:eastAsia="Calibri" w:hAnsi="Calibri" w:cs="Arial"/>
        </w:rPr>
      </w:pPr>
      <w:r w:rsidRPr="00F93CCF">
        <w:rPr>
          <w:rFonts w:ascii="Calibri" w:eastAsia="Calibri" w:hAnsi="Calibri" w:cs="Arial"/>
        </w:rPr>
        <w:t>The department discloses personal information of apprentices and their employers to the Australian Taxation Office</w:t>
      </w:r>
      <w:r w:rsidR="0048211F">
        <w:rPr>
          <w:rFonts w:ascii="Calibri" w:eastAsia="Calibri" w:hAnsi="Calibri" w:cs="Arial"/>
        </w:rPr>
        <w:t xml:space="preserve"> (ATO)</w:t>
      </w:r>
      <w:r w:rsidRPr="00F93CCF">
        <w:rPr>
          <w:rFonts w:ascii="Calibri" w:eastAsia="Calibri" w:hAnsi="Calibri" w:cs="Arial"/>
        </w:rPr>
        <w:t xml:space="preserve"> </w:t>
      </w:r>
      <w:proofErr w:type="gramStart"/>
      <w:r w:rsidRPr="00F93CCF">
        <w:rPr>
          <w:rFonts w:ascii="Calibri" w:eastAsia="Calibri" w:hAnsi="Calibri" w:cs="Arial"/>
        </w:rPr>
        <w:t>in order to</w:t>
      </w:r>
      <w:proofErr w:type="gramEnd"/>
      <w:r w:rsidRPr="00F93CCF">
        <w:rPr>
          <w:rFonts w:ascii="Calibri" w:eastAsia="Calibri" w:hAnsi="Calibri" w:cs="Arial"/>
        </w:rPr>
        <w:t xml:space="preserve"> facilitate the collection of near-real time and historical pay</w:t>
      </w:r>
      <w:r w:rsidR="0048211F">
        <w:rPr>
          <w:rFonts w:ascii="Calibri" w:eastAsia="Calibri" w:hAnsi="Calibri" w:cs="Arial"/>
        </w:rPr>
        <w:t xml:space="preserve"> </w:t>
      </w:r>
      <w:r w:rsidRPr="00F93CCF">
        <w:rPr>
          <w:rFonts w:ascii="Calibri" w:eastAsia="Calibri" w:hAnsi="Calibri" w:cs="Arial"/>
        </w:rPr>
        <w:t>event data from the ATO as part of administering the Australian Apprenticeships Incentives Program.</w:t>
      </w:r>
      <w:r w:rsidR="00170F1C">
        <w:rPr>
          <w:rFonts w:ascii="Calibri" w:eastAsia="Calibri" w:hAnsi="Calibri" w:cs="Arial"/>
        </w:rPr>
        <w:t xml:space="preserve"> The department also discloses personal information of students to the </w:t>
      </w:r>
      <w:r w:rsidR="0048211F">
        <w:rPr>
          <w:rFonts w:ascii="Calibri" w:eastAsia="Calibri" w:hAnsi="Calibri" w:cs="Arial"/>
        </w:rPr>
        <w:t>ATO</w:t>
      </w:r>
      <w:r w:rsidR="00170F1C">
        <w:rPr>
          <w:rFonts w:ascii="Calibri" w:eastAsia="Calibri" w:hAnsi="Calibri" w:cs="Arial"/>
        </w:rPr>
        <w:t xml:space="preserve"> for the purpose of administering VET student loan debts.</w:t>
      </w:r>
    </w:p>
    <w:p w14:paraId="6932938D" w14:textId="0C67495B" w:rsidR="00F93CCF" w:rsidRPr="00F93CCF" w:rsidRDefault="00F93CCF" w:rsidP="00BB18B8">
      <w:pPr>
        <w:pStyle w:val="Heading2"/>
        <w:rPr>
          <w:rFonts w:eastAsia="Calibri"/>
        </w:rPr>
      </w:pPr>
      <w:bookmarkStart w:id="37" w:name="_Toc136427261"/>
      <w:r w:rsidRPr="00F93CCF">
        <w:rPr>
          <w:rFonts w:eastAsia="Calibri"/>
        </w:rPr>
        <w:t>Disclosure of personal information overseas</w:t>
      </w:r>
      <w:bookmarkEnd w:id="37"/>
    </w:p>
    <w:p w14:paraId="37BA8BF4" w14:textId="77777777" w:rsidR="00F93CCF" w:rsidRPr="00F93CCF" w:rsidRDefault="00F93CCF" w:rsidP="00F93CCF">
      <w:pPr>
        <w:rPr>
          <w:rFonts w:ascii="Calibri" w:eastAsia="Calibri" w:hAnsi="Calibri" w:cs="Arial"/>
        </w:rPr>
      </w:pPr>
      <w:r w:rsidRPr="00F93CCF">
        <w:rPr>
          <w:rFonts w:ascii="Calibri" w:eastAsia="Calibri" w:hAnsi="Calibri" w:cs="Arial"/>
        </w:rPr>
        <w:t>We will, on occasion, disclose personal information to overseas recipients. The situations in which we may disclose personal information overseas include:</w:t>
      </w:r>
    </w:p>
    <w:p w14:paraId="0A97E570" w14:textId="77777777" w:rsidR="00F93CCF" w:rsidRPr="00F93CCF" w:rsidRDefault="00F93CCF" w:rsidP="00F93CCF">
      <w:pPr>
        <w:pStyle w:val="ListBullet"/>
      </w:pPr>
      <w:r w:rsidRPr="00F93CCF">
        <w:t xml:space="preserve">the publication on the internet of material which may contain personal information, such as departmental reports and other documents; photographs, video recordings and audio recordings and posts and comments on our social media </w:t>
      </w:r>
      <w:proofErr w:type="gramStart"/>
      <w:r w:rsidRPr="00F93CCF">
        <w:t>platforms</w:t>
      </w:r>
      <w:proofErr w:type="gramEnd"/>
    </w:p>
    <w:p w14:paraId="0049AC58" w14:textId="77777777" w:rsidR="00F93CCF" w:rsidRPr="00F93CCF" w:rsidRDefault="00F93CCF" w:rsidP="00F93CCF">
      <w:pPr>
        <w:pStyle w:val="ListBullet"/>
      </w:pPr>
      <w:r w:rsidRPr="00F93CCF">
        <w:t>the provision of personal information to overseas researchers or consultants (where consent has been given for this or we are otherwise legally able to provide this information)</w:t>
      </w:r>
    </w:p>
    <w:p w14:paraId="2565575B" w14:textId="77777777" w:rsidR="00F93CCF" w:rsidRPr="00F93CCF" w:rsidRDefault="00F93CCF" w:rsidP="00F93CCF">
      <w:pPr>
        <w:pStyle w:val="ListBullet"/>
      </w:pPr>
      <w:r w:rsidRPr="00F93CCF">
        <w:t>the provision of personal information to recipients using a web-based service where data is stored on an overseas server, for example, the department may use Mailchimp for email subscriptions (see below for further detail on this service)</w:t>
      </w:r>
    </w:p>
    <w:p w14:paraId="3BD4F80E" w14:textId="77777777" w:rsidR="00F93CCF" w:rsidRPr="00F93CCF" w:rsidRDefault="00F93CCF" w:rsidP="00F93CCF">
      <w:pPr>
        <w:pStyle w:val="ListBullet"/>
      </w:pPr>
      <w:r w:rsidRPr="00F93CCF">
        <w:t xml:space="preserve">the provision of personal information to foreign governments and law enforcement agencies (in limited circumstances and </w:t>
      </w:r>
      <w:proofErr w:type="gramStart"/>
      <w:r w:rsidRPr="00F93CCF">
        <w:t>where</w:t>
      </w:r>
      <w:proofErr w:type="gramEnd"/>
      <w:r w:rsidRPr="00F93CCF">
        <w:t xml:space="preserve"> authorised by law)</w:t>
      </w:r>
    </w:p>
    <w:p w14:paraId="743D0993" w14:textId="77777777" w:rsidR="00F93CCF" w:rsidRPr="00F93CCF" w:rsidRDefault="00F93CCF" w:rsidP="00F93CCF">
      <w:pPr>
        <w:pStyle w:val="ListBullet"/>
      </w:pPr>
      <w:r w:rsidRPr="00F93CCF">
        <w:t>where recipients of departmental communications use an email account that stores data on an overseas server and</w:t>
      </w:r>
    </w:p>
    <w:p w14:paraId="64A53A18" w14:textId="77777777" w:rsidR="00F93CCF" w:rsidRPr="00F93CCF" w:rsidRDefault="00F93CCF" w:rsidP="00F93CCF">
      <w:pPr>
        <w:pStyle w:val="ListBullet"/>
      </w:pPr>
      <w:r w:rsidRPr="00F93CCF">
        <w:t xml:space="preserve">where people post and comment on our social media platforms. </w:t>
      </w:r>
    </w:p>
    <w:p w14:paraId="31B2A7ED" w14:textId="77777777" w:rsidR="00F93CCF" w:rsidRPr="00F93CCF" w:rsidRDefault="00F93CCF" w:rsidP="00F93CCF">
      <w:pPr>
        <w:jc w:val="both"/>
        <w:rPr>
          <w:rFonts w:ascii="Calibri" w:eastAsia="Calibri" w:hAnsi="Calibri" w:cs="Arial"/>
        </w:rPr>
      </w:pPr>
      <w:r w:rsidRPr="00F93CCF">
        <w:rPr>
          <w:rFonts w:ascii="Calibri" w:eastAsia="Calibri" w:hAnsi="Calibri" w:cs="Arial"/>
        </w:rPr>
        <w:t>We will not disclose your personal information to an overseas recipient unless one of the following applies:</w:t>
      </w:r>
    </w:p>
    <w:p w14:paraId="2DE0F695" w14:textId="77777777" w:rsidR="00F93CCF" w:rsidRPr="00F93CCF" w:rsidRDefault="00F93CCF" w:rsidP="00F93CCF">
      <w:pPr>
        <w:pStyle w:val="ListBullet"/>
      </w:pPr>
      <w:r w:rsidRPr="00F93CCF">
        <w:lastRenderedPageBreak/>
        <w:t xml:space="preserve">the recipient is subject to a law or binding scheme substantially similar to the APPs, including mechanisms for </w:t>
      </w:r>
      <w:proofErr w:type="gramStart"/>
      <w:r w:rsidRPr="00F93CCF">
        <w:t>enforcement</w:t>
      </w:r>
      <w:proofErr w:type="gramEnd"/>
    </w:p>
    <w:p w14:paraId="2A60708C" w14:textId="77777777" w:rsidR="00F93CCF" w:rsidRPr="00F93CCF" w:rsidRDefault="00F93CCF" w:rsidP="00F93CCF">
      <w:pPr>
        <w:pStyle w:val="ListBullet"/>
      </w:pPr>
      <w:r w:rsidRPr="00F93CCF">
        <w:t xml:space="preserve">you consent to the disclosure after being expressly informed that we will not be taking reasonable steps to ensure that the overseas recipient does not breach the </w:t>
      </w:r>
      <w:proofErr w:type="gramStart"/>
      <w:r w:rsidRPr="00F93CCF">
        <w:t>APPs</w:t>
      </w:r>
      <w:proofErr w:type="gramEnd"/>
    </w:p>
    <w:p w14:paraId="50CA6A19" w14:textId="6EB8BF91" w:rsidR="00F93CCF" w:rsidRPr="00F93CCF" w:rsidRDefault="00F93CCF" w:rsidP="00F93CCF">
      <w:pPr>
        <w:pStyle w:val="ListBullet"/>
      </w:pPr>
      <w:r w:rsidRPr="00F93CCF">
        <w:t>a permitted general situation exists (</w:t>
      </w:r>
      <w:proofErr w:type="gramStart"/>
      <w:r w:rsidRPr="00F93CCF">
        <w:t>e.g.</w:t>
      </w:r>
      <w:proofErr w:type="gramEnd"/>
      <w:r w:rsidRPr="00F93CCF">
        <w:t xml:space="preserve"> to lessen or prevent a serious threat to life, health or safety)</w:t>
      </w:r>
      <w:r w:rsidRPr="00F93CCF">
        <w:rPr>
          <w:vertAlign w:val="superscript"/>
        </w:rPr>
        <w:footnoteReference w:id="32"/>
      </w:r>
    </w:p>
    <w:p w14:paraId="0055269D" w14:textId="77777777" w:rsidR="00F93CCF" w:rsidRPr="00F93CCF" w:rsidRDefault="00F93CCF" w:rsidP="00F93CCF">
      <w:pPr>
        <w:pStyle w:val="ListBullet"/>
      </w:pPr>
      <w:r w:rsidRPr="00F93CCF">
        <w:t>disclosure is required or authorised by law, or by an international agreement relating to information sharing to which Australia is a party or</w:t>
      </w:r>
    </w:p>
    <w:p w14:paraId="5DB70D3B" w14:textId="77777777" w:rsidR="00F93CCF" w:rsidRPr="00F93CCF" w:rsidRDefault="00F93CCF" w:rsidP="00F93CCF">
      <w:pPr>
        <w:pStyle w:val="ListBullet"/>
      </w:pPr>
      <w:r w:rsidRPr="00F93CCF">
        <w:t xml:space="preserve">the disclosure is reasonably necessary for an enforcement related activity conducted by, or on behalf of, an enforcement body and the recipient </w:t>
      </w:r>
      <w:proofErr w:type="gramStart"/>
      <w:r w:rsidRPr="00F93CCF">
        <w:t>performs</w:t>
      </w:r>
      <w:proofErr w:type="gramEnd"/>
      <w:r w:rsidRPr="00F93CCF">
        <w:t xml:space="preserve"> similar functions.</w:t>
      </w:r>
    </w:p>
    <w:p w14:paraId="426D755F" w14:textId="409A144A" w:rsidR="009B0D07" w:rsidRDefault="00F93CCF" w:rsidP="00F93CCF">
      <w:pPr>
        <w:jc w:val="both"/>
        <w:rPr>
          <w:rFonts w:ascii="Calibri" w:eastAsia="Calibri" w:hAnsi="Calibri" w:cs="Arial"/>
        </w:rPr>
      </w:pPr>
      <w:r w:rsidRPr="00F93CCF">
        <w:rPr>
          <w:rFonts w:ascii="Calibri" w:eastAsia="Calibri" w:hAnsi="Calibri" w:cs="Arial"/>
        </w:rPr>
        <w:t>It is not practicable to list every country to which we may provide personal information as this will vary depending on the circumstances.</w:t>
      </w:r>
    </w:p>
    <w:p w14:paraId="5283731D" w14:textId="72092309" w:rsidR="00F93CCF" w:rsidRDefault="009B0D07" w:rsidP="00F93CCF">
      <w:pPr>
        <w:jc w:val="both"/>
        <w:rPr>
          <w:rFonts w:ascii="Calibri" w:eastAsia="Calibri" w:hAnsi="Calibri" w:cs="Arial"/>
        </w:rPr>
      </w:pPr>
      <w:r>
        <w:rPr>
          <w:rFonts w:ascii="Calibri" w:eastAsia="Calibri" w:hAnsi="Calibri" w:cs="Arial"/>
        </w:rPr>
        <w:t>Personal information is not sent overseas as part of Workforce Australia programs.</w:t>
      </w:r>
    </w:p>
    <w:p w14:paraId="3F49E2EC" w14:textId="46DC0DCD" w:rsidR="007B35AC" w:rsidRDefault="007B35AC" w:rsidP="007B35AC">
      <w:pPr>
        <w:pStyle w:val="Heading3"/>
        <w:rPr>
          <w:rFonts w:eastAsia="Calibri"/>
        </w:rPr>
      </w:pPr>
      <w:bookmarkStart w:id="38" w:name="_Toc136427262"/>
      <w:r>
        <w:rPr>
          <w:rFonts w:eastAsia="Calibri"/>
        </w:rPr>
        <w:t>Mailchimp</w:t>
      </w:r>
      <w:bookmarkEnd w:id="38"/>
    </w:p>
    <w:p w14:paraId="3DAF234C"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To provide our news or information the department may use Mailchimp. Mailchimp provides online platforms that can be used to create, send, and manage emails. In providing this service, Mailchimp may collect personal information, such as distribution lists which contain email addresses, and other information relating to those email addresses. For further information about the type of personal information Mailchimp collects, please refer to </w:t>
      </w:r>
      <w:hyperlink r:id="rId43" w:tgtFrame="_blank" w:history="1">
        <w:r w:rsidRPr="007B35AC">
          <w:rPr>
            <w:rFonts w:ascii="Calibri" w:eastAsia="Calibri" w:hAnsi="Calibri" w:cs="Arial"/>
            <w:color w:val="287BB3"/>
            <w:u w:val="single"/>
          </w:rPr>
          <w:t>Mailchimp's Privacy Policy</w:t>
        </w:r>
      </w:hyperlink>
      <w:r w:rsidRPr="007B35AC">
        <w:rPr>
          <w:rFonts w:ascii="Calibri" w:eastAsia="Calibri" w:hAnsi="Calibri" w:cs="Arial"/>
          <w:color w:val="287BB3"/>
          <w:u w:val="single"/>
        </w:rPr>
        <w:t>.</w:t>
      </w:r>
      <w:r w:rsidRPr="007B35AC">
        <w:rPr>
          <w:rFonts w:ascii="Calibri" w:eastAsia="Calibri" w:hAnsi="Calibri" w:cs="Arial"/>
          <w:vertAlign w:val="superscript"/>
        </w:rPr>
        <w:footnoteReference w:id="33"/>
      </w:r>
    </w:p>
    <w:p w14:paraId="02E9E64A" w14:textId="71F769D7" w:rsidR="007B35AC" w:rsidRPr="007B35AC" w:rsidRDefault="007B35AC" w:rsidP="007B35AC">
      <w:pPr>
        <w:rPr>
          <w:rFonts w:ascii="Calibri" w:eastAsia="Calibri" w:hAnsi="Calibri" w:cs="Arial"/>
        </w:rPr>
      </w:pPr>
      <w:r w:rsidRPr="007B35AC">
        <w:rPr>
          <w:rFonts w:ascii="Calibri" w:eastAsia="Calibri" w:hAnsi="Calibri" w:cs="Arial"/>
        </w:rPr>
        <w:t>We may use this information to manage emails relating to the work of the department, measure email news performance and to improve the features of our website and email news service. Mailchimp may transfer this information to third parties where required to do so by law, or where such third parties process the information on Mailchimp’s behalf. Mailchimp uses cookies and</w:t>
      </w:r>
      <w:r w:rsidR="006C2E97">
        <w:rPr>
          <w:rFonts w:ascii="Calibri" w:eastAsia="Calibri" w:hAnsi="Calibri" w:cs="Arial"/>
        </w:rPr>
        <w:t xml:space="preserve"> </w:t>
      </w:r>
      <w:r w:rsidRPr="007B35AC">
        <w:rPr>
          <w:rFonts w:ascii="Calibri" w:eastAsia="Calibri" w:hAnsi="Calibri" w:cs="Arial"/>
        </w:rPr>
        <w:t>Web Beacons to collect information about when you visit the website, when you use the services, your browser type and version, your operating system, and other similar information.</w:t>
      </w:r>
    </w:p>
    <w:p w14:paraId="623469E4" w14:textId="77777777" w:rsidR="007B35AC" w:rsidRPr="007B35AC" w:rsidRDefault="007B35AC" w:rsidP="007B35AC">
      <w:pPr>
        <w:rPr>
          <w:rFonts w:ascii="Calibri" w:eastAsia="Calibri" w:hAnsi="Calibri" w:cs="Arial"/>
        </w:rPr>
      </w:pPr>
      <w:r w:rsidRPr="007B35AC">
        <w:rPr>
          <w:rFonts w:ascii="Calibri" w:eastAsia="Calibri" w:hAnsi="Calibri" w:cs="Arial"/>
        </w:rPr>
        <w:t>Mailchimp is based in the United States of America (USA) and the information generated by cookies about your use of the website (including your IP address) will be transmitted to and stored by Mailchimp on servers located outside Australia.</w:t>
      </w:r>
    </w:p>
    <w:p w14:paraId="0FCF34D6" w14:textId="44EC4DEB" w:rsidR="007B35AC" w:rsidRPr="007B35AC" w:rsidRDefault="007B35AC" w:rsidP="007B35AC">
      <w:pPr>
        <w:rPr>
          <w:rFonts w:ascii="Calibri" w:eastAsia="Calibri" w:hAnsi="Calibri" w:cs="Arial"/>
        </w:rPr>
      </w:pPr>
      <w:r w:rsidRPr="007B35AC">
        <w:rPr>
          <w:rFonts w:ascii="Calibri" w:eastAsia="Calibri" w:hAnsi="Calibri" w:cs="Arial"/>
        </w:rPr>
        <w:t xml:space="preserve">You can opt out of our mailing list if you choose the ‘unsubscribe’ service provided by Mailchimp in every </w:t>
      </w:r>
      <w:proofErr w:type="gramStart"/>
      <w:r w:rsidRPr="007B35AC">
        <w:rPr>
          <w:rFonts w:ascii="Calibri" w:eastAsia="Calibri" w:hAnsi="Calibri" w:cs="Arial"/>
        </w:rPr>
        <w:t>email, or</w:t>
      </w:r>
      <w:proofErr w:type="gramEnd"/>
      <w:r w:rsidRPr="007B35AC">
        <w:rPr>
          <w:rFonts w:ascii="Calibri" w:eastAsia="Calibri" w:hAnsi="Calibri" w:cs="Arial"/>
        </w:rPr>
        <w:t xml:space="preserve"> contact the department. You can also disable or refuse cookies</w:t>
      </w:r>
      <w:r w:rsidR="0048211F">
        <w:rPr>
          <w:rFonts w:ascii="Calibri" w:eastAsia="Calibri" w:hAnsi="Calibri" w:cs="Arial"/>
        </w:rPr>
        <w:t>.</w:t>
      </w:r>
      <w:r w:rsidRPr="007B35AC">
        <w:rPr>
          <w:rFonts w:ascii="Calibri" w:eastAsia="Calibri" w:hAnsi="Calibri" w:cs="Arial"/>
        </w:rPr>
        <w:t xml:space="preserve"> However, you may not be able to use the services provided by Mailchimp if cookies are disabled. Should you wish to contact Mailchimp, you can find contact details on the </w:t>
      </w:r>
      <w:hyperlink r:id="rId44" w:tgtFrame="_blank" w:history="1">
        <w:r w:rsidRPr="007B35AC">
          <w:rPr>
            <w:rFonts w:ascii="Calibri" w:eastAsia="Calibri" w:hAnsi="Calibri" w:cs="Arial"/>
            <w:color w:val="287BB3"/>
            <w:u w:val="single"/>
          </w:rPr>
          <w:t>Contact Mailchimp</w:t>
        </w:r>
      </w:hyperlink>
      <w:r w:rsidRPr="007B35AC">
        <w:rPr>
          <w:rFonts w:ascii="Calibri" w:eastAsia="Calibri" w:hAnsi="Calibri" w:cs="Arial"/>
          <w:vertAlign w:val="superscript"/>
        </w:rPr>
        <w:footnoteReference w:id="34"/>
      </w:r>
      <w:r w:rsidRPr="007B35AC">
        <w:rPr>
          <w:rFonts w:ascii="Calibri" w:eastAsia="Calibri" w:hAnsi="Calibri" w:cs="Arial"/>
        </w:rPr>
        <w:t xml:space="preserve"> page.</w:t>
      </w:r>
    </w:p>
    <w:p w14:paraId="1B2ABA87" w14:textId="1DF9B360" w:rsidR="007B35AC" w:rsidRPr="007B35AC" w:rsidRDefault="007B35AC" w:rsidP="007B35AC">
      <w:pPr>
        <w:jc w:val="both"/>
        <w:rPr>
          <w:rFonts w:ascii="Calibri" w:eastAsia="Calibri" w:hAnsi="Calibri" w:cs="Arial"/>
        </w:rPr>
      </w:pPr>
      <w:r w:rsidRPr="007B35AC">
        <w:rPr>
          <w:rFonts w:ascii="Calibri" w:eastAsia="Calibri" w:hAnsi="Calibri" w:cs="Arial"/>
        </w:rPr>
        <w:lastRenderedPageBreak/>
        <w:t>If you do not unsubscribe or contact the department to opt out of the mailing list</w:t>
      </w:r>
      <w:r w:rsidR="007F0FB4">
        <w:rPr>
          <w:rFonts w:ascii="Calibri" w:eastAsia="Calibri" w:hAnsi="Calibri" w:cs="Arial"/>
        </w:rPr>
        <w:t>,</w:t>
      </w:r>
      <w:r w:rsidRPr="007B35AC">
        <w:rPr>
          <w:rFonts w:ascii="Calibri" w:eastAsia="Calibri" w:hAnsi="Calibri" w:cs="Arial"/>
        </w:rPr>
        <w:t xml:space="preserve"> you: </w:t>
      </w:r>
    </w:p>
    <w:p w14:paraId="51429D24" w14:textId="77777777" w:rsidR="007B35AC" w:rsidRPr="007B35AC" w:rsidRDefault="007B35AC" w:rsidP="007B35AC">
      <w:pPr>
        <w:pStyle w:val="ListBullet"/>
      </w:pPr>
      <w:r w:rsidRPr="007B35AC">
        <w:t xml:space="preserve">consent to your personal information being collected, used, disclosed and stored as set out in </w:t>
      </w:r>
      <w:hyperlink r:id="rId45" w:tgtFrame="_blank" w:history="1">
        <w:r w:rsidRPr="007B35AC">
          <w:rPr>
            <w:color w:val="287BB3"/>
            <w:u w:val="single"/>
          </w:rPr>
          <w:t>Mailchimp's Privacy Policy</w:t>
        </w:r>
      </w:hyperlink>
      <w:r w:rsidRPr="007B35AC">
        <w:rPr>
          <w:vertAlign w:val="superscript"/>
        </w:rPr>
        <w:footnoteReference w:id="35"/>
      </w:r>
      <w:r w:rsidRPr="007B35AC">
        <w:rPr>
          <w:vertAlign w:val="superscript"/>
        </w:rPr>
        <w:t xml:space="preserve"> </w:t>
      </w:r>
      <w:r w:rsidRPr="007B35AC">
        <w:t xml:space="preserve">and agree to abide by </w:t>
      </w:r>
      <w:hyperlink r:id="rId46" w:tgtFrame="_blank" w:history="1">
        <w:r w:rsidRPr="007B35AC">
          <w:rPr>
            <w:color w:val="287BB3"/>
            <w:u w:val="single"/>
          </w:rPr>
          <w:t>Mailchimp's Terms of Use</w:t>
        </w:r>
      </w:hyperlink>
      <w:r w:rsidRPr="007B35AC">
        <w:rPr>
          <w:vertAlign w:val="superscript"/>
        </w:rPr>
        <w:footnoteReference w:id="36"/>
      </w:r>
    </w:p>
    <w:p w14:paraId="03934E97" w14:textId="77777777" w:rsidR="007B35AC" w:rsidRPr="007B35AC" w:rsidRDefault="007B35AC" w:rsidP="007B35AC">
      <w:pPr>
        <w:pStyle w:val="ListBullet"/>
      </w:pPr>
      <w:r w:rsidRPr="007B35AC">
        <w:t xml:space="preserve">understand and acknowledge that this service utilises a Mailchimp platform which </w:t>
      </w:r>
      <w:proofErr w:type="gramStart"/>
      <w:r w:rsidRPr="007B35AC">
        <w:t>is located in</w:t>
      </w:r>
      <w:proofErr w:type="gramEnd"/>
      <w:r w:rsidRPr="007B35AC">
        <w:t xml:space="preserve"> the USA and relevant legislation of the USA will apply. This means you will need to seek redress under the laws of the USA for any privacy breaches by </w:t>
      </w:r>
      <w:proofErr w:type="gramStart"/>
      <w:r w:rsidRPr="007B35AC">
        <w:t>Mailchimp</w:t>
      </w:r>
      <w:proofErr w:type="gramEnd"/>
      <w:r w:rsidRPr="007B35AC">
        <w:t xml:space="preserve"> </w:t>
      </w:r>
    </w:p>
    <w:p w14:paraId="453AA888" w14:textId="25FAA77F" w:rsidR="007B35AC" w:rsidRDefault="007B35AC" w:rsidP="007B35AC">
      <w:pPr>
        <w:pStyle w:val="ListBullet"/>
      </w:pPr>
      <w:r w:rsidRPr="007B35AC">
        <w:t>understand and acknowledge that Mailchimp is not subject to the Commonwealth Privacy Act and the department will not have an obligation to take reasonable steps to ensure that Mailchimp does not breach the APPs in relation to personal information that is given to Mailchimp.</w:t>
      </w:r>
    </w:p>
    <w:p w14:paraId="1BF868CA" w14:textId="07A48889" w:rsidR="009B0D07" w:rsidRPr="007B35AC" w:rsidRDefault="009B0D07" w:rsidP="007D1327">
      <w:r>
        <w:t>Mailchimp is not used in administering Workforce Australia programs.</w:t>
      </w:r>
    </w:p>
    <w:p w14:paraId="26750D41" w14:textId="30BBCC85" w:rsidR="00014A3F" w:rsidRDefault="00014A3F" w:rsidP="000037E8">
      <w:pPr>
        <w:pStyle w:val="Heading3"/>
      </w:pPr>
      <w:bookmarkStart w:id="39" w:name="_Toc136427263"/>
      <w:proofErr w:type="spellStart"/>
      <w:r>
        <w:t>Slido</w:t>
      </w:r>
      <w:bookmarkEnd w:id="39"/>
      <w:proofErr w:type="spellEnd"/>
    </w:p>
    <w:p w14:paraId="46CB977A" w14:textId="63920D66" w:rsidR="00014A3F" w:rsidRDefault="00014A3F" w:rsidP="000037E8">
      <w:r>
        <w:t xml:space="preserve">The department uses </w:t>
      </w:r>
      <w:proofErr w:type="spellStart"/>
      <w:r w:rsidR="007F0FB4">
        <w:t>S</w:t>
      </w:r>
      <w:r>
        <w:t>lido</w:t>
      </w:r>
      <w:proofErr w:type="spellEnd"/>
      <w:r>
        <w:t xml:space="preserve"> to engage participants in meetings through:</w:t>
      </w:r>
    </w:p>
    <w:p w14:paraId="04CB3559" w14:textId="19E648F9" w:rsidR="00014A3F" w:rsidRDefault="00014A3F" w:rsidP="000037E8">
      <w:pPr>
        <w:pStyle w:val="ListBullet"/>
      </w:pPr>
      <w:r>
        <w:t>live polls</w:t>
      </w:r>
    </w:p>
    <w:p w14:paraId="328A3CF1" w14:textId="0E7AD80E" w:rsidR="00014A3F" w:rsidRDefault="00014A3F" w:rsidP="000037E8">
      <w:pPr>
        <w:pStyle w:val="ListBullet"/>
      </w:pPr>
      <w:r>
        <w:t>live question and answer sessions</w:t>
      </w:r>
    </w:p>
    <w:p w14:paraId="1DE5A86B" w14:textId="70DD10F3" w:rsidR="00014A3F" w:rsidRDefault="00014A3F" w:rsidP="000037E8">
      <w:pPr>
        <w:pStyle w:val="ListBullet"/>
      </w:pPr>
      <w:r>
        <w:t>live quizzes</w:t>
      </w:r>
      <w:r w:rsidR="00012DC6">
        <w:t xml:space="preserve"> and</w:t>
      </w:r>
    </w:p>
    <w:p w14:paraId="3DDAFE1C" w14:textId="451743EA" w:rsidR="00014A3F" w:rsidRDefault="00014A3F" w:rsidP="000037E8">
      <w:pPr>
        <w:pStyle w:val="ListBullet"/>
      </w:pPr>
      <w:r>
        <w:t>generating a live word cloud</w:t>
      </w:r>
    </w:p>
    <w:p w14:paraId="55CC981B" w14:textId="4D02B39B" w:rsidR="00012DC6" w:rsidRPr="00014A3F" w:rsidRDefault="00012DC6" w:rsidP="007D1327">
      <w:r>
        <w:t xml:space="preserve">For further information about the type of personal information </w:t>
      </w:r>
      <w:proofErr w:type="spellStart"/>
      <w:r>
        <w:t>Slido</w:t>
      </w:r>
      <w:proofErr w:type="spellEnd"/>
      <w:r>
        <w:t xml:space="preserve"> collects, please refer to </w:t>
      </w:r>
      <w:hyperlink r:id="rId47" w:anchor="privacy-policy" w:history="1">
        <w:proofErr w:type="spellStart"/>
        <w:r w:rsidRPr="00012DC6">
          <w:rPr>
            <w:rStyle w:val="Hyperlink"/>
          </w:rPr>
          <w:t>Slido’s</w:t>
        </w:r>
        <w:proofErr w:type="spellEnd"/>
        <w:r w:rsidRPr="00012DC6">
          <w:rPr>
            <w:rStyle w:val="Hyperlink"/>
          </w:rPr>
          <w:t xml:space="preserve"> </w:t>
        </w:r>
        <w:r w:rsidRPr="00AD51DF">
          <w:rPr>
            <w:rStyle w:val="Hyperlink"/>
            <w:color w:val="287DB2" w:themeColor="accent6"/>
          </w:rPr>
          <w:t>Privacy Policy</w:t>
        </w:r>
      </w:hyperlink>
      <w:r>
        <w:t>.</w:t>
      </w:r>
      <w:r w:rsidR="005E2B7F">
        <w:rPr>
          <w:rStyle w:val="FootnoteReference"/>
        </w:rPr>
        <w:footnoteReference w:id="37"/>
      </w:r>
    </w:p>
    <w:p w14:paraId="76B61F74" w14:textId="2CE9F552" w:rsidR="007B35AC" w:rsidRDefault="007B35AC" w:rsidP="007B35AC">
      <w:pPr>
        <w:pStyle w:val="Heading2"/>
      </w:pPr>
      <w:bookmarkStart w:id="40" w:name="_Toc136427264"/>
      <w:bookmarkStart w:id="41" w:name="_Hlk126675606"/>
      <w:r w:rsidRPr="007B35AC">
        <w:t>Our website</w:t>
      </w:r>
      <w:bookmarkEnd w:id="40"/>
    </w:p>
    <w:p w14:paraId="43E19010" w14:textId="77777777" w:rsidR="007B35AC" w:rsidRDefault="007B35AC" w:rsidP="007B35AC">
      <w:pPr>
        <w:pStyle w:val="Heading3"/>
      </w:pPr>
      <w:bookmarkStart w:id="42" w:name="_Toc136427265"/>
      <w:r w:rsidRPr="007B35AC">
        <w:t>Passive collection</w:t>
      </w:r>
      <w:bookmarkEnd w:id="42"/>
    </w:p>
    <w:p w14:paraId="3F609772" w14:textId="77777777" w:rsidR="007B35AC" w:rsidRPr="007B35AC" w:rsidRDefault="007B35AC" w:rsidP="007B35AC">
      <w:pPr>
        <w:spacing w:line="360" w:lineRule="atLeast"/>
        <w:rPr>
          <w:rFonts w:ascii="Calibri" w:eastAsia="Calibri" w:hAnsi="Calibri" w:cs="Calibri"/>
          <w:color w:val="000000" w:themeColor="text1"/>
          <w:lang w:val="en"/>
        </w:rPr>
      </w:pPr>
      <w:r w:rsidRPr="007B35AC">
        <w:rPr>
          <w:rFonts w:ascii="Calibri" w:eastAsia="Calibri" w:hAnsi="Calibri" w:cs="Calibri"/>
          <w:color w:val="000000" w:themeColor="text1"/>
          <w:lang w:val="en"/>
        </w:rPr>
        <w:t xml:space="preserve">Your information </w:t>
      </w:r>
      <w:r w:rsidRPr="007B35AC">
        <w:rPr>
          <w:rFonts w:ascii="Times New Roman" w:eastAsia="Calibri" w:hAnsi="Times New Roman" w:cs="Times New Roman"/>
          <w:sz w:val="24"/>
          <w:szCs w:val="24"/>
        </w:rPr>
        <w:t xml:space="preserve">– </w:t>
      </w:r>
      <w:r w:rsidRPr="007B35AC">
        <w:rPr>
          <w:rFonts w:ascii="Calibri" w:eastAsia="Calibri" w:hAnsi="Calibri" w:cs="Calibri"/>
          <w:color w:val="000000" w:themeColor="text1"/>
          <w:lang w:val="en"/>
        </w:rPr>
        <w:t xml:space="preserve">including personal information </w:t>
      </w:r>
      <w:r w:rsidRPr="007B35AC">
        <w:rPr>
          <w:rFonts w:ascii="Times New Roman" w:eastAsia="Calibri" w:hAnsi="Times New Roman" w:cs="Times New Roman"/>
          <w:sz w:val="24"/>
          <w:szCs w:val="24"/>
        </w:rPr>
        <w:t xml:space="preserve">– </w:t>
      </w:r>
      <w:r w:rsidRPr="007B35AC">
        <w:rPr>
          <w:rFonts w:ascii="Calibri" w:eastAsia="Calibri" w:hAnsi="Calibri" w:cs="Calibri"/>
          <w:color w:val="000000" w:themeColor="text1"/>
          <w:lang w:val="en"/>
        </w:rPr>
        <w:t>is collected by a variety of software applications, services and platforms used by your device and by the department to support it to deliver services.</w:t>
      </w:r>
    </w:p>
    <w:p w14:paraId="779EBDE3" w14:textId="77777777" w:rsidR="007B35AC" w:rsidRPr="007B35AC" w:rsidRDefault="007B35AC" w:rsidP="007B35AC">
      <w:pPr>
        <w:spacing w:line="360" w:lineRule="atLeast"/>
        <w:rPr>
          <w:rFonts w:ascii="Calibri" w:eastAsia="Calibri" w:hAnsi="Calibri" w:cs="Calibri"/>
          <w:color w:val="000000" w:themeColor="text1"/>
          <w:lang w:val="en"/>
        </w:rPr>
      </w:pPr>
      <w:r w:rsidRPr="007B35AC">
        <w:rPr>
          <w:rFonts w:ascii="Calibri" w:eastAsia="Calibri" w:hAnsi="Calibri" w:cs="Calibri"/>
          <w:color w:val="000000" w:themeColor="text1"/>
          <w:lang w:val="en"/>
        </w:rPr>
        <w:t>This type of information collection is ‘passive’ as the department is not collecting this information directly and it does not directly relate to the department’s provision of services. Your consent for your information to be collected and shared in this way is typically obtained at the time you first use an application or service on your device.</w:t>
      </w:r>
    </w:p>
    <w:p w14:paraId="1FE7A6A0" w14:textId="77777777" w:rsidR="007B35AC" w:rsidRPr="007B35AC" w:rsidRDefault="007B35AC" w:rsidP="007B35AC">
      <w:pPr>
        <w:spacing w:line="360" w:lineRule="atLeast"/>
        <w:rPr>
          <w:rFonts w:ascii="Calibri" w:eastAsia="Calibri" w:hAnsi="Calibri" w:cs="Calibri"/>
          <w:color w:val="000000" w:themeColor="text1"/>
          <w:lang w:val="en"/>
        </w:rPr>
      </w:pPr>
      <w:r w:rsidRPr="007B35AC">
        <w:rPr>
          <w:rFonts w:ascii="Calibri" w:eastAsia="Calibri" w:hAnsi="Calibri" w:cs="Calibri"/>
          <w:color w:val="000000" w:themeColor="text1"/>
          <w:lang w:val="en"/>
        </w:rPr>
        <w:lastRenderedPageBreak/>
        <w:t>You can opt out of some of these passive data collections, including by:</w:t>
      </w:r>
    </w:p>
    <w:p w14:paraId="14F01707" w14:textId="77777777" w:rsidR="007B35AC" w:rsidRPr="007B35AC" w:rsidRDefault="007B35AC" w:rsidP="005F0822">
      <w:pPr>
        <w:pStyle w:val="ListBullet"/>
      </w:pPr>
      <w:r w:rsidRPr="007B35AC">
        <w:t>disabling / refusing cookies</w:t>
      </w:r>
    </w:p>
    <w:p w14:paraId="59B02548" w14:textId="77777777" w:rsidR="007B35AC" w:rsidRPr="007B35AC" w:rsidRDefault="007B35AC" w:rsidP="005F0822">
      <w:pPr>
        <w:pStyle w:val="ListBullet"/>
      </w:pPr>
      <w:r w:rsidRPr="007B35AC">
        <w:t>disabling JavaScript</w:t>
      </w:r>
    </w:p>
    <w:p w14:paraId="55932EC5" w14:textId="77777777" w:rsidR="007B35AC" w:rsidRPr="007B35AC" w:rsidRDefault="00000000" w:rsidP="005F0822">
      <w:pPr>
        <w:pStyle w:val="ListBullet"/>
      </w:pPr>
      <w:hyperlink r:id="rId48" w:history="1">
        <w:proofErr w:type="gramStart"/>
        <w:r w:rsidR="007B35AC" w:rsidRPr="007B35AC">
          <w:rPr>
            <w:color w:val="287BB3"/>
            <w:u w:val="single"/>
          </w:rPr>
          <w:t>opting-out</w:t>
        </w:r>
        <w:proofErr w:type="gramEnd"/>
        <w:r w:rsidR="007B35AC" w:rsidRPr="007B35AC">
          <w:rPr>
            <w:color w:val="287BB3"/>
            <w:u w:val="single"/>
          </w:rPr>
          <w:t xml:space="preserve"> of Google Analytics</w:t>
        </w:r>
      </w:hyperlink>
      <w:r w:rsidR="007B35AC" w:rsidRPr="007B35AC">
        <w:rPr>
          <w:vertAlign w:val="superscript"/>
        </w:rPr>
        <w:footnoteReference w:id="38"/>
      </w:r>
      <w:r w:rsidR="007B35AC" w:rsidRPr="007B35AC">
        <w:t xml:space="preserve"> </w:t>
      </w:r>
    </w:p>
    <w:p w14:paraId="0A761FD3" w14:textId="77777777" w:rsidR="007B35AC" w:rsidRPr="007B35AC" w:rsidRDefault="007B35AC" w:rsidP="005F0822">
      <w:pPr>
        <w:pStyle w:val="ListBullet"/>
      </w:pPr>
      <w:r w:rsidRPr="007B35AC">
        <w:t>disabling location services on your device.</w:t>
      </w:r>
    </w:p>
    <w:p w14:paraId="70AF9679" w14:textId="77777777" w:rsidR="007B35AC" w:rsidRPr="007B35AC" w:rsidRDefault="007B35AC" w:rsidP="007B35AC">
      <w:pPr>
        <w:spacing w:line="360" w:lineRule="auto"/>
        <w:rPr>
          <w:rFonts w:ascii="Calibri" w:eastAsia="Calibri" w:hAnsi="Calibri" w:cs="Arial"/>
        </w:rPr>
      </w:pPr>
      <w:r w:rsidRPr="007B35AC">
        <w:rPr>
          <w:rFonts w:ascii="Calibri" w:eastAsia="Calibri" w:hAnsi="Calibri" w:cs="Calibri"/>
          <w:color w:val="000000" w:themeColor="text1"/>
          <w:lang w:val="en"/>
        </w:rPr>
        <w:t>Additional advice regarding how to protect yourself online can be found at</w:t>
      </w:r>
      <w:r w:rsidRPr="007B35AC">
        <w:rPr>
          <w:rFonts w:ascii="Calibri" w:eastAsia="Calibri" w:hAnsi="Calibri" w:cs="Arial"/>
          <w:lang w:val="en"/>
        </w:rPr>
        <w:t xml:space="preserve"> </w:t>
      </w:r>
      <w:hyperlink r:id="rId49" w:history="1">
        <w:r w:rsidRPr="007B35AC">
          <w:rPr>
            <w:rFonts w:ascii="Calibri" w:eastAsia="Calibri" w:hAnsi="Calibri" w:cs="Arial"/>
            <w:color w:val="287BB3"/>
            <w:u w:val="single"/>
          </w:rPr>
          <w:t>Stay Smart Online</w:t>
        </w:r>
      </w:hyperlink>
      <w:r w:rsidRPr="007B35AC">
        <w:rPr>
          <w:rFonts w:ascii="Calibri" w:eastAsia="Calibri" w:hAnsi="Calibri" w:cs="Arial"/>
          <w:color w:val="287BB3"/>
          <w:u w:val="single"/>
        </w:rPr>
        <w:t>.</w:t>
      </w:r>
      <w:r w:rsidRPr="007B35AC">
        <w:rPr>
          <w:rFonts w:ascii="Calibri" w:eastAsia="Calibri" w:hAnsi="Calibri" w:cs="Arial"/>
          <w:vertAlign w:val="superscript"/>
        </w:rPr>
        <w:footnoteReference w:id="39"/>
      </w:r>
    </w:p>
    <w:p w14:paraId="1B2CA256" w14:textId="77777777" w:rsidR="007B35AC" w:rsidRDefault="007B35AC" w:rsidP="007B35AC">
      <w:pPr>
        <w:pStyle w:val="Heading3"/>
      </w:pPr>
      <w:bookmarkStart w:id="43" w:name="_Toc136427266"/>
      <w:r w:rsidRPr="007B35AC">
        <w:t>Active collection</w:t>
      </w:r>
      <w:bookmarkEnd w:id="43"/>
    </w:p>
    <w:p w14:paraId="1A5C72D2" w14:textId="77777777" w:rsidR="007B35AC" w:rsidRPr="007B35AC" w:rsidRDefault="007B35AC" w:rsidP="007B35AC">
      <w:pPr>
        <w:spacing w:line="360" w:lineRule="atLeast"/>
        <w:rPr>
          <w:rFonts w:ascii="Calibri" w:eastAsia="Calibri" w:hAnsi="Calibri" w:cs="Calibri"/>
          <w:color w:val="000000" w:themeColor="text1"/>
          <w:lang w:val="en"/>
        </w:rPr>
      </w:pPr>
      <w:r w:rsidRPr="007B35AC">
        <w:rPr>
          <w:rFonts w:ascii="Calibri" w:eastAsia="Calibri" w:hAnsi="Calibri" w:cs="Calibri"/>
          <w:color w:val="000000" w:themeColor="text1"/>
          <w:lang w:val="en"/>
        </w:rPr>
        <w:t xml:space="preserve">The department directly collects some of your information </w:t>
      </w:r>
      <w:r w:rsidRPr="007B35AC">
        <w:rPr>
          <w:rFonts w:ascii="Times New Roman" w:eastAsia="Calibri" w:hAnsi="Times New Roman" w:cs="Times New Roman"/>
          <w:sz w:val="24"/>
          <w:szCs w:val="24"/>
        </w:rPr>
        <w:t xml:space="preserve">– </w:t>
      </w:r>
      <w:r w:rsidRPr="007B35AC">
        <w:rPr>
          <w:rFonts w:ascii="Calibri" w:eastAsia="Calibri" w:hAnsi="Calibri" w:cs="Calibri"/>
          <w:color w:val="000000" w:themeColor="text1"/>
          <w:lang w:val="en"/>
        </w:rPr>
        <w:t xml:space="preserve">including personal information </w:t>
      </w:r>
      <w:r w:rsidRPr="007B35AC">
        <w:rPr>
          <w:rFonts w:ascii="Times New Roman" w:eastAsia="Calibri" w:hAnsi="Times New Roman" w:cs="Times New Roman"/>
          <w:sz w:val="24"/>
          <w:szCs w:val="24"/>
        </w:rPr>
        <w:t xml:space="preserve">– </w:t>
      </w:r>
      <w:r w:rsidRPr="007B35AC">
        <w:rPr>
          <w:rFonts w:ascii="Calibri" w:eastAsia="Calibri" w:hAnsi="Calibri" w:cs="Calibri"/>
          <w:color w:val="000000" w:themeColor="text1"/>
          <w:lang w:val="en"/>
        </w:rPr>
        <w:t xml:space="preserve">via its website. Generally, this information is collected to enable the department to </w:t>
      </w:r>
      <w:proofErr w:type="gramStart"/>
      <w:r w:rsidRPr="007B35AC">
        <w:rPr>
          <w:rFonts w:ascii="Calibri" w:eastAsia="Calibri" w:hAnsi="Calibri" w:cs="Calibri"/>
          <w:color w:val="000000" w:themeColor="text1"/>
          <w:lang w:val="en"/>
        </w:rPr>
        <w:t>properly and efficiently carry out its functions</w:t>
      </w:r>
      <w:proofErr w:type="gramEnd"/>
      <w:r w:rsidRPr="007B35AC">
        <w:rPr>
          <w:rFonts w:ascii="Calibri" w:eastAsia="Calibri" w:hAnsi="Calibri" w:cs="Calibri"/>
          <w:color w:val="000000" w:themeColor="text1"/>
          <w:lang w:val="en"/>
        </w:rPr>
        <w:t xml:space="preserve"> and deliver services to you.</w:t>
      </w:r>
    </w:p>
    <w:p w14:paraId="67AD90E4" w14:textId="77777777" w:rsidR="007B35AC" w:rsidRPr="007B35AC" w:rsidRDefault="007B35AC" w:rsidP="007B35AC">
      <w:pPr>
        <w:spacing w:line="360" w:lineRule="atLeast"/>
        <w:rPr>
          <w:rFonts w:ascii="Calibri" w:eastAsia="Calibri" w:hAnsi="Calibri" w:cs="Calibri"/>
          <w:color w:val="000000" w:themeColor="text1"/>
          <w:lang w:val="en"/>
        </w:rPr>
      </w:pPr>
      <w:r w:rsidRPr="007B35AC">
        <w:rPr>
          <w:rFonts w:ascii="Calibri" w:eastAsia="Calibri" w:hAnsi="Calibri" w:cs="Calibri"/>
          <w:color w:val="000000" w:themeColor="text1"/>
        </w:rPr>
        <w:t>No attempt is made to identify you through your browsing other than in exceptional circumstances, such as an investigation into the improper use of the website.</w:t>
      </w:r>
    </w:p>
    <w:tbl>
      <w:tblPr>
        <w:tblStyle w:val="JobsTable"/>
        <w:tblW w:w="0" w:type="auto"/>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620" w:firstRow="1" w:lastRow="0" w:firstColumn="0" w:lastColumn="0" w:noHBand="1" w:noVBand="1"/>
        <w:tblDescription w:val="Active collection information. See table for details"/>
      </w:tblPr>
      <w:tblGrid>
        <w:gridCol w:w="2064"/>
        <w:gridCol w:w="3994"/>
        <w:gridCol w:w="3002"/>
      </w:tblGrid>
      <w:tr w:rsidR="007B35AC" w:rsidRPr="007B35AC" w14:paraId="67F6C0CD" w14:textId="77777777" w:rsidTr="00CB113B">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089C7A49" w14:textId="77777777" w:rsidR="007B35AC" w:rsidRPr="007B35AC" w:rsidRDefault="007B35AC" w:rsidP="00CB113B">
            <w:pPr>
              <w:rPr>
                <w:rFonts w:eastAsia="Calibri" w:cs="Arial"/>
              </w:rPr>
            </w:pPr>
            <w:r w:rsidRPr="007B35AC">
              <w:rPr>
                <w:rFonts w:eastAsia="Calibri" w:cs="Arial"/>
              </w:rPr>
              <w:t>Information may be collected by:</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760BF4DE" w14:textId="77777777" w:rsidR="007B35AC" w:rsidRPr="007B35AC" w:rsidRDefault="007B35AC" w:rsidP="00CB113B">
            <w:pPr>
              <w:rPr>
                <w:rFonts w:eastAsia="Calibri" w:cs="Arial"/>
              </w:rPr>
            </w:pPr>
            <w:r w:rsidRPr="007B35AC">
              <w:rPr>
                <w:rFonts w:eastAsia="Calibri" w:cs="Arial"/>
              </w:rPr>
              <w:t>Type of information:</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43BDEB40" w14:textId="77777777" w:rsidR="007B35AC" w:rsidRPr="007B35AC" w:rsidRDefault="007B35AC" w:rsidP="00CB113B">
            <w:pPr>
              <w:rPr>
                <w:rFonts w:eastAsia="Calibri" w:cs="Arial"/>
              </w:rPr>
            </w:pPr>
            <w:r w:rsidRPr="007B35AC">
              <w:rPr>
                <w:rFonts w:eastAsia="Calibri" w:cs="Arial"/>
              </w:rPr>
              <w:t>Information collected to:</w:t>
            </w:r>
          </w:p>
        </w:tc>
      </w:tr>
      <w:tr w:rsidR="007B35AC" w:rsidRPr="007B35AC" w14:paraId="200F9113" w14:textId="77777777" w:rsidTr="00CB113B">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004F6E6A" w14:textId="77777777" w:rsidR="007B35AC" w:rsidRPr="007B35AC" w:rsidRDefault="007B35AC" w:rsidP="00CB113B">
            <w:pPr>
              <w:rPr>
                <w:rFonts w:eastAsia="Calibri"/>
              </w:rPr>
            </w:pPr>
            <w:r w:rsidRPr="007B35AC">
              <w:rPr>
                <w:rFonts w:eastAsia="Calibri"/>
              </w:rPr>
              <w:t>Internet browser</w:t>
            </w:r>
          </w:p>
          <w:p w14:paraId="024B883E" w14:textId="77777777" w:rsidR="007B35AC" w:rsidRPr="007B35AC" w:rsidRDefault="007B35AC" w:rsidP="00CB113B">
            <w:pPr>
              <w:rPr>
                <w:rFonts w:eastAsia="Calibri"/>
              </w:rPr>
            </w:pPr>
            <w:r w:rsidRPr="007B35AC">
              <w:rPr>
                <w:rFonts w:eastAsia="Calibri"/>
              </w:rPr>
              <w:t>Cookies</w:t>
            </w:r>
          </w:p>
          <w:p w14:paraId="26B65AB0" w14:textId="77777777" w:rsidR="007B35AC" w:rsidRPr="007B35AC" w:rsidRDefault="007B35AC" w:rsidP="00CB113B">
            <w:pPr>
              <w:rPr>
                <w:rFonts w:eastAsia="Calibri"/>
              </w:rPr>
            </w:pPr>
            <w:r w:rsidRPr="007B35AC">
              <w:rPr>
                <w:rFonts w:eastAsia="Calibri"/>
              </w:rPr>
              <w:t>Google Analytics</w:t>
            </w:r>
          </w:p>
          <w:p w14:paraId="3CC1E193" w14:textId="77777777" w:rsidR="007B35AC" w:rsidRPr="007B35AC" w:rsidRDefault="007B35AC" w:rsidP="00CB113B">
            <w:pPr>
              <w:rPr>
                <w:rFonts w:eastAsia="Calibri"/>
              </w:rPr>
            </w:pPr>
            <w:r w:rsidRPr="007B35AC">
              <w:rPr>
                <w:rFonts w:eastAsia="Calibri"/>
              </w:rPr>
              <w:t>Social media platforms</w:t>
            </w:r>
          </w:p>
          <w:p w14:paraId="74F7A193" w14:textId="77777777" w:rsidR="007B35AC" w:rsidRPr="007B35AC" w:rsidRDefault="007B35AC" w:rsidP="00CB113B">
            <w:pPr>
              <w:rPr>
                <w:rFonts w:eastAsia="Calibri"/>
              </w:rPr>
            </w:pPr>
            <w:r w:rsidRPr="007B35AC">
              <w:rPr>
                <w:rFonts w:eastAsia="Calibri"/>
              </w:rPr>
              <w:t>Qualtrics</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5AFE6C67" w14:textId="77777777" w:rsidR="007B35AC" w:rsidRPr="007B35AC" w:rsidRDefault="007B35AC" w:rsidP="00CB113B">
            <w:pPr>
              <w:rPr>
                <w:rFonts w:eastAsia="Calibri"/>
              </w:rPr>
            </w:pPr>
            <w:r w:rsidRPr="007B35AC">
              <w:rPr>
                <w:rFonts w:eastAsia="Calibri"/>
              </w:rPr>
              <w:t xml:space="preserve">Your browser </w:t>
            </w:r>
            <w:proofErr w:type="gramStart"/>
            <w:r w:rsidRPr="007B35AC">
              <w:rPr>
                <w:rFonts w:eastAsia="Calibri"/>
              </w:rPr>
              <w:t>type</w:t>
            </w:r>
            <w:proofErr w:type="gramEnd"/>
          </w:p>
          <w:p w14:paraId="6D9189C0" w14:textId="77777777" w:rsidR="007B35AC" w:rsidRPr="007B35AC" w:rsidRDefault="007B35AC" w:rsidP="00CB113B">
            <w:pPr>
              <w:rPr>
                <w:rFonts w:eastAsia="Calibri"/>
              </w:rPr>
            </w:pPr>
            <w:r w:rsidRPr="007B35AC">
              <w:rPr>
                <w:rFonts w:eastAsia="Calibri"/>
              </w:rPr>
              <w:t>Your browser language</w:t>
            </w:r>
          </w:p>
          <w:p w14:paraId="035E7EE5" w14:textId="77777777" w:rsidR="007B35AC" w:rsidRPr="007B35AC" w:rsidRDefault="007B35AC" w:rsidP="00CB113B">
            <w:pPr>
              <w:rPr>
                <w:rFonts w:eastAsia="Calibri"/>
              </w:rPr>
            </w:pPr>
            <w:r w:rsidRPr="007B35AC">
              <w:rPr>
                <w:rFonts w:eastAsia="Calibri"/>
              </w:rPr>
              <w:t xml:space="preserve">Your server </w:t>
            </w:r>
            <w:proofErr w:type="gramStart"/>
            <w:r w:rsidRPr="007B35AC">
              <w:rPr>
                <w:rFonts w:eastAsia="Calibri"/>
              </w:rPr>
              <w:t>address</w:t>
            </w:r>
            <w:proofErr w:type="gramEnd"/>
          </w:p>
          <w:p w14:paraId="5B36B948" w14:textId="77777777" w:rsidR="007B35AC" w:rsidRPr="007B35AC" w:rsidRDefault="007B35AC" w:rsidP="00CB113B">
            <w:pPr>
              <w:rPr>
                <w:rFonts w:eastAsia="Calibri"/>
              </w:rPr>
            </w:pPr>
            <w:r w:rsidRPr="007B35AC">
              <w:rPr>
                <w:rFonts w:eastAsia="Calibri"/>
              </w:rPr>
              <w:t>Your location (where location services are enabled on your device)</w:t>
            </w:r>
          </w:p>
          <w:p w14:paraId="043EF581" w14:textId="77777777" w:rsidR="007B35AC" w:rsidRPr="007B35AC" w:rsidRDefault="007B35AC" w:rsidP="00CB113B">
            <w:pPr>
              <w:rPr>
                <w:rFonts w:eastAsia="Calibri"/>
              </w:rPr>
            </w:pPr>
            <w:r w:rsidRPr="007B35AC">
              <w:rPr>
                <w:rFonts w:eastAsia="Calibri"/>
              </w:rPr>
              <w:t xml:space="preserve">Date and time you accessed a page on our </w:t>
            </w:r>
            <w:proofErr w:type="gramStart"/>
            <w:r w:rsidRPr="007B35AC">
              <w:rPr>
                <w:rFonts w:eastAsia="Calibri"/>
              </w:rPr>
              <w:t>site</w:t>
            </w:r>
            <w:proofErr w:type="gramEnd"/>
          </w:p>
          <w:p w14:paraId="7E5D19E5" w14:textId="57B29B1A" w:rsidR="007B35AC" w:rsidRPr="007B35AC" w:rsidRDefault="005E2BA5" w:rsidP="00CB113B">
            <w:pPr>
              <w:rPr>
                <w:rFonts w:eastAsia="Calibri"/>
              </w:rPr>
            </w:pPr>
            <w:r>
              <w:rPr>
                <w:rFonts w:eastAsia="Calibri"/>
              </w:rPr>
              <w:t>URL of the p</w:t>
            </w:r>
            <w:r w:rsidR="007B35AC" w:rsidRPr="007B35AC">
              <w:rPr>
                <w:rFonts w:eastAsia="Calibri"/>
              </w:rPr>
              <w:t xml:space="preserve">ages </w:t>
            </w:r>
            <w:proofErr w:type="gramStart"/>
            <w:r w:rsidR="007B35AC" w:rsidRPr="007B35AC">
              <w:rPr>
                <w:rFonts w:eastAsia="Calibri"/>
              </w:rPr>
              <w:t>accessed</w:t>
            </w:r>
            <w:proofErr w:type="gramEnd"/>
            <w:r w:rsidR="007B35AC" w:rsidRPr="007B35AC">
              <w:rPr>
                <w:rFonts w:eastAsia="Calibri"/>
              </w:rPr>
              <w:t xml:space="preserve"> and documents viewed on our site</w:t>
            </w:r>
          </w:p>
          <w:p w14:paraId="54B763B2" w14:textId="77777777" w:rsidR="007B35AC" w:rsidRPr="007B35AC" w:rsidRDefault="007B35AC" w:rsidP="00CB113B">
            <w:pPr>
              <w:rPr>
                <w:rFonts w:eastAsia="Calibri"/>
              </w:rPr>
            </w:pPr>
            <w:r w:rsidRPr="007B35AC">
              <w:rPr>
                <w:rFonts w:eastAsia="Calibri"/>
              </w:rPr>
              <w:t>How our website was accessed (</w:t>
            </w:r>
            <w:proofErr w:type="gramStart"/>
            <w:r w:rsidRPr="007B35AC">
              <w:rPr>
                <w:rFonts w:eastAsia="Calibri"/>
              </w:rPr>
              <w:t>e.g.</w:t>
            </w:r>
            <w:proofErr w:type="gramEnd"/>
            <w:r w:rsidRPr="007B35AC">
              <w:rPr>
                <w:rFonts w:eastAsia="Calibri"/>
              </w:rPr>
              <w:t xml:space="preserve"> from a search engine, link or advertisement)</w:t>
            </w:r>
          </w:p>
          <w:p w14:paraId="1A788719" w14:textId="77777777" w:rsidR="007B35AC" w:rsidRPr="007B35AC" w:rsidRDefault="007B35AC" w:rsidP="00CB113B">
            <w:pPr>
              <w:rPr>
                <w:rFonts w:eastAsia="Calibri"/>
              </w:rPr>
            </w:pPr>
            <w:r w:rsidRPr="007B35AC">
              <w:rPr>
                <w:rFonts w:eastAsia="Calibri"/>
              </w:rPr>
              <w:t xml:space="preserve"> </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1CE37EFC" w14:textId="77777777" w:rsidR="007B35AC" w:rsidRPr="007B35AC" w:rsidRDefault="007B35AC" w:rsidP="00CB113B">
            <w:pPr>
              <w:rPr>
                <w:rFonts w:eastAsia="Calibri"/>
              </w:rPr>
            </w:pPr>
            <w:r w:rsidRPr="007B35AC">
              <w:rPr>
                <w:rFonts w:eastAsia="Calibri"/>
              </w:rPr>
              <w:t xml:space="preserve">Measure the effectiveness of our </w:t>
            </w:r>
            <w:proofErr w:type="gramStart"/>
            <w:r w:rsidRPr="007B35AC">
              <w:rPr>
                <w:rFonts w:eastAsia="Calibri"/>
              </w:rPr>
              <w:t>content</w:t>
            </w:r>
            <w:proofErr w:type="gramEnd"/>
          </w:p>
          <w:p w14:paraId="5E8B462A" w14:textId="77777777" w:rsidR="007B35AC" w:rsidRPr="007B35AC" w:rsidRDefault="007B35AC" w:rsidP="00CB113B">
            <w:pPr>
              <w:rPr>
                <w:rFonts w:eastAsia="Calibri"/>
              </w:rPr>
            </w:pPr>
            <w:r w:rsidRPr="007B35AC">
              <w:rPr>
                <w:rFonts w:eastAsia="Calibri"/>
              </w:rPr>
              <w:t>Better tailor our content to our audience</w:t>
            </w:r>
          </w:p>
        </w:tc>
      </w:tr>
      <w:tr w:rsidR="007B35AC" w:rsidRPr="007B35AC" w14:paraId="28B01673" w14:textId="77777777" w:rsidTr="00CB113B">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103D5B40" w14:textId="77777777" w:rsidR="007B35AC" w:rsidRPr="007B35AC" w:rsidRDefault="007B35AC" w:rsidP="00CB113B">
            <w:pPr>
              <w:rPr>
                <w:rFonts w:eastAsia="Calibri"/>
              </w:rPr>
            </w:pPr>
            <w:r w:rsidRPr="007B35AC">
              <w:rPr>
                <w:rFonts w:eastAsia="Calibri"/>
              </w:rPr>
              <w:t>the department</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1CE25575" w14:textId="77777777" w:rsidR="007B35AC" w:rsidRPr="007B35AC" w:rsidRDefault="007B35AC" w:rsidP="00CB113B">
            <w:pPr>
              <w:rPr>
                <w:rFonts w:eastAsia="Calibri"/>
              </w:rPr>
            </w:pPr>
            <w:r w:rsidRPr="007B35AC">
              <w:rPr>
                <w:rFonts w:eastAsia="Calibri"/>
              </w:rPr>
              <w:t>Name</w:t>
            </w:r>
          </w:p>
          <w:p w14:paraId="31F52D9D" w14:textId="77777777" w:rsidR="007B35AC" w:rsidRPr="007B35AC" w:rsidRDefault="007B35AC" w:rsidP="00CB113B">
            <w:pPr>
              <w:rPr>
                <w:rFonts w:eastAsia="Calibri"/>
              </w:rPr>
            </w:pPr>
            <w:r w:rsidRPr="007B35AC">
              <w:rPr>
                <w:rFonts w:eastAsia="Calibri"/>
              </w:rPr>
              <w:t>Email address</w:t>
            </w:r>
          </w:p>
          <w:p w14:paraId="25E3BE26" w14:textId="77777777" w:rsidR="007B35AC" w:rsidRPr="007B35AC" w:rsidRDefault="007B35AC" w:rsidP="00CB113B">
            <w:pPr>
              <w:rPr>
                <w:rFonts w:eastAsia="Calibri"/>
              </w:rPr>
            </w:pPr>
            <w:r w:rsidRPr="007B35AC">
              <w:rPr>
                <w:rFonts w:eastAsia="Calibri"/>
              </w:rPr>
              <w:lastRenderedPageBreak/>
              <w:t>Phone number</w:t>
            </w:r>
          </w:p>
          <w:p w14:paraId="2D0270AD" w14:textId="77777777" w:rsidR="007B35AC" w:rsidRPr="007B35AC" w:rsidRDefault="007B35AC" w:rsidP="00CB113B">
            <w:pPr>
              <w:rPr>
                <w:rFonts w:eastAsia="Calibri"/>
              </w:rPr>
            </w:pPr>
            <w:r w:rsidRPr="007B35AC">
              <w:rPr>
                <w:rFonts w:eastAsia="Calibri"/>
              </w:rPr>
              <w:t>Education history</w:t>
            </w:r>
          </w:p>
          <w:p w14:paraId="51A97184" w14:textId="77777777" w:rsidR="007B35AC" w:rsidRPr="007B35AC" w:rsidRDefault="007B35AC" w:rsidP="00CB113B">
            <w:pPr>
              <w:rPr>
                <w:rFonts w:eastAsia="Calibri"/>
              </w:rPr>
            </w:pPr>
            <w:r w:rsidRPr="007B35AC">
              <w:rPr>
                <w:rFonts w:eastAsia="Calibri"/>
              </w:rPr>
              <w:t>Employment history</w:t>
            </w:r>
          </w:p>
        </w:tc>
        <w:tc>
          <w:tcPr>
            <w:tcW w:w="0" w:type="auto"/>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hideMark/>
          </w:tcPr>
          <w:p w14:paraId="6C74B888" w14:textId="77777777" w:rsidR="007B35AC" w:rsidRPr="007B35AC" w:rsidRDefault="007B35AC" w:rsidP="00CB113B">
            <w:pPr>
              <w:rPr>
                <w:rFonts w:eastAsia="Calibri"/>
              </w:rPr>
            </w:pPr>
            <w:r w:rsidRPr="007B35AC">
              <w:rPr>
                <w:rFonts w:eastAsia="Calibri"/>
              </w:rPr>
              <w:lastRenderedPageBreak/>
              <w:t xml:space="preserve">Deliver services to </w:t>
            </w:r>
            <w:proofErr w:type="gramStart"/>
            <w:r w:rsidRPr="007B35AC">
              <w:rPr>
                <w:rFonts w:eastAsia="Calibri"/>
              </w:rPr>
              <w:t>you</w:t>
            </w:r>
            <w:proofErr w:type="gramEnd"/>
          </w:p>
          <w:p w14:paraId="54D8229B" w14:textId="77777777" w:rsidR="007B35AC" w:rsidRPr="007B35AC" w:rsidRDefault="007B35AC" w:rsidP="00CB113B">
            <w:pPr>
              <w:rPr>
                <w:rFonts w:eastAsia="Calibri"/>
              </w:rPr>
            </w:pPr>
            <w:r w:rsidRPr="007B35AC">
              <w:rPr>
                <w:rFonts w:eastAsia="Calibri"/>
              </w:rPr>
              <w:t xml:space="preserve">Contact </w:t>
            </w:r>
            <w:proofErr w:type="gramStart"/>
            <w:r w:rsidRPr="007B35AC">
              <w:rPr>
                <w:rFonts w:eastAsia="Calibri"/>
              </w:rPr>
              <w:t>you</w:t>
            </w:r>
            <w:proofErr w:type="gramEnd"/>
          </w:p>
          <w:p w14:paraId="02B46F0D" w14:textId="77777777" w:rsidR="007B35AC" w:rsidRPr="007B35AC" w:rsidRDefault="007B35AC" w:rsidP="00CB113B">
            <w:pPr>
              <w:rPr>
                <w:rFonts w:eastAsia="Calibri"/>
              </w:rPr>
            </w:pPr>
            <w:r w:rsidRPr="007B35AC">
              <w:rPr>
                <w:rFonts w:eastAsia="Calibri"/>
              </w:rPr>
              <w:lastRenderedPageBreak/>
              <w:t xml:space="preserve">Identify </w:t>
            </w:r>
            <w:proofErr w:type="gramStart"/>
            <w:r w:rsidRPr="007B35AC">
              <w:rPr>
                <w:rFonts w:eastAsia="Calibri"/>
              </w:rPr>
              <w:t>you</w:t>
            </w:r>
            <w:proofErr w:type="gramEnd"/>
          </w:p>
          <w:p w14:paraId="5F14F7EC" w14:textId="77777777" w:rsidR="007B35AC" w:rsidRPr="007B35AC" w:rsidRDefault="007B35AC" w:rsidP="00CB113B">
            <w:pPr>
              <w:rPr>
                <w:rFonts w:eastAsia="Calibri"/>
              </w:rPr>
            </w:pPr>
            <w:r w:rsidRPr="007B35AC">
              <w:rPr>
                <w:rFonts w:eastAsia="Calibri"/>
              </w:rPr>
              <w:t xml:space="preserve">Subscribe you to a service or update you have </w:t>
            </w:r>
            <w:proofErr w:type="gramStart"/>
            <w:r w:rsidRPr="007B35AC">
              <w:rPr>
                <w:rFonts w:eastAsia="Calibri"/>
              </w:rPr>
              <w:t>requested</w:t>
            </w:r>
            <w:proofErr w:type="gramEnd"/>
          </w:p>
          <w:p w14:paraId="42780D66" w14:textId="77777777" w:rsidR="007B35AC" w:rsidRPr="007B35AC" w:rsidRDefault="007B35AC" w:rsidP="00CB113B">
            <w:pPr>
              <w:rPr>
                <w:rFonts w:eastAsia="Calibri"/>
              </w:rPr>
            </w:pPr>
            <w:r w:rsidRPr="007B35AC">
              <w:rPr>
                <w:rFonts w:eastAsia="Calibri"/>
              </w:rPr>
              <w:t xml:space="preserve">Evaluate our </w:t>
            </w:r>
            <w:proofErr w:type="gramStart"/>
            <w:r w:rsidRPr="007B35AC">
              <w:rPr>
                <w:rFonts w:eastAsia="Calibri"/>
              </w:rPr>
              <w:t>programs</w:t>
            </w:r>
            <w:proofErr w:type="gramEnd"/>
          </w:p>
          <w:p w14:paraId="12A6EBC8" w14:textId="77777777" w:rsidR="007B35AC" w:rsidRPr="007B35AC" w:rsidRDefault="007B35AC" w:rsidP="00CB113B">
            <w:pPr>
              <w:rPr>
                <w:rFonts w:eastAsia="Calibri"/>
              </w:rPr>
            </w:pPr>
            <w:r w:rsidRPr="007B35AC">
              <w:rPr>
                <w:rFonts w:eastAsia="Calibri"/>
              </w:rPr>
              <w:t>Inform policy development</w:t>
            </w:r>
          </w:p>
        </w:tc>
      </w:tr>
    </w:tbl>
    <w:p w14:paraId="0659F580" w14:textId="77777777" w:rsidR="007B35AC" w:rsidRDefault="007B35AC" w:rsidP="007B35AC">
      <w:pPr>
        <w:pStyle w:val="Heading3"/>
      </w:pPr>
      <w:bookmarkStart w:id="44" w:name="_Toc136427267"/>
      <w:bookmarkEnd w:id="41"/>
      <w:r w:rsidRPr="007B35AC">
        <w:lastRenderedPageBreak/>
        <w:t>Links to external websites and social networking services</w:t>
      </w:r>
      <w:bookmarkEnd w:id="44"/>
    </w:p>
    <w:p w14:paraId="442BDA0F" w14:textId="77777777" w:rsidR="007B35AC" w:rsidRPr="007B35AC" w:rsidRDefault="007B35AC" w:rsidP="007B35AC">
      <w:pPr>
        <w:rPr>
          <w:rFonts w:ascii="Calibri" w:eastAsia="Calibri" w:hAnsi="Calibri" w:cs="Arial"/>
        </w:rPr>
      </w:pPr>
      <w:r w:rsidRPr="007B35AC">
        <w:rPr>
          <w:rFonts w:ascii="Calibri" w:eastAsia="Calibri" w:hAnsi="Calibri" w:cs="Arial"/>
        </w:rPr>
        <w:t>Our website includes links to other websites. We are not responsible for the content and privacy practices of other websites. We recommend that you examine each website’s privacy policy separately.</w:t>
      </w:r>
    </w:p>
    <w:p w14:paraId="615951E1"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We also use social networking services such as Facebook, Twitter, Google+, YouTube, </w:t>
      </w:r>
      <w:proofErr w:type="gramStart"/>
      <w:r w:rsidRPr="007B35AC">
        <w:rPr>
          <w:rFonts w:ascii="Calibri" w:eastAsia="Calibri" w:hAnsi="Calibri" w:cs="Arial"/>
        </w:rPr>
        <w:t>Instagram</w:t>
      </w:r>
      <w:proofErr w:type="gramEnd"/>
      <w:r w:rsidRPr="007B35AC">
        <w:rPr>
          <w:rFonts w:ascii="Calibri" w:eastAsia="Calibri" w:hAnsi="Calibri" w:cs="Arial"/>
        </w:rPr>
        <w:t xml:space="preserve"> and Yammer to talk with the public and our staff. When you talk with us using these </w:t>
      </w:r>
      <w:proofErr w:type="gramStart"/>
      <w:r w:rsidRPr="007B35AC">
        <w:rPr>
          <w:rFonts w:ascii="Calibri" w:eastAsia="Calibri" w:hAnsi="Calibri" w:cs="Arial"/>
        </w:rPr>
        <w:t>services</w:t>
      </w:r>
      <w:proofErr w:type="gramEnd"/>
      <w:r w:rsidRPr="007B35AC">
        <w:rPr>
          <w:rFonts w:ascii="Calibri" w:eastAsia="Calibri" w:hAnsi="Calibri" w:cs="Arial"/>
        </w:rPr>
        <w:t xml:space="preserve"> we may collect your personal information to communicate with you and the public.</w:t>
      </w:r>
    </w:p>
    <w:p w14:paraId="3AA71C2D" w14:textId="77777777" w:rsidR="007B35AC" w:rsidRPr="007B35AC" w:rsidRDefault="007B35AC" w:rsidP="007B35AC">
      <w:pPr>
        <w:rPr>
          <w:rFonts w:ascii="Calibri" w:eastAsia="Calibri" w:hAnsi="Calibri" w:cs="Arial"/>
        </w:rPr>
      </w:pPr>
      <w:r w:rsidRPr="007B35AC">
        <w:rPr>
          <w:rFonts w:ascii="Calibri" w:eastAsia="Calibri" w:hAnsi="Calibri" w:cs="Arial"/>
        </w:rPr>
        <w:t>The social networking service will also handle your personal information for its own purposes. These services have their own privacy policies. You can access the privacy policies for these services on their websites.</w:t>
      </w:r>
    </w:p>
    <w:p w14:paraId="37F0B25B" w14:textId="77777777" w:rsidR="007B35AC" w:rsidRDefault="007B35AC" w:rsidP="007B35AC">
      <w:pPr>
        <w:pStyle w:val="Heading3"/>
      </w:pPr>
      <w:bookmarkStart w:id="45" w:name="_Toc136427268"/>
      <w:r w:rsidRPr="007B35AC">
        <w:t>Electronic communication</w:t>
      </w:r>
      <w:bookmarkEnd w:id="45"/>
    </w:p>
    <w:p w14:paraId="27F715E4" w14:textId="77777777" w:rsidR="007B35AC" w:rsidRPr="007B35AC" w:rsidRDefault="007B35AC" w:rsidP="007B35AC">
      <w:pPr>
        <w:rPr>
          <w:rFonts w:ascii="Calibri" w:eastAsia="Calibri" w:hAnsi="Calibri" w:cs="Arial"/>
        </w:rPr>
      </w:pPr>
      <w:r w:rsidRPr="007B35AC">
        <w:rPr>
          <w:rFonts w:ascii="Calibri" w:eastAsia="Calibri" w:hAnsi="Calibri" w:cs="Arial"/>
        </w:rPr>
        <w:t>There are inherent risks associated with the transmission of information over the internet, including via email. You should be aware of this when sending personal information to us via email or via our website or social media platforms. If this is of concern to you then you may use other methods of communication with us, such as post, fax or telephone (although these also have risks associated with them).</w:t>
      </w:r>
    </w:p>
    <w:p w14:paraId="4D0F9495" w14:textId="77777777" w:rsidR="007B35AC" w:rsidRDefault="007B35AC" w:rsidP="007B35AC">
      <w:pPr>
        <w:pStyle w:val="Heading2"/>
      </w:pPr>
      <w:bookmarkStart w:id="46" w:name="_Toc136427269"/>
      <w:r w:rsidRPr="007B35AC">
        <w:t>Use of digital platforms</w:t>
      </w:r>
      <w:bookmarkEnd w:id="46"/>
    </w:p>
    <w:p w14:paraId="69C40047" w14:textId="77777777" w:rsidR="007B35AC" w:rsidRDefault="007B35AC" w:rsidP="007B35AC">
      <w:pPr>
        <w:pStyle w:val="Heading3"/>
      </w:pPr>
      <w:bookmarkStart w:id="47" w:name="_Toc136427270"/>
      <w:r>
        <w:t>Swift Digital</w:t>
      </w:r>
      <w:bookmarkEnd w:id="47"/>
    </w:p>
    <w:p w14:paraId="1F4B9011"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We use Swift Digital to manage distribution lists and email subscription services. </w:t>
      </w:r>
      <w:proofErr w:type="gramStart"/>
      <w:r w:rsidRPr="007B35AC">
        <w:rPr>
          <w:rFonts w:ascii="Calibri" w:eastAsia="Calibri" w:hAnsi="Calibri" w:cs="Arial"/>
        </w:rPr>
        <w:t>In order to</w:t>
      </w:r>
      <w:proofErr w:type="gramEnd"/>
      <w:r w:rsidRPr="007B35AC">
        <w:rPr>
          <w:rFonts w:ascii="Calibri" w:eastAsia="Calibri" w:hAnsi="Calibri" w:cs="Arial"/>
        </w:rPr>
        <w:t xml:space="preserve"> provide these services, Swift Digital may collect personal information. The personal information collected may include your name, email address, and other details as required. </w:t>
      </w:r>
    </w:p>
    <w:p w14:paraId="30E2A1B6"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We use this personal information to personalise your content and for internal reporting, including evidence-based compliance activities. Swift Digital may also track your location, </w:t>
      </w:r>
      <w:proofErr w:type="gramStart"/>
      <w:r w:rsidRPr="007B35AC">
        <w:rPr>
          <w:rFonts w:ascii="Calibri" w:eastAsia="Calibri" w:hAnsi="Calibri" w:cs="Arial"/>
        </w:rPr>
        <w:t>device</w:t>
      </w:r>
      <w:proofErr w:type="gramEnd"/>
      <w:r w:rsidRPr="007B35AC">
        <w:rPr>
          <w:rFonts w:ascii="Calibri" w:eastAsia="Calibri" w:hAnsi="Calibri" w:cs="Arial"/>
        </w:rPr>
        <w:t xml:space="preserve"> and operating system, as well as your interaction with the email sent to you using the Swift Digital platform such as the timestamp for when you opened the email and clicked on a link contained in the email. For </w:t>
      </w:r>
      <w:r w:rsidRPr="007B35AC">
        <w:rPr>
          <w:rFonts w:ascii="Calibri" w:eastAsia="Calibri" w:hAnsi="Calibri" w:cs="Arial"/>
        </w:rPr>
        <w:lastRenderedPageBreak/>
        <w:t xml:space="preserve">further information about the type of personal information Swift Digital collects, please refer to </w:t>
      </w:r>
      <w:hyperlink r:id="rId50" w:history="1">
        <w:r w:rsidRPr="007B35AC">
          <w:rPr>
            <w:rFonts w:ascii="Calibri" w:eastAsia="Calibri" w:hAnsi="Calibri" w:cs="Arial"/>
            <w:color w:val="287BB3"/>
            <w:u w:val="single"/>
          </w:rPr>
          <w:t>Swift Digital’s Privacy Policy</w:t>
        </w:r>
      </w:hyperlink>
      <w:r w:rsidRPr="007B35AC">
        <w:rPr>
          <w:rFonts w:ascii="Calibri" w:eastAsia="Calibri" w:hAnsi="Calibri" w:cs="Arial"/>
        </w:rPr>
        <w:t>.</w:t>
      </w:r>
      <w:r w:rsidRPr="007B35AC">
        <w:rPr>
          <w:rFonts w:ascii="Calibri" w:eastAsia="Calibri" w:hAnsi="Calibri" w:cs="Arial"/>
          <w:vertAlign w:val="superscript"/>
        </w:rPr>
        <w:footnoteReference w:id="40"/>
      </w:r>
    </w:p>
    <w:p w14:paraId="01628C2D" w14:textId="114644B7" w:rsidR="007B35AC" w:rsidRDefault="007B35AC" w:rsidP="007B35AC">
      <w:pPr>
        <w:rPr>
          <w:rFonts w:ascii="Calibri" w:eastAsia="Calibri" w:hAnsi="Calibri" w:cs="Arial"/>
        </w:rPr>
      </w:pPr>
      <w:r w:rsidRPr="007B35AC">
        <w:rPr>
          <w:rFonts w:ascii="Calibri" w:eastAsia="Calibri" w:hAnsi="Calibri" w:cs="Arial"/>
        </w:rPr>
        <w:t xml:space="preserve">Swift Digital and its hosted servers are located within Australia. Your personal information collected by Swift Digital will be stored in Australia.  </w:t>
      </w:r>
    </w:p>
    <w:p w14:paraId="4FC6D1DC" w14:textId="7A0615FA" w:rsidR="009B0D07" w:rsidRPr="007B35AC" w:rsidRDefault="009B0D07" w:rsidP="007B35AC">
      <w:pPr>
        <w:rPr>
          <w:rFonts w:ascii="Calibri" w:eastAsia="Calibri" w:hAnsi="Calibri" w:cs="Arial"/>
        </w:rPr>
      </w:pPr>
      <w:r>
        <w:rPr>
          <w:rFonts w:ascii="Calibri" w:eastAsia="Calibri" w:hAnsi="Calibri" w:cs="Arial"/>
        </w:rPr>
        <w:t xml:space="preserve">Swift Digital is not used in administering Workforce Australia programs. </w:t>
      </w:r>
    </w:p>
    <w:p w14:paraId="3CA851A5" w14:textId="77777777" w:rsidR="007B35AC" w:rsidRDefault="007B35AC" w:rsidP="007B35AC">
      <w:pPr>
        <w:pStyle w:val="Heading3"/>
      </w:pPr>
      <w:bookmarkStart w:id="48" w:name="_Toc136427271"/>
      <w:r w:rsidRPr="007B35AC">
        <w:t>Qualtrics</w:t>
      </w:r>
      <w:bookmarkEnd w:id="48"/>
    </w:p>
    <w:p w14:paraId="205102BB"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The department uses Qualtrics for online application forms, to conduct internal and external surveys, and online consultations. The department may collect personal information such as name, email address, or other personal information as part of your response. </w:t>
      </w:r>
    </w:p>
    <w:p w14:paraId="5EE2926E"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The department uses this information for a range of purposes related to our work including to review or evaluate services, programs, </w:t>
      </w:r>
      <w:proofErr w:type="gramStart"/>
      <w:r w:rsidRPr="007B35AC">
        <w:rPr>
          <w:rFonts w:ascii="Calibri" w:eastAsia="Calibri" w:hAnsi="Calibri" w:cs="Arial"/>
        </w:rPr>
        <w:t>processes</w:t>
      </w:r>
      <w:proofErr w:type="gramEnd"/>
      <w:r w:rsidRPr="007B35AC">
        <w:rPr>
          <w:rFonts w:ascii="Calibri" w:eastAsia="Calibri" w:hAnsi="Calibri" w:cs="Arial"/>
        </w:rPr>
        <w:t xml:space="preserve"> and stakeholders’ experiences, or to help with the administration of our programs. </w:t>
      </w:r>
    </w:p>
    <w:p w14:paraId="35185F47" w14:textId="77777777" w:rsidR="007B35AC" w:rsidRPr="007B35AC" w:rsidRDefault="007B35AC" w:rsidP="007B35AC">
      <w:pPr>
        <w:rPr>
          <w:rFonts w:ascii="Calibri" w:eastAsia="Calibri" w:hAnsi="Calibri" w:cs="Arial"/>
        </w:rPr>
      </w:pPr>
      <w:r w:rsidRPr="007B35AC">
        <w:rPr>
          <w:rFonts w:ascii="Calibri" w:eastAsia="Calibri" w:hAnsi="Calibri" w:cs="Arial"/>
        </w:rPr>
        <w:t xml:space="preserve">Qualtrics does not usually have access to data collected through surveys. However, personal information may be shared with Qualtrics as part of Qualtrics providing support services to the department. For more information about how Qualtrics will handle personal information, please refer to the </w:t>
      </w:r>
      <w:hyperlink r:id="rId51" w:history="1">
        <w:r w:rsidRPr="007B35AC">
          <w:rPr>
            <w:rFonts w:ascii="Calibri" w:eastAsia="Calibri" w:hAnsi="Calibri" w:cs="Arial"/>
            <w:color w:val="287BB3"/>
            <w:u w:val="single"/>
          </w:rPr>
          <w:t>Qualtrics Privacy Policy</w:t>
        </w:r>
      </w:hyperlink>
      <w:r w:rsidRPr="007B35AC">
        <w:rPr>
          <w:rFonts w:ascii="Calibri" w:eastAsia="Calibri" w:hAnsi="Calibri" w:cs="Arial"/>
        </w:rPr>
        <w:t>.</w:t>
      </w:r>
      <w:r w:rsidRPr="007B35AC">
        <w:rPr>
          <w:rFonts w:ascii="Calibri" w:eastAsia="Calibri" w:hAnsi="Calibri" w:cs="Arial"/>
          <w:vertAlign w:val="superscript"/>
        </w:rPr>
        <w:footnoteReference w:id="41"/>
      </w:r>
    </w:p>
    <w:p w14:paraId="030BEE0E" w14:textId="5376C8E3" w:rsidR="007B35AC" w:rsidRDefault="007B35AC" w:rsidP="007B35AC">
      <w:pPr>
        <w:rPr>
          <w:rFonts w:ascii="Calibri" w:eastAsia="Calibri" w:hAnsi="Calibri" w:cs="Arial"/>
        </w:rPr>
      </w:pPr>
      <w:r w:rsidRPr="007B35AC">
        <w:rPr>
          <w:rFonts w:ascii="Calibri" w:eastAsia="Calibri" w:hAnsi="Calibri" w:cs="Arial"/>
        </w:rPr>
        <w:t xml:space="preserve">Qualtrics is an international organisation with offices based around the world, including in Australia. All data collected through the department’s Qualtrics licence is contractually stored in Australia, on </w:t>
      </w:r>
      <w:r w:rsidR="007F0FB4">
        <w:rPr>
          <w:rFonts w:ascii="Calibri" w:eastAsia="Calibri" w:hAnsi="Calibri" w:cs="Arial"/>
        </w:rPr>
        <w:t>c</w:t>
      </w:r>
      <w:r w:rsidRPr="007B35AC">
        <w:rPr>
          <w:rFonts w:ascii="Calibri" w:eastAsia="Calibri" w:hAnsi="Calibri" w:cs="Arial"/>
        </w:rPr>
        <w:t xml:space="preserve">loud-based data servers approved by the Australian Signals Directorate Cloud Computing List. </w:t>
      </w:r>
    </w:p>
    <w:p w14:paraId="0E693AD6" w14:textId="77777777" w:rsidR="003F262C" w:rsidRPr="009B172A" w:rsidRDefault="003F262C" w:rsidP="003F262C">
      <w:pPr>
        <w:pStyle w:val="Heading3"/>
      </w:pPr>
      <w:proofErr w:type="spellStart"/>
      <w:r w:rsidRPr="009B172A">
        <w:t>Converlens</w:t>
      </w:r>
      <w:proofErr w:type="spellEnd"/>
      <w:r w:rsidRPr="009B172A">
        <w:t xml:space="preserve"> </w:t>
      </w:r>
    </w:p>
    <w:p w14:paraId="7602CEF9" w14:textId="77777777" w:rsidR="003F262C" w:rsidRPr="009B172A" w:rsidRDefault="003F262C" w:rsidP="003F262C">
      <w:r w:rsidRPr="009B172A">
        <w:t xml:space="preserve">The department also uses </w:t>
      </w:r>
      <w:proofErr w:type="spellStart"/>
      <w:r w:rsidRPr="009B172A">
        <w:t>Converlens</w:t>
      </w:r>
      <w:proofErr w:type="spellEnd"/>
      <w:r w:rsidRPr="009B172A">
        <w:t xml:space="preserve"> to conduct external surveys and online consultations.  As a part of this process, the department may collect personal information such as name, email address, or other personal information as a part of your response.</w:t>
      </w:r>
    </w:p>
    <w:p w14:paraId="64CB1F3D" w14:textId="5D0A26C4" w:rsidR="003F262C" w:rsidRPr="009B172A" w:rsidRDefault="003F262C" w:rsidP="003F262C">
      <w:pPr>
        <w:rPr>
          <w:rFonts w:ascii="Calibri" w:eastAsia="Calibri" w:hAnsi="Calibri" w:cs="Arial"/>
        </w:rPr>
      </w:pPr>
      <w:r w:rsidRPr="009B172A">
        <w:rPr>
          <w:rFonts w:ascii="Calibri" w:eastAsia="Calibri" w:hAnsi="Calibri" w:cs="Arial"/>
        </w:rPr>
        <w:t xml:space="preserve">The department uses this information for a range of purposes related to its work including to </w:t>
      </w:r>
      <w:r w:rsidRPr="009B172A">
        <w:t xml:space="preserve">gain stakeholder insight to enable </w:t>
      </w:r>
      <w:r w:rsidRPr="009B172A">
        <w:rPr>
          <w:rFonts w:ascii="Calibri" w:eastAsia="Calibri" w:hAnsi="Calibri" w:cs="Arial"/>
        </w:rPr>
        <w:t xml:space="preserve">the department to plan, develop and consult on departmental policies and programs.  </w:t>
      </w:r>
      <w:proofErr w:type="spellStart"/>
      <w:r w:rsidRPr="009B172A">
        <w:rPr>
          <w:rFonts w:ascii="Calibri" w:eastAsia="Calibri" w:hAnsi="Calibri" w:cs="Arial"/>
        </w:rPr>
        <w:t>Converlens</w:t>
      </w:r>
      <w:proofErr w:type="spellEnd"/>
      <w:r w:rsidRPr="009B172A">
        <w:rPr>
          <w:rFonts w:ascii="Calibri" w:eastAsia="Calibri" w:hAnsi="Calibri" w:cs="Arial"/>
        </w:rPr>
        <w:t xml:space="preserve"> holds information collected though surveys and consultation securely in Australia. </w:t>
      </w:r>
    </w:p>
    <w:p w14:paraId="1D382828" w14:textId="63F6EDC4" w:rsidR="003F262C" w:rsidRDefault="003F262C" w:rsidP="007B35AC">
      <w:pPr>
        <w:rPr>
          <w:rFonts w:ascii="Calibri" w:eastAsia="Calibri" w:hAnsi="Calibri" w:cs="Arial"/>
        </w:rPr>
      </w:pPr>
      <w:r w:rsidRPr="009B172A">
        <w:rPr>
          <w:rFonts w:ascii="Calibri" w:eastAsia="Calibri" w:hAnsi="Calibri" w:cs="Arial"/>
        </w:rPr>
        <w:t xml:space="preserve">For more information about how </w:t>
      </w:r>
      <w:proofErr w:type="spellStart"/>
      <w:r w:rsidRPr="009B172A">
        <w:rPr>
          <w:rFonts w:ascii="Calibri" w:eastAsia="Calibri" w:hAnsi="Calibri" w:cs="Arial"/>
        </w:rPr>
        <w:t>Converlens</w:t>
      </w:r>
      <w:proofErr w:type="spellEnd"/>
      <w:r w:rsidRPr="009B172A">
        <w:rPr>
          <w:rFonts w:ascii="Calibri" w:eastAsia="Calibri" w:hAnsi="Calibri" w:cs="Arial"/>
        </w:rPr>
        <w:t xml:space="preserve"> will handle personal information, please refer to the </w:t>
      </w:r>
      <w:hyperlink r:id="rId52" w:history="1">
        <w:proofErr w:type="spellStart"/>
        <w:r w:rsidRPr="009B172A">
          <w:rPr>
            <w:rStyle w:val="Hyperlink"/>
            <w:rFonts w:ascii="Calibri" w:eastAsia="Calibri" w:hAnsi="Calibri" w:cs="Arial"/>
          </w:rPr>
          <w:t>Converlens</w:t>
        </w:r>
        <w:proofErr w:type="spellEnd"/>
        <w:r w:rsidRPr="009B172A">
          <w:rPr>
            <w:rStyle w:val="Hyperlink"/>
            <w:rFonts w:ascii="Calibri" w:eastAsia="Calibri" w:hAnsi="Calibri" w:cs="Arial"/>
          </w:rPr>
          <w:t xml:space="preserve"> Privacy Policy.</w:t>
        </w:r>
      </w:hyperlink>
      <w:r w:rsidRPr="009B172A">
        <w:rPr>
          <w:rStyle w:val="FootnoteReference"/>
          <w:rFonts w:ascii="Calibri" w:eastAsia="Calibri" w:hAnsi="Calibri" w:cs="Arial"/>
        </w:rPr>
        <w:footnoteReference w:id="42"/>
      </w:r>
      <w:r>
        <w:rPr>
          <w:rFonts w:ascii="Calibri" w:eastAsia="Calibri" w:hAnsi="Calibri" w:cs="Arial"/>
        </w:rPr>
        <w:t xml:space="preserve"> </w:t>
      </w:r>
    </w:p>
    <w:p w14:paraId="6B6DA32D" w14:textId="77777777" w:rsidR="009B0D07" w:rsidRDefault="009B0D07" w:rsidP="009B0D07">
      <w:pPr>
        <w:pStyle w:val="Heading3"/>
      </w:pPr>
      <w:bookmarkStart w:id="49" w:name="_Toc136427272"/>
      <w:proofErr w:type="spellStart"/>
      <w:r>
        <w:t>SurveyManager</w:t>
      </w:r>
      <w:proofErr w:type="spellEnd"/>
      <w:r>
        <w:t xml:space="preserve"> (Australian Survey Research Group)</w:t>
      </w:r>
      <w:bookmarkEnd w:id="49"/>
    </w:p>
    <w:p w14:paraId="6819E7FC" w14:textId="07365FC2" w:rsidR="009B0D07" w:rsidRDefault="009B0D07" w:rsidP="009B0D07">
      <w:r>
        <w:t xml:space="preserve">The department also uses </w:t>
      </w:r>
      <w:proofErr w:type="spellStart"/>
      <w:r>
        <w:t>SurveyManager</w:t>
      </w:r>
      <w:proofErr w:type="spellEnd"/>
      <w:r>
        <w:t xml:space="preserve"> to conduct large-scale surveys of those people who use Workforce Australia programs. As a part of this process, the department may collect personal </w:t>
      </w:r>
      <w:r>
        <w:lastRenderedPageBreak/>
        <w:t>information such as name, email address, or other personal information as a part of question responses.</w:t>
      </w:r>
    </w:p>
    <w:p w14:paraId="44E5AB74" w14:textId="4441F89D" w:rsidR="009B0D07" w:rsidRDefault="009B0D07" w:rsidP="009B0D07">
      <w:r>
        <w:t>The department uses information surveys to gather information relating to employment and educational outcomes, quality of services and experiences of those people using Workforce Australia programs. This information enables the department to monitor the quality of services provided to people, to understand whether services are assisting people to gain employment or undertake education and to examine labour market outcomes for those assisted.</w:t>
      </w:r>
    </w:p>
    <w:p w14:paraId="39EF531D" w14:textId="31EB81DE" w:rsidR="009B0D07" w:rsidRDefault="009B0D07" w:rsidP="009B0D07">
      <w:proofErr w:type="spellStart"/>
      <w:r>
        <w:t>SurveyManager</w:t>
      </w:r>
      <w:proofErr w:type="spellEnd"/>
      <w:r>
        <w:t xml:space="preserve"> holds data collected through surveys securely in Australia via their Private Internet Cloud. This ensures they are fully compliant with Australian Privacy Principles. They are an Australian company headquartered in Melbourne.</w:t>
      </w:r>
    </w:p>
    <w:p w14:paraId="3DE7630D" w14:textId="3FCEB3E3" w:rsidR="009B0D07" w:rsidRPr="007D1327" w:rsidRDefault="009B0D07" w:rsidP="007B35AC">
      <w:r>
        <w:t xml:space="preserve">More information about their </w:t>
      </w:r>
      <w:hyperlink r:id="rId53" w:history="1">
        <w:r w:rsidRPr="00AD51DF">
          <w:rPr>
            <w:rStyle w:val="Hyperlink"/>
            <w:color w:val="287DB2" w:themeColor="accent6"/>
          </w:rPr>
          <w:t>Data Security</w:t>
        </w:r>
      </w:hyperlink>
      <w:r w:rsidR="005E2B7F" w:rsidRPr="00C36872">
        <w:rPr>
          <w:rStyle w:val="FootnoteReference"/>
          <w:color w:val="404246"/>
        </w:rPr>
        <w:footnoteReference w:id="43"/>
      </w:r>
      <w:r>
        <w:t xml:space="preserve"> is available online.</w:t>
      </w:r>
    </w:p>
    <w:p w14:paraId="4BD871CD" w14:textId="67A44FE4" w:rsidR="00F93CCF" w:rsidRDefault="00F93CCF" w:rsidP="00BB18B8">
      <w:pPr>
        <w:pStyle w:val="Heading2"/>
        <w:rPr>
          <w:rFonts w:eastAsia="Calibri"/>
        </w:rPr>
      </w:pPr>
      <w:bookmarkStart w:id="50" w:name="_Toc136427273"/>
      <w:r w:rsidRPr="00F93CCF">
        <w:rPr>
          <w:rFonts w:eastAsia="Calibri"/>
        </w:rPr>
        <w:t xml:space="preserve">Unauthorised access, use or disclosure of personal </w:t>
      </w:r>
      <w:proofErr w:type="gramStart"/>
      <w:r w:rsidRPr="00F93CCF">
        <w:rPr>
          <w:rFonts w:eastAsia="Calibri"/>
        </w:rPr>
        <w:t>information</w:t>
      </w:r>
      <w:bookmarkEnd w:id="50"/>
      <w:proofErr w:type="gramEnd"/>
    </w:p>
    <w:p w14:paraId="7F9D8D6C" w14:textId="77777777" w:rsidR="00F93CCF" w:rsidRPr="00F93CCF" w:rsidRDefault="00F93CCF" w:rsidP="00F93CCF">
      <w:pPr>
        <w:rPr>
          <w:rFonts w:ascii="Calibri" w:eastAsia="Calibri" w:hAnsi="Calibri" w:cs="Arial"/>
        </w:rPr>
      </w:pPr>
      <w:r w:rsidRPr="00F93CCF">
        <w:rPr>
          <w:rFonts w:ascii="Calibri" w:eastAsia="Calibri" w:hAnsi="Calibri" w:cs="Arial"/>
        </w:rPr>
        <w:t>We will take seriously and deal promptly with any unauthorised access, use or disclosure of personal information.</w:t>
      </w:r>
    </w:p>
    <w:p w14:paraId="5A47642A" w14:textId="3F2F497D" w:rsidR="00F93CCF" w:rsidRPr="00F93CCF" w:rsidRDefault="00F93CCF" w:rsidP="00F93CCF">
      <w:pPr>
        <w:rPr>
          <w:rFonts w:ascii="Calibri" w:eastAsia="Calibri" w:hAnsi="Calibri" w:cs="Arial"/>
        </w:rPr>
      </w:pPr>
      <w:r w:rsidRPr="00F93CCF">
        <w:rPr>
          <w:rFonts w:ascii="Calibri" w:eastAsia="Calibri" w:hAnsi="Calibri" w:cs="Arial"/>
        </w:rPr>
        <w:t>The Notifiable Data Breaches (NDB) scheme in Part IIIC of the Privacy Act, which commenced on 22</w:t>
      </w:r>
      <w:r w:rsidR="005E2B7F">
        <w:rPr>
          <w:rFonts w:ascii="Calibri" w:eastAsia="Calibri" w:hAnsi="Calibri" w:cs="Arial"/>
        </w:rPr>
        <w:t> </w:t>
      </w:r>
      <w:r w:rsidRPr="00F93CCF">
        <w:rPr>
          <w:rFonts w:ascii="Calibri" w:eastAsia="Calibri" w:hAnsi="Calibri" w:cs="Arial"/>
        </w:rPr>
        <w:t>February 2018, generally requires agencies and organisations to notify individuals whose personal information is involved in a data breach that is likely to result in serious harm to those individuals. These entities are also required to notify the Office of the Australian Information Commissioner. We comply with the NDB scheme when dealing with these types of data breaches.</w:t>
      </w:r>
    </w:p>
    <w:p w14:paraId="7FDA89E1" w14:textId="0F05955F" w:rsidR="00F93CCF" w:rsidRPr="00F93CCF" w:rsidRDefault="00F93CCF" w:rsidP="00F93CCF">
      <w:pPr>
        <w:spacing w:after="0" w:line="240" w:lineRule="auto"/>
        <w:rPr>
          <w:rFonts w:ascii="Times New Roman" w:eastAsia="Calibri" w:hAnsi="Times New Roman" w:cs="Times New Roman"/>
          <w:sz w:val="24"/>
          <w:szCs w:val="24"/>
          <w:lang w:eastAsia="en-AU"/>
        </w:rPr>
      </w:pPr>
      <w:r w:rsidRPr="00F93CCF">
        <w:rPr>
          <w:rFonts w:ascii="Calibri" w:eastAsia="Calibri" w:hAnsi="Calibri" w:cs="Arial"/>
        </w:rPr>
        <w:t>The department also has regard to relevant guidance material issued by the Office of the Australian Information Commissioner, including the ‘</w:t>
      </w:r>
      <w:hyperlink r:id="rId54" w:history="1">
        <w:r w:rsidRPr="00F93CCF">
          <w:rPr>
            <w:rFonts w:ascii="Calibri" w:eastAsia="Calibri" w:hAnsi="Calibri" w:cs="Arial"/>
            <w:color w:val="287BB3"/>
            <w:u w:val="single"/>
          </w:rPr>
          <w:t>Data breach preparation and response — A guide to managing data breaches in accordance with the Privacy Act 1988 (Cth)</w:t>
        </w:r>
      </w:hyperlink>
      <w:r w:rsidRPr="00AD51DF">
        <w:rPr>
          <w:rFonts w:ascii="Calibri" w:eastAsia="Calibri" w:hAnsi="Calibri" w:cs="Arial"/>
          <w:u w:val="single"/>
        </w:rPr>
        <w:t>’</w:t>
      </w:r>
      <w:r w:rsidR="00BB7E4E" w:rsidRPr="00AD51DF">
        <w:rPr>
          <w:rFonts w:ascii="Calibri" w:eastAsia="Calibri" w:hAnsi="Calibri" w:cs="Arial"/>
          <w:u w:val="single"/>
        </w:rPr>
        <w:t>,</w:t>
      </w:r>
      <w:r w:rsidRPr="00AD51DF">
        <w:rPr>
          <w:rFonts w:ascii="Calibri" w:eastAsia="Calibri" w:hAnsi="Calibri" w:cs="Arial"/>
          <w:vertAlign w:val="superscript"/>
        </w:rPr>
        <w:footnoteReference w:id="44"/>
      </w:r>
      <w:r w:rsidRPr="00AD51DF">
        <w:rPr>
          <w:rFonts w:ascii="Calibri" w:eastAsia="Calibri" w:hAnsi="Calibri" w:cs="Arial"/>
        </w:rPr>
        <w:t xml:space="preserve"> </w:t>
      </w:r>
      <w:r w:rsidRPr="00F93CCF">
        <w:rPr>
          <w:rFonts w:ascii="Calibri" w:eastAsia="Calibri" w:hAnsi="Calibri" w:cs="Arial"/>
        </w:rPr>
        <w:t xml:space="preserve">when responding to any incidents involving the unauthorised access of, use or disclosure of personal information. </w:t>
      </w:r>
    </w:p>
    <w:p w14:paraId="3B44E4D0" w14:textId="6AF6F943" w:rsidR="00F93CCF" w:rsidRDefault="00F93CCF" w:rsidP="00BB18B8">
      <w:pPr>
        <w:pStyle w:val="Heading1"/>
      </w:pPr>
      <w:bookmarkStart w:id="51" w:name="_Toc136427274"/>
      <w:r w:rsidRPr="00F93CCF">
        <w:t>Accessing and correcting your personal information</w:t>
      </w:r>
      <w:bookmarkEnd w:id="51"/>
    </w:p>
    <w:p w14:paraId="1FC56F49" w14:textId="5E758329" w:rsidR="00F93CCF" w:rsidRDefault="00F93CCF" w:rsidP="007B35AC">
      <w:pPr>
        <w:pStyle w:val="Heading2"/>
      </w:pPr>
      <w:bookmarkStart w:id="52" w:name="_Toc136427275"/>
      <w:r w:rsidRPr="00F93CCF">
        <w:t>How to seek access to and correction of personal information</w:t>
      </w:r>
      <w:bookmarkEnd w:id="52"/>
    </w:p>
    <w:p w14:paraId="27D9D390" w14:textId="77777777" w:rsidR="00F93CCF" w:rsidRPr="00F93CCF" w:rsidRDefault="00F93CCF" w:rsidP="00F93CCF">
      <w:pPr>
        <w:rPr>
          <w:rFonts w:ascii="Calibri" w:eastAsia="Calibri" w:hAnsi="Calibri" w:cs="Arial"/>
        </w:rPr>
      </w:pPr>
      <w:r w:rsidRPr="00F93CCF">
        <w:rPr>
          <w:rFonts w:ascii="Calibri" w:eastAsia="Calibri" w:hAnsi="Calibri" w:cs="Arial"/>
        </w:rPr>
        <w:t xml:space="preserve">You have a right under the Privacy Act to access personal information we hold about you. </w:t>
      </w:r>
    </w:p>
    <w:p w14:paraId="6A95FD79" w14:textId="77777777" w:rsidR="00F93CCF" w:rsidRPr="00F93CCF" w:rsidRDefault="00F93CCF" w:rsidP="00F93CCF">
      <w:pPr>
        <w:rPr>
          <w:rFonts w:ascii="Calibri" w:eastAsia="Calibri" w:hAnsi="Calibri" w:cs="Arial"/>
        </w:rPr>
      </w:pPr>
      <w:r w:rsidRPr="00F93CCF">
        <w:rPr>
          <w:rFonts w:ascii="Calibri" w:eastAsia="Calibri" w:hAnsi="Calibri" w:cs="Arial"/>
        </w:rPr>
        <w:t xml:space="preserve">You also have a right under the Privacy Act to request corrections of any personal information that we hold about you if you think the information is inaccurate, out-of-date, incomplete, </w:t>
      </w:r>
      <w:proofErr w:type="gramStart"/>
      <w:r w:rsidRPr="00F93CCF">
        <w:rPr>
          <w:rFonts w:ascii="Calibri" w:eastAsia="Calibri" w:hAnsi="Calibri" w:cs="Arial"/>
        </w:rPr>
        <w:t>irrelevant</w:t>
      </w:r>
      <w:proofErr w:type="gramEnd"/>
      <w:r w:rsidRPr="00F93CCF">
        <w:rPr>
          <w:rFonts w:ascii="Calibri" w:eastAsia="Calibri" w:hAnsi="Calibri" w:cs="Arial"/>
        </w:rPr>
        <w:t xml:space="preserve"> or misleading.</w:t>
      </w:r>
    </w:p>
    <w:p w14:paraId="1729F3B6" w14:textId="07926A7E" w:rsidR="00F93CCF" w:rsidRPr="00F93CCF" w:rsidRDefault="00F93CCF" w:rsidP="00F93CCF">
      <w:pPr>
        <w:rPr>
          <w:rFonts w:ascii="Calibri" w:eastAsia="Calibri" w:hAnsi="Calibri" w:cs="Arial"/>
        </w:rPr>
      </w:pPr>
      <w:r w:rsidRPr="00F93CCF">
        <w:rPr>
          <w:rFonts w:ascii="Calibri" w:eastAsia="Calibri" w:hAnsi="Calibri" w:cs="Arial"/>
        </w:rPr>
        <w:t xml:space="preserve">To access or seek correction of personal information we hold about you, please contact us using the contact details set out </w:t>
      </w:r>
      <w:r>
        <w:rPr>
          <w:rFonts w:ascii="Calibri" w:eastAsia="Calibri" w:hAnsi="Calibri" w:cs="Arial"/>
        </w:rPr>
        <w:t>below</w:t>
      </w:r>
      <w:r w:rsidRPr="00F93CCF">
        <w:rPr>
          <w:rFonts w:ascii="Calibri" w:eastAsia="Calibri" w:hAnsi="Calibri" w:cs="Arial"/>
        </w:rPr>
        <w:t>.</w:t>
      </w:r>
    </w:p>
    <w:p w14:paraId="5D35ABFC" w14:textId="67BBE6BC" w:rsidR="00F93CCF" w:rsidRDefault="00BB18B8" w:rsidP="00BB18B8">
      <w:pPr>
        <w:pStyle w:val="Heading2"/>
      </w:pPr>
      <w:bookmarkStart w:id="53" w:name="_Toc136427276"/>
      <w:r w:rsidRPr="00BB18B8">
        <w:lastRenderedPageBreak/>
        <w:t>Our access and correction process</w:t>
      </w:r>
      <w:bookmarkEnd w:id="53"/>
    </w:p>
    <w:p w14:paraId="12E31B2F" w14:textId="77777777" w:rsidR="00BB18B8" w:rsidRPr="00BB18B8" w:rsidRDefault="00BB18B8" w:rsidP="00BB18B8">
      <w:pPr>
        <w:rPr>
          <w:rFonts w:ascii="Calibri" w:eastAsia="Calibri" w:hAnsi="Calibri" w:cs="Arial"/>
        </w:rPr>
      </w:pPr>
      <w:bookmarkStart w:id="54" w:name="_Hlk83299794"/>
      <w:r w:rsidRPr="00BB18B8">
        <w:rPr>
          <w:rFonts w:ascii="Calibri" w:eastAsia="Calibri" w:hAnsi="Calibri" w:cs="Arial"/>
        </w:rPr>
        <w:t>If you request access to or correction of your personal information, we must respond to you within 30 calendar days.</w:t>
      </w:r>
    </w:p>
    <w:bookmarkEnd w:id="54"/>
    <w:p w14:paraId="2D96A215" w14:textId="77777777" w:rsidR="00BB18B8" w:rsidRPr="00BB18B8" w:rsidRDefault="00BB18B8" w:rsidP="00BB18B8">
      <w:pPr>
        <w:rPr>
          <w:rFonts w:ascii="Calibri" w:eastAsia="Calibri" w:hAnsi="Calibri" w:cs="Arial"/>
        </w:rPr>
      </w:pPr>
      <w:r w:rsidRPr="00BB18B8">
        <w:rPr>
          <w:rFonts w:ascii="Calibri" w:eastAsia="Calibri" w:hAnsi="Calibri" w:cs="Arial"/>
        </w:rPr>
        <w:t>While the Privacy Act requires that we give you access to or correct your personal information on request, it does set out circumstances in which we may refuse you access or decline to correct your personal information.</w:t>
      </w:r>
    </w:p>
    <w:p w14:paraId="06D4C877" w14:textId="77777777" w:rsidR="00BB18B8" w:rsidRPr="00BB18B8" w:rsidRDefault="00BB18B8" w:rsidP="00BB18B8">
      <w:pPr>
        <w:rPr>
          <w:rFonts w:ascii="Calibri" w:eastAsia="Calibri" w:hAnsi="Calibri" w:cs="Arial"/>
        </w:rPr>
      </w:pPr>
      <w:r w:rsidRPr="00BB18B8">
        <w:rPr>
          <w:rFonts w:ascii="Calibri" w:eastAsia="Calibri" w:hAnsi="Calibri" w:cs="Arial"/>
        </w:rPr>
        <w:t xml:space="preserve">If we refuse to give you access or decline to correct your personal </w:t>
      </w:r>
      <w:proofErr w:type="gramStart"/>
      <w:r w:rsidRPr="00BB18B8">
        <w:rPr>
          <w:rFonts w:ascii="Calibri" w:eastAsia="Calibri" w:hAnsi="Calibri" w:cs="Arial"/>
        </w:rPr>
        <w:t>information</w:t>
      </w:r>
      <w:proofErr w:type="gramEnd"/>
      <w:r w:rsidRPr="00BB18B8">
        <w:rPr>
          <w:rFonts w:ascii="Calibri" w:eastAsia="Calibri" w:hAnsi="Calibri" w:cs="Arial"/>
        </w:rPr>
        <w:t xml:space="preserve"> we will provide you with a written notice which, among other things, gives our reasons for refusing your request. </w:t>
      </w:r>
    </w:p>
    <w:p w14:paraId="2C1B1FA0" w14:textId="5974D687" w:rsidR="00BB18B8" w:rsidRPr="00A2790C" w:rsidRDefault="00BB18B8" w:rsidP="00BB18B8">
      <w:pPr>
        <w:rPr>
          <w:rFonts w:ascii="Calibri" w:eastAsia="Calibri" w:hAnsi="Calibri" w:cs="Arial"/>
        </w:rPr>
      </w:pPr>
      <w:r w:rsidRPr="00BB18B8">
        <w:rPr>
          <w:rFonts w:ascii="Calibri" w:eastAsia="Calibri" w:hAnsi="Calibri" w:cs="Arial"/>
        </w:rPr>
        <w:t xml:space="preserve">It is also possible to </w:t>
      </w:r>
      <w:proofErr w:type="gramStart"/>
      <w:r w:rsidRPr="00A2790C">
        <w:rPr>
          <w:rFonts w:ascii="Calibri" w:eastAsia="Calibri" w:hAnsi="Calibri" w:cs="Arial"/>
        </w:rPr>
        <w:t>access</w:t>
      </w:r>
      <w:proofErr w:type="gramEnd"/>
      <w:r w:rsidRPr="00A2790C">
        <w:rPr>
          <w:rFonts w:ascii="Calibri" w:eastAsia="Calibri" w:hAnsi="Calibri" w:cs="Arial"/>
        </w:rPr>
        <w:t xml:space="preserve"> and correct documents held by us under the FOI Act. </w:t>
      </w:r>
      <w:bookmarkStart w:id="55" w:name="_Hlk83290863"/>
      <w:r w:rsidRPr="00A2790C">
        <w:rPr>
          <w:rFonts w:ascii="Calibri" w:eastAsia="Calibri" w:hAnsi="Calibri" w:cs="Arial"/>
        </w:rPr>
        <w:t>Further information about how to make an FOI application is available</w:t>
      </w:r>
      <w:bookmarkEnd w:id="55"/>
      <w:r w:rsidRPr="00A2790C">
        <w:rPr>
          <w:rFonts w:ascii="Calibri" w:eastAsia="Calibri" w:hAnsi="Calibri" w:cs="Arial"/>
        </w:rPr>
        <w:t xml:space="preserve"> on the </w:t>
      </w:r>
      <w:hyperlink r:id="rId55" w:history="1">
        <w:r w:rsidRPr="00A2790C">
          <w:rPr>
            <w:rFonts w:ascii="Calibri" w:eastAsia="Calibri" w:hAnsi="Calibri" w:cs="Arial"/>
            <w:color w:val="287BB3"/>
            <w:u w:val="single"/>
          </w:rPr>
          <w:t>Freedom of Information</w:t>
        </w:r>
      </w:hyperlink>
      <w:r w:rsidRPr="00A2790C">
        <w:rPr>
          <w:rFonts w:ascii="Calibri" w:eastAsia="Calibri" w:hAnsi="Calibri" w:cs="Arial"/>
          <w:vertAlign w:val="superscript"/>
        </w:rPr>
        <w:footnoteReference w:id="45"/>
      </w:r>
      <w:r w:rsidRPr="00A2790C">
        <w:rPr>
          <w:rFonts w:ascii="Calibri" w:eastAsia="Calibri" w:hAnsi="Calibri" w:cs="Arial"/>
        </w:rPr>
        <w:t xml:space="preserve"> page of our website. </w:t>
      </w:r>
      <w:bookmarkStart w:id="56" w:name="_Hlk83290876"/>
      <w:r w:rsidRPr="00A2790C">
        <w:rPr>
          <w:rFonts w:ascii="Calibri" w:eastAsia="Calibri" w:hAnsi="Calibri" w:cs="Arial"/>
        </w:rPr>
        <w:t xml:space="preserve">You can also contact our FOI team at </w:t>
      </w:r>
      <w:hyperlink r:id="rId56" w:history="1">
        <w:r w:rsidR="00773B68" w:rsidRPr="00AD51DF">
          <w:rPr>
            <w:rStyle w:val="Hyperlink"/>
            <w:rFonts w:ascii="Calibri" w:eastAsia="Calibri" w:hAnsi="Calibri" w:cs="Arial"/>
            <w:color w:val="287DB2" w:themeColor="accent6"/>
          </w:rPr>
          <w:t>FOI@dewr.gov.au</w:t>
        </w:r>
      </w:hyperlink>
      <w:r w:rsidRPr="00A2790C">
        <w:rPr>
          <w:rFonts w:ascii="Calibri" w:eastAsia="Calibri" w:hAnsi="Calibri" w:cs="Arial"/>
        </w:rPr>
        <w:t xml:space="preserve">. </w:t>
      </w:r>
      <w:bookmarkEnd w:id="56"/>
    </w:p>
    <w:p w14:paraId="2798FEEA" w14:textId="7AA40CBD" w:rsidR="00BB18B8" w:rsidRDefault="00BB18B8" w:rsidP="00BB18B8">
      <w:pPr>
        <w:rPr>
          <w:rFonts w:ascii="Calibri" w:eastAsia="Calibri" w:hAnsi="Calibri" w:cs="Arial"/>
        </w:rPr>
      </w:pPr>
      <w:r w:rsidRPr="00A2790C">
        <w:rPr>
          <w:rFonts w:ascii="Calibri" w:eastAsia="Calibri" w:hAnsi="Calibri" w:cs="Arial"/>
        </w:rPr>
        <w:t xml:space="preserve">For further information on requesting access to, or correction of, your personal information please read our </w:t>
      </w:r>
      <w:hyperlink r:id="rId57" w:history="1">
        <w:r w:rsidRPr="00A2790C">
          <w:rPr>
            <w:rFonts w:ascii="Calibri" w:eastAsia="Calibri" w:hAnsi="Calibri" w:cs="Arial"/>
            <w:color w:val="287BB3"/>
            <w:u w:val="single"/>
          </w:rPr>
          <w:t>Guide to Accessing and Correcting Personal Information</w:t>
        </w:r>
      </w:hyperlink>
      <w:r w:rsidRPr="00A2790C">
        <w:rPr>
          <w:rFonts w:ascii="Calibri" w:eastAsia="Calibri" w:hAnsi="Calibri" w:cs="Arial"/>
          <w:vertAlign w:val="superscript"/>
        </w:rPr>
        <w:footnoteReference w:id="46"/>
      </w:r>
      <w:r w:rsidRPr="00A2790C">
        <w:rPr>
          <w:rFonts w:ascii="Calibri" w:eastAsia="Calibri" w:hAnsi="Calibri" w:cs="Arial"/>
        </w:rPr>
        <w:t xml:space="preserve"> </w:t>
      </w:r>
      <w:bookmarkStart w:id="57" w:name="_Hlk83299753"/>
      <w:r w:rsidRPr="00A2790C">
        <w:rPr>
          <w:rFonts w:ascii="Calibri" w:eastAsia="Calibri" w:hAnsi="Calibri" w:cs="Arial"/>
        </w:rPr>
        <w:t>document on our website</w:t>
      </w:r>
      <w:bookmarkEnd w:id="57"/>
      <w:r w:rsidRPr="00A2790C">
        <w:rPr>
          <w:rFonts w:ascii="Calibri" w:eastAsia="Calibri" w:hAnsi="Calibri" w:cs="Arial"/>
        </w:rPr>
        <w:t>.</w:t>
      </w:r>
    </w:p>
    <w:p w14:paraId="251187B1" w14:textId="5277E475" w:rsidR="00BB18B8" w:rsidRDefault="00BB18B8" w:rsidP="00BB18B8">
      <w:pPr>
        <w:pStyle w:val="Heading2"/>
        <w:rPr>
          <w:rFonts w:eastAsia="Calibri"/>
        </w:rPr>
      </w:pPr>
      <w:bookmarkStart w:id="58" w:name="_Toc136427277"/>
      <w:r w:rsidRPr="00BB18B8">
        <w:rPr>
          <w:rFonts w:eastAsia="Calibri"/>
        </w:rPr>
        <w:t>If you are unsatisfied with our response</w:t>
      </w:r>
      <w:bookmarkEnd w:id="58"/>
    </w:p>
    <w:p w14:paraId="7C4922E9" w14:textId="21DBC051" w:rsidR="00BB18B8" w:rsidRPr="00BB18B8" w:rsidRDefault="00BB18B8" w:rsidP="00BB18B8">
      <w:pPr>
        <w:rPr>
          <w:rFonts w:ascii="Calibri" w:eastAsia="Calibri" w:hAnsi="Calibri" w:cs="Arial"/>
        </w:rPr>
      </w:pPr>
      <w:r w:rsidRPr="00BB18B8">
        <w:rPr>
          <w:rFonts w:ascii="Calibri" w:eastAsia="Calibri" w:hAnsi="Calibri" w:cs="Arial"/>
        </w:rPr>
        <w:t>If you are unsatisfied with our response, you may make a complaint, either directly to us (see </w:t>
      </w:r>
      <w:r w:rsidR="0073692B">
        <w:rPr>
          <w:rFonts w:ascii="Calibri" w:eastAsia="Calibri" w:hAnsi="Calibri" w:cs="Arial"/>
        </w:rPr>
        <w:t>our contact details below</w:t>
      </w:r>
      <w:r w:rsidRPr="00BB18B8">
        <w:rPr>
          <w:rFonts w:ascii="Calibri" w:eastAsia="Calibri" w:hAnsi="Calibri" w:cs="Arial"/>
        </w:rPr>
        <w:t>), or you may wish to contact:</w:t>
      </w:r>
    </w:p>
    <w:p w14:paraId="1CCD351D" w14:textId="77777777" w:rsidR="00BB18B8" w:rsidRPr="00BB18B8" w:rsidRDefault="00BB18B8" w:rsidP="00BB18B8">
      <w:pPr>
        <w:pStyle w:val="ListBullet"/>
      </w:pPr>
      <w:r w:rsidRPr="00BB18B8">
        <w:t xml:space="preserve">the Office of the Australian Information Commissioner at </w:t>
      </w:r>
      <w:hyperlink r:id="rId58" w:history="1">
        <w:r w:rsidRPr="00BB18B8">
          <w:rPr>
            <w:color w:val="287BB3"/>
            <w:u w:val="single"/>
          </w:rPr>
          <w:t>enquiries@oaic.gov.au</w:t>
        </w:r>
      </w:hyperlink>
      <w:r w:rsidRPr="00BB18B8">
        <w:t xml:space="preserve"> or telephone 1300 363 992</w:t>
      </w:r>
    </w:p>
    <w:p w14:paraId="077B65BE" w14:textId="79CE5409" w:rsidR="00BB18B8" w:rsidRPr="00BB18B8" w:rsidRDefault="00BB18B8" w:rsidP="00BB18B8">
      <w:pPr>
        <w:pStyle w:val="ListBullet"/>
      </w:pPr>
      <w:r w:rsidRPr="00BB18B8">
        <w:t xml:space="preserve">the Commonwealth Ombudsman by lodging a </w:t>
      </w:r>
      <w:hyperlink r:id="rId59" w:history="1">
        <w:r w:rsidRPr="00BB18B8">
          <w:rPr>
            <w:color w:val="287BB3"/>
            <w:u w:val="single"/>
          </w:rPr>
          <w:t>Complaint Form</w:t>
        </w:r>
      </w:hyperlink>
      <w:r w:rsidRPr="00BB18B8">
        <w:rPr>
          <w:vertAlign w:val="superscript"/>
        </w:rPr>
        <w:footnoteReference w:id="47"/>
      </w:r>
      <w:r w:rsidRPr="00BB18B8">
        <w:t xml:space="preserve"> online or by telephone 1300 362 072.</w:t>
      </w:r>
    </w:p>
    <w:p w14:paraId="5C844015" w14:textId="0FB3DCDA" w:rsidR="00BB18B8" w:rsidRPr="00BB18B8" w:rsidRDefault="00BB18B8" w:rsidP="00BB18B8">
      <w:pPr>
        <w:pStyle w:val="Heading1"/>
      </w:pPr>
      <w:bookmarkStart w:id="59" w:name="_Toc136427278"/>
      <w:r w:rsidRPr="00BB18B8">
        <w:t>Privacy Impact Assessments</w:t>
      </w:r>
      <w:bookmarkEnd w:id="59"/>
    </w:p>
    <w:p w14:paraId="2E8FB52E" w14:textId="1A44CEB0" w:rsidR="00BB18B8" w:rsidRPr="00BB18B8" w:rsidRDefault="00BB18B8" w:rsidP="00BB18B8">
      <w:pPr>
        <w:pStyle w:val="Heading2"/>
      </w:pPr>
      <w:bookmarkStart w:id="60" w:name="_Toc136427279"/>
      <w:r w:rsidRPr="00BB18B8">
        <w:t>What is a Privacy Impact Assessment</w:t>
      </w:r>
      <w:bookmarkEnd w:id="60"/>
    </w:p>
    <w:p w14:paraId="77E60770" w14:textId="2A0C81F5" w:rsidR="00F93CCF" w:rsidRDefault="00BB18B8" w:rsidP="00F93CCF">
      <w:r w:rsidRPr="00BB18B8">
        <w:t xml:space="preserve">A privacy impact assessment (PIA) is a systematic assessment of a project that identifies the impact that the project might have on the privacy of individuals, and sets out recommendations for managing, </w:t>
      </w:r>
      <w:proofErr w:type="gramStart"/>
      <w:r w:rsidRPr="00BB18B8">
        <w:t>minimising</w:t>
      </w:r>
      <w:proofErr w:type="gramEnd"/>
      <w:r w:rsidRPr="00BB18B8">
        <w:t xml:space="preserve"> or eliminating that impact.</w:t>
      </w:r>
    </w:p>
    <w:p w14:paraId="3CE269A6" w14:textId="2AB8AF33" w:rsidR="00BB18B8" w:rsidRDefault="00BB18B8" w:rsidP="00BB18B8">
      <w:pPr>
        <w:pStyle w:val="Heading2"/>
      </w:pPr>
      <w:bookmarkStart w:id="61" w:name="_Toc136427280"/>
      <w:r w:rsidRPr="00BB18B8">
        <w:t>When we conduct Privacy Impact Assessments</w:t>
      </w:r>
      <w:bookmarkEnd w:id="61"/>
    </w:p>
    <w:p w14:paraId="5DCF1C2D" w14:textId="6A92A66E" w:rsidR="00BB18B8" w:rsidRDefault="00BB18B8" w:rsidP="00BB18B8">
      <w:pPr>
        <w:rPr>
          <w:rFonts w:ascii="Calibri" w:eastAsia="Calibri" w:hAnsi="Calibri" w:cs="Arial"/>
        </w:rPr>
      </w:pPr>
      <w:r w:rsidRPr="00BB18B8">
        <w:rPr>
          <w:rFonts w:ascii="Calibri" w:eastAsia="Calibri" w:hAnsi="Calibri" w:cs="Arial"/>
        </w:rPr>
        <w:t xml:space="preserve">The </w:t>
      </w:r>
      <w:hyperlink r:id="rId60" w:history="1">
        <w:r w:rsidRPr="00BB18B8">
          <w:rPr>
            <w:rFonts w:ascii="Calibri" w:eastAsia="Calibri" w:hAnsi="Calibri" w:cs="Arial"/>
            <w:i/>
            <w:color w:val="287BB3"/>
            <w:u w:val="single"/>
          </w:rPr>
          <w:t>Privacy (Australian Government Agencies — Governance) APP Code 2017</w:t>
        </w:r>
      </w:hyperlink>
      <w:r w:rsidR="00C36872">
        <w:rPr>
          <w:rFonts w:ascii="Calibri" w:eastAsia="Calibri" w:hAnsi="Calibri" w:cs="Arial"/>
          <w:i/>
          <w:color w:val="287BB3"/>
          <w:u w:val="single"/>
        </w:rPr>
        <w:t xml:space="preserve"> </w:t>
      </w:r>
      <w:r w:rsidR="00C36872" w:rsidRPr="00B87513">
        <w:rPr>
          <w:rFonts w:ascii="Calibri" w:eastAsia="Calibri" w:hAnsi="Calibri" w:cs="Arial"/>
          <w:iCs/>
          <w:color w:val="287BB3"/>
          <w:u w:val="single"/>
        </w:rPr>
        <w:t>(Cth)</w:t>
      </w:r>
      <w:r w:rsidRPr="00B87513">
        <w:rPr>
          <w:rFonts w:ascii="Calibri" w:eastAsia="Calibri" w:hAnsi="Calibri" w:cs="Arial"/>
          <w:iCs/>
          <w:color w:val="287BB3"/>
          <w:vertAlign w:val="superscript"/>
        </w:rPr>
        <w:footnoteReference w:id="48"/>
      </w:r>
      <w:r w:rsidRPr="00C36872">
        <w:rPr>
          <w:rFonts w:ascii="Calibri" w:eastAsia="Calibri" w:hAnsi="Calibri" w:cs="Arial"/>
        </w:rPr>
        <w:t xml:space="preserve"> </w:t>
      </w:r>
      <w:r w:rsidRPr="00BB18B8">
        <w:rPr>
          <w:rFonts w:ascii="Calibri" w:eastAsia="Calibri" w:hAnsi="Calibri" w:cs="Arial"/>
        </w:rPr>
        <w:t xml:space="preserve">(Privacy Code) requires us to undertake a PIA in certain instances and to maintain a register of those PIAs from </w:t>
      </w:r>
      <w:r w:rsidRPr="00BB18B8">
        <w:rPr>
          <w:rFonts w:ascii="Calibri" w:eastAsia="Calibri" w:hAnsi="Calibri" w:cs="Arial"/>
        </w:rPr>
        <w:lastRenderedPageBreak/>
        <w:t xml:space="preserve">1 July 2018. In accordance with the Privacy Code, we publish </w:t>
      </w:r>
      <w:r w:rsidRPr="00A2790C">
        <w:rPr>
          <w:rFonts w:ascii="Calibri" w:eastAsia="Calibri" w:hAnsi="Calibri" w:cs="Arial"/>
        </w:rPr>
        <w:t xml:space="preserve">a version of our </w:t>
      </w:r>
      <w:hyperlink r:id="rId61" w:history="1">
        <w:r w:rsidRPr="00A2790C">
          <w:rPr>
            <w:rFonts w:ascii="Calibri" w:eastAsia="Calibri" w:hAnsi="Calibri" w:cs="Arial"/>
            <w:color w:val="287BB3"/>
            <w:u w:val="single"/>
          </w:rPr>
          <w:t>PIA register</w:t>
        </w:r>
      </w:hyperlink>
      <w:r w:rsidRPr="00A2790C">
        <w:rPr>
          <w:rFonts w:ascii="Calibri" w:eastAsia="Calibri" w:hAnsi="Calibri" w:cs="Arial"/>
          <w:vertAlign w:val="superscript"/>
        </w:rPr>
        <w:footnoteReference w:id="49"/>
      </w:r>
      <w:r w:rsidRPr="00A2790C">
        <w:rPr>
          <w:rFonts w:ascii="Calibri" w:eastAsia="Calibri" w:hAnsi="Calibri" w:cs="Arial"/>
        </w:rPr>
        <w:t xml:space="preserve"> o</w:t>
      </w:r>
      <w:r w:rsidRPr="00BB18B8">
        <w:rPr>
          <w:rFonts w:ascii="Calibri" w:eastAsia="Calibri" w:hAnsi="Calibri" w:cs="Arial"/>
        </w:rPr>
        <w:t>n our website.</w:t>
      </w:r>
    </w:p>
    <w:p w14:paraId="6B07B62E" w14:textId="7FF16AF4" w:rsidR="00BB18B8" w:rsidRDefault="00BB18B8" w:rsidP="00BB18B8">
      <w:pPr>
        <w:pStyle w:val="Heading1"/>
        <w:rPr>
          <w:rFonts w:eastAsia="Calibri"/>
        </w:rPr>
      </w:pPr>
      <w:bookmarkStart w:id="62" w:name="_Toc136427281"/>
      <w:r w:rsidRPr="00BB18B8">
        <w:rPr>
          <w:rFonts w:eastAsia="Calibri"/>
        </w:rPr>
        <w:t>Complaints</w:t>
      </w:r>
      <w:bookmarkEnd w:id="62"/>
    </w:p>
    <w:p w14:paraId="6BA114F0" w14:textId="04AD7BE1" w:rsidR="00BB18B8" w:rsidRDefault="00BB18B8" w:rsidP="00BB18B8">
      <w:pPr>
        <w:pStyle w:val="Heading2"/>
      </w:pPr>
      <w:bookmarkStart w:id="63" w:name="_Toc136427282"/>
      <w:r w:rsidRPr="00BB18B8">
        <w:t>How to make a complaint</w:t>
      </w:r>
      <w:bookmarkEnd w:id="63"/>
    </w:p>
    <w:p w14:paraId="41CC7354" w14:textId="3A04BA18" w:rsidR="00BB18B8" w:rsidRPr="00BB18B8" w:rsidRDefault="00BB18B8" w:rsidP="00BB18B8">
      <w:pPr>
        <w:rPr>
          <w:rFonts w:ascii="Calibri" w:eastAsia="Calibri" w:hAnsi="Calibri" w:cs="Arial"/>
        </w:rPr>
      </w:pPr>
      <w:r w:rsidRPr="00BB18B8">
        <w:rPr>
          <w:rFonts w:ascii="Calibri" w:eastAsia="Calibri" w:hAnsi="Calibri" w:cs="Arial"/>
        </w:rPr>
        <w:t xml:space="preserve">If you think we may have breached your privacy you may contact us to make a complaint using the contact details set out </w:t>
      </w:r>
      <w:r w:rsidR="007B35AC">
        <w:rPr>
          <w:rFonts w:ascii="Calibri" w:eastAsia="Calibri" w:hAnsi="Calibri" w:cs="Arial"/>
        </w:rPr>
        <w:t>below</w:t>
      </w:r>
      <w:r w:rsidRPr="00BB18B8">
        <w:rPr>
          <w:rFonts w:ascii="Calibri" w:eastAsia="Calibri" w:hAnsi="Calibri" w:cs="Arial"/>
        </w:rPr>
        <w:t xml:space="preserve">. </w:t>
      </w:r>
      <w:proofErr w:type="gramStart"/>
      <w:r w:rsidRPr="00BB18B8">
        <w:rPr>
          <w:rFonts w:ascii="Calibri" w:eastAsia="Calibri" w:hAnsi="Calibri" w:cs="Arial"/>
        </w:rPr>
        <w:t>In order to</w:t>
      </w:r>
      <w:proofErr w:type="gramEnd"/>
      <w:r w:rsidRPr="00BB18B8">
        <w:rPr>
          <w:rFonts w:ascii="Calibri" w:eastAsia="Calibri" w:hAnsi="Calibri" w:cs="Arial"/>
        </w:rPr>
        <w:t xml:space="preserve"> ensure that we fully understand the nature of your complaint and the outcome you are seeking, we prefer that you make your complaint in writing.</w:t>
      </w:r>
    </w:p>
    <w:p w14:paraId="5B713601" w14:textId="77777777" w:rsidR="00BB18B8" w:rsidRPr="00BB18B8" w:rsidRDefault="00BB18B8" w:rsidP="00BB18B8">
      <w:pPr>
        <w:rPr>
          <w:rFonts w:ascii="Calibri" w:eastAsia="Calibri" w:hAnsi="Calibri" w:cs="Arial"/>
        </w:rPr>
      </w:pPr>
      <w:r w:rsidRPr="00BB18B8">
        <w:rPr>
          <w:rFonts w:ascii="Calibri" w:eastAsia="Calibri" w:hAnsi="Calibri" w:cs="Arial"/>
        </w:rPr>
        <w:t>Please be aware that it may be difficult to investigate or respond to your complaint if you provide insufficient detail. You may submit an anonymous complaint, however if you do it may not be possible for us to provide a response to you.</w:t>
      </w:r>
    </w:p>
    <w:p w14:paraId="0E761EF0" w14:textId="56583D85" w:rsidR="00BB18B8" w:rsidRDefault="007B35AC" w:rsidP="007B35AC">
      <w:pPr>
        <w:pStyle w:val="Heading2"/>
      </w:pPr>
      <w:bookmarkStart w:id="64" w:name="_Toc136427283"/>
      <w:r w:rsidRPr="007B35AC">
        <w:t>Our complaint handling process</w:t>
      </w:r>
      <w:bookmarkEnd w:id="64"/>
    </w:p>
    <w:p w14:paraId="3BE046FF" w14:textId="77777777" w:rsidR="007B35AC" w:rsidRPr="007B35AC" w:rsidRDefault="007B35AC" w:rsidP="007B35AC">
      <w:pPr>
        <w:rPr>
          <w:rFonts w:ascii="Calibri" w:eastAsia="Calibri" w:hAnsi="Calibri" w:cs="Arial"/>
        </w:rPr>
      </w:pPr>
      <w:r w:rsidRPr="007B35AC">
        <w:rPr>
          <w:rFonts w:ascii="Calibri" w:eastAsia="Calibri" w:hAnsi="Calibri" w:cs="Arial"/>
        </w:rPr>
        <w:t>We are committed to quick and fair resolution of complaints and will ensure your complaint is taken seriously and investigated appropriately. You will not be victimised or suffer negative treatment if you make a complaint.</w:t>
      </w:r>
    </w:p>
    <w:p w14:paraId="26107DE1" w14:textId="13A1DB42" w:rsidR="007B35AC" w:rsidRPr="007B35AC" w:rsidRDefault="007B35AC" w:rsidP="007B35AC">
      <w:pPr>
        <w:rPr>
          <w:rFonts w:ascii="Calibri" w:eastAsia="Calibri" w:hAnsi="Calibri" w:cs="Arial"/>
        </w:rPr>
      </w:pPr>
      <w:r w:rsidRPr="007B35AC">
        <w:rPr>
          <w:rFonts w:ascii="Calibri" w:eastAsia="Calibri" w:hAnsi="Calibri" w:cs="Arial"/>
        </w:rPr>
        <w:t xml:space="preserve">For further information about our complaint handling process please read our </w:t>
      </w:r>
      <w:hyperlink r:id="rId62" w:history="1">
        <w:r w:rsidRPr="00A2790C">
          <w:rPr>
            <w:rFonts w:ascii="Calibri" w:eastAsia="Calibri" w:hAnsi="Calibri" w:cs="Arial"/>
            <w:color w:val="287BB3"/>
            <w:u w:val="single"/>
          </w:rPr>
          <w:t>Privacy Complaint Handling Procedures</w:t>
        </w:r>
      </w:hyperlink>
      <w:r w:rsidRPr="00A2790C">
        <w:rPr>
          <w:rFonts w:ascii="Calibri" w:eastAsia="Calibri" w:hAnsi="Calibri" w:cs="Arial"/>
          <w:vertAlign w:val="superscript"/>
        </w:rPr>
        <w:footnoteReference w:id="50"/>
      </w:r>
      <w:r w:rsidRPr="00A2790C">
        <w:rPr>
          <w:rFonts w:ascii="Calibri" w:eastAsia="Calibri" w:hAnsi="Calibri" w:cs="Arial"/>
        </w:rPr>
        <w:t xml:space="preserve"> </w:t>
      </w:r>
      <w:bookmarkStart w:id="65" w:name="_Hlk83299992"/>
      <w:r w:rsidRPr="00A2790C">
        <w:rPr>
          <w:rFonts w:ascii="Calibri" w:eastAsia="Calibri" w:hAnsi="Calibri" w:cs="Arial"/>
        </w:rPr>
        <w:t>document on our website</w:t>
      </w:r>
      <w:bookmarkEnd w:id="65"/>
      <w:r w:rsidRPr="00A2790C">
        <w:rPr>
          <w:rFonts w:ascii="Calibri" w:eastAsia="Calibri" w:hAnsi="Calibri" w:cs="Arial"/>
        </w:rPr>
        <w:t>.</w:t>
      </w:r>
    </w:p>
    <w:p w14:paraId="123D076A" w14:textId="0354705C" w:rsidR="007B35AC" w:rsidRDefault="007B35AC" w:rsidP="007B35AC">
      <w:pPr>
        <w:pStyle w:val="Heading2"/>
      </w:pPr>
      <w:bookmarkStart w:id="66" w:name="_Toc25675011"/>
      <w:bookmarkStart w:id="67" w:name="_Toc499807085"/>
      <w:bookmarkStart w:id="68" w:name="_Toc8228986"/>
      <w:bookmarkStart w:id="69" w:name="_Toc27483720"/>
      <w:bookmarkStart w:id="70" w:name="_Toc30591559"/>
      <w:bookmarkStart w:id="71" w:name="_Toc98231850"/>
      <w:bookmarkStart w:id="72" w:name="_Toc136427284"/>
      <w:r>
        <w:t>If you are unsatisfied with our response</w:t>
      </w:r>
      <w:bookmarkEnd w:id="66"/>
      <w:bookmarkEnd w:id="67"/>
      <w:bookmarkEnd w:id="68"/>
      <w:bookmarkEnd w:id="69"/>
      <w:bookmarkEnd w:id="70"/>
      <w:bookmarkEnd w:id="71"/>
      <w:bookmarkEnd w:id="72"/>
    </w:p>
    <w:p w14:paraId="7B002F92" w14:textId="77777777" w:rsidR="007B35AC" w:rsidRPr="007B35AC" w:rsidRDefault="007B35AC" w:rsidP="007B35AC">
      <w:pPr>
        <w:rPr>
          <w:rFonts w:ascii="Calibri" w:eastAsia="Calibri" w:hAnsi="Calibri" w:cs="Arial"/>
        </w:rPr>
      </w:pPr>
      <w:r w:rsidRPr="007B35AC">
        <w:rPr>
          <w:rFonts w:ascii="Calibri" w:eastAsia="Calibri" w:hAnsi="Calibri" w:cs="Arial"/>
        </w:rPr>
        <w:t>If you are not satisfied with the way we have handled your complaint in the first instance, you may contact the Office of the Australian Information Commissioner to refer your complaint for further investigation. Please note that the Information Commissioner may not investigate if you have not first brought your complaint to our attention.</w:t>
      </w:r>
    </w:p>
    <w:p w14:paraId="512DDE83" w14:textId="77777777" w:rsidR="007B35AC" w:rsidRPr="007B35AC" w:rsidRDefault="007B35AC" w:rsidP="007B35AC">
      <w:pPr>
        <w:tabs>
          <w:tab w:val="left" w:pos="1701"/>
        </w:tabs>
        <w:spacing w:after="0"/>
        <w:rPr>
          <w:rFonts w:ascii="Calibri" w:eastAsia="Calibri" w:hAnsi="Calibri" w:cs="Arial"/>
          <w:b/>
          <w:bCs/>
        </w:rPr>
      </w:pPr>
      <w:r w:rsidRPr="007B35AC">
        <w:rPr>
          <w:rFonts w:ascii="Calibri" w:eastAsia="Calibri" w:hAnsi="Calibri" w:cs="Arial"/>
          <w:b/>
          <w:bCs/>
        </w:rPr>
        <w:t>Office of the Australian Information Commissioner</w:t>
      </w:r>
    </w:p>
    <w:p w14:paraId="67BE25C6" w14:textId="77777777" w:rsidR="007B35AC" w:rsidRPr="007B35AC" w:rsidRDefault="007B35AC" w:rsidP="007B35AC">
      <w:pPr>
        <w:tabs>
          <w:tab w:val="left" w:pos="1701"/>
        </w:tabs>
        <w:spacing w:after="0"/>
        <w:rPr>
          <w:rFonts w:ascii="Calibri" w:eastAsia="Calibri" w:hAnsi="Calibri" w:cs="Arial"/>
        </w:rPr>
      </w:pPr>
      <w:r w:rsidRPr="007B35AC">
        <w:rPr>
          <w:rFonts w:ascii="Calibri" w:eastAsia="Calibri" w:hAnsi="Calibri" w:cs="Arial"/>
        </w:rPr>
        <w:t xml:space="preserve">Telephone: </w:t>
      </w:r>
      <w:r w:rsidRPr="007B35AC">
        <w:rPr>
          <w:rFonts w:ascii="Calibri" w:eastAsia="Calibri" w:hAnsi="Calibri" w:cs="Arial"/>
        </w:rPr>
        <w:tab/>
        <w:t>1300 363 992</w:t>
      </w:r>
    </w:p>
    <w:p w14:paraId="04BC0323" w14:textId="77777777" w:rsidR="007B35AC" w:rsidRPr="007B35AC" w:rsidRDefault="007B35AC" w:rsidP="007B35AC">
      <w:pPr>
        <w:tabs>
          <w:tab w:val="left" w:pos="1701"/>
        </w:tabs>
        <w:spacing w:after="0"/>
        <w:rPr>
          <w:rFonts w:ascii="Calibri" w:eastAsia="Calibri" w:hAnsi="Calibri" w:cs="Arial"/>
        </w:rPr>
      </w:pPr>
      <w:r w:rsidRPr="007B35AC">
        <w:rPr>
          <w:rFonts w:ascii="Calibri" w:eastAsia="Calibri" w:hAnsi="Calibri" w:cs="Arial"/>
        </w:rPr>
        <w:t xml:space="preserve">Email: </w:t>
      </w:r>
      <w:r w:rsidRPr="007B35AC">
        <w:rPr>
          <w:rFonts w:ascii="Calibri" w:eastAsia="Calibri" w:hAnsi="Calibri" w:cs="Arial"/>
        </w:rPr>
        <w:tab/>
      </w:r>
      <w:hyperlink r:id="rId63" w:history="1">
        <w:r w:rsidRPr="007B35AC">
          <w:rPr>
            <w:rFonts w:ascii="Calibri" w:eastAsia="Calibri" w:hAnsi="Calibri" w:cs="Arial"/>
            <w:color w:val="287BB3"/>
            <w:u w:val="single"/>
          </w:rPr>
          <w:t>enquiries@oaic.gov.au</w:t>
        </w:r>
      </w:hyperlink>
    </w:p>
    <w:p w14:paraId="3BD0FFE6" w14:textId="77777777" w:rsidR="007B35AC" w:rsidRPr="007B35AC" w:rsidRDefault="007B35AC" w:rsidP="007B35AC">
      <w:pPr>
        <w:tabs>
          <w:tab w:val="left" w:pos="1701"/>
        </w:tabs>
        <w:spacing w:after="0"/>
        <w:rPr>
          <w:rFonts w:ascii="Calibri" w:eastAsia="Calibri" w:hAnsi="Calibri" w:cs="Arial"/>
        </w:rPr>
      </w:pPr>
      <w:r w:rsidRPr="007B35AC">
        <w:rPr>
          <w:rFonts w:ascii="Calibri" w:eastAsia="Calibri" w:hAnsi="Calibri" w:cs="Arial"/>
        </w:rPr>
        <w:t xml:space="preserve">Post: </w:t>
      </w:r>
      <w:r w:rsidRPr="007B35AC">
        <w:rPr>
          <w:rFonts w:ascii="Calibri" w:eastAsia="Calibri" w:hAnsi="Calibri" w:cs="Arial"/>
        </w:rPr>
        <w:tab/>
        <w:t>GPO Box 5218</w:t>
      </w:r>
    </w:p>
    <w:p w14:paraId="5BF5FE82" w14:textId="77777777" w:rsidR="007B35AC" w:rsidRPr="007B35AC" w:rsidRDefault="007B35AC" w:rsidP="007B35AC">
      <w:pPr>
        <w:tabs>
          <w:tab w:val="left" w:pos="1701"/>
        </w:tabs>
        <w:spacing w:after="0"/>
        <w:rPr>
          <w:rFonts w:ascii="Calibri" w:eastAsia="Calibri" w:hAnsi="Calibri" w:cs="Arial"/>
        </w:rPr>
      </w:pPr>
      <w:r w:rsidRPr="007B35AC">
        <w:rPr>
          <w:rFonts w:ascii="Calibri" w:eastAsia="Calibri" w:hAnsi="Calibri" w:cs="Arial"/>
        </w:rPr>
        <w:tab/>
        <w:t>Sydney NSW 2001</w:t>
      </w:r>
    </w:p>
    <w:p w14:paraId="2EFBA0E2" w14:textId="0B9EEDDE" w:rsidR="007B35AC" w:rsidRDefault="006C2E97" w:rsidP="006C2E97">
      <w:pPr>
        <w:pStyle w:val="Heading1"/>
      </w:pPr>
      <w:bookmarkStart w:id="73" w:name="_Toc136427285"/>
      <w:r w:rsidRPr="006C2E97">
        <w:t>Contact Us</w:t>
      </w:r>
      <w:bookmarkEnd w:id="73"/>
    </w:p>
    <w:p w14:paraId="6B1803A3" w14:textId="518B51AC" w:rsidR="006C2E97" w:rsidRDefault="006C2E97" w:rsidP="006C2E97">
      <w:pPr>
        <w:pStyle w:val="Heading2"/>
      </w:pPr>
      <w:bookmarkStart w:id="74" w:name="_Toc25675013"/>
      <w:bookmarkStart w:id="75" w:name="_Ref25682039"/>
      <w:bookmarkStart w:id="76" w:name="_Ref25682137"/>
      <w:bookmarkStart w:id="77" w:name="_Ref25682208"/>
      <w:bookmarkStart w:id="78" w:name="_Toc499807087"/>
      <w:bookmarkStart w:id="79" w:name="_Toc8228988"/>
      <w:bookmarkStart w:id="80" w:name="_Toc27483722"/>
      <w:bookmarkStart w:id="81" w:name="_Toc30591561"/>
      <w:bookmarkStart w:id="82" w:name="_Toc98231852"/>
      <w:bookmarkStart w:id="83" w:name="_Toc136427286"/>
      <w:r>
        <w:t>General enquiries, complaints, requests for access or correction</w:t>
      </w:r>
      <w:bookmarkEnd w:id="74"/>
      <w:bookmarkEnd w:id="75"/>
      <w:bookmarkEnd w:id="76"/>
      <w:bookmarkEnd w:id="77"/>
      <w:bookmarkEnd w:id="78"/>
      <w:bookmarkEnd w:id="79"/>
      <w:bookmarkEnd w:id="80"/>
      <w:bookmarkEnd w:id="81"/>
      <w:bookmarkEnd w:id="82"/>
      <w:bookmarkEnd w:id="83"/>
    </w:p>
    <w:p w14:paraId="00EAB7C4" w14:textId="77777777" w:rsidR="006C2E97" w:rsidRPr="006C2E97" w:rsidRDefault="006C2E97" w:rsidP="006C2E97">
      <w:pPr>
        <w:rPr>
          <w:rFonts w:ascii="Calibri" w:eastAsia="Calibri" w:hAnsi="Calibri" w:cs="Arial"/>
        </w:rPr>
      </w:pPr>
      <w:bookmarkStart w:id="84" w:name="_Hlk83294734"/>
      <w:r w:rsidRPr="006C2E97">
        <w:rPr>
          <w:rFonts w:ascii="Calibri" w:eastAsia="Calibri" w:hAnsi="Calibri" w:cs="Arial"/>
        </w:rPr>
        <w:t>If you wish to:</w:t>
      </w:r>
    </w:p>
    <w:p w14:paraId="47988A4F" w14:textId="77777777" w:rsidR="006C2E97" w:rsidRPr="006C2E97" w:rsidRDefault="006C2E97" w:rsidP="006C2E97">
      <w:pPr>
        <w:pStyle w:val="ListBullet"/>
      </w:pPr>
      <w:r w:rsidRPr="006C2E97">
        <w:t xml:space="preserve">query how your personal information is collected, held, used or disclosed by </w:t>
      </w:r>
      <w:proofErr w:type="gramStart"/>
      <w:r w:rsidRPr="006C2E97">
        <w:t>us</w:t>
      </w:r>
      <w:proofErr w:type="gramEnd"/>
    </w:p>
    <w:p w14:paraId="41FEC3B4" w14:textId="77777777" w:rsidR="006C2E97" w:rsidRPr="006C2E97" w:rsidRDefault="006C2E97" w:rsidP="006C2E97">
      <w:pPr>
        <w:pStyle w:val="ListBullet"/>
      </w:pPr>
      <w:r w:rsidRPr="006C2E97">
        <w:t xml:space="preserve">ask us questions about this privacy </w:t>
      </w:r>
      <w:proofErr w:type="gramStart"/>
      <w:r w:rsidRPr="006C2E97">
        <w:t>policy</w:t>
      </w:r>
      <w:proofErr w:type="gramEnd"/>
    </w:p>
    <w:p w14:paraId="65A6AEE0" w14:textId="77777777" w:rsidR="006C2E97" w:rsidRPr="006C2E97" w:rsidRDefault="006C2E97" w:rsidP="006C2E97">
      <w:pPr>
        <w:pStyle w:val="ListBullet"/>
      </w:pPr>
      <w:r w:rsidRPr="006C2E97">
        <w:t xml:space="preserve">request access to or seek correction of your personal </w:t>
      </w:r>
      <w:proofErr w:type="gramStart"/>
      <w:r w:rsidRPr="006C2E97">
        <w:t>information</w:t>
      </w:r>
      <w:proofErr w:type="gramEnd"/>
    </w:p>
    <w:p w14:paraId="468FA316" w14:textId="77777777" w:rsidR="006C2E97" w:rsidRPr="006C2E97" w:rsidRDefault="006C2E97" w:rsidP="006C2E97">
      <w:pPr>
        <w:pStyle w:val="ListBullet"/>
      </w:pPr>
      <w:r w:rsidRPr="006C2E97">
        <w:lastRenderedPageBreak/>
        <w:t xml:space="preserve">make a privacy </w:t>
      </w:r>
      <w:proofErr w:type="gramStart"/>
      <w:r w:rsidRPr="006C2E97">
        <w:t>complaint</w:t>
      </w:r>
      <w:proofErr w:type="gramEnd"/>
    </w:p>
    <w:p w14:paraId="0F70696C" w14:textId="77777777" w:rsidR="006C2E97" w:rsidRPr="006C2E97" w:rsidRDefault="006C2E97" w:rsidP="006C2E97">
      <w:pPr>
        <w:rPr>
          <w:rFonts w:ascii="Calibri" w:eastAsia="Calibri" w:hAnsi="Calibri" w:cs="Arial"/>
        </w:rPr>
      </w:pPr>
      <w:r w:rsidRPr="006C2E97">
        <w:rPr>
          <w:rFonts w:ascii="Calibri" w:eastAsia="Calibri" w:hAnsi="Calibri" w:cs="Arial"/>
        </w:rPr>
        <w:t>please contact us:</w:t>
      </w:r>
    </w:p>
    <w:bookmarkEnd w:id="84"/>
    <w:p w14:paraId="66891352" w14:textId="77777777" w:rsidR="006C2E97" w:rsidRPr="006C2E97" w:rsidRDefault="006C2E97" w:rsidP="006C2E97">
      <w:pPr>
        <w:rPr>
          <w:rFonts w:ascii="Calibri" w:eastAsia="Calibri" w:hAnsi="Calibri" w:cs="Arial"/>
          <w:b/>
          <w:bCs/>
        </w:rPr>
      </w:pPr>
      <w:r w:rsidRPr="006C2E97">
        <w:rPr>
          <w:rFonts w:ascii="Calibri" w:eastAsia="Calibri" w:hAnsi="Calibri" w:cs="Arial"/>
          <w:b/>
          <w:bCs/>
        </w:rPr>
        <w:t>By mail:</w:t>
      </w:r>
    </w:p>
    <w:p w14:paraId="33B72EBF" w14:textId="77777777" w:rsidR="006C2E97" w:rsidRPr="006C2E97" w:rsidRDefault="006C2E97" w:rsidP="006C2E97">
      <w:pPr>
        <w:spacing w:after="0"/>
        <w:ind w:left="357"/>
        <w:rPr>
          <w:rFonts w:ascii="Calibri" w:eastAsia="Calibri" w:hAnsi="Calibri" w:cs="Arial"/>
        </w:rPr>
      </w:pPr>
      <w:r w:rsidRPr="006C2E97">
        <w:rPr>
          <w:rFonts w:ascii="Calibri" w:eastAsia="Calibri" w:hAnsi="Calibri" w:cs="Arial"/>
        </w:rPr>
        <w:t>Privacy Officer</w:t>
      </w:r>
    </w:p>
    <w:p w14:paraId="158915D4" w14:textId="6CA80224" w:rsidR="006C2E97" w:rsidRPr="006C2E97" w:rsidRDefault="006C2E97" w:rsidP="006C2E97">
      <w:pPr>
        <w:spacing w:after="0"/>
        <w:ind w:left="357"/>
        <w:rPr>
          <w:rFonts w:ascii="Calibri" w:eastAsia="Calibri" w:hAnsi="Calibri" w:cs="Arial"/>
        </w:rPr>
      </w:pPr>
      <w:r w:rsidRPr="006C2E97">
        <w:rPr>
          <w:rFonts w:ascii="Calibri" w:eastAsia="Calibri" w:hAnsi="Calibri" w:cs="Arial"/>
        </w:rPr>
        <w:t xml:space="preserve">Legal </w:t>
      </w:r>
      <w:r w:rsidR="00A2790C">
        <w:rPr>
          <w:rFonts w:ascii="Calibri" w:eastAsia="Calibri" w:hAnsi="Calibri" w:cs="Arial"/>
        </w:rPr>
        <w:t>and Assurance Division</w:t>
      </w:r>
      <w:r w:rsidRPr="006C2E97">
        <w:rPr>
          <w:rFonts w:ascii="Calibri" w:eastAsia="Calibri" w:hAnsi="Calibri" w:cs="Arial"/>
        </w:rPr>
        <w:t xml:space="preserve"> </w:t>
      </w:r>
    </w:p>
    <w:p w14:paraId="47172195" w14:textId="2A1D782C" w:rsidR="006C2E97" w:rsidRPr="006C2E97" w:rsidRDefault="006C2E97" w:rsidP="006C2E97">
      <w:pPr>
        <w:spacing w:after="0"/>
        <w:ind w:left="357"/>
        <w:rPr>
          <w:rFonts w:ascii="Calibri" w:eastAsia="Calibri" w:hAnsi="Calibri" w:cs="Arial"/>
        </w:rPr>
      </w:pPr>
      <w:r w:rsidRPr="006C2E97">
        <w:rPr>
          <w:rFonts w:ascii="Calibri" w:eastAsia="Calibri" w:hAnsi="Calibri" w:cs="Arial"/>
        </w:rPr>
        <w:t>Department of Employment</w:t>
      </w:r>
      <w:r>
        <w:rPr>
          <w:rFonts w:ascii="Calibri" w:eastAsia="Calibri" w:hAnsi="Calibri" w:cs="Arial"/>
        </w:rPr>
        <w:t xml:space="preserve"> and Workplace Relations</w:t>
      </w:r>
    </w:p>
    <w:p w14:paraId="5D703A7A" w14:textId="77777777" w:rsidR="006C2E97" w:rsidRPr="006C2E97" w:rsidRDefault="006C2E97" w:rsidP="006C2E97">
      <w:pPr>
        <w:spacing w:after="0"/>
        <w:ind w:left="357"/>
        <w:rPr>
          <w:rFonts w:ascii="Calibri" w:eastAsia="Calibri" w:hAnsi="Calibri" w:cs="Arial"/>
        </w:rPr>
      </w:pPr>
      <w:r w:rsidRPr="006C2E97">
        <w:rPr>
          <w:rFonts w:ascii="Calibri" w:eastAsia="Calibri" w:hAnsi="Calibri" w:cs="Arial"/>
        </w:rPr>
        <w:t>LOC: C50MA1</w:t>
      </w:r>
    </w:p>
    <w:p w14:paraId="358042FF" w14:textId="77777777" w:rsidR="006C2E97" w:rsidRPr="006C2E97" w:rsidRDefault="006C2E97" w:rsidP="006C2E97">
      <w:pPr>
        <w:spacing w:after="0"/>
        <w:ind w:left="357"/>
        <w:rPr>
          <w:rFonts w:ascii="Calibri" w:eastAsia="Calibri" w:hAnsi="Calibri" w:cs="Arial"/>
        </w:rPr>
      </w:pPr>
      <w:r w:rsidRPr="006C2E97">
        <w:rPr>
          <w:rFonts w:ascii="Calibri" w:eastAsia="Calibri" w:hAnsi="Calibri" w:cs="Arial"/>
        </w:rPr>
        <w:t>GPO Box 9880</w:t>
      </w:r>
    </w:p>
    <w:p w14:paraId="149700F6" w14:textId="77777777" w:rsidR="006C2E97" w:rsidRPr="006C2E97" w:rsidRDefault="006C2E97" w:rsidP="006C2E97">
      <w:pPr>
        <w:spacing w:after="0"/>
        <w:ind w:left="357"/>
        <w:rPr>
          <w:rFonts w:ascii="Calibri" w:eastAsia="Calibri" w:hAnsi="Calibri" w:cs="Arial"/>
        </w:rPr>
      </w:pPr>
      <w:r w:rsidRPr="006C2E97">
        <w:rPr>
          <w:rFonts w:ascii="Calibri" w:eastAsia="Calibri" w:hAnsi="Calibri" w:cs="Arial"/>
        </w:rPr>
        <w:t>Canberra ACT 2601</w:t>
      </w:r>
    </w:p>
    <w:p w14:paraId="000CAC6C" w14:textId="77777777" w:rsidR="006C2E97" w:rsidRPr="006C2E97" w:rsidRDefault="006C2E97" w:rsidP="006C2E97">
      <w:pPr>
        <w:spacing w:before="240" w:after="0"/>
        <w:rPr>
          <w:rFonts w:ascii="Calibri" w:eastAsia="Calibri" w:hAnsi="Calibri" w:cs="Arial"/>
          <w:b/>
          <w:bCs/>
        </w:rPr>
      </w:pPr>
      <w:r w:rsidRPr="006C2E97">
        <w:rPr>
          <w:rFonts w:ascii="Calibri" w:eastAsia="Calibri" w:hAnsi="Calibri" w:cs="Arial"/>
          <w:b/>
          <w:bCs/>
        </w:rPr>
        <w:t>By email:</w:t>
      </w:r>
    </w:p>
    <w:p w14:paraId="013F508E" w14:textId="136F454C" w:rsidR="006C2E97" w:rsidRPr="00AD51DF" w:rsidRDefault="00000000" w:rsidP="006C2E97">
      <w:pPr>
        <w:spacing w:after="0"/>
        <w:ind w:left="357"/>
        <w:rPr>
          <w:rFonts w:ascii="Calibri" w:eastAsia="Calibri" w:hAnsi="Calibri" w:cs="Arial"/>
          <w:color w:val="287DB2" w:themeColor="accent6"/>
          <w:lang w:val="en"/>
        </w:rPr>
      </w:pPr>
      <w:hyperlink r:id="rId64" w:history="1">
        <w:r w:rsidR="00773B68" w:rsidRPr="00AD51DF">
          <w:rPr>
            <w:rStyle w:val="Hyperlink"/>
            <w:rFonts w:ascii="Calibri" w:eastAsia="Calibri" w:hAnsi="Calibri" w:cs="Arial"/>
            <w:color w:val="287DB2" w:themeColor="accent6"/>
          </w:rPr>
          <w:t>privacy@dewr.gov.au</w:t>
        </w:r>
      </w:hyperlink>
    </w:p>
    <w:p w14:paraId="7501F63B" w14:textId="77777777" w:rsidR="006C2E97" w:rsidRPr="006C2E97" w:rsidRDefault="006C2E97" w:rsidP="006C2E97">
      <w:pPr>
        <w:spacing w:before="240" w:after="0"/>
        <w:rPr>
          <w:rFonts w:ascii="Calibri" w:eastAsia="Calibri" w:hAnsi="Calibri" w:cs="Arial"/>
          <w:b/>
          <w:bCs/>
        </w:rPr>
      </w:pPr>
      <w:r w:rsidRPr="00A2790C">
        <w:rPr>
          <w:rFonts w:ascii="Calibri" w:eastAsia="Calibri" w:hAnsi="Calibri" w:cs="Arial"/>
          <w:b/>
          <w:bCs/>
        </w:rPr>
        <w:t>By telephone:</w:t>
      </w:r>
    </w:p>
    <w:p w14:paraId="67502817" w14:textId="066D9DCC" w:rsidR="006C2E97" w:rsidRPr="006C2E97" w:rsidRDefault="00DC5498" w:rsidP="006C2E97">
      <w:pPr>
        <w:ind w:left="357"/>
        <w:rPr>
          <w:rFonts w:ascii="Calibri" w:eastAsia="Calibri" w:hAnsi="Calibri" w:cs="Arial"/>
        </w:rPr>
      </w:pPr>
      <w:bookmarkStart w:id="85" w:name="_Hlk83294816"/>
      <w:r w:rsidRPr="00DC5498">
        <w:rPr>
          <w:rFonts w:ascii="Calibri" w:eastAsia="Calibri" w:hAnsi="Calibri" w:cs="Arial"/>
        </w:rPr>
        <w:t>1300 488 064</w:t>
      </w:r>
      <w:r w:rsidR="006C2E97" w:rsidRPr="006C2E97">
        <w:rPr>
          <w:rFonts w:ascii="Calibri" w:eastAsia="Calibri" w:hAnsi="Calibri" w:cs="Arial"/>
        </w:rPr>
        <w:t xml:space="preserve"> (please note this is our main number)</w:t>
      </w:r>
      <w:bookmarkEnd w:id="85"/>
    </w:p>
    <w:p w14:paraId="68C90DC6" w14:textId="0001C7C1" w:rsidR="006C2E97" w:rsidRDefault="006C2E97" w:rsidP="006C2E97">
      <w:pPr>
        <w:pStyle w:val="Heading2"/>
      </w:pPr>
      <w:bookmarkStart w:id="86" w:name="_Toc25675014"/>
      <w:bookmarkStart w:id="87" w:name="_Toc499807088"/>
      <w:bookmarkStart w:id="88" w:name="_Toc8228989"/>
      <w:bookmarkStart w:id="89" w:name="_Toc27483723"/>
      <w:bookmarkStart w:id="90" w:name="_Toc30591562"/>
      <w:bookmarkStart w:id="91" w:name="_Toc98231853"/>
      <w:bookmarkStart w:id="92" w:name="_Toc136427287"/>
      <w:r>
        <w:t>Availability of this privacy policy</w:t>
      </w:r>
      <w:bookmarkEnd w:id="86"/>
      <w:bookmarkEnd w:id="87"/>
      <w:bookmarkEnd w:id="88"/>
      <w:bookmarkEnd w:id="89"/>
      <w:bookmarkEnd w:id="90"/>
      <w:bookmarkEnd w:id="91"/>
      <w:bookmarkEnd w:id="92"/>
    </w:p>
    <w:p w14:paraId="67820126" w14:textId="27BDCF72" w:rsidR="006C2E97" w:rsidRPr="006C2E97" w:rsidRDefault="006C2E97" w:rsidP="006C2E97">
      <w:pPr>
        <w:rPr>
          <w:rFonts w:ascii="Calibri" w:eastAsia="Calibri" w:hAnsi="Calibri" w:cs="Arial"/>
        </w:rPr>
      </w:pPr>
      <w:r w:rsidRPr="006C2E97">
        <w:rPr>
          <w:rFonts w:ascii="Calibri" w:eastAsia="Calibri" w:hAnsi="Calibri" w:cs="Arial"/>
        </w:rPr>
        <w:t>If you wish to access this privacy policy in an alternative format (</w:t>
      </w:r>
      <w:proofErr w:type="gramStart"/>
      <w:r w:rsidRPr="006C2E97">
        <w:rPr>
          <w:rFonts w:ascii="Calibri" w:eastAsia="Calibri" w:hAnsi="Calibri" w:cs="Arial"/>
        </w:rPr>
        <w:t>e.g.</w:t>
      </w:r>
      <w:proofErr w:type="gramEnd"/>
      <w:r w:rsidRPr="006C2E97">
        <w:rPr>
          <w:rFonts w:ascii="Calibri" w:eastAsia="Calibri" w:hAnsi="Calibri" w:cs="Arial"/>
        </w:rPr>
        <w:t xml:space="preserve"> hard copy) please contact us using the contact details set out above. This privacy policy will be made available free of charge.</w:t>
      </w:r>
    </w:p>
    <w:p w14:paraId="5F58F5D4" w14:textId="31F7DE42" w:rsidR="006C2E97" w:rsidRDefault="005B04B8" w:rsidP="006C2E97">
      <w:pPr>
        <w:pStyle w:val="Heading1"/>
      </w:pPr>
      <w:bookmarkStart w:id="93" w:name="_Toc136427288"/>
      <w:r>
        <w:t>Accountability</w:t>
      </w:r>
      <w:bookmarkEnd w:id="93"/>
    </w:p>
    <w:p w14:paraId="6BCCB89A" w14:textId="197791FA" w:rsidR="00842C47" w:rsidRDefault="00842C47" w:rsidP="006C2E97">
      <w:r>
        <w:t>The department</w:t>
      </w:r>
      <w:r w:rsidR="00C36872">
        <w:t xml:space="preserve"> has </w:t>
      </w:r>
      <w:r>
        <w:t>a designated Privacy Officer</w:t>
      </w:r>
      <w:r w:rsidR="00C36872">
        <w:t>, as required</w:t>
      </w:r>
      <w:r>
        <w:t xml:space="preserve"> under section 10 of the</w:t>
      </w:r>
      <w:r>
        <w:rPr>
          <w:i/>
          <w:iCs/>
        </w:rPr>
        <w:t xml:space="preserve"> </w:t>
      </w:r>
      <w:r>
        <w:t xml:space="preserve">Privacy Code. The Privacy Officer is responsible for </w:t>
      </w:r>
      <w:r w:rsidR="000A53D9">
        <w:t xml:space="preserve">regularly </w:t>
      </w:r>
      <w:r>
        <w:t xml:space="preserve">reviewing this privacy policy and updating </w:t>
      </w:r>
      <w:r w:rsidR="000A53D9">
        <w:t>the privacy policy</w:t>
      </w:r>
      <w:r>
        <w:t xml:space="preserve"> as required.</w:t>
      </w:r>
    </w:p>
    <w:p w14:paraId="284FA945" w14:textId="193ED387" w:rsidR="00742FAD" w:rsidRDefault="00742FAD" w:rsidP="006C2E97">
      <w:r w:rsidRPr="00B87513">
        <w:t>The department also has a Privacy Champion, as required under section 11 of the Privacy Code. The Privacy Champion is responsible for promoting a culture of privacy within the department and providing leadership on strategic privacy issues.</w:t>
      </w:r>
      <w:r>
        <w:t xml:space="preserve"> </w:t>
      </w:r>
    </w:p>
    <w:p w14:paraId="59A897BB" w14:textId="1F497E82" w:rsidR="006C2E97" w:rsidRDefault="006C2E97" w:rsidP="006C2E97"/>
    <w:p w14:paraId="6186F79F" w14:textId="11D68A06" w:rsidR="006C2E97" w:rsidRDefault="006C2E97" w:rsidP="006C2E97"/>
    <w:p w14:paraId="6E79B3EF" w14:textId="4B476169" w:rsidR="006C2E97" w:rsidRDefault="006C2E97" w:rsidP="006C2E97">
      <w:pPr>
        <w:rPr>
          <w:rStyle w:val="Strong"/>
        </w:rPr>
      </w:pPr>
      <w:r w:rsidRPr="006C2E97">
        <w:rPr>
          <w:rStyle w:val="Strong"/>
        </w:rPr>
        <w:t xml:space="preserve">Date policy last updated: </w:t>
      </w:r>
      <w:r w:rsidR="00040669">
        <w:rPr>
          <w:rStyle w:val="Strong"/>
        </w:rPr>
        <w:t>July</w:t>
      </w:r>
      <w:r w:rsidR="00E6526D">
        <w:rPr>
          <w:rStyle w:val="Strong"/>
        </w:rPr>
        <w:t xml:space="preserve"> </w:t>
      </w:r>
      <w:r w:rsidR="000303B9">
        <w:rPr>
          <w:rStyle w:val="Strong"/>
        </w:rPr>
        <w:t>2023</w:t>
      </w:r>
    </w:p>
    <w:p w14:paraId="03683320" w14:textId="77777777" w:rsidR="006C2E97" w:rsidRDefault="006C2E97" w:rsidP="006C2E97">
      <w:pPr>
        <w:spacing w:after="160" w:line="259" w:lineRule="auto"/>
        <w:rPr>
          <w:rStyle w:val="Strong"/>
          <w:b w:val="0"/>
          <w:bCs w:val="0"/>
        </w:rPr>
        <w:sectPr w:rsidR="006C2E97" w:rsidSect="00BE737E">
          <w:headerReference w:type="default" r:id="rId65"/>
          <w:footerReference w:type="default" r:id="rId66"/>
          <w:type w:val="continuous"/>
          <w:pgSz w:w="11906" w:h="16838"/>
          <w:pgMar w:top="1418" w:right="1418" w:bottom="1418" w:left="1418" w:header="0" w:footer="454" w:gutter="0"/>
          <w:cols w:space="708"/>
          <w:docGrid w:linePitch="360"/>
        </w:sectPr>
      </w:pPr>
    </w:p>
    <w:p w14:paraId="2F1A4BFA" w14:textId="43BB4C3A" w:rsidR="006C2E97" w:rsidRPr="006C2E97" w:rsidRDefault="006C2E97" w:rsidP="006C2E97">
      <w:pPr>
        <w:pStyle w:val="Heading1"/>
        <w:rPr>
          <w:rStyle w:val="Strong"/>
          <w:b/>
        </w:rPr>
      </w:pPr>
      <w:bookmarkStart w:id="94" w:name="_Toc136427289"/>
      <w:r w:rsidRPr="006C2E97">
        <w:rPr>
          <w:rStyle w:val="Strong"/>
          <w:b/>
          <w:bCs w:val="0"/>
        </w:rPr>
        <w:lastRenderedPageBreak/>
        <w:t>Annex A: Prohibitions and penalties relating to the collection, recording, use and disclosure of Tax File Numbers</w:t>
      </w:r>
      <w:bookmarkEnd w:id="94"/>
    </w:p>
    <w:tbl>
      <w:tblPr>
        <w:tblStyle w:val="DESE1"/>
        <w:tblW w:w="5000" w:type="pct"/>
        <w:tblInd w:w="0" w:type="dxa"/>
        <w:tblLook w:val="0020" w:firstRow="1" w:lastRow="0" w:firstColumn="0" w:lastColumn="0" w:noHBand="0" w:noVBand="0"/>
      </w:tblPr>
      <w:tblGrid>
        <w:gridCol w:w="3341"/>
        <w:gridCol w:w="3213"/>
        <w:gridCol w:w="3719"/>
        <w:gridCol w:w="3719"/>
      </w:tblGrid>
      <w:tr w:rsidR="006C2E97" w:rsidRPr="006C2E97" w14:paraId="58F7FE13" w14:textId="77777777" w:rsidTr="006C2E97">
        <w:trPr>
          <w:cnfStyle w:val="100000000000" w:firstRow="1" w:lastRow="0" w:firstColumn="0" w:lastColumn="0" w:oddVBand="0" w:evenVBand="0" w:oddHBand="0" w:evenHBand="0" w:firstRowFirstColumn="0" w:firstRowLastColumn="0" w:lastRowFirstColumn="0" w:lastRowLastColumn="0"/>
          <w:cantSplit/>
          <w:trHeight w:val="431"/>
          <w:tblHeader/>
        </w:trPr>
        <w:tc>
          <w:tcPr>
            <w:tcW w:w="1194" w:type="pct"/>
            <w:tcBorders>
              <w:top w:val="single" w:sz="4" w:space="0" w:color="auto"/>
              <w:left w:val="single" w:sz="4" w:space="0" w:color="auto"/>
              <w:bottom w:val="single" w:sz="4" w:space="0" w:color="auto"/>
              <w:right w:val="single" w:sz="4" w:space="0" w:color="auto"/>
            </w:tcBorders>
            <w:vAlign w:val="top"/>
            <w:hideMark/>
          </w:tcPr>
          <w:p w14:paraId="1AF4FB54" w14:textId="77777777" w:rsidR="006C2E97" w:rsidRPr="006C2E97" w:rsidRDefault="006C2E97" w:rsidP="006C2E97">
            <w:pPr>
              <w:spacing w:before="120" w:after="120"/>
              <w:rPr>
                <w:rFonts w:cs="Arial"/>
              </w:rPr>
            </w:pPr>
            <w:r w:rsidRPr="006C2E97">
              <w:rPr>
                <w:rFonts w:cs="Arial"/>
              </w:rPr>
              <w:t>Legislation</w:t>
            </w:r>
          </w:p>
        </w:tc>
        <w:tc>
          <w:tcPr>
            <w:tcW w:w="1148" w:type="pct"/>
            <w:tcBorders>
              <w:top w:val="single" w:sz="4" w:space="0" w:color="auto"/>
              <w:left w:val="single" w:sz="4" w:space="0" w:color="auto"/>
              <w:bottom w:val="single" w:sz="4" w:space="0" w:color="auto"/>
              <w:right w:val="single" w:sz="4" w:space="0" w:color="auto"/>
            </w:tcBorders>
            <w:vAlign w:val="top"/>
            <w:hideMark/>
          </w:tcPr>
          <w:p w14:paraId="435A86DA" w14:textId="77777777" w:rsidR="006C2E97" w:rsidRPr="006C2E97" w:rsidRDefault="006C2E97" w:rsidP="006C2E97">
            <w:pPr>
              <w:spacing w:before="120" w:after="120"/>
              <w:rPr>
                <w:rFonts w:cs="Arial"/>
              </w:rPr>
            </w:pPr>
            <w:r w:rsidRPr="006C2E97">
              <w:rPr>
                <w:rFonts w:cs="Arial"/>
              </w:rPr>
              <w:t>Prohibitions</w:t>
            </w:r>
          </w:p>
        </w:tc>
        <w:tc>
          <w:tcPr>
            <w:tcW w:w="1329" w:type="pct"/>
            <w:tcBorders>
              <w:top w:val="single" w:sz="4" w:space="0" w:color="auto"/>
              <w:left w:val="single" w:sz="4" w:space="0" w:color="auto"/>
              <w:bottom w:val="single" w:sz="4" w:space="0" w:color="auto"/>
              <w:right w:val="single" w:sz="4" w:space="0" w:color="auto"/>
            </w:tcBorders>
            <w:vAlign w:val="top"/>
            <w:hideMark/>
          </w:tcPr>
          <w:p w14:paraId="02F44206" w14:textId="77777777" w:rsidR="006C2E97" w:rsidRPr="006C2E97" w:rsidRDefault="006C2E97" w:rsidP="006C2E97">
            <w:pPr>
              <w:spacing w:before="120" w:after="120"/>
              <w:rPr>
                <w:rFonts w:cs="Arial"/>
              </w:rPr>
            </w:pPr>
            <w:r w:rsidRPr="006C2E97">
              <w:rPr>
                <w:rFonts w:cs="Arial"/>
              </w:rPr>
              <w:t>Exception</w:t>
            </w:r>
          </w:p>
        </w:tc>
        <w:tc>
          <w:tcPr>
            <w:tcW w:w="1329" w:type="pct"/>
            <w:tcBorders>
              <w:top w:val="single" w:sz="4" w:space="0" w:color="auto"/>
              <w:left w:val="single" w:sz="4" w:space="0" w:color="auto"/>
              <w:bottom w:val="single" w:sz="4" w:space="0" w:color="auto"/>
              <w:right w:val="single" w:sz="4" w:space="0" w:color="auto"/>
            </w:tcBorders>
            <w:vAlign w:val="top"/>
            <w:hideMark/>
          </w:tcPr>
          <w:p w14:paraId="6F959813" w14:textId="77777777" w:rsidR="006C2E97" w:rsidRPr="006C2E97" w:rsidRDefault="006C2E97" w:rsidP="006C2E97">
            <w:pPr>
              <w:spacing w:before="120" w:after="120"/>
              <w:rPr>
                <w:rFonts w:cs="Arial"/>
              </w:rPr>
            </w:pPr>
            <w:r w:rsidRPr="006C2E97">
              <w:rPr>
                <w:rFonts w:cs="Arial"/>
              </w:rPr>
              <w:t>Penalty</w:t>
            </w:r>
          </w:p>
        </w:tc>
      </w:tr>
      <w:tr w:rsidR="006C2E97" w:rsidRPr="006C2E97" w14:paraId="036CDF6E"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3CDB0255" w14:textId="77777777" w:rsidR="006C2E97" w:rsidRPr="006C2E97" w:rsidRDefault="006C2E97" w:rsidP="006C2E97">
            <w:r w:rsidRPr="006C2E97">
              <w:t xml:space="preserve">Subrule 8(1) of the </w:t>
            </w:r>
            <w:r w:rsidRPr="006C2E97">
              <w:rPr>
                <w:i/>
                <w:iCs/>
              </w:rPr>
              <w:t>Privacy (Tax File Number) Rule 2015</w:t>
            </w:r>
          </w:p>
        </w:tc>
        <w:tc>
          <w:tcPr>
            <w:tcW w:w="1148" w:type="pct"/>
            <w:tcBorders>
              <w:top w:val="single" w:sz="4" w:space="0" w:color="auto"/>
              <w:left w:val="single" w:sz="4" w:space="0" w:color="auto"/>
              <w:bottom w:val="single" w:sz="4" w:space="0" w:color="auto"/>
              <w:right w:val="single" w:sz="4" w:space="0" w:color="auto"/>
            </w:tcBorders>
            <w:vAlign w:val="top"/>
            <w:hideMark/>
          </w:tcPr>
          <w:p w14:paraId="38F55224" w14:textId="46708EF4" w:rsidR="006C2E97" w:rsidRPr="006C2E97" w:rsidRDefault="006C2E97" w:rsidP="006C2E97">
            <w:r w:rsidRPr="006C2E97">
              <w:t>Unless an exception applies, a TFN recipient must not request or collect TFN information from individuals and TFN recipients.</w:t>
            </w:r>
          </w:p>
        </w:tc>
        <w:tc>
          <w:tcPr>
            <w:tcW w:w="1329" w:type="pct"/>
            <w:tcBorders>
              <w:top w:val="single" w:sz="4" w:space="0" w:color="auto"/>
              <w:left w:val="single" w:sz="4" w:space="0" w:color="auto"/>
              <w:bottom w:val="single" w:sz="4" w:space="0" w:color="auto"/>
              <w:right w:val="single" w:sz="4" w:space="0" w:color="auto"/>
            </w:tcBorders>
            <w:vAlign w:val="top"/>
            <w:hideMark/>
          </w:tcPr>
          <w:p w14:paraId="365D120F" w14:textId="77777777" w:rsidR="006C2E97" w:rsidRPr="006C2E97" w:rsidRDefault="006C2E97" w:rsidP="006C2E97">
            <w:r w:rsidRPr="006C2E97">
              <w:t>The request or collection is authorised by:</w:t>
            </w:r>
          </w:p>
          <w:p w14:paraId="2B8AA144" w14:textId="77777777" w:rsidR="006C2E97" w:rsidRPr="006C2E97" w:rsidRDefault="006C2E97" w:rsidP="006C2E97">
            <w:pPr>
              <w:numPr>
                <w:ilvl w:val="0"/>
                <w:numId w:val="26"/>
              </w:numPr>
              <w:contextualSpacing/>
              <w:rPr>
                <w:rFonts w:asciiTheme="minorHAnsi" w:eastAsiaTheme="minorHAnsi" w:hAnsiTheme="minorHAnsi"/>
              </w:rPr>
            </w:pPr>
            <w:r w:rsidRPr="006C2E97">
              <w:rPr>
                <w:rFonts w:asciiTheme="minorHAnsi" w:eastAsiaTheme="minorHAnsi" w:hAnsiTheme="minorHAnsi"/>
              </w:rPr>
              <w:t>taxation law; or</w:t>
            </w:r>
          </w:p>
          <w:p w14:paraId="0059830D" w14:textId="77777777" w:rsidR="006C2E97" w:rsidRPr="006C2E97" w:rsidRDefault="006C2E97" w:rsidP="006C2E97">
            <w:pPr>
              <w:numPr>
                <w:ilvl w:val="0"/>
                <w:numId w:val="26"/>
              </w:numPr>
              <w:contextualSpacing/>
              <w:rPr>
                <w:rFonts w:asciiTheme="minorHAnsi" w:eastAsiaTheme="minorHAnsi" w:hAnsiTheme="minorHAnsi"/>
              </w:rPr>
            </w:pPr>
            <w:r w:rsidRPr="006C2E97">
              <w:rPr>
                <w:rFonts w:asciiTheme="minorHAnsi" w:eastAsiaTheme="minorHAnsi" w:hAnsiTheme="minorHAnsi"/>
              </w:rPr>
              <w:t>personal assistance law; or</w:t>
            </w:r>
          </w:p>
          <w:p w14:paraId="050538EE" w14:textId="77777777" w:rsidR="006C2E97" w:rsidRPr="006C2E97" w:rsidRDefault="006C2E97" w:rsidP="006C2E97">
            <w:pPr>
              <w:numPr>
                <w:ilvl w:val="0"/>
                <w:numId w:val="26"/>
              </w:numPr>
              <w:contextualSpacing/>
              <w:rPr>
                <w:rFonts w:asciiTheme="minorHAnsi" w:eastAsiaTheme="minorHAnsi" w:hAnsiTheme="minorHAnsi"/>
              </w:rPr>
            </w:pPr>
            <w:r w:rsidRPr="006C2E97">
              <w:rPr>
                <w:rFonts w:asciiTheme="minorHAnsi" w:eastAsiaTheme="minorHAnsi" w:hAnsiTheme="minorHAnsi"/>
              </w:rPr>
              <w:t>superannuation law.</w:t>
            </w:r>
          </w:p>
          <w:p w14:paraId="3465C693" w14:textId="77777777" w:rsidR="006C2E97" w:rsidRPr="006C2E97" w:rsidRDefault="006C2E97" w:rsidP="006C2E97">
            <w:r w:rsidRPr="006C2E97">
              <w:t xml:space="preserve">Note: These terms are defined in the </w:t>
            </w:r>
            <w:r w:rsidRPr="006C2E97">
              <w:rPr>
                <w:i/>
              </w:rPr>
              <w:t>Privacy (Tax File Number) Rule 2015</w:t>
            </w:r>
            <w:r w:rsidRPr="006C2E97">
              <w:t>.</w:t>
            </w:r>
          </w:p>
        </w:tc>
        <w:tc>
          <w:tcPr>
            <w:tcW w:w="1329" w:type="pct"/>
            <w:tcBorders>
              <w:top w:val="single" w:sz="4" w:space="0" w:color="auto"/>
              <w:left w:val="single" w:sz="4" w:space="0" w:color="auto"/>
              <w:bottom w:val="single" w:sz="4" w:space="0" w:color="auto"/>
              <w:right w:val="single" w:sz="4" w:space="0" w:color="auto"/>
            </w:tcBorders>
            <w:vAlign w:val="top"/>
            <w:hideMark/>
          </w:tcPr>
          <w:p w14:paraId="3F7FBB86" w14:textId="77777777" w:rsidR="006C2E97" w:rsidRPr="006C2E97" w:rsidRDefault="006C2E97" w:rsidP="006C2E97">
            <w:r w:rsidRPr="006C2E97">
              <w:t>A breach of this TFN Rule is an interference with privacy under the Privacy Act. A person who considers that their TFN information has been mishandled may make a complaint to the Australian Information Commissioner. Where the breach of privacy is very serious, the Australian Information Commissioner may seek a civil penalty.</w:t>
            </w:r>
          </w:p>
          <w:p w14:paraId="2249C73B" w14:textId="77777777" w:rsidR="006C2E97" w:rsidRPr="006C2E97" w:rsidRDefault="006C2E97" w:rsidP="006C2E97">
            <w:r w:rsidRPr="006C2E97">
              <w:t>The same act may also constitute an offence under subsections 8</w:t>
            </w:r>
            <w:proofErr w:type="gramStart"/>
            <w:r w:rsidRPr="006C2E97">
              <w:t>WA(</w:t>
            </w:r>
            <w:proofErr w:type="gramEnd"/>
            <w:r w:rsidRPr="006C2E97">
              <w:t xml:space="preserve">1) or 8WB(1) of the </w:t>
            </w:r>
            <w:r w:rsidRPr="006E1B40">
              <w:rPr>
                <w:i/>
              </w:rPr>
              <w:t>Taxation Administration Act 1953</w:t>
            </w:r>
            <w:r w:rsidRPr="006E1B40">
              <w:t>.</w:t>
            </w:r>
          </w:p>
        </w:tc>
      </w:tr>
      <w:tr w:rsidR="006C2E97" w:rsidRPr="006C2E97" w14:paraId="71C0C320"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02C42CE5" w14:textId="77777777" w:rsidR="006C2E97" w:rsidRPr="006C2E97" w:rsidRDefault="006C2E97" w:rsidP="006C2E97">
            <w:r w:rsidRPr="006C2E97">
              <w:t xml:space="preserve">Rule 9 of the </w:t>
            </w:r>
            <w:r w:rsidRPr="006C2E97">
              <w:rPr>
                <w:i/>
              </w:rPr>
              <w:t>Privacy (Tax File Number) Rule 2015</w:t>
            </w:r>
          </w:p>
        </w:tc>
        <w:tc>
          <w:tcPr>
            <w:tcW w:w="1148" w:type="pct"/>
            <w:tcBorders>
              <w:top w:val="single" w:sz="4" w:space="0" w:color="auto"/>
              <w:left w:val="single" w:sz="4" w:space="0" w:color="auto"/>
              <w:bottom w:val="single" w:sz="4" w:space="0" w:color="auto"/>
              <w:right w:val="single" w:sz="4" w:space="0" w:color="auto"/>
            </w:tcBorders>
            <w:vAlign w:val="top"/>
            <w:hideMark/>
          </w:tcPr>
          <w:p w14:paraId="3AFB0DEE" w14:textId="13EE54B4" w:rsidR="006C2E97" w:rsidRPr="006C2E97" w:rsidRDefault="006C2E97" w:rsidP="006C2E97">
            <w:r w:rsidRPr="006C2E97">
              <w:t xml:space="preserve">A TFN recipient must not use or disclose a TFN or </w:t>
            </w:r>
            <w:r w:rsidRPr="00593462">
              <w:t xml:space="preserve">record </w:t>
            </w:r>
            <w:r w:rsidRPr="006C2E97">
              <w:t xml:space="preserve">a TFN in that way that is inconsistent with the </w:t>
            </w:r>
            <w:r w:rsidRPr="006C2E97">
              <w:rPr>
                <w:i/>
              </w:rPr>
              <w:t>Taxation Administration Act 1953</w:t>
            </w:r>
            <w:r w:rsidRPr="006C2E97">
              <w:t xml:space="preserve"> or </w:t>
            </w:r>
            <w:r w:rsidRPr="006C2E97">
              <w:rPr>
                <w:i/>
              </w:rPr>
              <w:t>Privacy (Tax File Number) Rule 2015</w:t>
            </w:r>
            <w:r w:rsidRPr="006C2E97">
              <w:t>.</w:t>
            </w:r>
          </w:p>
        </w:tc>
        <w:tc>
          <w:tcPr>
            <w:tcW w:w="1329" w:type="pct"/>
            <w:tcBorders>
              <w:top w:val="single" w:sz="4" w:space="0" w:color="auto"/>
              <w:left w:val="single" w:sz="4" w:space="0" w:color="auto"/>
              <w:bottom w:val="single" w:sz="4" w:space="0" w:color="auto"/>
              <w:right w:val="single" w:sz="4" w:space="0" w:color="auto"/>
            </w:tcBorders>
            <w:vAlign w:val="top"/>
            <w:hideMark/>
          </w:tcPr>
          <w:p w14:paraId="4C523AE7" w14:textId="77777777" w:rsidR="006C2E97" w:rsidRPr="006C2E97" w:rsidRDefault="006C2E97" w:rsidP="006C2E97">
            <w:r w:rsidRPr="006C2E97">
              <w:t xml:space="preserve">The use or disclosure is permitted by the </w:t>
            </w:r>
            <w:r w:rsidRPr="006C2E97">
              <w:rPr>
                <w:i/>
              </w:rPr>
              <w:t>Taxation Administration Act 1953</w:t>
            </w:r>
            <w:r w:rsidRPr="006C2E97">
              <w:t xml:space="preserve"> or </w:t>
            </w:r>
            <w:r w:rsidRPr="006C2E97">
              <w:rPr>
                <w:i/>
              </w:rPr>
              <w:t>Privacy (Tax File Number) Rule 2015</w:t>
            </w:r>
            <w:r w:rsidRPr="006C2E97">
              <w:t xml:space="preserve">. </w:t>
            </w:r>
          </w:p>
        </w:tc>
        <w:tc>
          <w:tcPr>
            <w:tcW w:w="1329" w:type="pct"/>
            <w:tcBorders>
              <w:top w:val="single" w:sz="4" w:space="0" w:color="auto"/>
              <w:left w:val="single" w:sz="4" w:space="0" w:color="auto"/>
              <w:bottom w:val="single" w:sz="4" w:space="0" w:color="auto"/>
              <w:right w:val="single" w:sz="4" w:space="0" w:color="auto"/>
            </w:tcBorders>
            <w:vAlign w:val="top"/>
            <w:hideMark/>
          </w:tcPr>
          <w:p w14:paraId="09AA9FCA" w14:textId="77777777" w:rsidR="006C2E97" w:rsidRPr="006C2E97" w:rsidRDefault="006C2E97" w:rsidP="006C2E97">
            <w:r w:rsidRPr="006C2E97">
              <w:t>As above</w:t>
            </w:r>
          </w:p>
        </w:tc>
      </w:tr>
      <w:tr w:rsidR="006C2E97" w:rsidRPr="006C2E97" w14:paraId="0C0F42E7"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0B0A8C0D" w14:textId="77777777" w:rsidR="006C2E97" w:rsidRPr="006C2E97" w:rsidRDefault="006C2E97" w:rsidP="006C2E97">
            <w:r w:rsidRPr="006C2E97">
              <w:lastRenderedPageBreak/>
              <w:t xml:space="preserve">Rule 10 of the </w:t>
            </w:r>
            <w:r w:rsidRPr="006C2E97">
              <w:rPr>
                <w:i/>
              </w:rPr>
              <w:t>Privacy (Tax File Number) Rule 2015</w:t>
            </w:r>
          </w:p>
        </w:tc>
        <w:tc>
          <w:tcPr>
            <w:tcW w:w="1148" w:type="pct"/>
            <w:tcBorders>
              <w:top w:val="single" w:sz="4" w:space="0" w:color="auto"/>
              <w:left w:val="single" w:sz="4" w:space="0" w:color="auto"/>
              <w:bottom w:val="single" w:sz="4" w:space="0" w:color="auto"/>
              <w:right w:val="single" w:sz="4" w:space="0" w:color="auto"/>
            </w:tcBorders>
            <w:vAlign w:val="top"/>
            <w:hideMark/>
          </w:tcPr>
          <w:p w14:paraId="2EAB9814" w14:textId="77777777" w:rsidR="006C2E97" w:rsidRPr="006C2E97" w:rsidRDefault="006C2E97" w:rsidP="006C2E97">
            <w:r w:rsidRPr="006C2E97">
              <w:t>Unless an exception applies, a TFN recipient must not use or disclose TFN information (including for matching personal information about individuals).</w:t>
            </w:r>
          </w:p>
        </w:tc>
        <w:tc>
          <w:tcPr>
            <w:tcW w:w="1329" w:type="pct"/>
            <w:tcBorders>
              <w:top w:val="single" w:sz="4" w:space="0" w:color="auto"/>
              <w:left w:val="single" w:sz="4" w:space="0" w:color="auto"/>
              <w:bottom w:val="single" w:sz="4" w:space="0" w:color="auto"/>
              <w:right w:val="single" w:sz="4" w:space="0" w:color="auto"/>
            </w:tcBorders>
            <w:vAlign w:val="top"/>
            <w:hideMark/>
          </w:tcPr>
          <w:p w14:paraId="07F60A71" w14:textId="77777777" w:rsidR="006C2E97" w:rsidRPr="006C2E97" w:rsidRDefault="006C2E97" w:rsidP="006C2E97">
            <w:r w:rsidRPr="006C2E97">
              <w:t>The TFN information is used or disclosed by TFN recipients:</w:t>
            </w:r>
          </w:p>
          <w:p w14:paraId="04FB35FF" w14:textId="77777777" w:rsidR="006C2E97" w:rsidRPr="006C2E97" w:rsidRDefault="006C2E97" w:rsidP="006C2E97">
            <w:pPr>
              <w:numPr>
                <w:ilvl w:val="0"/>
                <w:numId w:val="27"/>
              </w:numPr>
              <w:tabs>
                <w:tab w:val="left" w:pos="360"/>
              </w:tabs>
              <w:ind w:left="360"/>
              <w:contextualSpacing/>
              <w:rPr>
                <w:rFonts w:asciiTheme="minorHAnsi" w:eastAsiaTheme="minorHAnsi" w:hAnsiTheme="minorHAnsi"/>
              </w:rPr>
            </w:pPr>
            <w:r w:rsidRPr="006C2E97">
              <w:rPr>
                <w:rFonts w:asciiTheme="minorHAnsi" w:eastAsiaTheme="minorHAnsi" w:hAnsiTheme="minorHAnsi"/>
              </w:rPr>
              <w:t>for a purpose authorised by taxation law, personal assistance law or superannuation law, or</w:t>
            </w:r>
          </w:p>
          <w:p w14:paraId="345319CE" w14:textId="77777777" w:rsidR="006C2E97" w:rsidRPr="006C2E97" w:rsidRDefault="006C2E97" w:rsidP="006C2E97">
            <w:pPr>
              <w:numPr>
                <w:ilvl w:val="0"/>
                <w:numId w:val="27"/>
              </w:numPr>
              <w:tabs>
                <w:tab w:val="left" w:pos="360"/>
              </w:tabs>
              <w:ind w:left="360"/>
              <w:contextualSpacing/>
              <w:rPr>
                <w:rFonts w:asciiTheme="minorHAnsi" w:eastAsiaTheme="minorHAnsi" w:hAnsiTheme="minorHAnsi"/>
              </w:rPr>
            </w:pPr>
            <w:r w:rsidRPr="006C2E97">
              <w:rPr>
                <w:rFonts w:asciiTheme="minorHAnsi" w:eastAsiaTheme="minorHAnsi" w:hAnsiTheme="minorHAnsi"/>
              </w:rPr>
              <w:t>for the purpose of giving an individual any TFN information that the TFN recipient holds about that individual.</w:t>
            </w:r>
          </w:p>
        </w:tc>
        <w:tc>
          <w:tcPr>
            <w:tcW w:w="1329" w:type="pct"/>
            <w:tcBorders>
              <w:top w:val="single" w:sz="4" w:space="0" w:color="auto"/>
              <w:left w:val="single" w:sz="4" w:space="0" w:color="auto"/>
              <w:bottom w:val="single" w:sz="4" w:space="0" w:color="auto"/>
              <w:right w:val="single" w:sz="4" w:space="0" w:color="auto"/>
            </w:tcBorders>
            <w:vAlign w:val="top"/>
            <w:hideMark/>
          </w:tcPr>
          <w:p w14:paraId="7311C714" w14:textId="77777777" w:rsidR="006C2E97" w:rsidRPr="006C2E97" w:rsidRDefault="006C2E97" w:rsidP="006C2E97">
            <w:r w:rsidRPr="006C2E97">
              <w:t>As above</w:t>
            </w:r>
          </w:p>
        </w:tc>
      </w:tr>
      <w:tr w:rsidR="006C2E97" w:rsidRPr="006C2E97" w14:paraId="54B02F28"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40865C7A" w14:textId="77777777" w:rsidR="006C2E97" w:rsidRPr="006C2E97" w:rsidRDefault="006C2E97" w:rsidP="006C2E97">
            <w:r w:rsidRPr="006C2E97">
              <w:t>Subsection 8</w:t>
            </w:r>
            <w:proofErr w:type="gramStart"/>
            <w:r w:rsidRPr="006C2E97">
              <w:t>WA(</w:t>
            </w:r>
            <w:proofErr w:type="gramEnd"/>
            <w:r w:rsidRPr="006C2E97">
              <w:t xml:space="preserve">1) of the </w:t>
            </w:r>
            <w:r w:rsidRPr="006C2E97">
              <w:rPr>
                <w:i/>
              </w:rPr>
              <w:t>Taxation Administration Act 1953</w:t>
            </w:r>
          </w:p>
        </w:tc>
        <w:tc>
          <w:tcPr>
            <w:tcW w:w="1148" w:type="pct"/>
            <w:tcBorders>
              <w:top w:val="single" w:sz="4" w:space="0" w:color="auto"/>
              <w:left w:val="single" w:sz="4" w:space="0" w:color="auto"/>
              <w:bottom w:val="single" w:sz="4" w:space="0" w:color="auto"/>
              <w:right w:val="single" w:sz="4" w:space="0" w:color="auto"/>
            </w:tcBorders>
            <w:vAlign w:val="top"/>
            <w:hideMark/>
          </w:tcPr>
          <w:p w14:paraId="7D9695E0" w14:textId="77777777" w:rsidR="006C2E97" w:rsidRPr="006C2E97" w:rsidRDefault="006C2E97" w:rsidP="006C2E97">
            <w:r w:rsidRPr="006C2E97">
              <w:t>Unless an exception applies, a person must not require or request another person to quote the other person’s tax file number.</w:t>
            </w:r>
          </w:p>
        </w:tc>
        <w:tc>
          <w:tcPr>
            <w:tcW w:w="1329" w:type="pct"/>
            <w:tcBorders>
              <w:top w:val="single" w:sz="4" w:space="0" w:color="auto"/>
              <w:left w:val="single" w:sz="4" w:space="0" w:color="auto"/>
              <w:bottom w:val="single" w:sz="4" w:space="0" w:color="auto"/>
              <w:right w:val="single" w:sz="4" w:space="0" w:color="auto"/>
            </w:tcBorders>
            <w:vAlign w:val="top"/>
            <w:hideMark/>
          </w:tcPr>
          <w:p w14:paraId="15009F40" w14:textId="1B38842A" w:rsidR="006C2E97" w:rsidRPr="006C2E97" w:rsidRDefault="006C2E97" w:rsidP="006C2E97">
            <w:r w:rsidRPr="006C2E97">
              <w:t>To the extent required or permitted by, or reasonably necessary in order to comply with, or in connection with exercising powers under, a taxation law, a law of the Commonwealth of a kind referred to in subsection</w:t>
            </w:r>
            <w:r w:rsidR="00634ADF">
              <w:t>s</w:t>
            </w:r>
            <w:r w:rsidRPr="006C2E97">
              <w:t xml:space="preserve"> 8WA(1AA) </w:t>
            </w:r>
            <w:r w:rsidR="00634ADF">
              <w:t xml:space="preserve">and 8WA(1A) </w:t>
            </w:r>
            <w:r w:rsidRPr="006C2E97">
              <w:t xml:space="preserve">of the </w:t>
            </w:r>
            <w:r w:rsidRPr="006C2E97">
              <w:rPr>
                <w:i/>
              </w:rPr>
              <w:t xml:space="preserve">Taxation Administration Act </w:t>
            </w:r>
            <w:proofErr w:type="gramStart"/>
            <w:r w:rsidRPr="006C2E97">
              <w:rPr>
                <w:i/>
              </w:rPr>
              <w:t>1953</w:t>
            </w:r>
            <w:r w:rsidR="00634ADF">
              <w:rPr>
                <w:i/>
              </w:rPr>
              <w:t>.</w:t>
            </w:r>
            <w:r w:rsidRPr="006C2E97">
              <w:t>.</w:t>
            </w:r>
            <w:proofErr w:type="gramEnd"/>
          </w:p>
        </w:tc>
        <w:tc>
          <w:tcPr>
            <w:tcW w:w="1329" w:type="pct"/>
            <w:tcBorders>
              <w:top w:val="single" w:sz="4" w:space="0" w:color="auto"/>
              <w:left w:val="single" w:sz="4" w:space="0" w:color="auto"/>
              <w:bottom w:val="single" w:sz="4" w:space="0" w:color="auto"/>
              <w:right w:val="single" w:sz="4" w:space="0" w:color="auto"/>
            </w:tcBorders>
            <w:vAlign w:val="top"/>
            <w:hideMark/>
          </w:tcPr>
          <w:p w14:paraId="53EA0AE1" w14:textId="77777777" w:rsidR="006C2E97" w:rsidRPr="006C2E97" w:rsidRDefault="006C2E97" w:rsidP="006C2E97">
            <w:r w:rsidRPr="006C2E97">
              <w:t>100 penalty units or 2 years imprisonment or both.</w:t>
            </w:r>
          </w:p>
        </w:tc>
      </w:tr>
      <w:tr w:rsidR="006C2E97" w:rsidRPr="006C2E97" w14:paraId="196B1E82"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060DEE12" w14:textId="77777777" w:rsidR="006C2E97" w:rsidRPr="006C2E97" w:rsidRDefault="006C2E97" w:rsidP="006C2E97">
            <w:r w:rsidRPr="006C2E97">
              <w:lastRenderedPageBreak/>
              <w:t>Subsection 8</w:t>
            </w:r>
            <w:proofErr w:type="gramStart"/>
            <w:r w:rsidRPr="006C2E97">
              <w:t>WB(</w:t>
            </w:r>
            <w:proofErr w:type="gramEnd"/>
            <w:r w:rsidRPr="006C2E97">
              <w:t xml:space="preserve">1) of the </w:t>
            </w:r>
            <w:r w:rsidRPr="006C2E97">
              <w:rPr>
                <w:i/>
              </w:rPr>
              <w:t>Taxation Administration Act 1953</w:t>
            </w:r>
          </w:p>
        </w:tc>
        <w:tc>
          <w:tcPr>
            <w:tcW w:w="1148" w:type="pct"/>
            <w:tcBorders>
              <w:top w:val="single" w:sz="4" w:space="0" w:color="auto"/>
              <w:left w:val="single" w:sz="4" w:space="0" w:color="auto"/>
              <w:bottom w:val="single" w:sz="4" w:space="0" w:color="auto"/>
              <w:right w:val="single" w:sz="4" w:space="0" w:color="auto"/>
            </w:tcBorders>
            <w:vAlign w:val="top"/>
            <w:hideMark/>
          </w:tcPr>
          <w:p w14:paraId="5F72E887" w14:textId="77777777" w:rsidR="006C2E97" w:rsidRPr="006C2E97" w:rsidRDefault="006C2E97" w:rsidP="006C2E97">
            <w:r w:rsidRPr="006C2E97">
              <w:t>Unless an exception applies, a person must not:</w:t>
            </w:r>
          </w:p>
          <w:p w14:paraId="564F6187" w14:textId="5B4E5D29" w:rsidR="006C2E97" w:rsidRPr="006C2E97" w:rsidRDefault="006C2E97" w:rsidP="00B87513">
            <w:pPr>
              <w:numPr>
                <w:ilvl w:val="0"/>
                <w:numId w:val="28"/>
              </w:numPr>
              <w:tabs>
                <w:tab w:val="left" w:pos="662"/>
              </w:tabs>
              <w:ind w:left="459" w:hanging="425"/>
              <w:contextualSpacing/>
              <w:rPr>
                <w:rFonts w:asciiTheme="minorHAnsi" w:eastAsiaTheme="minorHAnsi" w:hAnsiTheme="minorHAnsi"/>
              </w:rPr>
            </w:pPr>
            <w:r w:rsidRPr="006C2E97">
              <w:rPr>
                <w:rFonts w:asciiTheme="minorHAnsi" w:eastAsiaTheme="minorHAnsi" w:hAnsiTheme="minorHAnsi"/>
              </w:rPr>
              <w:t xml:space="preserve">record or maintain a record </w:t>
            </w:r>
            <w:r w:rsidRPr="00593462">
              <w:rPr>
                <w:rFonts w:asciiTheme="minorHAnsi" w:eastAsiaTheme="minorHAnsi" w:hAnsiTheme="minorHAnsi"/>
              </w:rPr>
              <w:t>of another</w:t>
            </w:r>
            <w:r w:rsidRPr="006C2E97">
              <w:rPr>
                <w:rFonts w:asciiTheme="minorHAnsi" w:eastAsiaTheme="minorHAnsi" w:hAnsiTheme="minorHAnsi"/>
              </w:rPr>
              <w:t xml:space="preserve"> person’s tax file number; or</w:t>
            </w:r>
          </w:p>
          <w:p w14:paraId="3E5D53C1" w14:textId="77777777" w:rsidR="006C2E97" w:rsidRPr="006C2E97" w:rsidRDefault="006C2E97" w:rsidP="00B87513">
            <w:pPr>
              <w:numPr>
                <w:ilvl w:val="0"/>
                <w:numId w:val="28"/>
              </w:numPr>
              <w:tabs>
                <w:tab w:val="left" w:pos="662"/>
              </w:tabs>
              <w:ind w:left="520" w:hanging="486"/>
              <w:contextualSpacing/>
              <w:rPr>
                <w:rFonts w:asciiTheme="minorHAnsi" w:eastAsiaTheme="minorHAnsi" w:hAnsiTheme="minorHAnsi"/>
              </w:rPr>
            </w:pPr>
            <w:r w:rsidRPr="006C2E97">
              <w:rPr>
                <w:rFonts w:asciiTheme="minorHAnsi" w:eastAsiaTheme="minorHAnsi" w:hAnsiTheme="minorHAnsi"/>
              </w:rPr>
              <w:t>use another person’s tax file number in a manner connecting it with the other person’s identity; or</w:t>
            </w:r>
          </w:p>
          <w:p w14:paraId="1D62F98B" w14:textId="0C1C61AE" w:rsidR="006C2E97" w:rsidRPr="00C0374A" w:rsidRDefault="006C2E97" w:rsidP="00B87513">
            <w:pPr>
              <w:pStyle w:val="ListParagraph"/>
              <w:numPr>
                <w:ilvl w:val="0"/>
                <w:numId w:val="28"/>
              </w:numPr>
              <w:tabs>
                <w:tab w:val="left" w:pos="662"/>
              </w:tabs>
              <w:spacing w:line="276" w:lineRule="auto"/>
              <w:ind w:left="520" w:hanging="486"/>
            </w:pPr>
            <w:r w:rsidRPr="00C0374A">
              <w:t>divulge or communicate another person’s tax file number to a third person.</w:t>
            </w:r>
          </w:p>
        </w:tc>
        <w:tc>
          <w:tcPr>
            <w:tcW w:w="1329" w:type="pct"/>
            <w:tcBorders>
              <w:top w:val="single" w:sz="4" w:space="0" w:color="auto"/>
              <w:left w:val="single" w:sz="4" w:space="0" w:color="auto"/>
              <w:bottom w:val="single" w:sz="4" w:space="0" w:color="auto"/>
              <w:right w:val="single" w:sz="4" w:space="0" w:color="auto"/>
            </w:tcBorders>
            <w:vAlign w:val="top"/>
            <w:hideMark/>
          </w:tcPr>
          <w:p w14:paraId="790C0895" w14:textId="04C93F16" w:rsidR="006C2E97" w:rsidRPr="006C2E97" w:rsidRDefault="006C2E97" w:rsidP="006C2E97">
            <w:r w:rsidRPr="006C2E97">
              <w:t xml:space="preserve">To the extent required or permitted by, or reasonably necessary </w:t>
            </w:r>
            <w:proofErr w:type="gramStart"/>
            <w:r w:rsidRPr="006C2E97">
              <w:t>in order to</w:t>
            </w:r>
            <w:proofErr w:type="gramEnd"/>
            <w:r w:rsidRPr="006C2E97">
              <w:t xml:space="preserve"> comply with, or in connection with exercising powers under, a taxation law, a law of the Commonwealth of a kind </w:t>
            </w:r>
            <w:r w:rsidRPr="00593462">
              <w:t xml:space="preserve">referred to in subsection 8WB(1A) of the </w:t>
            </w:r>
            <w:r w:rsidRPr="00593462">
              <w:rPr>
                <w:i/>
              </w:rPr>
              <w:t>Taxation Administration Act 1953</w:t>
            </w:r>
            <w:r w:rsidR="00C0374A" w:rsidRPr="00593462">
              <w:rPr>
                <w:i/>
              </w:rPr>
              <w:t>.</w:t>
            </w:r>
            <w:r w:rsidRPr="00593462">
              <w:t xml:space="preserve"> </w:t>
            </w:r>
          </w:p>
        </w:tc>
        <w:tc>
          <w:tcPr>
            <w:tcW w:w="1329" w:type="pct"/>
            <w:tcBorders>
              <w:top w:val="single" w:sz="4" w:space="0" w:color="auto"/>
              <w:left w:val="single" w:sz="4" w:space="0" w:color="auto"/>
              <w:bottom w:val="single" w:sz="4" w:space="0" w:color="auto"/>
              <w:right w:val="single" w:sz="4" w:space="0" w:color="auto"/>
            </w:tcBorders>
            <w:vAlign w:val="top"/>
            <w:hideMark/>
          </w:tcPr>
          <w:p w14:paraId="5DB23A15" w14:textId="77777777" w:rsidR="006C2E97" w:rsidRPr="006C2E97" w:rsidRDefault="006C2E97" w:rsidP="006C2E97">
            <w:r w:rsidRPr="006C2E97">
              <w:t>100 penalty units or 2 years imprisonment or both.</w:t>
            </w:r>
          </w:p>
        </w:tc>
      </w:tr>
      <w:tr w:rsidR="004820A9" w:rsidRPr="006C2E97" w14:paraId="079CC1C2"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3A2DBFAF" w14:textId="1BE8DF68" w:rsidR="004820A9" w:rsidRPr="00A2790C" w:rsidRDefault="004820A9" w:rsidP="004820A9">
            <w:r w:rsidRPr="00A2790C">
              <w:t xml:space="preserve">Section 203 (Offence: unauthorised obtaining of protected information) of </w:t>
            </w:r>
            <w:r w:rsidRPr="00A2790C">
              <w:rPr>
                <w:i/>
              </w:rPr>
              <w:t>Social Security (Administration) Act 1999</w:t>
            </w:r>
          </w:p>
        </w:tc>
        <w:tc>
          <w:tcPr>
            <w:tcW w:w="1148" w:type="pct"/>
            <w:tcBorders>
              <w:top w:val="single" w:sz="4" w:space="0" w:color="auto"/>
              <w:left w:val="single" w:sz="4" w:space="0" w:color="auto"/>
              <w:bottom w:val="single" w:sz="4" w:space="0" w:color="auto"/>
              <w:right w:val="single" w:sz="4" w:space="0" w:color="auto"/>
            </w:tcBorders>
            <w:vAlign w:val="top"/>
          </w:tcPr>
          <w:p w14:paraId="081F78AA" w14:textId="47D980AF" w:rsidR="004820A9" w:rsidRPr="00A2790C" w:rsidRDefault="004820A9" w:rsidP="004820A9">
            <w:r w:rsidRPr="00A2790C">
              <w:t xml:space="preserve">Unless an exception applies, a person must not intentionally obtain information that the person knows or ought reasonably to know is protected information. </w:t>
            </w:r>
          </w:p>
        </w:tc>
        <w:tc>
          <w:tcPr>
            <w:tcW w:w="1329" w:type="pct"/>
            <w:tcBorders>
              <w:top w:val="single" w:sz="4" w:space="0" w:color="auto"/>
              <w:left w:val="single" w:sz="4" w:space="0" w:color="auto"/>
              <w:bottom w:val="single" w:sz="4" w:space="0" w:color="auto"/>
              <w:right w:val="single" w:sz="4" w:space="0" w:color="auto"/>
            </w:tcBorders>
            <w:vAlign w:val="top"/>
          </w:tcPr>
          <w:p w14:paraId="3A64CE4D" w14:textId="3785EFBB" w:rsidR="004820A9" w:rsidRPr="00A2790C" w:rsidRDefault="004820A9" w:rsidP="004820A9">
            <w:r w:rsidRPr="00A2790C">
              <w:t>To the extent authorised under the social security la</w:t>
            </w:r>
            <w:r w:rsidRPr="00593462">
              <w:t>w</w:t>
            </w:r>
            <w:r w:rsidR="00FA3CB7" w:rsidRPr="00593462">
              <w:t>.</w:t>
            </w:r>
          </w:p>
        </w:tc>
        <w:tc>
          <w:tcPr>
            <w:tcW w:w="1329" w:type="pct"/>
            <w:tcBorders>
              <w:top w:val="single" w:sz="4" w:space="0" w:color="auto"/>
              <w:left w:val="single" w:sz="4" w:space="0" w:color="auto"/>
              <w:bottom w:val="single" w:sz="4" w:space="0" w:color="auto"/>
              <w:right w:val="single" w:sz="4" w:space="0" w:color="auto"/>
            </w:tcBorders>
            <w:vAlign w:val="top"/>
          </w:tcPr>
          <w:p w14:paraId="484B30D2" w14:textId="00B54D73" w:rsidR="004820A9" w:rsidRPr="00A2790C" w:rsidRDefault="004820A9" w:rsidP="004820A9">
            <w:r w:rsidRPr="00A2790C">
              <w:t>Imprisonment for a term not exceeding 2 years.</w:t>
            </w:r>
          </w:p>
        </w:tc>
      </w:tr>
      <w:tr w:rsidR="004820A9" w:rsidRPr="006C2E97" w14:paraId="4512EDAC"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hideMark/>
          </w:tcPr>
          <w:p w14:paraId="45D683D3" w14:textId="5D6F648C" w:rsidR="004820A9" w:rsidRPr="00A2790C" w:rsidRDefault="004820A9" w:rsidP="004820A9">
            <w:r w:rsidRPr="00A2790C">
              <w:t xml:space="preserve">Section 204 (Offence: unauthorised use or disclosure of protected information) of </w:t>
            </w:r>
            <w:r w:rsidRPr="00A2790C">
              <w:rPr>
                <w:i/>
              </w:rPr>
              <w:t>Social Security (Administration) Act 1999</w:t>
            </w:r>
          </w:p>
        </w:tc>
        <w:tc>
          <w:tcPr>
            <w:tcW w:w="1148" w:type="pct"/>
            <w:tcBorders>
              <w:top w:val="single" w:sz="4" w:space="0" w:color="auto"/>
              <w:left w:val="single" w:sz="4" w:space="0" w:color="auto"/>
              <w:bottom w:val="single" w:sz="4" w:space="0" w:color="auto"/>
              <w:right w:val="single" w:sz="4" w:space="0" w:color="auto"/>
            </w:tcBorders>
            <w:vAlign w:val="top"/>
            <w:hideMark/>
          </w:tcPr>
          <w:p w14:paraId="518BFF75" w14:textId="284AB060" w:rsidR="004820A9" w:rsidRPr="00A2790C" w:rsidRDefault="004820A9" w:rsidP="004820A9">
            <w:r w:rsidRPr="00A2790C">
              <w:t xml:space="preserve">Unless an exception applies, a person must not intentionally make a record of, </w:t>
            </w:r>
            <w:proofErr w:type="gramStart"/>
            <w:r w:rsidRPr="00A2790C">
              <w:t>disclose</w:t>
            </w:r>
            <w:proofErr w:type="gramEnd"/>
            <w:r w:rsidRPr="00A2790C">
              <w:t xml:space="preserve"> or otherwise make use of information that the person knows or ought reasonably to know is protected information.</w:t>
            </w:r>
          </w:p>
        </w:tc>
        <w:tc>
          <w:tcPr>
            <w:tcW w:w="1329" w:type="pct"/>
            <w:tcBorders>
              <w:top w:val="single" w:sz="4" w:space="0" w:color="auto"/>
              <w:left w:val="single" w:sz="4" w:space="0" w:color="auto"/>
              <w:bottom w:val="single" w:sz="4" w:space="0" w:color="auto"/>
              <w:right w:val="single" w:sz="4" w:space="0" w:color="auto"/>
            </w:tcBorders>
            <w:vAlign w:val="top"/>
            <w:hideMark/>
          </w:tcPr>
          <w:p w14:paraId="02D40220" w14:textId="48E5AD89" w:rsidR="004820A9" w:rsidRPr="00A2790C" w:rsidRDefault="004820A9" w:rsidP="004820A9">
            <w:r w:rsidRPr="00A2790C">
              <w:t>To the extent authorised or required under the social security law or family assistance law.</w:t>
            </w:r>
          </w:p>
        </w:tc>
        <w:tc>
          <w:tcPr>
            <w:tcW w:w="1329" w:type="pct"/>
            <w:tcBorders>
              <w:top w:val="single" w:sz="4" w:space="0" w:color="auto"/>
              <w:left w:val="single" w:sz="4" w:space="0" w:color="auto"/>
              <w:bottom w:val="single" w:sz="4" w:space="0" w:color="auto"/>
              <w:right w:val="single" w:sz="4" w:space="0" w:color="auto"/>
            </w:tcBorders>
            <w:vAlign w:val="top"/>
            <w:hideMark/>
          </w:tcPr>
          <w:p w14:paraId="1A623834" w14:textId="77777777" w:rsidR="004820A9" w:rsidRPr="00A2790C" w:rsidRDefault="004820A9" w:rsidP="004820A9">
            <w:r w:rsidRPr="00A2790C">
              <w:t>Imprisonment for a term not exceeding 2 years.</w:t>
            </w:r>
          </w:p>
        </w:tc>
      </w:tr>
      <w:tr w:rsidR="004820A9" w:rsidRPr="006C2E97" w14:paraId="126D66E1"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7811580B" w14:textId="6071D7EE" w:rsidR="004820A9" w:rsidRPr="00A2790C" w:rsidRDefault="004820A9" w:rsidP="004820A9">
            <w:r w:rsidRPr="00A2790C">
              <w:lastRenderedPageBreak/>
              <w:t xml:space="preserve">Section 205 (Offence: soliciting disclosure of protected information) of </w:t>
            </w:r>
            <w:r w:rsidRPr="00A2790C">
              <w:rPr>
                <w:i/>
              </w:rPr>
              <w:t>Social Security (Administration) Act 1999</w:t>
            </w:r>
          </w:p>
        </w:tc>
        <w:tc>
          <w:tcPr>
            <w:tcW w:w="1148" w:type="pct"/>
            <w:tcBorders>
              <w:top w:val="single" w:sz="4" w:space="0" w:color="auto"/>
              <w:left w:val="single" w:sz="4" w:space="0" w:color="auto"/>
              <w:bottom w:val="single" w:sz="4" w:space="0" w:color="auto"/>
              <w:right w:val="single" w:sz="4" w:space="0" w:color="auto"/>
            </w:tcBorders>
            <w:vAlign w:val="top"/>
          </w:tcPr>
          <w:p w14:paraId="4C6B9B6D" w14:textId="7A8004FC" w:rsidR="004820A9" w:rsidRPr="00A2790C" w:rsidRDefault="004820A9" w:rsidP="004820A9">
            <w:r w:rsidRPr="00A2790C">
              <w:t>Unless an exception applies, a person must not solicit the disclosure of protected information from an officer (or another person), where the person knows or ought reasonably to know that the information is protected information</w:t>
            </w:r>
          </w:p>
        </w:tc>
        <w:tc>
          <w:tcPr>
            <w:tcW w:w="1329" w:type="pct"/>
            <w:tcBorders>
              <w:top w:val="single" w:sz="4" w:space="0" w:color="auto"/>
              <w:left w:val="single" w:sz="4" w:space="0" w:color="auto"/>
              <w:bottom w:val="single" w:sz="4" w:space="0" w:color="auto"/>
              <w:right w:val="single" w:sz="4" w:space="0" w:color="auto"/>
            </w:tcBorders>
            <w:vAlign w:val="top"/>
          </w:tcPr>
          <w:p w14:paraId="57368122" w14:textId="4BEFA168" w:rsidR="004820A9" w:rsidRPr="00A2790C" w:rsidRDefault="004820A9" w:rsidP="004820A9">
            <w:r w:rsidRPr="00A2790C">
              <w:t xml:space="preserve">To the extent the disclosure is not a contravention of Part 5 Division 3 of the </w:t>
            </w:r>
            <w:r w:rsidRPr="00A2790C">
              <w:rPr>
                <w:i/>
              </w:rPr>
              <w:t>Social Security (Administration) Act 1999</w:t>
            </w:r>
          </w:p>
        </w:tc>
        <w:tc>
          <w:tcPr>
            <w:tcW w:w="1329" w:type="pct"/>
            <w:tcBorders>
              <w:top w:val="single" w:sz="4" w:space="0" w:color="auto"/>
              <w:left w:val="single" w:sz="4" w:space="0" w:color="auto"/>
              <w:bottom w:val="single" w:sz="4" w:space="0" w:color="auto"/>
              <w:right w:val="single" w:sz="4" w:space="0" w:color="auto"/>
            </w:tcBorders>
            <w:vAlign w:val="top"/>
          </w:tcPr>
          <w:p w14:paraId="6104DBB4" w14:textId="4DEE5484" w:rsidR="004820A9" w:rsidRPr="00A2790C" w:rsidRDefault="004820A9" w:rsidP="004820A9">
            <w:r w:rsidRPr="00A2790C">
              <w:t>Imprisonment for a term not exceeding 2 years.</w:t>
            </w:r>
          </w:p>
        </w:tc>
      </w:tr>
      <w:tr w:rsidR="004820A9" w:rsidRPr="006C2E97" w14:paraId="56DED8F5"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08A16DD4" w14:textId="0B9BEB76" w:rsidR="004820A9" w:rsidRPr="00A2790C" w:rsidRDefault="004820A9" w:rsidP="004820A9">
            <w:r w:rsidRPr="00A2790C">
              <w:t xml:space="preserve">Section 206 (Offence: soliciting supply of protected information) of </w:t>
            </w:r>
            <w:r w:rsidRPr="00A2790C">
              <w:rPr>
                <w:i/>
              </w:rPr>
              <w:t>Social Security (Administration) Act 1999</w:t>
            </w:r>
          </w:p>
        </w:tc>
        <w:tc>
          <w:tcPr>
            <w:tcW w:w="1148" w:type="pct"/>
            <w:tcBorders>
              <w:top w:val="single" w:sz="4" w:space="0" w:color="auto"/>
              <w:left w:val="single" w:sz="4" w:space="0" w:color="auto"/>
              <w:bottom w:val="single" w:sz="4" w:space="0" w:color="auto"/>
              <w:right w:val="single" w:sz="4" w:space="0" w:color="auto"/>
            </w:tcBorders>
            <w:vAlign w:val="top"/>
          </w:tcPr>
          <w:p w14:paraId="33FF1996" w14:textId="13D1C996" w:rsidR="004820A9" w:rsidRPr="00A2790C" w:rsidRDefault="004820A9" w:rsidP="004820A9">
            <w:r w:rsidRPr="00A2790C">
              <w:t xml:space="preserve">Unless an exception applies, a person must not offer to supply (whether to a particular person </w:t>
            </w:r>
            <w:r w:rsidRPr="00593462">
              <w:t>or otherwise) or hold themselves</w:t>
            </w:r>
            <w:r w:rsidR="008F4956" w:rsidRPr="00593462">
              <w:t xml:space="preserve"> out</w:t>
            </w:r>
            <w:r w:rsidRPr="00593462">
              <w:t xml:space="preserve"> as being able to supply information about another</w:t>
            </w:r>
            <w:r w:rsidR="008F4956" w:rsidRPr="00593462">
              <w:t xml:space="preserve"> person</w:t>
            </w:r>
            <w:r w:rsidRPr="00593462">
              <w:t>, knowing</w:t>
            </w:r>
            <w:r w:rsidRPr="00A2790C">
              <w:t xml:space="preserve"> that the information is protected information.</w:t>
            </w:r>
          </w:p>
        </w:tc>
        <w:tc>
          <w:tcPr>
            <w:tcW w:w="1329" w:type="pct"/>
            <w:tcBorders>
              <w:top w:val="single" w:sz="4" w:space="0" w:color="auto"/>
              <w:left w:val="single" w:sz="4" w:space="0" w:color="auto"/>
              <w:bottom w:val="single" w:sz="4" w:space="0" w:color="auto"/>
              <w:right w:val="single" w:sz="4" w:space="0" w:color="auto"/>
            </w:tcBorders>
            <w:vAlign w:val="top"/>
          </w:tcPr>
          <w:p w14:paraId="5C85527A" w14:textId="6A011F22" w:rsidR="004820A9" w:rsidRPr="00A2790C" w:rsidRDefault="004820A9" w:rsidP="004820A9">
            <w:r w:rsidRPr="00A2790C">
              <w:t xml:space="preserve">To the extent the officer is acting in the performance or exercise of his or her duties, </w:t>
            </w:r>
            <w:proofErr w:type="gramStart"/>
            <w:r w:rsidRPr="00A2790C">
              <w:t>functions</w:t>
            </w:r>
            <w:proofErr w:type="gramEnd"/>
            <w:r w:rsidRPr="00A2790C">
              <w:t xml:space="preserve"> or powers under the social security law.</w:t>
            </w:r>
          </w:p>
        </w:tc>
        <w:tc>
          <w:tcPr>
            <w:tcW w:w="1329" w:type="pct"/>
            <w:tcBorders>
              <w:top w:val="single" w:sz="4" w:space="0" w:color="auto"/>
              <w:left w:val="single" w:sz="4" w:space="0" w:color="auto"/>
              <w:bottom w:val="single" w:sz="4" w:space="0" w:color="auto"/>
              <w:right w:val="single" w:sz="4" w:space="0" w:color="auto"/>
            </w:tcBorders>
            <w:vAlign w:val="top"/>
          </w:tcPr>
          <w:p w14:paraId="01B9FB00" w14:textId="4B2D372D" w:rsidR="004820A9" w:rsidRPr="00A2790C" w:rsidRDefault="004820A9" w:rsidP="004820A9">
            <w:r w:rsidRPr="00A2790C">
              <w:t>Imprisonment for a term not exceeding 2 years.</w:t>
            </w:r>
          </w:p>
        </w:tc>
      </w:tr>
      <w:tr w:rsidR="004820A9" w:rsidRPr="006C2E97" w14:paraId="45AE20A9"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7C995260" w14:textId="6DBEE74A" w:rsidR="004820A9" w:rsidRPr="00A2790C" w:rsidRDefault="004820A9" w:rsidP="004820A9">
            <w:r w:rsidRPr="00A2790C">
              <w:lastRenderedPageBreak/>
              <w:t>Section 207 (Protection of certain documents etc. from production to court etc.) of</w:t>
            </w:r>
            <w:r w:rsidRPr="00A2790C">
              <w:rPr>
                <w:i/>
              </w:rPr>
              <w:t xml:space="preserve"> Social Security (Administration) Act 1999</w:t>
            </w:r>
          </w:p>
        </w:tc>
        <w:tc>
          <w:tcPr>
            <w:tcW w:w="1148" w:type="pct"/>
            <w:tcBorders>
              <w:top w:val="single" w:sz="4" w:space="0" w:color="auto"/>
              <w:left w:val="single" w:sz="4" w:space="0" w:color="auto"/>
              <w:bottom w:val="single" w:sz="4" w:space="0" w:color="auto"/>
              <w:right w:val="single" w:sz="4" w:space="0" w:color="auto"/>
            </w:tcBorders>
            <w:vAlign w:val="top"/>
          </w:tcPr>
          <w:p w14:paraId="20FA3459" w14:textId="545D2BBD" w:rsidR="004820A9" w:rsidRPr="00A2790C" w:rsidRDefault="004820A9" w:rsidP="004820A9">
            <w:r w:rsidRPr="00A2790C">
              <w:t xml:space="preserve">Unless an exception applies, an officer must not be required to </w:t>
            </w:r>
            <w:r w:rsidRPr="00593462">
              <w:t xml:space="preserve">produce any document in their possession or to disclose </w:t>
            </w:r>
            <w:r w:rsidR="008F4956" w:rsidRPr="00593462">
              <w:t xml:space="preserve">any </w:t>
            </w:r>
            <w:r w:rsidRPr="00593462">
              <w:t xml:space="preserve">matter </w:t>
            </w:r>
            <w:r w:rsidR="008F4956" w:rsidRPr="00593462">
              <w:t xml:space="preserve">or thing </w:t>
            </w:r>
            <w:r w:rsidRPr="00593462">
              <w:t xml:space="preserve">of which they had notice </w:t>
            </w:r>
            <w:r w:rsidR="008F4956" w:rsidRPr="00593462">
              <w:t xml:space="preserve">because of the performance or exercise of their duties, </w:t>
            </w:r>
            <w:proofErr w:type="gramStart"/>
            <w:r w:rsidR="008F4956" w:rsidRPr="00593462">
              <w:t>functions</w:t>
            </w:r>
            <w:proofErr w:type="gramEnd"/>
            <w:r w:rsidR="008F4956" w:rsidRPr="00593462">
              <w:t xml:space="preserve"> or powers under the social security law, </w:t>
            </w:r>
            <w:r w:rsidRPr="00593462">
              <w:t>to a court, tribunal, authority or person having power to require</w:t>
            </w:r>
            <w:r w:rsidRPr="00A2790C">
              <w:t xml:space="preserve"> the production of documents or the answering of questions.</w:t>
            </w:r>
          </w:p>
        </w:tc>
        <w:tc>
          <w:tcPr>
            <w:tcW w:w="1329" w:type="pct"/>
            <w:tcBorders>
              <w:top w:val="single" w:sz="4" w:space="0" w:color="auto"/>
              <w:left w:val="single" w:sz="4" w:space="0" w:color="auto"/>
              <w:bottom w:val="single" w:sz="4" w:space="0" w:color="auto"/>
              <w:right w:val="single" w:sz="4" w:space="0" w:color="auto"/>
            </w:tcBorders>
            <w:vAlign w:val="top"/>
          </w:tcPr>
          <w:p w14:paraId="39B6FD65" w14:textId="6788E3F8" w:rsidR="004820A9" w:rsidRPr="00A2790C" w:rsidRDefault="00A453A4" w:rsidP="004820A9">
            <w:r w:rsidRPr="00A2790C">
              <w:t xml:space="preserve">To the extent the production or disclosure is for the purposes of the social security law or the </w:t>
            </w:r>
            <w:r w:rsidRPr="00A2790C">
              <w:rPr>
                <w:i/>
                <w:iCs/>
              </w:rPr>
              <w:t>Royal Commissions Act 1902</w:t>
            </w:r>
            <w:r w:rsidRPr="00A2790C">
              <w:t>.</w:t>
            </w:r>
          </w:p>
        </w:tc>
        <w:tc>
          <w:tcPr>
            <w:tcW w:w="1329" w:type="pct"/>
            <w:tcBorders>
              <w:top w:val="single" w:sz="4" w:space="0" w:color="auto"/>
              <w:left w:val="single" w:sz="4" w:space="0" w:color="auto"/>
              <w:bottom w:val="single" w:sz="4" w:space="0" w:color="auto"/>
              <w:right w:val="single" w:sz="4" w:space="0" w:color="auto"/>
            </w:tcBorders>
            <w:vAlign w:val="top"/>
          </w:tcPr>
          <w:p w14:paraId="3C23D4F9" w14:textId="3EF08586" w:rsidR="004820A9" w:rsidRPr="00A2790C" w:rsidRDefault="00A453A4" w:rsidP="00A453A4">
            <w:r w:rsidRPr="00A2790C">
              <w:t xml:space="preserve">No specific penalty is attached to this provision, but a person who discloses information in breach of this provision where no exception allowing disclosure is applicable, may breach section 204 of the </w:t>
            </w:r>
            <w:r w:rsidRPr="00A2790C">
              <w:rPr>
                <w:i/>
              </w:rPr>
              <w:t>Social Security (Administration) Act 1999</w:t>
            </w:r>
            <w:r w:rsidRPr="00A2790C">
              <w:t xml:space="preserve"> and may be subject to imprisonment for a term not exceeding 2 years</w:t>
            </w:r>
          </w:p>
        </w:tc>
      </w:tr>
      <w:tr w:rsidR="002D0512" w:rsidRPr="006C2E97" w14:paraId="642116B5" w14:textId="77777777" w:rsidTr="006C2E97">
        <w:trPr>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28D13F60" w14:textId="07488D07" w:rsidR="002D0512" w:rsidRPr="00A2790C" w:rsidRDefault="008142F8" w:rsidP="004820A9">
            <w:r>
              <w:t>Item 73(1) in Schedule 1A</w:t>
            </w:r>
            <w:r w:rsidR="002D0512">
              <w:t xml:space="preserve"> </w:t>
            </w:r>
            <w:r w:rsidR="002D0512" w:rsidRPr="009F509D">
              <w:t>of</w:t>
            </w:r>
            <w:r w:rsidRPr="009F509D">
              <w:t xml:space="preserve"> the</w:t>
            </w:r>
            <w:r w:rsidR="002D0512" w:rsidRPr="009F509D">
              <w:t xml:space="preserve"> </w:t>
            </w:r>
            <w:r w:rsidR="002D0512" w:rsidRPr="009F509D">
              <w:rPr>
                <w:i/>
                <w:iCs/>
              </w:rPr>
              <w:t>Higher Education Support Act</w:t>
            </w:r>
            <w:r w:rsidR="002D0512" w:rsidRPr="00B87513">
              <w:rPr>
                <w:i/>
                <w:iCs/>
              </w:rPr>
              <w:t xml:space="preserve"> 2003</w:t>
            </w:r>
          </w:p>
        </w:tc>
        <w:tc>
          <w:tcPr>
            <w:tcW w:w="1148" w:type="pct"/>
            <w:tcBorders>
              <w:top w:val="single" w:sz="4" w:space="0" w:color="auto"/>
              <w:left w:val="single" w:sz="4" w:space="0" w:color="auto"/>
              <w:bottom w:val="single" w:sz="4" w:space="0" w:color="auto"/>
              <w:right w:val="single" w:sz="4" w:space="0" w:color="auto"/>
            </w:tcBorders>
            <w:vAlign w:val="top"/>
          </w:tcPr>
          <w:p w14:paraId="7E7909D5" w14:textId="5A2D3569" w:rsidR="002D0512" w:rsidRPr="00A2790C" w:rsidRDefault="002D0512" w:rsidP="004820A9">
            <w:r>
              <w:t>Unless an exception applies, an officer must not disclose or make a copy or other record of</w:t>
            </w:r>
            <w:r w:rsidR="00886884">
              <w:t xml:space="preserve"> </w:t>
            </w:r>
            <w:r w:rsidR="00886884" w:rsidRPr="009F509D">
              <w:t xml:space="preserve">information, not in the course of their official employment, if that information is </w:t>
            </w:r>
            <w:r w:rsidR="008142F8" w:rsidRPr="009F509D">
              <w:t xml:space="preserve">VET </w:t>
            </w:r>
            <w:r w:rsidR="00886884" w:rsidRPr="009F509D">
              <w:t>personal information that was acquired by the officer in the</w:t>
            </w:r>
            <w:r w:rsidR="00886884">
              <w:t xml:space="preserve"> course of their official employment.</w:t>
            </w:r>
          </w:p>
        </w:tc>
        <w:tc>
          <w:tcPr>
            <w:tcW w:w="1329" w:type="pct"/>
            <w:tcBorders>
              <w:top w:val="single" w:sz="4" w:space="0" w:color="auto"/>
              <w:left w:val="single" w:sz="4" w:space="0" w:color="auto"/>
              <w:bottom w:val="single" w:sz="4" w:space="0" w:color="auto"/>
              <w:right w:val="single" w:sz="4" w:space="0" w:color="auto"/>
            </w:tcBorders>
            <w:vAlign w:val="top"/>
          </w:tcPr>
          <w:p w14:paraId="37F5D916" w14:textId="7245F3AE" w:rsidR="002D0512" w:rsidRDefault="00886884" w:rsidP="004820A9">
            <w:r>
              <w:t xml:space="preserve">Where the person to whom the </w:t>
            </w:r>
            <w:r w:rsidR="00F074C6">
              <w:t xml:space="preserve">personal </w:t>
            </w:r>
            <w:r>
              <w:t>information relates has consented to the disclosure, or the making of the copy or record.</w:t>
            </w:r>
          </w:p>
          <w:p w14:paraId="73E249D8" w14:textId="09378EA7" w:rsidR="00886884" w:rsidRPr="00B170A8" w:rsidRDefault="00886884" w:rsidP="004820A9">
            <w:r>
              <w:t xml:space="preserve">Where authorised or required by a law of the </w:t>
            </w:r>
            <w:r w:rsidR="00F074C6" w:rsidRPr="00B170A8">
              <w:t>Commonwealth.</w:t>
            </w:r>
          </w:p>
          <w:p w14:paraId="047B26EB" w14:textId="576811DF" w:rsidR="00886884" w:rsidRPr="00A2790C" w:rsidRDefault="00886884" w:rsidP="004820A9">
            <w:r w:rsidRPr="00B170A8">
              <w:t xml:space="preserve">Where authorised or required by a law of a </w:t>
            </w:r>
            <w:r w:rsidRPr="009F509D">
              <w:t xml:space="preserve">State or Territory that relates to the administration, regulation or funding of </w:t>
            </w:r>
            <w:r w:rsidR="008142F8" w:rsidRPr="009F509D">
              <w:t xml:space="preserve">vocational </w:t>
            </w:r>
            <w:r w:rsidRPr="009F509D">
              <w:t xml:space="preserve">education </w:t>
            </w:r>
            <w:r w:rsidR="008142F8" w:rsidRPr="009F509D">
              <w:t xml:space="preserve">or training </w:t>
            </w:r>
            <w:r w:rsidRPr="009F509D">
              <w:t xml:space="preserve">or that is specified in the </w:t>
            </w:r>
            <w:r w:rsidR="008142F8" w:rsidRPr="009F509D">
              <w:t>VET</w:t>
            </w:r>
            <w:r w:rsidRPr="009F509D">
              <w:t xml:space="preserve"> Guidelines</w:t>
            </w:r>
            <w:r w:rsidR="00F074C6" w:rsidRPr="009F509D">
              <w:t>.</w:t>
            </w:r>
          </w:p>
        </w:tc>
        <w:tc>
          <w:tcPr>
            <w:tcW w:w="1329" w:type="pct"/>
            <w:tcBorders>
              <w:top w:val="single" w:sz="4" w:space="0" w:color="auto"/>
              <w:left w:val="single" w:sz="4" w:space="0" w:color="auto"/>
              <w:bottom w:val="single" w:sz="4" w:space="0" w:color="auto"/>
              <w:right w:val="single" w:sz="4" w:space="0" w:color="auto"/>
            </w:tcBorders>
            <w:vAlign w:val="top"/>
          </w:tcPr>
          <w:p w14:paraId="0390C6A3" w14:textId="0EA5AA61" w:rsidR="002D0512" w:rsidRPr="00A2790C" w:rsidRDefault="00886884" w:rsidP="00A453A4">
            <w:r>
              <w:t>Imprisonment for 2 years.</w:t>
            </w:r>
          </w:p>
        </w:tc>
      </w:tr>
      <w:tr w:rsidR="0040390F" w:rsidRPr="006C2E97" w14:paraId="5E5B18CF" w14:textId="77777777" w:rsidTr="006C2E97">
        <w:trPr>
          <w:cnfStyle w:val="000000010000" w:firstRow="0" w:lastRow="0" w:firstColumn="0" w:lastColumn="0" w:oddVBand="0" w:evenVBand="0" w:oddHBand="0" w:evenHBand="1" w:firstRowFirstColumn="0" w:firstRowLastColumn="0" w:lastRowFirstColumn="0" w:lastRowLastColumn="0"/>
          <w:cantSplit/>
          <w:trHeight w:val="60"/>
        </w:trPr>
        <w:tc>
          <w:tcPr>
            <w:tcW w:w="1194" w:type="pct"/>
            <w:tcBorders>
              <w:top w:val="single" w:sz="4" w:space="0" w:color="auto"/>
              <w:left w:val="single" w:sz="4" w:space="0" w:color="auto"/>
              <w:bottom w:val="single" w:sz="4" w:space="0" w:color="auto"/>
              <w:right w:val="single" w:sz="4" w:space="0" w:color="auto"/>
            </w:tcBorders>
            <w:vAlign w:val="top"/>
          </w:tcPr>
          <w:p w14:paraId="3F8C06FF" w14:textId="79A20E6D" w:rsidR="0040390F" w:rsidRDefault="0040390F" w:rsidP="004820A9">
            <w:r>
              <w:lastRenderedPageBreak/>
              <w:t xml:space="preserve">Section 99 of the </w:t>
            </w:r>
            <w:r w:rsidRPr="00B87513">
              <w:rPr>
                <w:i/>
                <w:iCs/>
              </w:rPr>
              <w:t>VET Student Loans Act 2016</w:t>
            </w:r>
          </w:p>
        </w:tc>
        <w:tc>
          <w:tcPr>
            <w:tcW w:w="1148" w:type="pct"/>
            <w:tcBorders>
              <w:top w:val="single" w:sz="4" w:space="0" w:color="auto"/>
              <w:left w:val="single" w:sz="4" w:space="0" w:color="auto"/>
              <w:bottom w:val="single" w:sz="4" w:space="0" w:color="auto"/>
              <w:right w:val="single" w:sz="4" w:space="0" w:color="auto"/>
            </w:tcBorders>
            <w:vAlign w:val="top"/>
          </w:tcPr>
          <w:p w14:paraId="79F54644" w14:textId="4D22D0C2" w:rsidR="0040390F" w:rsidRDefault="00266636" w:rsidP="004820A9">
            <w:r>
              <w:t>Unless an exception applies, a</w:t>
            </w:r>
            <w:r w:rsidR="0040390F">
              <w:t xml:space="preserve"> person, who is or has been a VET officer, must not use or disclose to another person, personal information that was obtained or generated in his or her capacity as a VET officer.</w:t>
            </w:r>
          </w:p>
        </w:tc>
        <w:tc>
          <w:tcPr>
            <w:tcW w:w="1329" w:type="pct"/>
            <w:tcBorders>
              <w:top w:val="single" w:sz="4" w:space="0" w:color="auto"/>
              <w:left w:val="single" w:sz="4" w:space="0" w:color="auto"/>
              <w:bottom w:val="single" w:sz="4" w:space="0" w:color="auto"/>
              <w:right w:val="single" w:sz="4" w:space="0" w:color="auto"/>
            </w:tcBorders>
            <w:vAlign w:val="top"/>
          </w:tcPr>
          <w:p w14:paraId="2550646E" w14:textId="1C4F56BA" w:rsidR="0040390F" w:rsidRDefault="00305104" w:rsidP="004820A9">
            <w:r>
              <w:t>Where the use or disclosure is authorised or required by a law of the Commonwealth</w:t>
            </w:r>
            <w:r w:rsidR="00E40D9F">
              <w:t>,</w:t>
            </w:r>
            <w:r>
              <w:t xml:space="preserve"> or a law of a State or Territory listed in the rules</w:t>
            </w:r>
            <w:r w:rsidR="00141D16">
              <w:t xml:space="preserve"> (listed under section 116)</w:t>
            </w:r>
            <w:r>
              <w:t xml:space="preserve"> for the purposes of </w:t>
            </w:r>
            <w:r w:rsidR="008945B0" w:rsidRPr="00B170A8">
              <w:t>sub</w:t>
            </w:r>
            <w:r w:rsidRPr="00B170A8">
              <w:t>section</w:t>
            </w:r>
            <w:r w:rsidR="00B170A8">
              <w:t xml:space="preserve"> </w:t>
            </w:r>
            <w:r w:rsidRPr="00B170A8">
              <w:t>99(</w:t>
            </w:r>
            <w:r>
              <w:t>2).</w:t>
            </w:r>
          </w:p>
          <w:p w14:paraId="5195928B" w14:textId="2EF3D71B" w:rsidR="00305104" w:rsidRDefault="00305104" w:rsidP="004820A9">
            <w:r>
              <w:t>Where the person to whom the personal information relates has consented to the use or disclosure.</w:t>
            </w:r>
          </w:p>
        </w:tc>
        <w:tc>
          <w:tcPr>
            <w:tcW w:w="1329" w:type="pct"/>
            <w:tcBorders>
              <w:top w:val="single" w:sz="4" w:space="0" w:color="auto"/>
              <w:left w:val="single" w:sz="4" w:space="0" w:color="auto"/>
              <w:bottom w:val="single" w:sz="4" w:space="0" w:color="auto"/>
              <w:right w:val="single" w:sz="4" w:space="0" w:color="auto"/>
            </w:tcBorders>
            <w:vAlign w:val="top"/>
          </w:tcPr>
          <w:p w14:paraId="7223B170" w14:textId="654D5543" w:rsidR="0040390F" w:rsidRDefault="00305104" w:rsidP="00454BDE">
            <w:pPr>
              <w:pStyle w:val="List"/>
              <w:numPr>
                <w:ilvl w:val="0"/>
                <w:numId w:val="0"/>
              </w:numPr>
            </w:pPr>
            <w:r>
              <w:t>Imprisonment for 2 years.</w:t>
            </w:r>
          </w:p>
        </w:tc>
      </w:tr>
    </w:tbl>
    <w:p w14:paraId="77E4C8BD" w14:textId="77777777" w:rsidR="00211D08" w:rsidRPr="00211D08" w:rsidRDefault="00211D08" w:rsidP="00211D08"/>
    <w:sectPr w:rsidR="00211D08" w:rsidRPr="00211D08" w:rsidSect="006C2E97">
      <w:pgSz w:w="16838" w:h="11906" w:orient="landscape"/>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EF35" w14:textId="77777777" w:rsidR="00D14F85" w:rsidRDefault="00D14F85" w:rsidP="0051352E">
      <w:pPr>
        <w:spacing w:after="0" w:line="240" w:lineRule="auto"/>
      </w:pPr>
      <w:r>
        <w:separator/>
      </w:r>
    </w:p>
  </w:endnote>
  <w:endnote w:type="continuationSeparator" w:id="0">
    <w:p w14:paraId="602A043B" w14:textId="77777777" w:rsidR="00D14F85" w:rsidRDefault="00D14F85"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6638" w14:textId="77777777" w:rsidR="00EA67FC" w:rsidRDefault="00EA67FC">
    <w:pPr>
      <w:pStyle w:val="Footer"/>
      <w:jc w:val="right"/>
    </w:pPr>
  </w:p>
  <w:p w14:paraId="69B8631C" w14:textId="77777777" w:rsidR="00EA67FC" w:rsidRDefault="00EA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D923" w14:textId="736E06C6" w:rsidR="00EA67FC" w:rsidRDefault="00A94E65">
    <w:pPr>
      <w:pStyle w:val="Footer"/>
      <w:jc w:val="right"/>
    </w:pPr>
    <w:r>
      <w:t>Complete Privacy Policy</w:t>
    </w:r>
    <w:r w:rsidR="00EA67FC">
      <w:t xml:space="preserve"> |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3B696ECA" w:rsidR="00EA67FC" w:rsidRDefault="00BE737E">
    <w:pPr>
      <w:pStyle w:val="Footer"/>
    </w:pPr>
    <w:r>
      <w:rPr>
        <w:noProof/>
      </w:rPr>
      <mc:AlternateContent>
        <mc:Choice Requires="wps">
          <w:drawing>
            <wp:anchor distT="0" distB="0" distL="114300" distR="114300" simplePos="0" relativeHeight="251659264" behindDoc="0" locked="0" layoutInCell="1" allowOverlap="1" wp14:anchorId="04F7627B" wp14:editId="72F871C4">
              <wp:simplePos x="0" y="0"/>
              <wp:positionH relativeFrom="page">
                <wp:posOffset>0</wp:posOffset>
              </wp:positionH>
              <wp:positionV relativeFrom="paragraph">
                <wp:posOffset>251509</wp:posOffset>
              </wp:positionV>
              <wp:extent cx="7559675" cy="197485"/>
              <wp:effectExtent l="0" t="0" r="0" b="571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53CA9BC" id="Rectangle 1" o:spid="_x0000_s1026" alt="&quot;&quot;" style="position:absolute;margin-left:0;margin-top:19.8pt;width:595.25pt;height: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8714" w14:textId="77777777" w:rsidR="00D14F85" w:rsidRDefault="00D14F85" w:rsidP="0051352E">
      <w:pPr>
        <w:spacing w:after="0" w:line="240" w:lineRule="auto"/>
      </w:pPr>
      <w:r>
        <w:separator/>
      </w:r>
    </w:p>
  </w:footnote>
  <w:footnote w:type="continuationSeparator" w:id="0">
    <w:p w14:paraId="7126EFC8" w14:textId="77777777" w:rsidR="00D14F85" w:rsidRDefault="00D14F85" w:rsidP="0051352E">
      <w:pPr>
        <w:spacing w:after="0" w:line="240" w:lineRule="auto"/>
      </w:pPr>
      <w:r>
        <w:continuationSeparator/>
      </w:r>
    </w:p>
  </w:footnote>
  <w:footnote w:id="1">
    <w:p w14:paraId="21F2E9D0" w14:textId="7DBEF697" w:rsidR="00A94E65" w:rsidRDefault="00A94E65" w:rsidP="00A94E65">
      <w:pPr>
        <w:pStyle w:val="FootnoteText"/>
      </w:pPr>
      <w:r w:rsidRPr="00A2790C">
        <w:rPr>
          <w:rStyle w:val="FootnoteReference"/>
        </w:rPr>
        <w:footnoteRef/>
      </w:r>
      <w:r w:rsidRPr="00A2790C">
        <w:t xml:space="preserve"> </w:t>
      </w:r>
      <w:hyperlink r:id="rId1" w:history="1">
        <w:r w:rsidRPr="00AD51DF">
          <w:rPr>
            <w:rStyle w:val="Hyperlink"/>
            <w:color w:val="287DB2" w:themeColor="accent6"/>
          </w:rPr>
          <w:t>https://www.dewr.gov.au/</w:t>
        </w:r>
      </w:hyperlink>
    </w:p>
  </w:footnote>
  <w:footnote w:id="2">
    <w:p w14:paraId="3B40D7B6" w14:textId="66649B79" w:rsidR="00441F28" w:rsidRPr="00A2790C" w:rsidRDefault="00441F28" w:rsidP="00441F28">
      <w:pPr>
        <w:pStyle w:val="FootnoteText"/>
      </w:pPr>
      <w:r w:rsidRPr="00A2790C">
        <w:rPr>
          <w:rStyle w:val="FootnoteReference"/>
        </w:rPr>
        <w:footnoteRef/>
      </w:r>
      <w:r w:rsidRPr="00A2790C">
        <w:t xml:space="preserve"> </w:t>
      </w:r>
      <w:hyperlink r:id="rId2" w:history="1">
        <w:r w:rsidRPr="00AD51DF">
          <w:rPr>
            <w:rStyle w:val="Hyperlink"/>
            <w:color w:val="287DB2" w:themeColor="accent6"/>
          </w:rPr>
          <w:t>https://www.dewr.gov.au/using-site/privacy</w:t>
        </w:r>
      </w:hyperlink>
      <w:r w:rsidRPr="00AD51DF">
        <w:rPr>
          <w:color w:val="287DB2" w:themeColor="accent6"/>
        </w:rPr>
        <w:t xml:space="preserve"> </w:t>
      </w:r>
    </w:p>
  </w:footnote>
  <w:footnote w:id="3">
    <w:p w14:paraId="41A02B12" w14:textId="448EDD60" w:rsidR="00441F28" w:rsidRDefault="00441F28" w:rsidP="00441F28">
      <w:pPr>
        <w:pStyle w:val="FootnoteText"/>
      </w:pPr>
      <w:r w:rsidRPr="00A2790C">
        <w:rPr>
          <w:rStyle w:val="FootnoteReference"/>
        </w:rPr>
        <w:footnoteRef/>
      </w:r>
      <w:r w:rsidRPr="00A2790C">
        <w:t xml:space="preserve"> </w:t>
      </w:r>
      <w:hyperlink r:id="rId3" w:history="1">
        <w:r w:rsidR="007D1327" w:rsidRPr="00AD51DF">
          <w:rPr>
            <w:rStyle w:val="Hyperlink"/>
            <w:color w:val="287DB2" w:themeColor="accent6"/>
          </w:rPr>
          <w:t>https://www.dewr.gov.au/about-department/resources/dewr-collection-personal-information</w:t>
        </w:r>
      </w:hyperlink>
      <w:r w:rsidR="007D1327" w:rsidRPr="00AD51DF">
        <w:rPr>
          <w:color w:val="287DB2" w:themeColor="accent6"/>
        </w:rPr>
        <w:t xml:space="preserve"> </w:t>
      </w:r>
      <w:r w:rsidR="005C2DCE" w:rsidRPr="00AD51DF">
        <w:rPr>
          <w:color w:val="287DB2" w:themeColor="accent6"/>
        </w:rPr>
        <w:t xml:space="preserve"> </w:t>
      </w:r>
      <w:r w:rsidRPr="00AD51DF">
        <w:rPr>
          <w:color w:val="287DB2" w:themeColor="accent6"/>
        </w:rPr>
        <w:t xml:space="preserve"> </w:t>
      </w:r>
    </w:p>
  </w:footnote>
  <w:footnote w:id="4">
    <w:p w14:paraId="778B8594" w14:textId="7A8E3A87" w:rsidR="000348CC" w:rsidRDefault="000348CC">
      <w:pPr>
        <w:pStyle w:val="FootnoteText"/>
      </w:pPr>
      <w:r>
        <w:rPr>
          <w:rStyle w:val="FootnoteReference"/>
        </w:rPr>
        <w:footnoteRef/>
      </w:r>
      <w:r>
        <w:t xml:space="preserve"> </w:t>
      </w:r>
      <w:hyperlink r:id="rId4" w:history="1">
        <w:r w:rsidR="00F86E8D" w:rsidRPr="00AD51DF">
          <w:rPr>
            <w:rStyle w:val="Hyperlink"/>
            <w:color w:val="287DB2" w:themeColor="accent6"/>
          </w:rPr>
          <w:t>https://www.legislation.gov.au/Series/C2004A03712</w:t>
        </w:r>
      </w:hyperlink>
      <w:r w:rsidR="00F86E8D" w:rsidRPr="00AD51DF">
        <w:rPr>
          <w:color w:val="287DB2" w:themeColor="accent6"/>
        </w:rPr>
        <w:t xml:space="preserve"> </w:t>
      </w:r>
    </w:p>
  </w:footnote>
  <w:footnote w:id="5">
    <w:p w14:paraId="1A4DCF40" w14:textId="77777777" w:rsidR="00441F28" w:rsidRDefault="00441F28" w:rsidP="00441F28">
      <w:pPr>
        <w:pStyle w:val="FootnoteText"/>
      </w:pPr>
      <w:r>
        <w:rPr>
          <w:rStyle w:val="FootnoteReference"/>
        </w:rPr>
        <w:footnoteRef/>
      </w:r>
      <w:r>
        <w:t xml:space="preserve"> </w:t>
      </w:r>
      <w:hyperlink r:id="rId5" w:history="1">
        <w:r w:rsidRPr="00AD51DF">
          <w:rPr>
            <w:rStyle w:val="Hyperlink"/>
            <w:color w:val="287DB2" w:themeColor="accent6"/>
          </w:rPr>
          <w:t>www.oaic.gov.au</w:t>
        </w:r>
      </w:hyperlink>
      <w:r w:rsidRPr="00AD51DF">
        <w:rPr>
          <w:color w:val="287DB2" w:themeColor="accent6"/>
        </w:rPr>
        <w:t xml:space="preserve"> </w:t>
      </w:r>
    </w:p>
  </w:footnote>
  <w:footnote w:id="6">
    <w:p w14:paraId="28E81817" w14:textId="77777777" w:rsidR="00441F28" w:rsidRDefault="00441F28" w:rsidP="00441F28">
      <w:pPr>
        <w:pStyle w:val="FootnoteText"/>
      </w:pPr>
      <w:r>
        <w:rPr>
          <w:rStyle w:val="FootnoteReference"/>
        </w:rPr>
        <w:footnoteRef/>
      </w:r>
      <w:r>
        <w:t xml:space="preserve"> See section 6 of the </w:t>
      </w:r>
      <w:r>
        <w:rPr>
          <w:i/>
        </w:rPr>
        <w:t>Privacy Act 1988</w:t>
      </w:r>
      <w:r>
        <w:t xml:space="preserve"> (Cth) and the APP Guidelines issued by the Office of the Australian Information Commissioner.</w:t>
      </w:r>
    </w:p>
  </w:footnote>
  <w:footnote w:id="7">
    <w:p w14:paraId="6AF0E5FF" w14:textId="77777777" w:rsidR="00441F28" w:rsidRDefault="00441F28" w:rsidP="00441F28">
      <w:pPr>
        <w:pStyle w:val="FootnoteText"/>
      </w:pPr>
      <w:r>
        <w:rPr>
          <w:rStyle w:val="FootnoteReference"/>
        </w:rPr>
        <w:footnoteRef/>
      </w:r>
      <w:r>
        <w:t xml:space="preserve"> As above.</w:t>
      </w:r>
    </w:p>
  </w:footnote>
  <w:footnote w:id="8">
    <w:p w14:paraId="43614F56" w14:textId="0F1A8684" w:rsidR="000348CC" w:rsidRDefault="000348CC">
      <w:pPr>
        <w:pStyle w:val="FootnoteText"/>
      </w:pPr>
      <w:r>
        <w:rPr>
          <w:rStyle w:val="FootnoteReference"/>
        </w:rPr>
        <w:footnoteRef/>
      </w:r>
      <w:r>
        <w:t xml:space="preserve"> </w:t>
      </w:r>
      <w:hyperlink r:id="rId6" w:history="1">
        <w:r w:rsidRPr="00AD51DF">
          <w:rPr>
            <w:rStyle w:val="Hyperlink"/>
            <w:color w:val="287DB2" w:themeColor="accent6"/>
          </w:rPr>
          <w:t>www.legislation.gov.au/Series/C2012A00159</w:t>
        </w:r>
      </w:hyperlink>
      <w:r w:rsidRPr="00AD51DF">
        <w:rPr>
          <w:color w:val="287DB2" w:themeColor="accent6"/>
        </w:rPr>
        <w:t xml:space="preserve"> </w:t>
      </w:r>
    </w:p>
  </w:footnote>
  <w:footnote w:id="9">
    <w:p w14:paraId="21FABC15" w14:textId="2EACB6FB" w:rsidR="000348CC" w:rsidRDefault="000348CC">
      <w:pPr>
        <w:pStyle w:val="FootnoteText"/>
      </w:pPr>
      <w:r>
        <w:rPr>
          <w:rStyle w:val="FootnoteReference"/>
        </w:rPr>
        <w:footnoteRef/>
      </w:r>
      <w:hyperlink r:id="rId7" w:history="1">
        <w:r w:rsidRPr="00AD51DF">
          <w:rPr>
            <w:rStyle w:val="Hyperlink"/>
            <w:color w:val="287DB2" w:themeColor="accent6"/>
          </w:rPr>
          <w:t>www.legislation.gov.au/Series/C2011A00012</w:t>
        </w:r>
      </w:hyperlink>
      <w:r w:rsidRPr="00AD51DF">
        <w:rPr>
          <w:color w:val="287DB2" w:themeColor="accent6"/>
        </w:rPr>
        <w:t xml:space="preserve"> </w:t>
      </w:r>
    </w:p>
  </w:footnote>
  <w:footnote w:id="10">
    <w:p w14:paraId="73EFEA48" w14:textId="73DA9B5F" w:rsidR="000348CC" w:rsidRDefault="000348CC">
      <w:pPr>
        <w:pStyle w:val="FootnoteText"/>
      </w:pPr>
      <w:r>
        <w:rPr>
          <w:rStyle w:val="FootnoteReference"/>
        </w:rPr>
        <w:footnoteRef/>
      </w:r>
      <w:r>
        <w:t xml:space="preserve"> </w:t>
      </w:r>
      <w:hyperlink r:id="rId8" w:history="1">
        <w:r w:rsidRPr="00AD51DF">
          <w:rPr>
            <w:rStyle w:val="Hyperlink"/>
            <w:color w:val="287DB2" w:themeColor="accent6"/>
          </w:rPr>
          <w:t>www.legislation.gov.au/Series/C2004A00580</w:t>
        </w:r>
      </w:hyperlink>
      <w:r w:rsidRPr="00AD51DF">
        <w:rPr>
          <w:color w:val="287DB2" w:themeColor="accent6"/>
        </w:rPr>
        <w:t xml:space="preserve"> </w:t>
      </w:r>
    </w:p>
  </w:footnote>
  <w:footnote w:id="11">
    <w:p w14:paraId="43F6709E" w14:textId="1BFAF2DD" w:rsidR="000348CC" w:rsidRDefault="000348CC">
      <w:pPr>
        <w:pStyle w:val="FootnoteText"/>
      </w:pPr>
      <w:r>
        <w:rPr>
          <w:rStyle w:val="FootnoteReference"/>
        </w:rPr>
        <w:footnoteRef/>
      </w:r>
      <w:r>
        <w:t xml:space="preserve"> </w:t>
      </w:r>
      <w:hyperlink r:id="rId9" w:history="1">
        <w:r w:rsidRPr="00AD51DF">
          <w:rPr>
            <w:rStyle w:val="Hyperlink"/>
            <w:color w:val="287DB2" w:themeColor="accent6"/>
          </w:rPr>
          <w:t>www.legislation.gov.au/Series/C2014A00036</w:t>
        </w:r>
      </w:hyperlink>
      <w:r w:rsidRPr="00AD51DF">
        <w:rPr>
          <w:color w:val="287DB2" w:themeColor="accent6"/>
        </w:rPr>
        <w:t xml:space="preserve"> </w:t>
      </w:r>
    </w:p>
  </w:footnote>
  <w:footnote w:id="12">
    <w:p w14:paraId="54B1B7F6" w14:textId="245686C4" w:rsidR="000348CC" w:rsidRDefault="000348CC">
      <w:pPr>
        <w:pStyle w:val="FootnoteText"/>
      </w:pPr>
      <w:r>
        <w:rPr>
          <w:rStyle w:val="FootnoteReference"/>
        </w:rPr>
        <w:footnoteRef/>
      </w:r>
      <w:r>
        <w:t xml:space="preserve"> </w:t>
      </w:r>
      <w:hyperlink r:id="rId10" w:history="1">
        <w:r w:rsidRPr="00AD51DF">
          <w:rPr>
            <w:rStyle w:val="Hyperlink"/>
            <w:color w:val="287DB2" w:themeColor="accent6"/>
          </w:rPr>
          <w:t>www.legislation.gov.au/Series/C2014A00081</w:t>
        </w:r>
      </w:hyperlink>
      <w:r w:rsidRPr="00AD51DF">
        <w:rPr>
          <w:color w:val="287DB2" w:themeColor="accent6"/>
        </w:rPr>
        <w:t xml:space="preserve"> </w:t>
      </w:r>
    </w:p>
  </w:footnote>
  <w:footnote w:id="13">
    <w:p w14:paraId="071478C9" w14:textId="35BAE5D3" w:rsidR="000348CC" w:rsidRDefault="000348CC">
      <w:pPr>
        <w:pStyle w:val="FootnoteText"/>
      </w:pPr>
      <w:r>
        <w:rPr>
          <w:rStyle w:val="FootnoteReference"/>
        </w:rPr>
        <w:footnoteRef/>
      </w:r>
      <w:r>
        <w:t xml:space="preserve"> </w:t>
      </w:r>
      <w:hyperlink r:id="rId11" w:history="1">
        <w:r w:rsidRPr="00AD51DF">
          <w:rPr>
            <w:rStyle w:val="Hyperlink"/>
            <w:color w:val="287DB2" w:themeColor="accent6"/>
          </w:rPr>
          <w:t>www.legislation.gov.au/Series/C2016A00098</w:t>
        </w:r>
      </w:hyperlink>
      <w:r w:rsidRPr="00AD51DF">
        <w:rPr>
          <w:color w:val="287DB2" w:themeColor="accent6"/>
        </w:rPr>
        <w:t xml:space="preserve"> </w:t>
      </w:r>
    </w:p>
  </w:footnote>
  <w:footnote w:id="14">
    <w:p w14:paraId="6159D7E9" w14:textId="49AEC1B6" w:rsidR="002A3CB1" w:rsidRDefault="002A3CB1">
      <w:pPr>
        <w:pStyle w:val="FootnoteText"/>
      </w:pPr>
      <w:r>
        <w:rPr>
          <w:rStyle w:val="FootnoteReference"/>
        </w:rPr>
        <w:footnoteRef/>
      </w:r>
      <w:r>
        <w:t xml:space="preserve"> </w:t>
      </w:r>
      <w:hyperlink r:id="rId12" w:history="1">
        <w:r w:rsidRPr="00AD51DF">
          <w:rPr>
            <w:rStyle w:val="Hyperlink"/>
            <w:color w:val="287DB2" w:themeColor="accent6"/>
          </w:rPr>
          <w:t>www.legislation.gov.au/Series/C1914A00012</w:t>
        </w:r>
      </w:hyperlink>
      <w:r w:rsidRPr="00AD51DF">
        <w:rPr>
          <w:color w:val="287DB2" w:themeColor="accent6"/>
        </w:rPr>
        <w:t xml:space="preserve"> </w:t>
      </w:r>
    </w:p>
  </w:footnote>
  <w:footnote w:id="15">
    <w:p w14:paraId="12F6CCCE" w14:textId="1F22A27C" w:rsidR="00441F28" w:rsidRPr="007D0BDC" w:rsidRDefault="00441F28" w:rsidP="00441F28">
      <w:pPr>
        <w:pStyle w:val="FootnoteText"/>
      </w:pPr>
      <w:r w:rsidRPr="007D0BDC">
        <w:rPr>
          <w:rStyle w:val="FootnoteReference"/>
        </w:rPr>
        <w:footnoteRef/>
      </w:r>
      <w:r w:rsidRPr="007D0BDC">
        <w:t xml:space="preserve"> See subsection 3(1) of the </w:t>
      </w:r>
      <w:r w:rsidRPr="007D0BDC">
        <w:rPr>
          <w:i/>
        </w:rPr>
        <w:t>Crimes Act 1914</w:t>
      </w:r>
      <w:r w:rsidRPr="007D0BDC">
        <w:t xml:space="preserve"> </w:t>
      </w:r>
      <w:r w:rsidR="004C1F87">
        <w:t xml:space="preserve">(Cth) </w:t>
      </w:r>
      <w:r w:rsidRPr="007D0BDC">
        <w:t>for complete definition of ‘integrity purpose’.</w:t>
      </w:r>
    </w:p>
  </w:footnote>
  <w:footnote w:id="16">
    <w:p w14:paraId="27267EDA" w14:textId="6AB11237" w:rsidR="005B69E0" w:rsidRDefault="005B69E0" w:rsidP="005B69E0">
      <w:pPr>
        <w:pStyle w:val="FootnoteText"/>
      </w:pPr>
      <w:r w:rsidRPr="00A2790C">
        <w:rPr>
          <w:rStyle w:val="FootnoteReference"/>
        </w:rPr>
        <w:footnoteRef/>
      </w:r>
      <w:r w:rsidRPr="00A2790C">
        <w:t xml:space="preserve"> </w:t>
      </w:r>
      <w:hyperlink r:id="rId13" w:history="1">
        <w:r w:rsidR="007D1327" w:rsidRPr="00AD51DF">
          <w:rPr>
            <w:rStyle w:val="Hyperlink"/>
            <w:color w:val="287DB2" w:themeColor="accent6"/>
          </w:rPr>
          <w:t>https://www.dewr.gov.au/about-department/resources/dewr-collection-personal-information</w:t>
        </w:r>
      </w:hyperlink>
      <w:r w:rsidR="007D1327" w:rsidRPr="00AD51DF">
        <w:rPr>
          <w:color w:val="287DB2" w:themeColor="accent6"/>
        </w:rPr>
        <w:t xml:space="preserve"> </w:t>
      </w:r>
      <w:r w:rsidR="005C2DCE" w:rsidRPr="00AD51DF">
        <w:rPr>
          <w:color w:val="287DB2" w:themeColor="accent6"/>
        </w:rPr>
        <w:t xml:space="preserve"> </w:t>
      </w:r>
      <w:r w:rsidRPr="00AD51DF">
        <w:rPr>
          <w:color w:val="287DB2" w:themeColor="accent6"/>
        </w:rPr>
        <w:t xml:space="preserve"> </w:t>
      </w:r>
    </w:p>
  </w:footnote>
  <w:footnote w:id="17">
    <w:p w14:paraId="7058B4CA" w14:textId="0A8B939D" w:rsidR="002A3CB1" w:rsidRDefault="002A3CB1">
      <w:pPr>
        <w:pStyle w:val="FootnoteText"/>
      </w:pPr>
      <w:r>
        <w:rPr>
          <w:rStyle w:val="FootnoteReference"/>
        </w:rPr>
        <w:footnoteRef/>
      </w:r>
      <w:r>
        <w:t xml:space="preserve"> </w:t>
      </w:r>
      <w:hyperlink r:id="rId14" w:history="1">
        <w:r w:rsidRPr="00AD51DF">
          <w:rPr>
            <w:rStyle w:val="Hyperlink"/>
            <w:color w:val="287DB2" w:themeColor="accent6"/>
          </w:rPr>
          <w:t>www.legislation.gov.au/Series/C2004A02562</w:t>
        </w:r>
      </w:hyperlink>
      <w:r w:rsidRPr="00AD51DF">
        <w:rPr>
          <w:color w:val="287DB2" w:themeColor="accent6"/>
        </w:rPr>
        <w:t xml:space="preserve"> </w:t>
      </w:r>
    </w:p>
  </w:footnote>
  <w:footnote w:id="18">
    <w:p w14:paraId="6D3CE24D" w14:textId="274648BA" w:rsidR="002A3CB1" w:rsidRDefault="002A3CB1">
      <w:pPr>
        <w:pStyle w:val="FootnoteText"/>
      </w:pPr>
      <w:r>
        <w:rPr>
          <w:rStyle w:val="FootnoteReference"/>
        </w:rPr>
        <w:footnoteRef/>
      </w:r>
      <w:r>
        <w:t xml:space="preserve"> </w:t>
      </w:r>
      <w:hyperlink r:id="rId15" w:history="1">
        <w:r w:rsidRPr="00AD51DF">
          <w:rPr>
            <w:rStyle w:val="Hyperlink"/>
            <w:color w:val="287DB2" w:themeColor="accent6"/>
          </w:rPr>
          <w:t>www.legislation.gov.au/Series/C1936A00027</w:t>
        </w:r>
      </w:hyperlink>
      <w:r w:rsidRPr="00AD51DF">
        <w:rPr>
          <w:color w:val="287DB2" w:themeColor="accent6"/>
        </w:rPr>
        <w:t xml:space="preserve"> </w:t>
      </w:r>
    </w:p>
  </w:footnote>
  <w:footnote w:id="19">
    <w:p w14:paraId="423F6038" w14:textId="69CE9061" w:rsidR="002A3CB1" w:rsidRDefault="002A3CB1">
      <w:pPr>
        <w:pStyle w:val="FootnoteText"/>
      </w:pPr>
      <w:r>
        <w:rPr>
          <w:rStyle w:val="FootnoteReference"/>
        </w:rPr>
        <w:footnoteRef/>
      </w:r>
      <w:r>
        <w:t xml:space="preserve"> </w:t>
      </w:r>
      <w:hyperlink r:id="rId16" w:history="1">
        <w:r w:rsidRPr="00AD51DF">
          <w:rPr>
            <w:rStyle w:val="Hyperlink"/>
            <w:color w:val="287DB2" w:themeColor="accent6"/>
          </w:rPr>
          <w:t>www.legislation.gov.au/Series/C1953A00001</w:t>
        </w:r>
      </w:hyperlink>
      <w:r w:rsidRPr="00AD51DF">
        <w:rPr>
          <w:color w:val="287DB2" w:themeColor="accent6"/>
        </w:rPr>
        <w:t xml:space="preserve"> </w:t>
      </w:r>
    </w:p>
  </w:footnote>
  <w:footnote w:id="20">
    <w:p w14:paraId="1EEF913F" w14:textId="1BF4761C" w:rsidR="00C5791F" w:rsidRDefault="00C5791F">
      <w:pPr>
        <w:pStyle w:val="FootnoteText"/>
      </w:pPr>
      <w:r>
        <w:rPr>
          <w:rStyle w:val="FootnoteReference"/>
        </w:rPr>
        <w:footnoteRef/>
      </w:r>
      <w:r>
        <w:t xml:space="preserve"> </w:t>
      </w:r>
      <w:hyperlink r:id="rId17" w:history="1">
        <w:r w:rsidRPr="00AD51DF">
          <w:rPr>
            <w:rStyle w:val="Hyperlink"/>
            <w:color w:val="287DB2" w:themeColor="accent6"/>
          </w:rPr>
          <w:t>www.legislation.gov.au/Series/F2015L00249</w:t>
        </w:r>
      </w:hyperlink>
      <w:r w:rsidRPr="00AD51DF">
        <w:rPr>
          <w:color w:val="287DB2" w:themeColor="accent6"/>
        </w:rPr>
        <w:t xml:space="preserve"> </w:t>
      </w:r>
    </w:p>
  </w:footnote>
  <w:footnote w:id="21">
    <w:p w14:paraId="014869F1" w14:textId="4E07D592" w:rsidR="00C5791F" w:rsidRDefault="00C5791F">
      <w:pPr>
        <w:pStyle w:val="FootnoteText"/>
      </w:pPr>
      <w:r>
        <w:rPr>
          <w:rStyle w:val="FootnoteReference"/>
        </w:rPr>
        <w:footnoteRef/>
      </w:r>
      <w:r>
        <w:t xml:space="preserve"> </w:t>
      </w:r>
      <w:hyperlink r:id="rId18" w:history="1">
        <w:r w:rsidRPr="00AD51DF">
          <w:rPr>
            <w:rStyle w:val="Hyperlink"/>
            <w:color w:val="287DB2" w:themeColor="accent6"/>
          </w:rPr>
          <w:t>www.legislation.gov.au/Series/C1953A00001</w:t>
        </w:r>
      </w:hyperlink>
      <w:r w:rsidRPr="00AD51DF">
        <w:rPr>
          <w:color w:val="287DB2" w:themeColor="accent6"/>
        </w:rPr>
        <w:t xml:space="preserve"> </w:t>
      </w:r>
    </w:p>
  </w:footnote>
  <w:footnote w:id="22">
    <w:p w14:paraId="45B79768" w14:textId="5A4B593A" w:rsidR="00C5791F" w:rsidRDefault="00C5791F">
      <w:pPr>
        <w:pStyle w:val="FootnoteText"/>
      </w:pPr>
      <w:r>
        <w:rPr>
          <w:rStyle w:val="FootnoteReference"/>
        </w:rPr>
        <w:footnoteRef/>
      </w:r>
      <w:r>
        <w:t xml:space="preserve"> </w:t>
      </w:r>
      <w:hyperlink r:id="rId19" w:history="1">
        <w:r w:rsidR="00F86E8D" w:rsidRPr="00AD51DF">
          <w:rPr>
            <w:rStyle w:val="Hyperlink"/>
            <w:color w:val="287DB2" w:themeColor="accent6"/>
          </w:rPr>
          <w:t>www.legislation.gov.au/Series/C2004A00580</w:t>
        </w:r>
      </w:hyperlink>
      <w:r w:rsidR="00F86E8D" w:rsidRPr="00AD51DF">
        <w:rPr>
          <w:color w:val="287DB2" w:themeColor="accent6"/>
        </w:rPr>
        <w:t xml:space="preserve"> </w:t>
      </w:r>
    </w:p>
  </w:footnote>
  <w:footnote w:id="23">
    <w:p w14:paraId="1259208A" w14:textId="77777777" w:rsidR="00A9546F" w:rsidRDefault="00A9546F" w:rsidP="00A9546F">
      <w:pPr>
        <w:pStyle w:val="FootnoteText"/>
      </w:pPr>
      <w:r>
        <w:rPr>
          <w:rStyle w:val="FootnoteReference"/>
        </w:rPr>
        <w:footnoteRef/>
      </w:r>
      <w:r>
        <w:t xml:space="preserve"> </w:t>
      </w:r>
      <w:hyperlink r:id="rId20" w:history="1">
        <w:r w:rsidRPr="00AD51DF">
          <w:rPr>
            <w:rStyle w:val="Hyperlink"/>
            <w:color w:val="287DB2" w:themeColor="accent6"/>
          </w:rPr>
          <w:t>www.oaic.gov.au/privacy-law/privacy-act/tax-file-numbers</w:t>
        </w:r>
      </w:hyperlink>
      <w:r w:rsidRPr="00AD51DF">
        <w:rPr>
          <w:color w:val="287DB2" w:themeColor="accent6"/>
        </w:rPr>
        <w:t xml:space="preserve"> </w:t>
      </w:r>
    </w:p>
  </w:footnote>
  <w:footnote w:id="24">
    <w:p w14:paraId="00420AD4" w14:textId="77777777" w:rsidR="00A9546F" w:rsidRDefault="00A9546F" w:rsidP="00A9546F">
      <w:pPr>
        <w:pStyle w:val="FootnoteText"/>
      </w:pPr>
      <w:r>
        <w:rPr>
          <w:rStyle w:val="FootnoteReference"/>
        </w:rPr>
        <w:footnoteRef/>
      </w:r>
      <w:r>
        <w:t xml:space="preserve"> </w:t>
      </w:r>
      <w:hyperlink r:id="rId21" w:history="1">
        <w:r w:rsidRPr="00AD51DF">
          <w:rPr>
            <w:rStyle w:val="Hyperlink"/>
            <w:color w:val="287DB2" w:themeColor="accent6"/>
          </w:rPr>
          <w:t>www.legislation.gov.au/Series/F2015L00249</w:t>
        </w:r>
      </w:hyperlink>
      <w:r w:rsidRPr="00AD51DF">
        <w:rPr>
          <w:color w:val="287DB2" w:themeColor="accent6"/>
        </w:rPr>
        <w:t xml:space="preserve"> </w:t>
      </w:r>
    </w:p>
  </w:footnote>
  <w:footnote w:id="25">
    <w:p w14:paraId="7BBA39B5" w14:textId="6432E290" w:rsidR="007C7F3B" w:rsidRDefault="007C7F3B" w:rsidP="007C7F3B">
      <w:pPr>
        <w:pStyle w:val="FootnoteText"/>
      </w:pPr>
      <w:r>
        <w:rPr>
          <w:rStyle w:val="FootnoteReference"/>
        </w:rPr>
        <w:footnoteRef/>
      </w:r>
      <w:r>
        <w:t xml:space="preserve"> Permitted general situations are set out in </w:t>
      </w:r>
      <w:hyperlink r:id="rId22" w:anchor="_Toc122208146" w:history="1">
        <w:r w:rsidRPr="00AD51DF">
          <w:rPr>
            <w:rStyle w:val="Hyperlink"/>
            <w:color w:val="287DB2" w:themeColor="accent6"/>
          </w:rPr>
          <w:t>Section 16A of the Privacy Act</w:t>
        </w:r>
      </w:hyperlink>
      <w:r w:rsidR="00F86E8D" w:rsidRPr="00AD51DF">
        <w:rPr>
          <w:color w:val="287DB2" w:themeColor="accent6"/>
        </w:rPr>
        <w:t xml:space="preserve"> </w:t>
      </w:r>
      <w:r>
        <w:t>(</w:t>
      </w:r>
      <w:hyperlink r:id="rId23" w:anchor="_Toc122208146" w:history="1">
        <w:r w:rsidR="004C1F87" w:rsidRPr="00AD51DF">
          <w:rPr>
            <w:rStyle w:val="Hyperlink"/>
            <w:color w:val="287DB2" w:themeColor="accent6"/>
          </w:rPr>
          <w:t>https://www.legislation.gov.au/Details/C2022C00361/Html/Text#_Toc122208146</w:t>
        </w:r>
      </w:hyperlink>
      <w:r>
        <w:t>)</w:t>
      </w:r>
      <w:r w:rsidR="00F86E8D">
        <w:t>.</w:t>
      </w:r>
      <w:r>
        <w:br/>
        <w:t>Also, see APP Guidelines – Chapter C for further information on the range of ‘</w:t>
      </w:r>
      <w:r>
        <w:rPr>
          <w:i/>
        </w:rPr>
        <w:t>permitted general situations’</w:t>
      </w:r>
      <w:r>
        <w:t>.</w:t>
      </w:r>
    </w:p>
  </w:footnote>
  <w:footnote w:id="26">
    <w:p w14:paraId="6F1DF8A3" w14:textId="47F39D32" w:rsidR="00C5791F" w:rsidRDefault="00C5791F">
      <w:pPr>
        <w:pStyle w:val="FootnoteText"/>
      </w:pPr>
      <w:r>
        <w:rPr>
          <w:rStyle w:val="FootnoteReference"/>
        </w:rPr>
        <w:footnoteRef/>
      </w:r>
      <w:r>
        <w:t xml:space="preserve"> </w:t>
      </w:r>
      <w:hyperlink r:id="rId24" w:history="1">
        <w:r w:rsidRPr="00AD51DF">
          <w:rPr>
            <w:rStyle w:val="Hyperlink"/>
            <w:color w:val="287DB2" w:themeColor="accent6"/>
          </w:rPr>
          <w:t>www.legislation.gov.au/Series/C2004A02796</w:t>
        </w:r>
      </w:hyperlink>
      <w:r w:rsidRPr="00AD51DF">
        <w:rPr>
          <w:color w:val="287DB2" w:themeColor="accent6"/>
        </w:rPr>
        <w:t xml:space="preserve"> </w:t>
      </w:r>
    </w:p>
  </w:footnote>
  <w:footnote w:id="27">
    <w:p w14:paraId="65AB9BE8" w14:textId="77777777" w:rsidR="00211D08" w:rsidRDefault="00211D08" w:rsidP="00211D08">
      <w:pPr>
        <w:pStyle w:val="FootnoteText"/>
      </w:pPr>
      <w:r>
        <w:rPr>
          <w:rStyle w:val="FootnoteReference"/>
        </w:rPr>
        <w:footnoteRef/>
      </w:r>
      <w:r>
        <w:t xml:space="preserve"> </w:t>
      </w:r>
      <w:hyperlink r:id="rId25" w:history="1">
        <w:r w:rsidRPr="00AD51DF">
          <w:rPr>
            <w:rStyle w:val="Hyperlink"/>
            <w:color w:val="287DB2" w:themeColor="accent6"/>
          </w:rPr>
          <w:t>www.protectivesecurity.gov.au/policies</w:t>
        </w:r>
      </w:hyperlink>
      <w:r w:rsidRPr="00AD51DF">
        <w:rPr>
          <w:color w:val="287DB2" w:themeColor="accent6"/>
        </w:rPr>
        <w:t xml:space="preserve">  </w:t>
      </w:r>
    </w:p>
  </w:footnote>
  <w:footnote w:id="28">
    <w:p w14:paraId="0388EF72" w14:textId="77777777" w:rsidR="00211D08" w:rsidRDefault="00211D08" w:rsidP="00211D08">
      <w:pPr>
        <w:pStyle w:val="FootnoteText"/>
      </w:pPr>
      <w:r>
        <w:rPr>
          <w:rStyle w:val="FootnoteReference"/>
        </w:rPr>
        <w:footnoteRef/>
      </w:r>
      <w:r>
        <w:t xml:space="preserve"> </w:t>
      </w:r>
      <w:hyperlink r:id="rId26" w:history="1">
        <w:r w:rsidRPr="00AD51DF">
          <w:rPr>
            <w:rStyle w:val="Hyperlink"/>
            <w:color w:val="287DB2" w:themeColor="accent6"/>
          </w:rPr>
          <w:t>www.cyber.gov.au/ism</w:t>
        </w:r>
      </w:hyperlink>
      <w:r w:rsidRPr="00AD51DF">
        <w:rPr>
          <w:color w:val="287DB2" w:themeColor="accent6"/>
        </w:rPr>
        <w:t xml:space="preserve"> </w:t>
      </w:r>
    </w:p>
  </w:footnote>
  <w:footnote w:id="29">
    <w:p w14:paraId="1D0F02B7" w14:textId="5694579B" w:rsidR="00C5791F" w:rsidRDefault="00C5791F">
      <w:pPr>
        <w:pStyle w:val="FootnoteText"/>
      </w:pPr>
      <w:r>
        <w:rPr>
          <w:rStyle w:val="FootnoteReference"/>
        </w:rPr>
        <w:footnoteRef/>
      </w:r>
      <w:r>
        <w:t xml:space="preserve"> </w:t>
      </w:r>
      <w:hyperlink r:id="rId27" w:history="1">
        <w:r w:rsidRPr="00AD51DF">
          <w:rPr>
            <w:rStyle w:val="Hyperlink"/>
            <w:color w:val="287DB2" w:themeColor="accent6"/>
          </w:rPr>
          <w:t>www.legislation.gov.au/Series/C2022A00011</w:t>
        </w:r>
      </w:hyperlink>
      <w:r w:rsidRPr="00AD51DF">
        <w:rPr>
          <w:color w:val="287DB2" w:themeColor="accent6"/>
        </w:rPr>
        <w:t xml:space="preserve"> </w:t>
      </w:r>
    </w:p>
  </w:footnote>
  <w:footnote w:id="30">
    <w:p w14:paraId="28ECE813" w14:textId="77777777" w:rsidR="00F93CCF" w:rsidRDefault="00F93CCF" w:rsidP="00F93CCF">
      <w:pPr>
        <w:pStyle w:val="FootnoteText"/>
      </w:pPr>
      <w:r>
        <w:rPr>
          <w:rStyle w:val="FootnoteReference"/>
        </w:rPr>
        <w:footnoteRef/>
      </w:r>
      <w:r>
        <w:t xml:space="preserve"> </w:t>
      </w:r>
      <w:hyperlink r:id="rId28" w:history="1">
        <w:r w:rsidRPr="00AD51DF">
          <w:rPr>
            <w:rStyle w:val="Hyperlink"/>
            <w:color w:val="287DB2" w:themeColor="accent6"/>
          </w:rPr>
          <w:t>www.sdo.gov.au/</w:t>
        </w:r>
      </w:hyperlink>
      <w:r w:rsidRPr="00AD51DF">
        <w:rPr>
          <w:color w:val="287DB2" w:themeColor="accent6"/>
        </w:rPr>
        <w:t xml:space="preserve"> </w:t>
      </w:r>
    </w:p>
  </w:footnote>
  <w:footnote w:id="31">
    <w:p w14:paraId="45A01A5D" w14:textId="48809493" w:rsidR="005E2B7F" w:rsidRDefault="005E2B7F">
      <w:pPr>
        <w:pStyle w:val="FootnoteText"/>
      </w:pPr>
      <w:r>
        <w:rPr>
          <w:rStyle w:val="FootnoteReference"/>
        </w:rPr>
        <w:footnoteRef/>
      </w:r>
      <w:r>
        <w:t xml:space="preserve"> </w:t>
      </w:r>
      <w:hyperlink r:id="rId29" w:history="1">
        <w:r w:rsidRPr="00AD51DF">
          <w:rPr>
            <w:rStyle w:val="Hyperlink"/>
            <w:color w:val="287DB2" w:themeColor="accent6"/>
            <w:lang w:val="en-GB"/>
          </w:rPr>
          <w:t>www.servicesaustralia.gov.au/digital-identity-interim-oversight-authority-privacy-notice</w:t>
        </w:r>
      </w:hyperlink>
    </w:p>
  </w:footnote>
  <w:footnote w:id="32">
    <w:p w14:paraId="17E4103B" w14:textId="4564BE65" w:rsidR="00F93CCF" w:rsidRDefault="00F93CCF" w:rsidP="00F93CCF">
      <w:pPr>
        <w:pStyle w:val="FootnoteText"/>
      </w:pPr>
      <w:r>
        <w:rPr>
          <w:rStyle w:val="FootnoteReference"/>
        </w:rPr>
        <w:footnoteRef/>
      </w:r>
      <w:r>
        <w:t xml:space="preserve"> Permitted general situations are set out in </w:t>
      </w:r>
      <w:hyperlink r:id="rId30" w:anchor="_Toc122208146" w:history="1">
        <w:r w:rsidRPr="00AD51DF">
          <w:rPr>
            <w:rStyle w:val="Hyperlink"/>
            <w:color w:val="287DB2" w:themeColor="accent6"/>
          </w:rPr>
          <w:t>Section 16A of the Privacy Act</w:t>
        </w:r>
      </w:hyperlink>
      <w:r w:rsidRPr="00AD51DF">
        <w:rPr>
          <w:color w:val="000000" w:themeColor="text1"/>
        </w:rPr>
        <w:t>.</w:t>
      </w:r>
      <w:r>
        <w:br/>
        <w:t>(</w:t>
      </w:r>
      <w:hyperlink r:id="rId31" w:anchor="_Toc122208146" w:history="1">
        <w:r w:rsidR="0048211F" w:rsidRPr="00AD51DF">
          <w:rPr>
            <w:rStyle w:val="Hyperlink"/>
            <w:color w:val="287DB2" w:themeColor="accent6"/>
          </w:rPr>
          <w:t>https://www.legislation.gov.au/Details/C2022C00361/Html/Text#_Toc122208146</w:t>
        </w:r>
      </w:hyperlink>
      <w:r>
        <w:t>)</w:t>
      </w:r>
    </w:p>
  </w:footnote>
  <w:footnote w:id="33">
    <w:p w14:paraId="766053A7" w14:textId="77777777" w:rsidR="007B35AC" w:rsidRDefault="007B35AC" w:rsidP="007B35AC">
      <w:pPr>
        <w:pStyle w:val="FootnoteText"/>
      </w:pPr>
      <w:r>
        <w:rPr>
          <w:rStyle w:val="FootnoteReference"/>
        </w:rPr>
        <w:footnoteRef/>
      </w:r>
      <w:r>
        <w:t xml:space="preserve"> </w:t>
      </w:r>
      <w:hyperlink r:id="rId32" w:history="1">
        <w:r w:rsidRPr="00AD51DF">
          <w:rPr>
            <w:rStyle w:val="Hyperlink"/>
            <w:color w:val="287DB2" w:themeColor="accent6"/>
          </w:rPr>
          <w:t>www.mailchimp.com/legal/privacy</w:t>
        </w:r>
      </w:hyperlink>
      <w:r w:rsidRPr="00AD51DF">
        <w:rPr>
          <w:color w:val="287DB2" w:themeColor="accent6"/>
        </w:rPr>
        <w:t xml:space="preserve"> </w:t>
      </w:r>
    </w:p>
  </w:footnote>
  <w:footnote w:id="34">
    <w:p w14:paraId="68761D3C" w14:textId="77777777" w:rsidR="007B35AC" w:rsidRDefault="007B35AC" w:rsidP="007B35AC">
      <w:pPr>
        <w:pStyle w:val="FootnoteText"/>
      </w:pPr>
      <w:r>
        <w:rPr>
          <w:rStyle w:val="FootnoteReference"/>
        </w:rPr>
        <w:footnoteRef/>
      </w:r>
      <w:r>
        <w:t xml:space="preserve"> </w:t>
      </w:r>
      <w:hyperlink r:id="rId33" w:history="1">
        <w:r w:rsidRPr="00AD51DF">
          <w:rPr>
            <w:rStyle w:val="Hyperlink"/>
            <w:color w:val="287DB2" w:themeColor="accent6"/>
          </w:rPr>
          <w:t>www.mailchimp.com/contact</w:t>
        </w:r>
      </w:hyperlink>
      <w:r w:rsidRPr="00AD51DF">
        <w:rPr>
          <w:color w:val="287DB2" w:themeColor="accent6"/>
        </w:rPr>
        <w:t xml:space="preserve"> </w:t>
      </w:r>
    </w:p>
  </w:footnote>
  <w:footnote w:id="35">
    <w:p w14:paraId="164C7279" w14:textId="77777777" w:rsidR="007B35AC" w:rsidRDefault="007B35AC" w:rsidP="007B35AC">
      <w:pPr>
        <w:pStyle w:val="FootnoteText"/>
      </w:pPr>
      <w:r>
        <w:rPr>
          <w:rStyle w:val="FootnoteReference"/>
        </w:rPr>
        <w:footnoteRef/>
      </w:r>
      <w:r>
        <w:t xml:space="preserve"> </w:t>
      </w:r>
      <w:hyperlink r:id="rId34" w:history="1">
        <w:r w:rsidRPr="00AD51DF">
          <w:rPr>
            <w:rStyle w:val="Hyperlink"/>
            <w:color w:val="287DB2" w:themeColor="accent6"/>
          </w:rPr>
          <w:t>www.mailchimp.com/legal/privacy</w:t>
        </w:r>
      </w:hyperlink>
      <w:r w:rsidRPr="00AD51DF">
        <w:rPr>
          <w:color w:val="287DB2" w:themeColor="accent6"/>
        </w:rPr>
        <w:t xml:space="preserve"> </w:t>
      </w:r>
    </w:p>
  </w:footnote>
  <w:footnote w:id="36">
    <w:p w14:paraId="0DD0401C" w14:textId="77777777" w:rsidR="007B35AC" w:rsidRDefault="007B35AC" w:rsidP="007B35AC">
      <w:pPr>
        <w:pStyle w:val="FootnoteText"/>
      </w:pPr>
      <w:r>
        <w:rPr>
          <w:rStyle w:val="FootnoteReference"/>
        </w:rPr>
        <w:footnoteRef/>
      </w:r>
      <w:r>
        <w:t xml:space="preserve"> </w:t>
      </w:r>
      <w:hyperlink r:id="rId35" w:history="1">
        <w:r w:rsidRPr="00AD51DF">
          <w:rPr>
            <w:rStyle w:val="Hyperlink"/>
            <w:color w:val="287DB2" w:themeColor="accent6"/>
          </w:rPr>
          <w:t>www.mailchimp.com/legal/terms/</w:t>
        </w:r>
      </w:hyperlink>
      <w:r w:rsidRPr="00AD51DF">
        <w:rPr>
          <w:color w:val="287DB2" w:themeColor="accent6"/>
        </w:rPr>
        <w:t xml:space="preserve"> </w:t>
      </w:r>
    </w:p>
  </w:footnote>
  <w:footnote w:id="37">
    <w:p w14:paraId="7BB122DD" w14:textId="23A4B6E3" w:rsidR="005E2B7F" w:rsidRDefault="005E2B7F">
      <w:pPr>
        <w:pStyle w:val="FootnoteText"/>
      </w:pPr>
      <w:r>
        <w:rPr>
          <w:rStyle w:val="FootnoteReference"/>
        </w:rPr>
        <w:footnoteRef/>
      </w:r>
      <w:r>
        <w:t xml:space="preserve"> </w:t>
      </w:r>
      <w:hyperlink r:id="rId36" w:anchor="privacy-policy" w:history="1">
        <w:r w:rsidR="00F86E8D" w:rsidRPr="00AD51DF">
          <w:rPr>
            <w:rStyle w:val="Hyperlink"/>
            <w:color w:val="287DB2" w:themeColor="accent6"/>
          </w:rPr>
          <w:t>www.slido.com/terms?experience_id=10-z&amp;utm_campaign=_10-z&amp;utm_source=www.slido.com-_ab#privacy-policy</w:t>
        </w:r>
      </w:hyperlink>
      <w:r w:rsidR="00F86E8D" w:rsidRPr="00AD51DF">
        <w:rPr>
          <w:color w:val="287DB2" w:themeColor="accent6"/>
        </w:rPr>
        <w:t xml:space="preserve"> </w:t>
      </w:r>
    </w:p>
  </w:footnote>
  <w:footnote w:id="38">
    <w:p w14:paraId="7BB83898" w14:textId="77777777" w:rsidR="007B35AC" w:rsidRDefault="007B35AC" w:rsidP="007B35AC">
      <w:pPr>
        <w:pStyle w:val="FootnoteText"/>
      </w:pPr>
      <w:r>
        <w:rPr>
          <w:rStyle w:val="FootnoteReference"/>
        </w:rPr>
        <w:footnoteRef/>
      </w:r>
      <w:r>
        <w:t xml:space="preserve"> </w:t>
      </w:r>
      <w:hyperlink r:id="rId37" w:history="1">
        <w:r w:rsidRPr="00AD51DF">
          <w:rPr>
            <w:rStyle w:val="Hyperlink"/>
            <w:color w:val="287DB2" w:themeColor="accent6"/>
          </w:rPr>
          <w:t>https://tools.google.com/dlpage/gaoptout</w:t>
        </w:r>
      </w:hyperlink>
      <w:r w:rsidRPr="00AD51DF">
        <w:rPr>
          <w:color w:val="287DB2" w:themeColor="accent6"/>
        </w:rPr>
        <w:t xml:space="preserve"> </w:t>
      </w:r>
    </w:p>
  </w:footnote>
  <w:footnote w:id="39">
    <w:p w14:paraId="6560112F" w14:textId="77777777" w:rsidR="007B35AC" w:rsidRDefault="007B35AC" w:rsidP="007B35AC">
      <w:pPr>
        <w:pStyle w:val="FootnoteText"/>
      </w:pPr>
      <w:r>
        <w:rPr>
          <w:rStyle w:val="FootnoteReference"/>
        </w:rPr>
        <w:footnoteRef/>
      </w:r>
      <w:r>
        <w:t xml:space="preserve"> </w:t>
      </w:r>
      <w:hyperlink r:id="rId38" w:history="1">
        <w:r w:rsidRPr="00AD51DF">
          <w:rPr>
            <w:rStyle w:val="Hyperlink"/>
            <w:color w:val="287DB2" w:themeColor="accent6"/>
          </w:rPr>
          <w:t>http://www.cyber.gov.au/</w:t>
        </w:r>
      </w:hyperlink>
      <w:r w:rsidRPr="00AD51DF">
        <w:rPr>
          <w:color w:val="287DB2" w:themeColor="accent6"/>
        </w:rPr>
        <w:t xml:space="preserve"> </w:t>
      </w:r>
    </w:p>
  </w:footnote>
  <w:footnote w:id="40">
    <w:p w14:paraId="3180337B" w14:textId="77777777" w:rsidR="007B35AC" w:rsidRDefault="007B35AC" w:rsidP="007B35AC">
      <w:pPr>
        <w:pStyle w:val="FootnoteText"/>
      </w:pPr>
      <w:r>
        <w:rPr>
          <w:rStyle w:val="FootnoteReference"/>
        </w:rPr>
        <w:footnoteRef/>
      </w:r>
      <w:r>
        <w:t xml:space="preserve"> </w:t>
      </w:r>
      <w:hyperlink r:id="rId39" w:history="1">
        <w:r w:rsidRPr="00AD51DF">
          <w:rPr>
            <w:rStyle w:val="Hyperlink"/>
            <w:color w:val="287DB2" w:themeColor="accent6"/>
          </w:rPr>
          <w:t>www.swiftdigital.com.au/privacy-policy/</w:t>
        </w:r>
      </w:hyperlink>
    </w:p>
  </w:footnote>
  <w:footnote w:id="41">
    <w:p w14:paraId="1E43D5BE" w14:textId="77777777" w:rsidR="007B35AC" w:rsidRDefault="007B35AC" w:rsidP="007B35AC">
      <w:pPr>
        <w:pStyle w:val="FootnoteText"/>
      </w:pPr>
      <w:r>
        <w:rPr>
          <w:rStyle w:val="FootnoteReference"/>
        </w:rPr>
        <w:footnoteRef/>
      </w:r>
      <w:r>
        <w:t xml:space="preserve"> </w:t>
      </w:r>
      <w:hyperlink r:id="rId40" w:history="1">
        <w:r w:rsidRPr="00AD51DF">
          <w:rPr>
            <w:rStyle w:val="Hyperlink"/>
            <w:color w:val="287DB2" w:themeColor="accent6"/>
          </w:rPr>
          <w:t>www.qualtrics.com/privacy-statement/</w:t>
        </w:r>
      </w:hyperlink>
    </w:p>
  </w:footnote>
  <w:footnote w:id="42">
    <w:p w14:paraId="74BCB963" w14:textId="77777777" w:rsidR="003F262C" w:rsidRDefault="003F262C" w:rsidP="003F262C">
      <w:pPr>
        <w:pStyle w:val="FootnoteText"/>
      </w:pPr>
      <w:r w:rsidRPr="009B172A">
        <w:rPr>
          <w:rStyle w:val="FootnoteReference"/>
        </w:rPr>
        <w:footnoteRef/>
      </w:r>
      <w:r w:rsidRPr="009B172A">
        <w:t xml:space="preserve"> </w:t>
      </w:r>
      <w:hyperlink r:id="rId41" w:history="1">
        <w:r w:rsidRPr="009B172A">
          <w:rPr>
            <w:rStyle w:val="Hyperlink"/>
          </w:rPr>
          <w:t>https://converlens.com/</w:t>
        </w:r>
      </w:hyperlink>
      <w:r>
        <w:t xml:space="preserve"> </w:t>
      </w:r>
    </w:p>
  </w:footnote>
  <w:footnote w:id="43">
    <w:p w14:paraId="77D7E0A8" w14:textId="19BBE136" w:rsidR="005E2B7F" w:rsidRDefault="005E2B7F">
      <w:pPr>
        <w:pStyle w:val="FootnoteText"/>
      </w:pPr>
      <w:r>
        <w:rPr>
          <w:rStyle w:val="FootnoteReference"/>
        </w:rPr>
        <w:footnoteRef/>
      </w:r>
      <w:r>
        <w:t xml:space="preserve"> </w:t>
      </w:r>
      <w:hyperlink r:id="rId42" w:history="1">
        <w:r w:rsidR="00F86E8D" w:rsidRPr="00AD51DF">
          <w:rPr>
            <w:rStyle w:val="Hyperlink"/>
            <w:color w:val="287DB2" w:themeColor="accent6"/>
          </w:rPr>
          <w:t>www.surveymanager.com.au/our-survey-software/data-security/</w:t>
        </w:r>
      </w:hyperlink>
      <w:r w:rsidR="00F86E8D" w:rsidRPr="00AD51DF">
        <w:rPr>
          <w:color w:val="287DB2" w:themeColor="accent6"/>
        </w:rPr>
        <w:t xml:space="preserve"> </w:t>
      </w:r>
    </w:p>
  </w:footnote>
  <w:footnote w:id="44">
    <w:p w14:paraId="7DE868C8" w14:textId="77777777" w:rsidR="00F93CCF" w:rsidRDefault="00F93CCF" w:rsidP="00F93CCF">
      <w:pPr>
        <w:pStyle w:val="FootnoteText"/>
        <w:rPr>
          <w:rFonts w:ascii="Calibri" w:hAnsi="Calibri" w:cs="Arial"/>
        </w:rPr>
      </w:pPr>
      <w:r>
        <w:rPr>
          <w:rStyle w:val="FootnoteReference"/>
        </w:rPr>
        <w:footnoteRef/>
      </w:r>
      <w:r>
        <w:t xml:space="preserve"> </w:t>
      </w:r>
      <w:hyperlink r:id="rId43" w:history="1">
        <w:r w:rsidRPr="00AD51DF">
          <w:rPr>
            <w:rStyle w:val="Hyperlink"/>
            <w:color w:val="287DB2" w:themeColor="accent6"/>
          </w:rPr>
          <w:t>www.oaic.gov.au/agencies-and-organisations/guides/data-breach-preparation-and-response</w:t>
        </w:r>
      </w:hyperlink>
      <w:r w:rsidRPr="00AD51DF">
        <w:rPr>
          <w:color w:val="287DB2" w:themeColor="accent6"/>
        </w:rPr>
        <w:t xml:space="preserve"> </w:t>
      </w:r>
    </w:p>
  </w:footnote>
  <w:footnote w:id="45">
    <w:p w14:paraId="33781CEB" w14:textId="58F4CAB2" w:rsidR="00BB18B8" w:rsidRPr="00A2790C" w:rsidRDefault="00BB18B8" w:rsidP="00BB18B8">
      <w:pPr>
        <w:pStyle w:val="FootnoteText"/>
      </w:pPr>
      <w:r w:rsidRPr="00A2790C">
        <w:rPr>
          <w:rStyle w:val="FootnoteReference"/>
        </w:rPr>
        <w:footnoteRef/>
      </w:r>
      <w:r w:rsidRPr="00A2790C">
        <w:t xml:space="preserve"> </w:t>
      </w:r>
      <w:hyperlink r:id="rId44" w:history="1">
        <w:r w:rsidR="00773B68" w:rsidRPr="00AD51DF">
          <w:rPr>
            <w:rStyle w:val="Hyperlink"/>
            <w:color w:val="287DB2" w:themeColor="accent6"/>
          </w:rPr>
          <w:t>https://www.dewr.gov.au/about-us/corporate-reporting/freedom-information-foi/foi-disclosure-log/how-make-freedom-information-foi-request</w:t>
        </w:r>
      </w:hyperlink>
      <w:r w:rsidRPr="00AD51DF">
        <w:rPr>
          <w:color w:val="287DB2" w:themeColor="accent6"/>
        </w:rPr>
        <w:t xml:space="preserve"> </w:t>
      </w:r>
    </w:p>
  </w:footnote>
  <w:footnote w:id="46">
    <w:p w14:paraId="21FA28E8" w14:textId="226032E9" w:rsidR="00BB18B8" w:rsidRDefault="00BB18B8" w:rsidP="00BB18B8">
      <w:pPr>
        <w:pStyle w:val="FootnoteText"/>
      </w:pPr>
      <w:r w:rsidRPr="00A2790C">
        <w:rPr>
          <w:rStyle w:val="FootnoteReference"/>
        </w:rPr>
        <w:footnoteRef/>
      </w:r>
      <w:r w:rsidRPr="00A2790C">
        <w:t xml:space="preserve"> </w:t>
      </w:r>
      <w:hyperlink r:id="rId45" w:history="1">
        <w:r w:rsidR="007D1327" w:rsidRPr="00AD51DF">
          <w:rPr>
            <w:rStyle w:val="Hyperlink"/>
            <w:color w:val="287DB2" w:themeColor="accent6"/>
          </w:rPr>
          <w:t>https://www.dewr.gov.au/about-department/resources/dewr-guide-accessing-and-correcting-personal-information</w:t>
        </w:r>
      </w:hyperlink>
      <w:r w:rsidR="007D1327" w:rsidRPr="00AD51DF">
        <w:rPr>
          <w:color w:val="287DB2" w:themeColor="accent6"/>
        </w:rPr>
        <w:t xml:space="preserve"> </w:t>
      </w:r>
      <w:r w:rsidR="00095DCC" w:rsidRPr="00AD51DF">
        <w:rPr>
          <w:color w:val="287DB2" w:themeColor="accent6"/>
        </w:rPr>
        <w:t xml:space="preserve"> </w:t>
      </w:r>
      <w:r w:rsidRPr="00AD51DF">
        <w:rPr>
          <w:color w:val="287DB2" w:themeColor="accent6"/>
        </w:rPr>
        <w:t xml:space="preserve">   </w:t>
      </w:r>
    </w:p>
  </w:footnote>
  <w:footnote w:id="47">
    <w:p w14:paraId="23FAD316" w14:textId="39ED9A39" w:rsidR="00BB18B8" w:rsidRDefault="00BB18B8" w:rsidP="00BB18B8">
      <w:pPr>
        <w:pStyle w:val="FootnoteText"/>
      </w:pPr>
      <w:r>
        <w:rPr>
          <w:rStyle w:val="FootnoteReference"/>
        </w:rPr>
        <w:footnoteRef/>
      </w:r>
      <w:r>
        <w:t xml:space="preserve"> </w:t>
      </w:r>
      <w:hyperlink r:id="rId46" w:history="1">
        <w:r w:rsidR="008875A3" w:rsidRPr="00AD51DF">
          <w:rPr>
            <w:rStyle w:val="Hyperlink"/>
            <w:color w:val="287DB2" w:themeColor="accent6"/>
          </w:rPr>
          <w:t>https://forms.ombudsman.gov.au/prod?entitytype=Approach&amp;layoutcode=ApproachWebForm</w:t>
        </w:r>
      </w:hyperlink>
      <w:r w:rsidR="008875A3" w:rsidRPr="00AD51DF">
        <w:rPr>
          <w:color w:val="287DB2" w:themeColor="accent6"/>
        </w:rPr>
        <w:t xml:space="preserve"> </w:t>
      </w:r>
    </w:p>
  </w:footnote>
  <w:footnote w:id="48">
    <w:p w14:paraId="6D78CB3A" w14:textId="77777777" w:rsidR="00BB18B8" w:rsidRDefault="00BB18B8" w:rsidP="00BB18B8">
      <w:pPr>
        <w:pStyle w:val="FootnoteText"/>
      </w:pPr>
      <w:r>
        <w:rPr>
          <w:rStyle w:val="FootnoteReference"/>
        </w:rPr>
        <w:footnoteRef/>
      </w:r>
      <w:r>
        <w:t xml:space="preserve"> </w:t>
      </w:r>
      <w:hyperlink r:id="rId47" w:history="1">
        <w:r w:rsidRPr="00AD51DF">
          <w:rPr>
            <w:rStyle w:val="Hyperlink"/>
            <w:color w:val="287DB2" w:themeColor="accent6"/>
          </w:rPr>
          <w:t>www.legislation.gov.au/Series/F2017L01396</w:t>
        </w:r>
      </w:hyperlink>
      <w:r w:rsidRPr="00AD51DF">
        <w:rPr>
          <w:color w:val="287DB2" w:themeColor="accent6"/>
        </w:rPr>
        <w:t xml:space="preserve"> </w:t>
      </w:r>
    </w:p>
  </w:footnote>
  <w:footnote w:id="49">
    <w:p w14:paraId="4E196AF4" w14:textId="7AB0E7FF" w:rsidR="00BB18B8" w:rsidRPr="00A2790C" w:rsidRDefault="00BB18B8" w:rsidP="00BB18B8">
      <w:pPr>
        <w:pStyle w:val="FootnoteText"/>
      </w:pPr>
      <w:r w:rsidRPr="00A2790C">
        <w:rPr>
          <w:rStyle w:val="FootnoteReference"/>
        </w:rPr>
        <w:footnoteRef/>
      </w:r>
      <w:r w:rsidRPr="00A2790C">
        <w:t xml:space="preserve"> </w:t>
      </w:r>
      <w:hyperlink r:id="rId48" w:history="1">
        <w:r w:rsidR="005F0822" w:rsidRPr="00AD51DF">
          <w:rPr>
            <w:rStyle w:val="Hyperlink"/>
            <w:color w:val="287DB2" w:themeColor="accent6"/>
          </w:rPr>
          <w:t>https://www.dewr.gov.au/using-site/privacy</w:t>
        </w:r>
      </w:hyperlink>
      <w:r w:rsidR="005F0822" w:rsidRPr="00AD51DF">
        <w:rPr>
          <w:color w:val="287DB2" w:themeColor="accent6"/>
        </w:rPr>
        <w:t xml:space="preserve"> </w:t>
      </w:r>
      <w:r w:rsidRPr="00AD51DF">
        <w:rPr>
          <w:color w:val="287DB2" w:themeColor="accent6"/>
        </w:rPr>
        <w:t xml:space="preserve"> </w:t>
      </w:r>
    </w:p>
  </w:footnote>
  <w:footnote w:id="50">
    <w:p w14:paraId="61B9E106" w14:textId="38944748" w:rsidR="007B35AC" w:rsidRDefault="007B35AC" w:rsidP="007B35AC">
      <w:pPr>
        <w:pStyle w:val="FootnoteText"/>
      </w:pPr>
      <w:r w:rsidRPr="00A2790C">
        <w:rPr>
          <w:rStyle w:val="FootnoteReference"/>
        </w:rPr>
        <w:footnoteRef/>
      </w:r>
      <w:r w:rsidRPr="00A2790C">
        <w:t xml:space="preserve"> </w:t>
      </w:r>
      <w:hyperlink r:id="rId49" w:history="1">
        <w:r w:rsidR="007D1327" w:rsidRPr="00AD51DF">
          <w:rPr>
            <w:rStyle w:val="Hyperlink"/>
            <w:color w:val="287DB2" w:themeColor="accent6"/>
          </w:rPr>
          <w:t>https://www.dewr.gov.au/about-department/resources/dewr-privacy-complaints-handling-procedures</w:t>
        </w:r>
      </w:hyperlink>
      <w:r w:rsidR="007D1327" w:rsidRPr="00AD51DF">
        <w:rPr>
          <w:color w:val="287DB2" w:themeColor="accent6"/>
        </w:rPr>
        <w:t xml:space="preserve"> </w:t>
      </w:r>
      <w:r w:rsidR="004A2317" w:rsidRPr="00AD51DF">
        <w:rPr>
          <w:color w:val="287DB2" w:themeColor="accent6"/>
        </w:rPr>
        <w:t xml:space="preserve"> </w:t>
      </w:r>
      <w:r w:rsidRPr="00AD51DF">
        <w:rPr>
          <w:color w:val="287DB2" w:themeColor="accent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A351" w14:textId="44804D73" w:rsidR="00EA67FC" w:rsidRDefault="00EA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3A5A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2F3DCA"/>
    <w:multiLevelType w:val="hybridMultilevel"/>
    <w:tmpl w:val="3D42A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A61693"/>
    <w:multiLevelType w:val="hybridMultilevel"/>
    <w:tmpl w:val="6DACC074"/>
    <w:lvl w:ilvl="0" w:tplc="2480A5A8">
      <w:start w:val="1"/>
      <w:numFmt w:val="upperLetter"/>
      <w:lvlText w:val="%1."/>
      <w:lvlJc w:val="left"/>
      <w:pPr>
        <w:ind w:left="720" w:hanging="360"/>
      </w:pPr>
      <w:rPr>
        <w:b/>
        <w:i w:val="0"/>
        <w:color w:val="000000" w:themeColor="text1"/>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C237AF"/>
    <w:multiLevelType w:val="hybridMultilevel"/>
    <w:tmpl w:val="E4F663E0"/>
    <w:lvl w:ilvl="0" w:tplc="25A8FDC0">
      <w:start w:val="1"/>
      <w:numFmt w:val="lowerRoman"/>
      <w:lvlText w:val="(%1)."/>
      <w:lvlJc w:val="left"/>
      <w:pPr>
        <w:ind w:left="1074" w:hanging="360"/>
      </w:pPr>
      <w:rPr>
        <w:b w:val="0"/>
        <w:bCs/>
        <w:i w:val="0"/>
        <w:color w:val="000000" w:themeColor="text1"/>
        <w:sz w:val="22"/>
        <w:szCs w:val="22"/>
      </w:rPr>
    </w:lvl>
    <w:lvl w:ilvl="1" w:tplc="0C090019">
      <w:start w:val="1"/>
      <w:numFmt w:val="lowerLetter"/>
      <w:lvlText w:val="%2."/>
      <w:lvlJc w:val="left"/>
      <w:pPr>
        <w:ind w:left="1794" w:hanging="360"/>
      </w:pPr>
    </w:lvl>
    <w:lvl w:ilvl="2" w:tplc="0C09001B">
      <w:start w:val="1"/>
      <w:numFmt w:val="lowerRoman"/>
      <w:lvlText w:val="%3."/>
      <w:lvlJc w:val="right"/>
      <w:pPr>
        <w:ind w:left="2514" w:hanging="180"/>
      </w:pPr>
    </w:lvl>
    <w:lvl w:ilvl="3" w:tplc="0C09000F">
      <w:start w:val="1"/>
      <w:numFmt w:val="decimal"/>
      <w:lvlText w:val="%4."/>
      <w:lvlJc w:val="left"/>
      <w:pPr>
        <w:ind w:left="3234" w:hanging="360"/>
      </w:pPr>
    </w:lvl>
    <w:lvl w:ilvl="4" w:tplc="0C090019">
      <w:start w:val="1"/>
      <w:numFmt w:val="lowerLetter"/>
      <w:lvlText w:val="%5."/>
      <w:lvlJc w:val="left"/>
      <w:pPr>
        <w:ind w:left="3954" w:hanging="360"/>
      </w:pPr>
    </w:lvl>
    <w:lvl w:ilvl="5" w:tplc="0C09001B">
      <w:start w:val="1"/>
      <w:numFmt w:val="lowerRoman"/>
      <w:lvlText w:val="%6."/>
      <w:lvlJc w:val="right"/>
      <w:pPr>
        <w:ind w:left="4674" w:hanging="180"/>
      </w:pPr>
    </w:lvl>
    <w:lvl w:ilvl="6" w:tplc="0C09000F">
      <w:start w:val="1"/>
      <w:numFmt w:val="decimal"/>
      <w:lvlText w:val="%7."/>
      <w:lvlJc w:val="left"/>
      <w:pPr>
        <w:ind w:left="5394" w:hanging="360"/>
      </w:pPr>
    </w:lvl>
    <w:lvl w:ilvl="7" w:tplc="0C090019">
      <w:start w:val="1"/>
      <w:numFmt w:val="lowerLetter"/>
      <w:lvlText w:val="%8."/>
      <w:lvlJc w:val="left"/>
      <w:pPr>
        <w:ind w:left="6114" w:hanging="360"/>
      </w:pPr>
    </w:lvl>
    <w:lvl w:ilvl="8" w:tplc="0C09001B">
      <w:start w:val="1"/>
      <w:numFmt w:val="lowerRoman"/>
      <w:lvlText w:val="%9."/>
      <w:lvlJc w:val="right"/>
      <w:pPr>
        <w:ind w:left="6834" w:hanging="180"/>
      </w:pPr>
    </w:lvl>
  </w:abstractNum>
  <w:abstractNum w:abstractNumId="14"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5" w15:restartNumberingAfterBreak="0">
    <w:nsid w:val="298F09C3"/>
    <w:multiLevelType w:val="hybridMultilevel"/>
    <w:tmpl w:val="61A0C4F8"/>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6" w15:restartNumberingAfterBreak="0">
    <w:nsid w:val="2C7842B4"/>
    <w:multiLevelType w:val="hybridMultilevel"/>
    <w:tmpl w:val="F5C4E93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A633BC"/>
    <w:multiLevelType w:val="hybridMultilevel"/>
    <w:tmpl w:val="06C27A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2F4B22"/>
    <w:multiLevelType w:val="hybridMultilevel"/>
    <w:tmpl w:val="3ED259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3C0F45E8"/>
    <w:multiLevelType w:val="hybridMultilevel"/>
    <w:tmpl w:val="42FE8EE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2" w15:restartNumberingAfterBreak="0">
    <w:nsid w:val="3ECE2C6D"/>
    <w:multiLevelType w:val="hybridMultilevel"/>
    <w:tmpl w:val="0E3C79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1256063"/>
    <w:multiLevelType w:val="hybridMultilevel"/>
    <w:tmpl w:val="FF8C69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566105FA"/>
    <w:multiLevelType w:val="hybridMultilevel"/>
    <w:tmpl w:val="A1A25B7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5AE01D94"/>
    <w:multiLevelType w:val="hybridMultilevel"/>
    <w:tmpl w:val="0332D8B8"/>
    <w:lvl w:ilvl="0" w:tplc="C2BAFBD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5C1290"/>
    <w:multiLevelType w:val="hybridMultilevel"/>
    <w:tmpl w:val="BC9C47DE"/>
    <w:lvl w:ilvl="0" w:tplc="0C090001">
      <w:start w:val="1"/>
      <w:numFmt w:val="bullet"/>
      <w:lvlText w:val=""/>
      <w:lvlJc w:val="left"/>
      <w:pPr>
        <w:ind w:left="720" w:hanging="360"/>
      </w:pPr>
      <w:rPr>
        <w:rFonts w:ascii="Symbol" w:hAnsi="Symbol" w:hint="default"/>
      </w:rPr>
    </w:lvl>
    <w:lvl w:ilvl="1" w:tplc="8200A9DE">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9E6214"/>
    <w:multiLevelType w:val="hybridMultilevel"/>
    <w:tmpl w:val="C7547D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CD12F9E"/>
    <w:multiLevelType w:val="hybridMultilevel"/>
    <w:tmpl w:val="D66A61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452942890">
    <w:abstractNumId w:val="9"/>
  </w:num>
  <w:num w:numId="2" w16cid:durableId="1925071844">
    <w:abstractNumId w:val="7"/>
  </w:num>
  <w:num w:numId="3" w16cid:durableId="840897684">
    <w:abstractNumId w:val="6"/>
  </w:num>
  <w:num w:numId="4" w16cid:durableId="1788349006">
    <w:abstractNumId w:val="5"/>
  </w:num>
  <w:num w:numId="5" w16cid:durableId="1907642909">
    <w:abstractNumId w:val="4"/>
  </w:num>
  <w:num w:numId="6" w16cid:durableId="1307783412">
    <w:abstractNumId w:val="8"/>
  </w:num>
  <w:num w:numId="7" w16cid:durableId="1235699751">
    <w:abstractNumId w:val="3"/>
  </w:num>
  <w:num w:numId="8" w16cid:durableId="2068338675">
    <w:abstractNumId w:val="2"/>
  </w:num>
  <w:num w:numId="9" w16cid:durableId="812672591">
    <w:abstractNumId w:val="1"/>
  </w:num>
  <w:num w:numId="10" w16cid:durableId="771322086">
    <w:abstractNumId w:val="0"/>
  </w:num>
  <w:num w:numId="11" w16cid:durableId="1573395126">
    <w:abstractNumId w:val="12"/>
  </w:num>
  <w:num w:numId="12" w16cid:durableId="1732776138">
    <w:abstractNumId w:val="17"/>
  </w:num>
  <w:num w:numId="13" w16cid:durableId="1472556125">
    <w:abstractNumId w:val="19"/>
  </w:num>
  <w:num w:numId="14" w16cid:durableId="16034883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7688887">
    <w:abstractNumId w:val="21"/>
  </w:num>
  <w:num w:numId="16" w16cid:durableId="1439059008">
    <w:abstractNumId w:val="10"/>
  </w:num>
  <w:num w:numId="17" w16cid:durableId="1775130574">
    <w:abstractNumId w:val="21"/>
  </w:num>
  <w:num w:numId="18" w16cid:durableId="18251192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2758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3989479">
    <w:abstractNumId w:val="20"/>
  </w:num>
  <w:num w:numId="21" w16cid:durableId="1500729558">
    <w:abstractNumId w:val="28"/>
  </w:num>
  <w:num w:numId="22" w16cid:durableId="90048128">
    <w:abstractNumId w:val="22"/>
  </w:num>
  <w:num w:numId="23" w16cid:durableId="2142766204">
    <w:abstractNumId w:val="23"/>
  </w:num>
  <w:num w:numId="24" w16cid:durableId="869801191">
    <w:abstractNumId w:val="18"/>
  </w:num>
  <w:num w:numId="25" w16cid:durableId="1592622083">
    <w:abstractNumId w:val="27"/>
  </w:num>
  <w:num w:numId="26" w16cid:durableId="11348341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54255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43997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5135222">
    <w:abstractNumId w:val="11"/>
  </w:num>
  <w:num w:numId="30" w16cid:durableId="384371835">
    <w:abstractNumId w:val="26"/>
  </w:num>
  <w:num w:numId="31" w16cid:durableId="1266186282">
    <w:abstractNumId w:val="25"/>
  </w:num>
  <w:num w:numId="32" w16cid:durableId="1046682592">
    <w:abstractNumId w:val="9"/>
  </w:num>
  <w:num w:numId="33" w16cid:durableId="248734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37E8"/>
    <w:rsid w:val="00012DC6"/>
    <w:rsid w:val="00014A3F"/>
    <w:rsid w:val="00027AAD"/>
    <w:rsid w:val="000303B9"/>
    <w:rsid w:val="000348CC"/>
    <w:rsid w:val="00040669"/>
    <w:rsid w:val="00050D4A"/>
    <w:rsid w:val="00052BBC"/>
    <w:rsid w:val="00063B24"/>
    <w:rsid w:val="00071722"/>
    <w:rsid w:val="00081A4F"/>
    <w:rsid w:val="00085ECA"/>
    <w:rsid w:val="00095DCC"/>
    <w:rsid w:val="000A05C9"/>
    <w:rsid w:val="000A453D"/>
    <w:rsid w:val="000A53D9"/>
    <w:rsid w:val="000E2789"/>
    <w:rsid w:val="000E3D80"/>
    <w:rsid w:val="000F1C3E"/>
    <w:rsid w:val="000F2680"/>
    <w:rsid w:val="0010371A"/>
    <w:rsid w:val="00116E5E"/>
    <w:rsid w:val="00127F08"/>
    <w:rsid w:val="0014023D"/>
    <w:rsid w:val="001412E6"/>
    <w:rsid w:val="00141D16"/>
    <w:rsid w:val="00157F35"/>
    <w:rsid w:val="00167589"/>
    <w:rsid w:val="00170F1C"/>
    <w:rsid w:val="00195D2A"/>
    <w:rsid w:val="001A45F5"/>
    <w:rsid w:val="001D449C"/>
    <w:rsid w:val="002005AF"/>
    <w:rsid w:val="00211D08"/>
    <w:rsid w:val="00217EAB"/>
    <w:rsid w:val="0022498C"/>
    <w:rsid w:val="002613FB"/>
    <w:rsid w:val="00266636"/>
    <w:rsid w:val="002724D0"/>
    <w:rsid w:val="00280E32"/>
    <w:rsid w:val="00282A33"/>
    <w:rsid w:val="002A3CB1"/>
    <w:rsid w:val="002B1CE5"/>
    <w:rsid w:val="002D0512"/>
    <w:rsid w:val="002E259A"/>
    <w:rsid w:val="002F020B"/>
    <w:rsid w:val="002F4DB3"/>
    <w:rsid w:val="00305104"/>
    <w:rsid w:val="00311EC2"/>
    <w:rsid w:val="00326882"/>
    <w:rsid w:val="00337032"/>
    <w:rsid w:val="00337D19"/>
    <w:rsid w:val="00350FFA"/>
    <w:rsid w:val="00353EA3"/>
    <w:rsid w:val="00363E20"/>
    <w:rsid w:val="00377175"/>
    <w:rsid w:val="00382F07"/>
    <w:rsid w:val="003D2647"/>
    <w:rsid w:val="003E24B1"/>
    <w:rsid w:val="003F262C"/>
    <w:rsid w:val="0040390F"/>
    <w:rsid w:val="00411595"/>
    <w:rsid w:val="00411C26"/>
    <w:rsid w:val="00440224"/>
    <w:rsid w:val="00441F28"/>
    <w:rsid w:val="00453C04"/>
    <w:rsid w:val="004542E6"/>
    <w:rsid w:val="00454BDE"/>
    <w:rsid w:val="00455668"/>
    <w:rsid w:val="00460087"/>
    <w:rsid w:val="004820A9"/>
    <w:rsid w:val="0048211F"/>
    <w:rsid w:val="00497764"/>
    <w:rsid w:val="004A036D"/>
    <w:rsid w:val="004A2317"/>
    <w:rsid w:val="004C1F87"/>
    <w:rsid w:val="0051352E"/>
    <w:rsid w:val="00515171"/>
    <w:rsid w:val="00517DA7"/>
    <w:rsid w:val="00520A33"/>
    <w:rsid w:val="005242E0"/>
    <w:rsid w:val="00527749"/>
    <w:rsid w:val="00527AE4"/>
    <w:rsid w:val="00533ECC"/>
    <w:rsid w:val="005634DD"/>
    <w:rsid w:val="0058535E"/>
    <w:rsid w:val="00590E30"/>
    <w:rsid w:val="00593462"/>
    <w:rsid w:val="005B04B8"/>
    <w:rsid w:val="005B69E0"/>
    <w:rsid w:val="005C079F"/>
    <w:rsid w:val="005C2DCE"/>
    <w:rsid w:val="005D2537"/>
    <w:rsid w:val="005E2B7F"/>
    <w:rsid w:val="005E2BA5"/>
    <w:rsid w:val="005E5BD7"/>
    <w:rsid w:val="005F0822"/>
    <w:rsid w:val="00630DDF"/>
    <w:rsid w:val="00634ADF"/>
    <w:rsid w:val="006643AA"/>
    <w:rsid w:val="00666C76"/>
    <w:rsid w:val="00675986"/>
    <w:rsid w:val="00693306"/>
    <w:rsid w:val="006B5BB9"/>
    <w:rsid w:val="006C2E97"/>
    <w:rsid w:val="006D1556"/>
    <w:rsid w:val="006E1B40"/>
    <w:rsid w:val="006E5D6E"/>
    <w:rsid w:val="006F4733"/>
    <w:rsid w:val="007057FB"/>
    <w:rsid w:val="00707C45"/>
    <w:rsid w:val="00721B03"/>
    <w:rsid w:val="0073692B"/>
    <w:rsid w:val="00742FAD"/>
    <w:rsid w:val="00746F11"/>
    <w:rsid w:val="007519A0"/>
    <w:rsid w:val="00762389"/>
    <w:rsid w:val="00773B68"/>
    <w:rsid w:val="007855CC"/>
    <w:rsid w:val="00786B41"/>
    <w:rsid w:val="007B1ABA"/>
    <w:rsid w:val="007B35AC"/>
    <w:rsid w:val="007B74C5"/>
    <w:rsid w:val="007C7F3B"/>
    <w:rsid w:val="007D1327"/>
    <w:rsid w:val="007E7835"/>
    <w:rsid w:val="007F0FB4"/>
    <w:rsid w:val="007F5FA9"/>
    <w:rsid w:val="008142F8"/>
    <w:rsid w:val="00821F8C"/>
    <w:rsid w:val="00834DC7"/>
    <w:rsid w:val="00841D4B"/>
    <w:rsid w:val="00842C47"/>
    <w:rsid w:val="00844472"/>
    <w:rsid w:val="0084540A"/>
    <w:rsid w:val="008507C1"/>
    <w:rsid w:val="00850B4E"/>
    <w:rsid w:val="00851899"/>
    <w:rsid w:val="00861934"/>
    <w:rsid w:val="00865302"/>
    <w:rsid w:val="00871A13"/>
    <w:rsid w:val="00886884"/>
    <w:rsid w:val="008875A3"/>
    <w:rsid w:val="008945B0"/>
    <w:rsid w:val="008C5885"/>
    <w:rsid w:val="008C712E"/>
    <w:rsid w:val="008E2854"/>
    <w:rsid w:val="008E6629"/>
    <w:rsid w:val="008F0AC9"/>
    <w:rsid w:val="008F0FA1"/>
    <w:rsid w:val="008F4956"/>
    <w:rsid w:val="00930CDA"/>
    <w:rsid w:val="0093473D"/>
    <w:rsid w:val="0095636C"/>
    <w:rsid w:val="00972F57"/>
    <w:rsid w:val="00995280"/>
    <w:rsid w:val="009A63B3"/>
    <w:rsid w:val="009B0D07"/>
    <w:rsid w:val="009B172A"/>
    <w:rsid w:val="009B6D87"/>
    <w:rsid w:val="009C2DD1"/>
    <w:rsid w:val="009C34A4"/>
    <w:rsid w:val="009C6624"/>
    <w:rsid w:val="009F033A"/>
    <w:rsid w:val="009F509D"/>
    <w:rsid w:val="00A07512"/>
    <w:rsid w:val="00A22849"/>
    <w:rsid w:val="00A24E6E"/>
    <w:rsid w:val="00A2790C"/>
    <w:rsid w:val="00A416C7"/>
    <w:rsid w:val="00A4360A"/>
    <w:rsid w:val="00A43694"/>
    <w:rsid w:val="00A453A4"/>
    <w:rsid w:val="00A53E3E"/>
    <w:rsid w:val="00A56FC7"/>
    <w:rsid w:val="00A71751"/>
    <w:rsid w:val="00A72575"/>
    <w:rsid w:val="00A74071"/>
    <w:rsid w:val="00A94E65"/>
    <w:rsid w:val="00A9546F"/>
    <w:rsid w:val="00AA124A"/>
    <w:rsid w:val="00AA29C8"/>
    <w:rsid w:val="00AA2A96"/>
    <w:rsid w:val="00AC1959"/>
    <w:rsid w:val="00AD51DF"/>
    <w:rsid w:val="00AE54E1"/>
    <w:rsid w:val="00AE556D"/>
    <w:rsid w:val="00AF6244"/>
    <w:rsid w:val="00B0705A"/>
    <w:rsid w:val="00B100CC"/>
    <w:rsid w:val="00B1035A"/>
    <w:rsid w:val="00B14B2B"/>
    <w:rsid w:val="00B170A8"/>
    <w:rsid w:val="00B51AD1"/>
    <w:rsid w:val="00B54593"/>
    <w:rsid w:val="00B6689D"/>
    <w:rsid w:val="00B72368"/>
    <w:rsid w:val="00B87513"/>
    <w:rsid w:val="00B9609A"/>
    <w:rsid w:val="00BA54B3"/>
    <w:rsid w:val="00BA64D8"/>
    <w:rsid w:val="00BB18B8"/>
    <w:rsid w:val="00BB7E4E"/>
    <w:rsid w:val="00BD40FF"/>
    <w:rsid w:val="00BE737E"/>
    <w:rsid w:val="00BF41C7"/>
    <w:rsid w:val="00BF4B61"/>
    <w:rsid w:val="00C0374A"/>
    <w:rsid w:val="00C36872"/>
    <w:rsid w:val="00C4787E"/>
    <w:rsid w:val="00C54D58"/>
    <w:rsid w:val="00C573E1"/>
    <w:rsid w:val="00C57488"/>
    <w:rsid w:val="00C5791F"/>
    <w:rsid w:val="00C95DF6"/>
    <w:rsid w:val="00CA7113"/>
    <w:rsid w:val="00CC7ED2"/>
    <w:rsid w:val="00CF3D76"/>
    <w:rsid w:val="00D14F85"/>
    <w:rsid w:val="00D2602D"/>
    <w:rsid w:val="00D504BC"/>
    <w:rsid w:val="00DA1B7B"/>
    <w:rsid w:val="00DB5200"/>
    <w:rsid w:val="00DB79DF"/>
    <w:rsid w:val="00DC5498"/>
    <w:rsid w:val="00DE24F2"/>
    <w:rsid w:val="00DE4697"/>
    <w:rsid w:val="00DF153F"/>
    <w:rsid w:val="00E05A55"/>
    <w:rsid w:val="00E30DB7"/>
    <w:rsid w:val="00E40D9F"/>
    <w:rsid w:val="00E6526D"/>
    <w:rsid w:val="00E82A97"/>
    <w:rsid w:val="00E866AC"/>
    <w:rsid w:val="00EA32F7"/>
    <w:rsid w:val="00EA67FC"/>
    <w:rsid w:val="00EC3468"/>
    <w:rsid w:val="00EC6079"/>
    <w:rsid w:val="00ED3309"/>
    <w:rsid w:val="00ED4FCB"/>
    <w:rsid w:val="00EE5838"/>
    <w:rsid w:val="00F029C8"/>
    <w:rsid w:val="00F074C6"/>
    <w:rsid w:val="00F230CD"/>
    <w:rsid w:val="00F4628B"/>
    <w:rsid w:val="00F51C18"/>
    <w:rsid w:val="00F86E8D"/>
    <w:rsid w:val="00F87B3E"/>
    <w:rsid w:val="00F93CCF"/>
    <w:rsid w:val="00FA31E2"/>
    <w:rsid w:val="00FA3CB7"/>
    <w:rsid w:val="00FE036F"/>
    <w:rsid w:val="00FE74FC"/>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B87513"/>
    <w:pPr>
      <w:tabs>
        <w:tab w:val="right" w:leader="dot" w:pos="9060"/>
      </w:tabs>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paragraph" w:styleId="FootnoteText">
    <w:name w:val="footnote text"/>
    <w:basedOn w:val="Normal"/>
    <w:link w:val="FootnoteTextChar"/>
    <w:uiPriority w:val="99"/>
    <w:semiHidden/>
    <w:unhideWhenUsed/>
    <w:rsid w:val="00A94E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E65"/>
    <w:rPr>
      <w:sz w:val="20"/>
      <w:szCs w:val="20"/>
    </w:rPr>
  </w:style>
  <w:style w:type="character" w:styleId="FootnoteReference">
    <w:name w:val="footnote reference"/>
    <w:basedOn w:val="DefaultParagraphFont"/>
    <w:uiPriority w:val="99"/>
    <w:semiHidden/>
    <w:unhideWhenUsed/>
    <w:rsid w:val="00A94E65"/>
    <w:rPr>
      <w:vertAlign w:val="superscript"/>
    </w:rPr>
  </w:style>
  <w:style w:type="character" w:styleId="UnresolvedMention">
    <w:name w:val="Unresolved Mention"/>
    <w:basedOn w:val="DefaultParagraphFont"/>
    <w:uiPriority w:val="99"/>
    <w:semiHidden/>
    <w:unhideWhenUsed/>
    <w:rsid w:val="00A94E65"/>
    <w:rPr>
      <w:color w:val="605E5C"/>
      <w:shd w:val="clear" w:color="auto" w:fill="E1DFDD"/>
    </w:rPr>
  </w:style>
  <w:style w:type="table" w:customStyle="1" w:styleId="JobsTable">
    <w:name w:val="Jobs Table"/>
    <w:basedOn w:val="TableNormal"/>
    <w:uiPriority w:val="99"/>
    <w:rsid w:val="007B35AC"/>
    <w:pPr>
      <w:spacing w:after="0" w:line="240" w:lineRule="auto"/>
    </w:pPr>
    <w:rPr>
      <w:rFonts w:ascii="Calibri" w:eastAsia="Times New Roman" w:hAnsi="Calibri" w:cs="Arial"/>
    </w:rPr>
    <w:tblPr>
      <w:tblInd w:w="0" w:type="nil"/>
      <w:tblBorders>
        <w:bottom w:val="single" w:sz="4" w:space="0" w:color="1E3D6B"/>
      </w:tblBorders>
    </w:tblPr>
    <w:tblStylePr w:type="firstRow">
      <w:pPr>
        <w:jc w:val="left"/>
      </w:pPr>
      <w:rPr>
        <w:rFonts w:ascii="Calibri" w:hAnsi="Calibri" w:cs="Calibri" w:hint="default"/>
        <w:b w:val="0"/>
        <w:color w:val="E7E6E6" w:themeColor="background2"/>
        <w:sz w:val="22"/>
        <w:szCs w:val="22"/>
      </w:rPr>
      <w:tblPr/>
      <w:tcPr>
        <w:shd w:val="clear" w:color="auto" w:fill="00212F" w:themeFill="text2" w:themeFillShade="BF"/>
      </w:tcPr>
    </w:tblStylePr>
    <w:tblStylePr w:type="firstCol">
      <w:rPr>
        <w:b/>
      </w:rPr>
    </w:tblStylePr>
  </w:style>
  <w:style w:type="table" w:customStyle="1" w:styleId="DESE1">
    <w:name w:val="DESE1"/>
    <w:basedOn w:val="TableNormal"/>
    <w:uiPriority w:val="99"/>
    <w:rsid w:val="006C2E97"/>
    <w:pPr>
      <w:spacing w:before="100" w:beforeAutospacing="1" w:after="100" w:afterAutospacing="1" w:line="240" w:lineRule="auto"/>
    </w:pPr>
    <w:rPr>
      <w:rFonts w:ascii="Calibri" w:eastAsia="Calibri" w:hAnsi="Calibri" w:cs="Arial"/>
    </w:r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s="Calibri" w:hint="default"/>
        <w:color w:val="FFFFFF" w:themeColor="background1"/>
      </w:rPr>
      <w:tblPr/>
      <w:tcPr>
        <w:shd w:val="clear" w:color="auto" w:fill="002D3F" w:themeFill="accent1"/>
      </w:tcPr>
    </w:tblStylePr>
    <w:tblStylePr w:type="firstCol">
      <w:rPr>
        <w:b w:val="0"/>
      </w:rPr>
    </w:tblStylePr>
    <w:tblStylePr w:type="band2Horz">
      <w:tblPr/>
      <w:tcPr>
        <w:shd w:val="clear" w:color="auto" w:fill="E7E6E6" w:themeFill="background2"/>
      </w:tcPr>
    </w:tblStylePr>
    <w:tblStylePr w:type="nwCell">
      <w:rPr>
        <w:b w:val="0"/>
      </w:rPr>
    </w:tblStylePr>
  </w:style>
  <w:style w:type="character" w:styleId="CommentReference">
    <w:name w:val="annotation reference"/>
    <w:basedOn w:val="DefaultParagraphFont"/>
    <w:uiPriority w:val="99"/>
    <w:semiHidden/>
    <w:unhideWhenUsed/>
    <w:rsid w:val="00AA29C8"/>
    <w:rPr>
      <w:sz w:val="16"/>
      <w:szCs w:val="16"/>
    </w:rPr>
  </w:style>
  <w:style w:type="paragraph" w:styleId="CommentText">
    <w:name w:val="annotation text"/>
    <w:basedOn w:val="Normal"/>
    <w:link w:val="CommentTextChar"/>
    <w:uiPriority w:val="99"/>
    <w:unhideWhenUsed/>
    <w:rsid w:val="00AA29C8"/>
    <w:pPr>
      <w:spacing w:line="240" w:lineRule="auto"/>
    </w:pPr>
    <w:rPr>
      <w:sz w:val="20"/>
      <w:szCs w:val="20"/>
    </w:rPr>
  </w:style>
  <w:style w:type="character" w:customStyle="1" w:styleId="CommentTextChar">
    <w:name w:val="Comment Text Char"/>
    <w:basedOn w:val="DefaultParagraphFont"/>
    <w:link w:val="CommentText"/>
    <w:uiPriority w:val="99"/>
    <w:rsid w:val="00AA29C8"/>
    <w:rPr>
      <w:sz w:val="20"/>
      <w:szCs w:val="20"/>
    </w:rPr>
  </w:style>
  <w:style w:type="paragraph" w:styleId="CommentSubject">
    <w:name w:val="annotation subject"/>
    <w:basedOn w:val="CommentText"/>
    <w:next w:val="CommentText"/>
    <w:link w:val="CommentSubjectChar"/>
    <w:uiPriority w:val="99"/>
    <w:semiHidden/>
    <w:unhideWhenUsed/>
    <w:rsid w:val="00AA29C8"/>
    <w:rPr>
      <w:b/>
      <w:bCs/>
    </w:rPr>
  </w:style>
  <w:style w:type="character" w:customStyle="1" w:styleId="CommentSubjectChar">
    <w:name w:val="Comment Subject Char"/>
    <w:basedOn w:val="CommentTextChar"/>
    <w:link w:val="CommentSubject"/>
    <w:uiPriority w:val="99"/>
    <w:semiHidden/>
    <w:rsid w:val="00AA29C8"/>
    <w:rPr>
      <w:b/>
      <w:bCs/>
      <w:sz w:val="20"/>
      <w:szCs w:val="20"/>
    </w:rPr>
  </w:style>
  <w:style w:type="paragraph" w:styleId="Revision">
    <w:name w:val="Revision"/>
    <w:hidden/>
    <w:uiPriority w:val="99"/>
    <w:semiHidden/>
    <w:rsid w:val="00F86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4120">
      <w:bodyDiv w:val="1"/>
      <w:marLeft w:val="0"/>
      <w:marRight w:val="0"/>
      <w:marTop w:val="0"/>
      <w:marBottom w:val="0"/>
      <w:divBdr>
        <w:top w:val="none" w:sz="0" w:space="0" w:color="auto"/>
        <w:left w:val="none" w:sz="0" w:space="0" w:color="auto"/>
        <w:bottom w:val="none" w:sz="0" w:space="0" w:color="auto"/>
        <w:right w:val="none" w:sz="0" w:space="0" w:color="auto"/>
      </w:divBdr>
    </w:div>
    <w:div w:id="158275536">
      <w:bodyDiv w:val="1"/>
      <w:marLeft w:val="0"/>
      <w:marRight w:val="0"/>
      <w:marTop w:val="0"/>
      <w:marBottom w:val="0"/>
      <w:divBdr>
        <w:top w:val="none" w:sz="0" w:space="0" w:color="auto"/>
        <w:left w:val="none" w:sz="0" w:space="0" w:color="auto"/>
        <w:bottom w:val="none" w:sz="0" w:space="0" w:color="auto"/>
        <w:right w:val="none" w:sz="0" w:space="0" w:color="auto"/>
      </w:divBdr>
    </w:div>
    <w:div w:id="171335658">
      <w:bodyDiv w:val="1"/>
      <w:marLeft w:val="0"/>
      <w:marRight w:val="0"/>
      <w:marTop w:val="0"/>
      <w:marBottom w:val="0"/>
      <w:divBdr>
        <w:top w:val="none" w:sz="0" w:space="0" w:color="auto"/>
        <w:left w:val="none" w:sz="0" w:space="0" w:color="auto"/>
        <w:bottom w:val="none" w:sz="0" w:space="0" w:color="auto"/>
        <w:right w:val="none" w:sz="0" w:space="0" w:color="auto"/>
      </w:divBdr>
    </w:div>
    <w:div w:id="239753442">
      <w:bodyDiv w:val="1"/>
      <w:marLeft w:val="0"/>
      <w:marRight w:val="0"/>
      <w:marTop w:val="0"/>
      <w:marBottom w:val="0"/>
      <w:divBdr>
        <w:top w:val="none" w:sz="0" w:space="0" w:color="auto"/>
        <w:left w:val="none" w:sz="0" w:space="0" w:color="auto"/>
        <w:bottom w:val="none" w:sz="0" w:space="0" w:color="auto"/>
        <w:right w:val="none" w:sz="0" w:space="0" w:color="auto"/>
      </w:divBdr>
    </w:div>
    <w:div w:id="264504274">
      <w:bodyDiv w:val="1"/>
      <w:marLeft w:val="0"/>
      <w:marRight w:val="0"/>
      <w:marTop w:val="0"/>
      <w:marBottom w:val="0"/>
      <w:divBdr>
        <w:top w:val="none" w:sz="0" w:space="0" w:color="auto"/>
        <w:left w:val="none" w:sz="0" w:space="0" w:color="auto"/>
        <w:bottom w:val="none" w:sz="0" w:space="0" w:color="auto"/>
        <w:right w:val="none" w:sz="0" w:space="0" w:color="auto"/>
      </w:divBdr>
    </w:div>
    <w:div w:id="269051840">
      <w:bodyDiv w:val="1"/>
      <w:marLeft w:val="0"/>
      <w:marRight w:val="0"/>
      <w:marTop w:val="0"/>
      <w:marBottom w:val="0"/>
      <w:divBdr>
        <w:top w:val="none" w:sz="0" w:space="0" w:color="auto"/>
        <w:left w:val="none" w:sz="0" w:space="0" w:color="auto"/>
        <w:bottom w:val="none" w:sz="0" w:space="0" w:color="auto"/>
        <w:right w:val="none" w:sz="0" w:space="0" w:color="auto"/>
      </w:divBdr>
    </w:div>
    <w:div w:id="291987664">
      <w:bodyDiv w:val="1"/>
      <w:marLeft w:val="0"/>
      <w:marRight w:val="0"/>
      <w:marTop w:val="0"/>
      <w:marBottom w:val="0"/>
      <w:divBdr>
        <w:top w:val="none" w:sz="0" w:space="0" w:color="auto"/>
        <w:left w:val="none" w:sz="0" w:space="0" w:color="auto"/>
        <w:bottom w:val="none" w:sz="0" w:space="0" w:color="auto"/>
        <w:right w:val="none" w:sz="0" w:space="0" w:color="auto"/>
      </w:divBdr>
    </w:div>
    <w:div w:id="294022450">
      <w:bodyDiv w:val="1"/>
      <w:marLeft w:val="0"/>
      <w:marRight w:val="0"/>
      <w:marTop w:val="0"/>
      <w:marBottom w:val="0"/>
      <w:divBdr>
        <w:top w:val="none" w:sz="0" w:space="0" w:color="auto"/>
        <w:left w:val="none" w:sz="0" w:space="0" w:color="auto"/>
        <w:bottom w:val="none" w:sz="0" w:space="0" w:color="auto"/>
        <w:right w:val="none" w:sz="0" w:space="0" w:color="auto"/>
      </w:divBdr>
    </w:div>
    <w:div w:id="373576562">
      <w:bodyDiv w:val="1"/>
      <w:marLeft w:val="0"/>
      <w:marRight w:val="0"/>
      <w:marTop w:val="0"/>
      <w:marBottom w:val="0"/>
      <w:divBdr>
        <w:top w:val="none" w:sz="0" w:space="0" w:color="auto"/>
        <w:left w:val="none" w:sz="0" w:space="0" w:color="auto"/>
        <w:bottom w:val="none" w:sz="0" w:space="0" w:color="auto"/>
        <w:right w:val="none" w:sz="0" w:space="0" w:color="auto"/>
      </w:divBdr>
    </w:div>
    <w:div w:id="373582763">
      <w:bodyDiv w:val="1"/>
      <w:marLeft w:val="0"/>
      <w:marRight w:val="0"/>
      <w:marTop w:val="0"/>
      <w:marBottom w:val="0"/>
      <w:divBdr>
        <w:top w:val="none" w:sz="0" w:space="0" w:color="auto"/>
        <w:left w:val="none" w:sz="0" w:space="0" w:color="auto"/>
        <w:bottom w:val="none" w:sz="0" w:space="0" w:color="auto"/>
        <w:right w:val="none" w:sz="0" w:space="0" w:color="auto"/>
      </w:divBdr>
    </w:div>
    <w:div w:id="375784519">
      <w:bodyDiv w:val="1"/>
      <w:marLeft w:val="0"/>
      <w:marRight w:val="0"/>
      <w:marTop w:val="0"/>
      <w:marBottom w:val="0"/>
      <w:divBdr>
        <w:top w:val="none" w:sz="0" w:space="0" w:color="auto"/>
        <w:left w:val="none" w:sz="0" w:space="0" w:color="auto"/>
        <w:bottom w:val="none" w:sz="0" w:space="0" w:color="auto"/>
        <w:right w:val="none" w:sz="0" w:space="0" w:color="auto"/>
      </w:divBdr>
    </w:div>
    <w:div w:id="511915738">
      <w:bodyDiv w:val="1"/>
      <w:marLeft w:val="0"/>
      <w:marRight w:val="0"/>
      <w:marTop w:val="0"/>
      <w:marBottom w:val="0"/>
      <w:divBdr>
        <w:top w:val="none" w:sz="0" w:space="0" w:color="auto"/>
        <w:left w:val="none" w:sz="0" w:space="0" w:color="auto"/>
        <w:bottom w:val="none" w:sz="0" w:space="0" w:color="auto"/>
        <w:right w:val="none" w:sz="0" w:space="0" w:color="auto"/>
      </w:divBdr>
    </w:div>
    <w:div w:id="532230947">
      <w:bodyDiv w:val="1"/>
      <w:marLeft w:val="0"/>
      <w:marRight w:val="0"/>
      <w:marTop w:val="0"/>
      <w:marBottom w:val="0"/>
      <w:divBdr>
        <w:top w:val="none" w:sz="0" w:space="0" w:color="auto"/>
        <w:left w:val="none" w:sz="0" w:space="0" w:color="auto"/>
        <w:bottom w:val="none" w:sz="0" w:space="0" w:color="auto"/>
        <w:right w:val="none" w:sz="0" w:space="0" w:color="auto"/>
      </w:divBdr>
    </w:div>
    <w:div w:id="552884341">
      <w:bodyDiv w:val="1"/>
      <w:marLeft w:val="0"/>
      <w:marRight w:val="0"/>
      <w:marTop w:val="0"/>
      <w:marBottom w:val="0"/>
      <w:divBdr>
        <w:top w:val="none" w:sz="0" w:space="0" w:color="auto"/>
        <w:left w:val="none" w:sz="0" w:space="0" w:color="auto"/>
        <w:bottom w:val="none" w:sz="0" w:space="0" w:color="auto"/>
        <w:right w:val="none" w:sz="0" w:space="0" w:color="auto"/>
      </w:divBdr>
    </w:div>
    <w:div w:id="642464833">
      <w:bodyDiv w:val="1"/>
      <w:marLeft w:val="0"/>
      <w:marRight w:val="0"/>
      <w:marTop w:val="0"/>
      <w:marBottom w:val="0"/>
      <w:divBdr>
        <w:top w:val="none" w:sz="0" w:space="0" w:color="auto"/>
        <w:left w:val="none" w:sz="0" w:space="0" w:color="auto"/>
        <w:bottom w:val="none" w:sz="0" w:space="0" w:color="auto"/>
        <w:right w:val="none" w:sz="0" w:space="0" w:color="auto"/>
      </w:divBdr>
    </w:div>
    <w:div w:id="655379265">
      <w:bodyDiv w:val="1"/>
      <w:marLeft w:val="0"/>
      <w:marRight w:val="0"/>
      <w:marTop w:val="0"/>
      <w:marBottom w:val="0"/>
      <w:divBdr>
        <w:top w:val="none" w:sz="0" w:space="0" w:color="auto"/>
        <w:left w:val="none" w:sz="0" w:space="0" w:color="auto"/>
        <w:bottom w:val="none" w:sz="0" w:space="0" w:color="auto"/>
        <w:right w:val="none" w:sz="0" w:space="0" w:color="auto"/>
      </w:divBdr>
    </w:div>
    <w:div w:id="742675749">
      <w:bodyDiv w:val="1"/>
      <w:marLeft w:val="0"/>
      <w:marRight w:val="0"/>
      <w:marTop w:val="0"/>
      <w:marBottom w:val="0"/>
      <w:divBdr>
        <w:top w:val="none" w:sz="0" w:space="0" w:color="auto"/>
        <w:left w:val="none" w:sz="0" w:space="0" w:color="auto"/>
        <w:bottom w:val="none" w:sz="0" w:space="0" w:color="auto"/>
        <w:right w:val="none" w:sz="0" w:space="0" w:color="auto"/>
      </w:divBdr>
    </w:div>
    <w:div w:id="896277756">
      <w:bodyDiv w:val="1"/>
      <w:marLeft w:val="0"/>
      <w:marRight w:val="0"/>
      <w:marTop w:val="0"/>
      <w:marBottom w:val="0"/>
      <w:divBdr>
        <w:top w:val="none" w:sz="0" w:space="0" w:color="auto"/>
        <w:left w:val="none" w:sz="0" w:space="0" w:color="auto"/>
        <w:bottom w:val="none" w:sz="0" w:space="0" w:color="auto"/>
        <w:right w:val="none" w:sz="0" w:space="0" w:color="auto"/>
      </w:divBdr>
    </w:div>
    <w:div w:id="948585607">
      <w:bodyDiv w:val="1"/>
      <w:marLeft w:val="0"/>
      <w:marRight w:val="0"/>
      <w:marTop w:val="0"/>
      <w:marBottom w:val="0"/>
      <w:divBdr>
        <w:top w:val="none" w:sz="0" w:space="0" w:color="auto"/>
        <w:left w:val="none" w:sz="0" w:space="0" w:color="auto"/>
        <w:bottom w:val="none" w:sz="0" w:space="0" w:color="auto"/>
        <w:right w:val="none" w:sz="0" w:space="0" w:color="auto"/>
      </w:divBdr>
    </w:div>
    <w:div w:id="981890951">
      <w:bodyDiv w:val="1"/>
      <w:marLeft w:val="0"/>
      <w:marRight w:val="0"/>
      <w:marTop w:val="0"/>
      <w:marBottom w:val="0"/>
      <w:divBdr>
        <w:top w:val="none" w:sz="0" w:space="0" w:color="auto"/>
        <w:left w:val="none" w:sz="0" w:space="0" w:color="auto"/>
        <w:bottom w:val="none" w:sz="0" w:space="0" w:color="auto"/>
        <w:right w:val="none" w:sz="0" w:space="0" w:color="auto"/>
      </w:divBdr>
    </w:div>
    <w:div w:id="1013997421">
      <w:bodyDiv w:val="1"/>
      <w:marLeft w:val="0"/>
      <w:marRight w:val="0"/>
      <w:marTop w:val="0"/>
      <w:marBottom w:val="0"/>
      <w:divBdr>
        <w:top w:val="none" w:sz="0" w:space="0" w:color="auto"/>
        <w:left w:val="none" w:sz="0" w:space="0" w:color="auto"/>
        <w:bottom w:val="none" w:sz="0" w:space="0" w:color="auto"/>
        <w:right w:val="none" w:sz="0" w:space="0" w:color="auto"/>
      </w:divBdr>
    </w:div>
    <w:div w:id="1097408167">
      <w:bodyDiv w:val="1"/>
      <w:marLeft w:val="0"/>
      <w:marRight w:val="0"/>
      <w:marTop w:val="0"/>
      <w:marBottom w:val="0"/>
      <w:divBdr>
        <w:top w:val="none" w:sz="0" w:space="0" w:color="auto"/>
        <w:left w:val="none" w:sz="0" w:space="0" w:color="auto"/>
        <w:bottom w:val="none" w:sz="0" w:space="0" w:color="auto"/>
        <w:right w:val="none" w:sz="0" w:space="0" w:color="auto"/>
      </w:divBdr>
    </w:div>
    <w:div w:id="1232080480">
      <w:bodyDiv w:val="1"/>
      <w:marLeft w:val="0"/>
      <w:marRight w:val="0"/>
      <w:marTop w:val="0"/>
      <w:marBottom w:val="0"/>
      <w:divBdr>
        <w:top w:val="none" w:sz="0" w:space="0" w:color="auto"/>
        <w:left w:val="none" w:sz="0" w:space="0" w:color="auto"/>
        <w:bottom w:val="none" w:sz="0" w:space="0" w:color="auto"/>
        <w:right w:val="none" w:sz="0" w:space="0" w:color="auto"/>
      </w:divBdr>
    </w:div>
    <w:div w:id="1284507156">
      <w:bodyDiv w:val="1"/>
      <w:marLeft w:val="0"/>
      <w:marRight w:val="0"/>
      <w:marTop w:val="0"/>
      <w:marBottom w:val="0"/>
      <w:divBdr>
        <w:top w:val="none" w:sz="0" w:space="0" w:color="auto"/>
        <w:left w:val="none" w:sz="0" w:space="0" w:color="auto"/>
        <w:bottom w:val="none" w:sz="0" w:space="0" w:color="auto"/>
        <w:right w:val="none" w:sz="0" w:space="0" w:color="auto"/>
      </w:divBdr>
    </w:div>
    <w:div w:id="1344012971">
      <w:bodyDiv w:val="1"/>
      <w:marLeft w:val="0"/>
      <w:marRight w:val="0"/>
      <w:marTop w:val="0"/>
      <w:marBottom w:val="0"/>
      <w:divBdr>
        <w:top w:val="none" w:sz="0" w:space="0" w:color="auto"/>
        <w:left w:val="none" w:sz="0" w:space="0" w:color="auto"/>
        <w:bottom w:val="none" w:sz="0" w:space="0" w:color="auto"/>
        <w:right w:val="none" w:sz="0" w:space="0" w:color="auto"/>
      </w:divBdr>
    </w:div>
    <w:div w:id="1385131853">
      <w:bodyDiv w:val="1"/>
      <w:marLeft w:val="0"/>
      <w:marRight w:val="0"/>
      <w:marTop w:val="0"/>
      <w:marBottom w:val="0"/>
      <w:divBdr>
        <w:top w:val="none" w:sz="0" w:space="0" w:color="auto"/>
        <w:left w:val="none" w:sz="0" w:space="0" w:color="auto"/>
        <w:bottom w:val="none" w:sz="0" w:space="0" w:color="auto"/>
        <w:right w:val="none" w:sz="0" w:space="0" w:color="auto"/>
      </w:divBdr>
    </w:div>
    <w:div w:id="1410007710">
      <w:bodyDiv w:val="1"/>
      <w:marLeft w:val="0"/>
      <w:marRight w:val="0"/>
      <w:marTop w:val="0"/>
      <w:marBottom w:val="0"/>
      <w:divBdr>
        <w:top w:val="none" w:sz="0" w:space="0" w:color="auto"/>
        <w:left w:val="none" w:sz="0" w:space="0" w:color="auto"/>
        <w:bottom w:val="none" w:sz="0" w:space="0" w:color="auto"/>
        <w:right w:val="none" w:sz="0" w:space="0" w:color="auto"/>
      </w:divBdr>
    </w:div>
    <w:div w:id="1474106357">
      <w:bodyDiv w:val="1"/>
      <w:marLeft w:val="0"/>
      <w:marRight w:val="0"/>
      <w:marTop w:val="0"/>
      <w:marBottom w:val="0"/>
      <w:divBdr>
        <w:top w:val="none" w:sz="0" w:space="0" w:color="auto"/>
        <w:left w:val="none" w:sz="0" w:space="0" w:color="auto"/>
        <w:bottom w:val="none" w:sz="0" w:space="0" w:color="auto"/>
        <w:right w:val="none" w:sz="0" w:space="0" w:color="auto"/>
      </w:divBdr>
    </w:div>
    <w:div w:id="1566912300">
      <w:bodyDiv w:val="1"/>
      <w:marLeft w:val="0"/>
      <w:marRight w:val="0"/>
      <w:marTop w:val="0"/>
      <w:marBottom w:val="0"/>
      <w:divBdr>
        <w:top w:val="none" w:sz="0" w:space="0" w:color="auto"/>
        <w:left w:val="none" w:sz="0" w:space="0" w:color="auto"/>
        <w:bottom w:val="none" w:sz="0" w:space="0" w:color="auto"/>
        <w:right w:val="none" w:sz="0" w:space="0" w:color="auto"/>
      </w:divBdr>
    </w:div>
    <w:div w:id="1697123984">
      <w:bodyDiv w:val="1"/>
      <w:marLeft w:val="0"/>
      <w:marRight w:val="0"/>
      <w:marTop w:val="0"/>
      <w:marBottom w:val="0"/>
      <w:divBdr>
        <w:top w:val="none" w:sz="0" w:space="0" w:color="auto"/>
        <w:left w:val="none" w:sz="0" w:space="0" w:color="auto"/>
        <w:bottom w:val="none" w:sz="0" w:space="0" w:color="auto"/>
        <w:right w:val="none" w:sz="0" w:space="0" w:color="auto"/>
      </w:divBdr>
    </w:div>
    <w:div w:id="1724519789">
      <w:bodyDiv w:val="1"/>
      <w:marLeft w:val="0"/>
      <w:marRight w:val="0"/>
      <w:marTop w:val="0"/>
      <w:marBottom w:val="0"/>
      <w:divBdr>
        <w:top w:val="none" w:sz="0" w:space="0" w:color="auto"/>
        <w:left w:val="none" w:sz="0" w:space="0" w:color="auto"/>
        <w:bottom w:val="none" w:sz="0" w:space="0" w:color="auto"/>
        <w:right w:val="none" w:sz="0" w:space="0" w:color="auto"/>
      </w:divBdr>
    </w:div>
    <w:div w:id="1764566164">
      <w:bodyDiv w:val="1"/>
      <w:marLeft w:val="0"/>
      <w:marRight w:val="0"/>
      <w:marTop w:val="0"/>
      <w:marBottom w:val="0"/>
      <w:divBdr>
        <w:top w:val="none" w:sz="0" w:space="0" w:color="auto"/>
        <w:left w:val="none" w:sz="0" w:space="0" w:color="auto"/>
        <w:bottom w:val="none" w:sz="0" w:space="0" w:color="auto"/>
        <w:right w:val="none" w:sz="0" w:space="0" w:color="auto"/>
      </w:divBdr>
    </w:div>
    <w:div w:id="1796025380">
      <w:bodyDiv w:val="1"/>
      <w:marLeft w:val="0"/>
      <w:marRight w:val="0"/>
      <w:marTop w:val="0"/>
      <w:marBottom w:val="0"/>
      <w:divBdr>
        <w:top w:val="none" w:sz="0" w:space="0" w:color="auto"/>
        <w:left w:val="none" w:sz="0" w:space="0" w:color="auto"/>
        <w:bottom w:val="none" w:sz="0" w:space="0" w:color="auto"/>
        <w:right w:val="none" w:sz="0" w:space="0" w:color="auto"/>
      </w:divBdr>
    </w:div>
    <w:div w:id="1922566015">
      <w:bodyDiv w:val="1"/>
      <w:marLeft w:val="0"/>
      <w:marRight w:val="0"/>
      <w:marTop w:val="0"/>
      <w:marBottom w:val="0"/>
      <w:divBdr>
        <w:top w:val="none" w:sz="0" w:space="0" w:color="auto"/>
        <w:left w:val="none" w:sz="0" w:space="0" w:color="auto"/>
        <w:bottom w:val="none" w:sz="0" w:space="0" w:color="auto"/>
        <w:right w:val="none" w:sz="0" w:space="0" w:color="auto"/>
      </w:divBdr>
    </w:div>
    <w:div w:id="1963074521">
      <w:bodyDiv w:val="1"/>
      <w:marLeft w:val="0"/>
      <w:marRight w:val="0"/>
      <w:marTop w:val="0"/>
      <w:marBottom w:val="0"/>
      <w:divBdr>
        <w:top w:val="none" w:sz="0" w:space="0" w:color="auto"/>
        <w:left w:val="none" w:sz="0" w:space="0" w:color="auto"/>
        <w:bottom w:val="none" w:sz="0" w:space="0" w:color="auto"/>
        <w:right w:val="none" w:sz="0" w:space="0" w:color="auto"/>
      </w:divBdr>
    </w:div>
    <w:div w:id="2001613029">
      <w:bodyDiv w:val="1"/>
      <w:marLeft w:val="0"/>
      <w:marRight w:val="0"/>
      <w:marTop w:val="0"/>
      <w:marBottom w:val="0"/>
      <w:divBdr>
        <w:top w:val="none" w:sz="0" w:space="0" w:color="auto"/>
        <w:left w:val="none" w:sz="0" w:space="0" w:color="auto"/>
        <w:bottom w:val="none" w:sz="0" w:space="0" w:color="auto"/>
        <w:right w:val="none" w:sz="0" w:space="0" w:color="auto"/>
      </w:divBdr>
    </w:div>
    <w:div w:id="2004889047">
      <w:bodyDiv w:val="1"/>
      <w:marLeft w:val="0"/>
      <w:marRight w:val="0"/>
      <w:marTop w:val="0"/>
      <w:marBottom w:val="0"/>
      <w:divBdr>
        <w:top w:val="none" w:sz="0" w:space="0" w:color="auto"/>
        <w:left w:val="none" w:sz="0" w:space="0" w:color="auto"/>
        <w:bottom w:val="none" w:sz="0" w:space="0" w:color="auto"/>
        <w:right w:val="none" w:sz="0" w:space="0" w:color="auto"/>
      </w:divBdr>
    </w:div>
    <w:div w:id="20794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slation.gov.au/Series/C2016A00098" TargetMode="External"/><Relationship Id="rId21" Type="http://schemas.openxmlformats.org/officeDocument/2006/relationships/hyperlink" Target="https://www.legislation.gov.au/Series/C2012A00159" TargetMode="External"/><Relationship Id="rId34" Type="http://schemas.openxmlformats.org/officeDocument/2006/relationships/hyperlink" Target="https://www.legislation.gov.au/Series/C2004A00580" TargetMode="External"/><Relationship Id="rId42" Type="http://schemas.openxmlformats.org/officeDocument/2006/relationships/hyperlink" Target="https://www.servicesaustralia.gov.au/digital-identity-interim-oversight-authority-privacy-notice" TargetMode="External"/><Relationship Id="rId47" Type="http://schemas.openxmlformats.org/officeDocument/2006/relationships/hyperlink" Target="https://www.slido.com/terms?experience_id=10-z&amp;utm_campaign=_10-z&amp;utm_source=www.slido.com-_ab" TargetMode="External"/><Relationship Id="rId50" Type="http://schemas.openxmlformats.org/officeDocument/2006/relationships/hyperlink" Target="https://www.swiftdigital.com.au/privacy-policy/" TargetMode="External"/><Relationship Id="rId55" Type="http://schemas.openxmlformats.org/officeDocument/2006/relationships/hyperlink" Target="https://www.dewr.gov.au/about-us/corporate-reporting/freedom-information-foi/foi-disclosure-log/how-make-freedom-information-foi-request" TargetMode="External"/><Relationship Id="rId63" Type="http://schemas.openxmlformats.org/officeDocument/2006/relationships/hyperlink" Target="mailto:enquiries@oaic.gov.au"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ewr.gov.au/" TargetMode="External"/><Relationship Id="rId29" Type="http://schemas.openxmlformats.org/officeDocument/2006/relationships/hyperlink" Target="https://www.legislation.gov.au/Series/C2004A02562" TargetMode="External"/><Relationship Id="rId11" Type="http://schemas.openxmlformats.org/officeDocument/2006/relationships/image" Target="media/image4.png"/><Relationship Id="rId24" Type="http://schemas.openxmlformats.org/officeDocument/2006/relationships/hyperlink" Target="https://www.legislation.gov.au/Series/C2014A00036" TargetMode="External"/><Relationship Id="rId32" Type="http://schemas.openxmlformats.org/officeDocument/2006/relationships/hyperlink" Target="https://www.legislation.gov.au/Series/F2015L00249" TargetMode="External"/><Relationship Id="rId37" Type="http://schemas.openxmlformats.org/officeDocument/2006/relationships/hyperlink" Target="https://www.legislation.gov.au/Series/C2004A02796" TargetMode="External"/><Relationship Id="rId40" Type="http://schemas.openxmlformats.org/officeDocument/2006/relationships/hyperlink" Target="https://www.legislation.gov.au/Series/C2022A00011" TargetMode="External"/><Relationship Id="rId45" Type="http://schemas.openxmlformats.org/officeDocument/2006/relationships/hyperlink" Target="http://mailchimp.com/legal/privacy/" TargetMode="External"/><Relationship Id="rId53" Type="http://schemas.openxmlformats.org/officeDocument/2006/relationships/hyperlink" Target="https://www.surveymanager.com.au/our-survey-software/data-security/" TargetMode="External"/><Relationship Id="rId58" Type="http://schemas.openxmlformats.org/officeDocument/2006/relationships/hyperlink" Target="mailto:enquiries@oaic.gov.au"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dewr.gov.au/using-site/privacy" TargetMode="External"/><Relationship Id="rId19" Type="http://schemas.openxmlformats.org/officeDocument/2006/relationships/hyperlink" Target="https://www.legislation.gov.au/Series/C2004A03712" TargetMode="External"/><Relationship Id="rId14" Type="http://schemas.openxmlformats.org/officeDocument/2006/relationships/hyperlink" Target="http://creativecommons.org/licenses/by/3.0/au/legalcode" TargetMode="External"/><Relationship Id="rId22" Type="http://schemas.openxmlformats.org/officeDocument/2006/relationships/hyperlink" Target="http://www.legislation.gov.au/Series/C2011A00012" TargetMode="External"/><Relationship Id="rId27" Type="http://schemas.openxmlformats.org/officeDocument/2006/relationships/hyperlink" Target="http://www.legislation.gov.au/Series/C1914A00012" TargetMode="External"/><Relationship Id="rId30" Type="http://schemas.openxmlformats.org/officeDocument/2006/relationships/hyperlink" Target="https://www.legislation.gov.au/Series/C1936A00027" TargetMode="External"/><Relationship Id="rId35" Type="http://schemas.openxmlformats.org/officeDocument/2006/relationships/hyperlink" Target="https://oaic.gov.au/privacy-law/privacy-act/tax-file-numbers" TargetMode="External"/><Relationship Id="rId43" Type="http://schemas.openxmlformats.org/officeDocument/2006/relationships/hyperlink" Target="http://mailchimp.com/legal/privacy/" TargetMode="External"/><Relationship Id="rId48" Type="http://schemas.openxmlformats.org/officeDocument/2006/relationships/hyperlink" Target="https://tools.google.com/dlpage/gaoptout" TargetMode="External"/><Relationship Id="rId56" Type="http://schemas.openxmlformats.org/officeDocument/2006/relationships/hyperlink" Target="mailto:FOI@dewr.gov.au" TargetMode="External"/><Relationship Id="rId64" Type="http://schemas.openxmlformats.org/officeDocument/2006/relationships/hyperlink" Target="mailto:privacy@dewr.gov.au" TargetMode="External"/><Relationship Id="rId8" Type="http://schemas.openxmlformats.org/officeDocument/2006/relationships/image" Target="media/image1.png"/><Relationship Id="rId51" Type="http://schemas.openxmlformats.org/officeDocument/2006/relationships/hyperlink" Target="https://www.qualtrics.com/privacy-statement/" TargetMode="External"/><Relationship Id="rId3" Type="http://schemas.openxmlformats.org/officeDocument/2006/relationships/styles" Target="styles.xml"/><Relationship Id="rId12" Type="http://schemas.openxmlformats.org/officeDocument/2006/relationships/image" Target="cid:image001.png@01CC5B5E.C6C84990" TargetMode="External"/><Relationship Id="rId17" Type="http://schemas.openxmlformats.org/officeDocument/2006/relationships/hyperlink" Target="https://www.dewr.gov.au/using-site/privacy" TargetMode="External"/><Relationship Id="rId25" Type="http://schemas.openxmlformats.org/officeDocument/2006/relationships/hyperlink" Target="https://www.legislation.gov.au/Series/C2014A00081" TargetMode="External"/><Relationship Id="rId33" Type="http://schemas.openxmlformats.org/officeDocument/2006/relationships/hyperlink" Target="https://www.legislation.gov.au/Series/C1953A00001" TargetMode="External"/><Relationship Id="rId38" Type="http://schemas.openxmlformats.org/officeDocument/2006/relationships/hyperlink" Target="https://www.protectivesecurity.gov.au/policies" TargetMode="External"/><Relationship Id="rId46" Type="http://schemas.openxmlformats.org/officeDocument/2006/relationships/hyperlink" Target="http://mailchimp.com/legal/terms/" TargetMode="External"/><Relationship Id="rId59" Type="http://schemas.openxmlformats.org/officeDocument/2006/relationships/hyperlink" Target="https://forms.ombudsman.gov.au/prod?entitytype=Approach&amp;layoutcode=ApproachWebForm" TargetMode="External"/><Relationship Id="rId67" Type="http://schemas.openxmlformats.org/officeDocument/2006/relationships/fontTable" Target="fontTable.xml"/><Relationship Id="rId20" Type="http://schemas.openxmlformats.org/officeDocument/2006/relationships/hyperlink" Target="http://www.oaic.gov.au/" TargetMode="External"/><Relationship Id="rId41" Type="http://schemas.openxmlformats.org/officeDocument/2006/relationships/hyperlink" Target="https://www.sdo.gov.au/" TargetMode="External"/><Relationship Id="rId54" Type="http://schemas.openxmlformats.org/officeDocument/2006/relationships/hyperlink" Target="https://www.oaic.gov.au/agencies-and-organisations/guides/data-breach-preparation-and-response" TargetMode="External"/><Relationship Id="rId62" Type="http://schemas.openxmlformats.org/officeDocument/2006/relationships/hyperlink" Target="https://www.dewr.gov.au/about-department/resources/dewr-privacy-complaints-handling-procedur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www.legislation.gov.au/Series/C2004A00580" TargetMode="External"/><Relationship Id="rId28" Type="http://schemas.openxmlformats.org/officeDocument/2006/relationships/hyperlink" Target="https://www.dewr.gov.au/about-department/resources/dewr-collection-personal-information" TargetMode="External"/><Relationship Id="rId36" Type="http://schemas.openxmlformats.org/officeDocument/2006/relationships/hyperlink" Target="https://www.legislation.gov.au/Series/F2015L00249" TargetMode="External"/><Relationship Id="rId49" Type="http://schemas.openxmlformats.org/officeDocument/2006/relationships/hyperlink" Target="http://www.staysmartonline.gov.au/" TargetMode="External"/><Relationship Id="rId57" Type="http://schemas.openxmlformats.org/officeDocument/2006/relationships/hyperlink" Target="https://www.dewr.gov.au/about-department/resources/dewr-guide-accessing-and-correcting-personal-information" TargetMode="External"/><Relationship Id="rId10" Type="http://schemas.openxmlformats.org/officeDocument/2006/relationships/image" Target="media/image3.svg"/><Relationship Id="rId31" Type="http://schemas.openxmlformats.org/officeDocument/2006/relationships/hyperlink" Target="https://www.legislation.gov.au/Series/C1953A00001" TargetMode="External"/><Relationship Id="rId44" Type="http://schemas.openxmlformats.org/officeDocument/2006/relationships/hyperlink" Target="http://mailchimp.com/contact/" TargetMode="External"/><Relationship Id="rId52" Type="http://schemas.openxmlformats.org/officeDocument/2006/relationships/hyperlink" Target="https://converlens.com/privacy" TargetMode="External"/><Relationship Id="rId60" Type="http://schemas.openxmlformats.org/officeDocument/2006/relationships/hyperlink" Target="https://www.legislation.gov.au/Series/F2017L01396"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creativecommons.org/licenses/by/3.0/au/" TargetMode="External"/><Relationship Id="rId18" Type="http://schemas.openxmlformats.org/officeDocument/2006/relationships/hyperlink" Target="https://www.dewr.gov.au/about-department/resources/dewr-collection-personal-information" TargetMode="External"/><Relationship Id="rId39" Type="http://schemas.openxmlformats.org/officeDocument/2006/relationships/hyperlink" Target="https://www.cyber.gov.au/ism"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dewr.gov.au/about-department/resources/dewr-collection-personal-information" TargetMode="External"/><Relationship Id="rId18" Type="http://schemas.openxmlformats.org/officeDocument/2006/relationships/hyperlink" Target="http://www.legislation.gov.au/Series/C1953A00001" TargetMode="External"/><Relationship Id="rId26" Type="http://schemas.openxmlformats.org/officeDocument/2006/relationships/hyperlink" Target="http://www.cyber.gov.au/ism" TargetMode="External"/><Relationship Id="rId39" Type="http://schemas.openxmlformats.org/officeDocument/2006/relationships/hyperlink" Target="file:///C:\Users\FE2525\AppData\Local\Microsoft\Windows\INetCache\Content.Outlook\95LAUSQI\www.swiftdigital.com.au\privacy-policy\" TargetMode="External"/><Relationship Id="rId21" Type="http://schemas.openxmlformats.org/officeDocument/2006/relationships/hyperlink" Target="http://www.legislation.gov.au/Series/F2015L00249" TargetMode="External"/><Relationship Id="rId34" Type="http://schemas.openxmlformats.org/officeDocument/2006/relationships/hyperlink" Target="http://www.mailchimp.com/legal/privacy" TargetMode="External"/><Relationship Id="rId42" Type="http://schemas.openxmlformats.org/officeDocument/2006/relationships/hyperlink" Target="http://www.surveymanager.com.au/our-survey-software/data-security/" TargetMode="External"/><Relationship Id="rId47" Type="http://schemas.openxmlformats.org/officeDocument/2006/relationships/hyperlink" Target="http://www.legislation.gov.au/Series/F2017L01396" TargetMode="External"/><Relationship Id="rId7" Type="http://schemas.openxmlformats.org/officeDocument/2006/relationships/hyperlink" Target="http://www.legislation.gov.au/Series/C2011A00012" TargetMode="External"/><Relationship Id="rId2" Type="http://schemas.openxmlformats.org/officeDocument/2006/relationships/hyperlink" Target="https://www.dewr.gov.au/using-site/privacy" TargetMode="External"/><Relationship Id="rId16" Type="http://schemas.openxmlformats.org/officeDocument/2006/relationships/hyperlink" Target="http://www.legislation.gov.au/Series/C1953A00001" TargetMode="External"/><Relationship Id="rId29" Type="http://schemas.openxmlformats.org/officeDocument/2006/relationships/hyperlink" Target="http://www.servicesaustralia.gov.au/digital-identity-interim-oversight-authority-privacy-notice" TargetMode="External"/><Relationship Id="rId11" Type="http://schemas.openxmlformats.org/officeDocument/2006/relationships/hyperlink" Target="http://www.legislation.gov.au/Series/C2016A00098" TargetMode="External"/><Relationship Id="rId24" Type="http://schemas.openxmlformats.org/officeDocument/2006/relationships/hyperlink" Target="http://www.legislation.gov.au/Series/C2004A02796" TargetMode="External"/><Relationship Id="rId32" Type="http://schemas.openxmlformats.org/officeDocument/2006/relationships/hyperlink" Target="http://www.mailchimp.com/legal/privacy" TargetMode="External"/><Relationship Id="rId37" Type="http://schemas.openxmlformats.org/officeDocument/2006/relationships/hyperlink" Target="https://tools.google.com/dlpage/gaoptout" TargetMode="External"/><Relationship Id="rId40" Type="http://schemas.openxmlformats.org/officeDocument/2006/relationships/hyperlink" Target="file:///C:\Users\FE2525\AppData\Local\Microsoft\Windows\INetCache\Content.Outlook\95LAUSQI\www.qualtrics.com\privacy-statement\" TargetMode="External"/><Relationship Id="rId45" Type="http://schemas.openxmlformats.org/officeDocument/2006/relationships/hyperlink" Target="https://www.dewr.gov.au/about-department/resources/dewr-guide-accessing-and-correcting-personal-information" TargetMode="External"/><Relationship Id="rId5" Type="http://schemas.openxmlformats.org/officeDocument/2006/relationships/hyperlink" Target="http://www.oaic.gov.au" TargetMode="External"/><Relationship Id="rId15" Type="http://schemas.openxmlformats.org/officeDocument/2006/relationships/hyperlink" Target="http://www.legislation.gov.au/Series/C1936A00027" TargetMode="External"/><Relationship Id="rId23" Type="http://schemas.openxmlformats.org/officeDocument/2006/relationships/hyperlink" Target="https://www.legislation.gov.au/Details/C2022C00361/Html/Text" TargetMode="External"/><Relationship Id="rId28" Type="http://schemas.openxmlformats.org/officeDocument/2006/relationships/hyperlink" Target="http://www.sdo.gov.au/" TargetMode="External"/><Relationship Id="rId36" Type="http://schemas.openxmlformats.org/officeDocument/2006/relationships/hyperlink" Target="http://www.slido.com/terms?experience_id=10-z&amp;utm_campaign=_10-z&amp;utm_source=www.slido.com-_ab" TargetMode="External"/><Relationship Id="rId49" Type="http://schemas.openxmlformats.org/officeDocument/2006/relationships/hyperlink" Target="https://www.dewr.gov.au/about-department/resources/dewr-privacy-complaints-handling-procedures" TargetMode="External"/><Relationship Id="rId10" Type="http://schemas.openxmlformats.org/officeDocument/2006/relationships/hyperlink" Target="http://www.legislation.gov.au/Series/C2014A00081" TargetMode="External"/><Relationship Id="rId19" Type="http://schemas.openxmlformats.org/officeDocument/2006/relationships/hyperlink" Target="http://www.legislation.gov.au/Series/C2004A00580" TargetMode="External"/><Relationship Id="rId31" Type="http://schemas.openxmlformats.org/officeDocument/2006/relationships/hyperlink" Target="https://www.legislation.gov.au/Details/C2022C00361/Html/Text" TargetMode="External"/><Relationship Id="rId44" Type="http://schemas.openxmlformats.org/officeDocument/2006/relationships/hyperlink" Target="https://www.dewr.gov.au/about-us/corporate-reporting/freedom-information-foi/foi-disclosure-log/how-make-freedom-information-foi-request" TargetMode="External"/><Relationship Id="rId4" Type="http://schemas.openxmlformats.org/officeDocument/2006/relationships/hyperlink" Target="https://www.legislation.gov.au/Series/C2004A03712" TargetMode="External"/><Relationship Id="rId9" Type="http://schemas.openxmlformats.org/officeDocument/2006/relationships/hyperlink" Target="http://www.legislation.gov.au/Series/C2014A00036" TargetMode="External"/><Relationship Id="rId14" Type="http://schemas.openxmlformats.org/officeDocument/2006/relationships/hyperlink" Target="http://www.legislation.gov.au/Series/C2004A02562" TargetMode="External"/><Relationship Id="rId22" Type="http://schemas.openxmlformats.org/officeDocument/2006/relationships/hyperlink" Target="https://www.legislation.gov.au/Details/C2022C00361/Html/Text" TargetMode="External"/><Relationship Id="rId27" Type="http://schemas.openxmlformats.org/officeDocument/2006/relationships/hyperlink" Target="http://www.legislation.gov.au/Series/C2022A00011" TargetMode="External"/><Relationship Id="rId30" Type="http://schemas.openxmlformats.org/officeDocument/2006/relationships/hyperlink" Target="https://www.legislation.gov.au/Details/C2022C00361/Html/Text" TargetMode="External"/><Relationship Id="rId35" Type="http://schemas.openxmlformats.org/officeDocument/2006/relationships/hyperlink" Target="http://www.mailchimp.com/legal/terms/" TargetMode="External"/><Relationship Id="rId43" Type="http://schemas.openxmlformats.org/officeDocument/2006/relationships/hyperlink" Target="http://www.oaic.gov.au/agencies-and-organisations/guides/data-breach-preparation-and-response" TargetMode="External"/><Relationship Id="rId48" Type="http://schemas.openxmlformats.org/officeDocument/2006/relationships/hyperlink" Target="https://www.dewr.gov.au/using-site/privacy" TargetMode="External"/><Relationship Id="rId8" Type="http://schemas.openxmlformats.org/officeDocument/2006/relationships/hyperlink" Target="http://www.legislation.gov.au/Series/C2004A00580" TargetMode="External"/><Relationship Id="rId3" Type="http://schemas.openxmlformats.org/officeDocument/2006/relationships/hyperlink" Target="https://www.dewr.gov.au/about-department/resources/dewr-collection-personal-information" TargetMode="External"/><Relationship Id="rId12" Type="http://schemas.openxmlformats.org/officeDocument/2006/relationships/hyperlink" Target="http://www.legislation.gov.au/Series/C1914A00012" TargetMode="External"/><Relationship Id="rId17" Type="http://schemas.openxmlformats.org/officeDocument/2006/relationships/hyperlink" Target="http://www.legislation.gov.au/Series/F2015L00249" TargetMode="External"/><Relationship Id="rId25" Type="http://schemas.openxmlformats.org/officeDocument/2006/relationships/hyperlink" Target="http://www.protectivesecurity.gov.au/policies" TargetMode="External"/><Relationship Id="rId33" Type="http://schemas.openxmlformats.org/officeDocument/2006/relationships/hyperlink" Target="http://www.mailchimp.com/contact" TargetMode="External"/><Relationship Id="rId38" Type="http://schemas.openxmlformats.org/officeDocument/2006/relationships/hyperlink" Target="http://www.cyber.gov.au/" TargetMode="External"/><Relationship Id="rId46" Type="http://schemas.openxmlformats.org/officeDocument/2006/relationships/hyperlink" Target="https://forms.ombudsman.gov.au/prod?entitytype=Approach&amp;layoutcode=ApproachWebForm" TargetMode="External"/><Relationship Id="rId20" Type="http://schemas.openxmlformats.org/officeDocument/2006/relationships/hyperlink" Target="http://www.oaic.gov.au/privacy-law/privacy-act/tax-file-numbers" TargetMode="External"/><Relationship Id="rId41" Type="http://schemas.openxmlformats.org/officeDocument/2006/relationships/hyperlink" Target="https://converlens.com/" TargetMode="External"/><Relationship Id="rId1" Type="http://schemas.openxmlformats.org/officeDocument/2006/relationships/hyperlink" Target="https://www.dewr.gov.au/" TargetMode="External"/><Relationship Id="rId6" Type="http://schemas.openxmlformats.org/officeDocument/2006/relationships/hyperlink" Target="http://www.legislation.gov.au/Series/C2012A00159"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9270</Words>
  <Characters>51634</Characters>
  <Application>Microsoft Office Word</Application>
  <DocSecurity>0</DocSecurity>
  <Lines>1122</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Employment and Workplace Relations Complete Privacy Policy</dc:title>
  <dc:subject/>
  <dc:creator/>
  <cp:keywords/>
  <dc:description/>
  <cp:lastModifiedBy/>
  <cp:revision>1</cp:revision>
  <dcterms:created xsi:type="dcterms:W3CDTF">2023-07-31T04:52:00Z</dcterms:created>
  <dcterms:modified xsi:type="dcterms:W3CDTF">2023-07-31T04:53:00Z</dcterms:modified>
</cp:coreProperties>
</file>