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6D" w:rsidRDefault="003D3227" w:rsidP="00AF636D">
      <w:pPr>
        <w:jc w:val="center"/>
        <w:rPr>
          <w:rFonts w:cs="Calibri"/>
          <w:b/>
          <w:sz w:val="52"/>
          <w:szCs w:val="52"/>
        </w:rPr>
      </w:pPr>
      <w:bookmarkStart w:id="0" w:name="_GoBack"/>
      <w:bookmarkEnd w:id="0"/>
      <w:r>
        <w:rPr>
          <w:rFonts w:cs="Calibri"/>
          <w:b/>
          <w:sz w:val="52"/>
          <w:szCs w:val="52"/>
        </w:rPr>
        <w:t xml:space="preserve"> </w:t>
      </w:r>
      <w:r w:rsidR="004C52B6">
        <w:rPr>
          <w:rFonts w:cs="Calibri"/>
          <w:b/>
          <w:sz w:val="52"/>
          <w:szCs w:val="52"/>
        </w:rPr>
        <w:t xml:space="preserve"> </w:t>
      </w:r>
    </w:p>
    <w:p w:rsidR="00AF636D" w:rsidRDefault="00D064A2" w:rsidP="00D064A2">
      <w:pPr>
        <w:rPr>
          <w:rFonts w:cs="Calibri"/>
          <w:b/>
          <w:sz w:val="52"/>
          <w:szCs w:val="52"/>
        </w:rPr>
      </w:pPr>
      <w:r w:rsidRPr="003B359D">
        <w:rPr>
          <w:noProof/>
          <w:lang w:eastAsia="en-AU"/>
        </w:rPr>
        <w:drawing>
          <wp:inline distT="0" distB="0" distL="0" distR="0">
            <wp:extent cx="2880360" cy="560832"/>
            <wp:effectExtent l="0" t="0" r="0" b="0"/>
            <wp:docPr id="1" name="Picture 1" descr="Australian Government Department of Education and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 Education and Training_Inli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360" cy="560832"/>
                    </a:xfrm>
                    <a:prstGeom prst="rect">
                      <a:avLst/>
                    </a:prstGeom>
                  </pic:spPr>
                </pic:pic>
              </a:graphicData>
            </a:graphic>
          </wp:inline>
        </w:drawing>
      </w:r>
    </w:p>
    <w:p w:rsidR="00D064A2" w:rsidRDefault="00596B5A" w:rsidP="00596B5A">
      <w:pPr>
        <w:tabs>
          <w:tab w:val="left" w:pos="1915"/>
        </w:tabs>
        <w:rPr>
          <w:rFonts w:cs="Calibri"/>
          <w:b/>
          <w:sz w:val="52"/>
          <w:szCs w:val="52"/>
        </w:rPr>
      </w:pPr>
      <w:r>
        <w:rPr>
          <w:rFonts w:cs="Calibri"/>
          <w:b/>
          <w:sz w:val="52"/>
          <w:szCs w:val="52"/>
        </w:rPr>
        <w:tab/>
      </w:r>
    </w:p>
    <w:p w:rsidR="00AF636D" w:rsidRPr="008C1D38" w:rsidRDefault="00352705" w:rsidP="00AF636D">
      <w:pPr>
        <w:jc w:val="center"/>
        <w:rPr>
          <w:rFonts w:cs="Calibri"/>
          <w:b/>
          <w:sz w:val="52"/>
          <w:szCs w:val="52"/>
        </w:rPr>
      </w:pPr>
      <w:r>
        <w:rPr>
          <w:rFonts w:cs="Calibri"/>
          <w:b/>
          <w:sz w:val="52"/>
          <w:szCs w:val="52"/>
        </w:rPr>
        <w:t>Industry Specialist Mentoring for Australian Apprentices</w:t>
      </w:r>
    </w:p>
    <w:p w:rsidR="00AF636D" w:rsidRDefault="00AF636D" w:rsidP="00AF636D">
      <w:pPr>
        <w:jc w:val="center"/>
        <w:rPr>
          <w:rFonts w:cs="Calibri"/>
          <w:b/>
          <w:sz w:val="52"/>
          <w:szCs w:val="52"/>
        </w:rPr>
      </w:pPr>
    </w:p>
    <w:p w:rsidR="00352705" w:rsidRPr="008C1D38" w:rsidRDefault="00446315" w:rsidP="00AF636D">
      <w:pPr>
        <w:jc w:val="center"/>
        <w:rPr>
          <w:rFonts w:cs="Calibri"/>
          <w:b/>
          <w:sz w:val="52"/>
          <w:szCs w:val="52"/>
        </w:rPr>
      </w:pPr>
      <w:r>
        <w:rPr>
          <w:rFonts w:cs="Calibri"/>
          <w:b/>
          <w:sz w:val="52"/>
          <w:szCs w:val="52"/>
        </w:rPr>
        <w:t>P</w:t>
      </w:r>
      <w:r w:rsidR="00471CF3">
        <w:rPr>
          <w:rFonts w:cs="Calibri"/>
          <w:b/>
          <w:sz w:val="52"/>
          <w:szCs w:val="52"/>
        </w:rPr>
        <w:t>rogram</w:t>
      </w:r>
      <w:r w:rsidR="00352705">
        <w:rPr>
          <w:rFonts w:cs="Calibri"/>
          <w:b/>
          <w:sz w:val="52"/>
          <w:szCs w:val="52"/>
        </w:rPr>
        <w:t xml:space="preserve"> Guidelines</w:t>
      </w:r>
    </w:p>
    <w:p w:rsidR="00AF636D" w:rsidRPr="008C1D38" w:rsidRDefault="00AF636D" w:rsidP="00AF636D">
      <w:pPr>
        <w:jc w:val="center"/>
        <w:rPr>
          <w:rFonts w:cs="Calibri"/>
          <w:b/>
          <w:sz w:val="52"/>
          <w:szCs w:val="52"/>
        </w:rPr>
      </w:pPr>
    </w:p>
    <w:p w:rsidR="00AF636D" w:rsidRPr="008C1D38" w:rsidRDefault="00AF636D" w:rsidP="00AF636D">
      <w:pPr>
        <w:jc w:val="center"/>
        <w:rPr>
          <w:rFonts w:cs="Calibri"/>
          <w:b/>
          <w:sz w:val="52"/>
          <w:szCs w:val="52"/>
        </w:rPr>
      </w:pPr>
      <w:r w:rsidRPr="008C1D38">
        <w:rPr>
          <w:rFonts w:cs="Calibri"/>
          <w:b/>
          <w:sz w:val="52"/>
          <w:szCs w:val="52"/>
        </w:rPr>
        <w:t>For the Contract Period</w:t>
      </w:r>
    </w:p>
    <w:p w:rsidR="00AF636D" w:rsidRPr="008C1D38" w:rsidRDefault="0079665D" w:rsidP="00AF636D">
      <w:pPr>
        <w:jc w:val="center"/>
        <w:rPr>
          <w:rFonts w:cs="Calibri"/>
          <w:b/>
          <w:sz w:val="52"/>
          <w:szCs w:val="52"/>
        </w:rPr>
      </w:pPr>
      <w:r>
        <w:rPr>
          <w:rFonts w:cs="Calibri"/>
          <w:b/>
          <w:sz w:val="52"/>
          <w:szCs w:val="52"/>
        </w:rPr>
        <w:t>01 January</w:t>
      </w:r>
      <w:r w:rsidR="008F2794">
        <w:rPr>
          <w:rFonts w:cs="Calibri"/>
          <w:b/>
          <w:sz w:val="52"/>
          <w:szCs w:val="52"/>
        </w:rPr>
        <w:t xml:space="preserve"> </w:t>
      </w:r>
      <w:r w:rsidR="00AF636D" w:rsidRPr="008C1D38">
        <w:rPr>
          <w:rFonts w:cs="Calibri"/>
          <w:b/>
          <w:sz w:val="52"/>
          <w:szCs w:val="52"/>
        </w:rPr>
        <w:t>201</w:t>
      </w:r>
      <w:r>
        <w:rPr>
          <w:rFonts w:cs="Calibri"/>
          <w:b/>
          <w:sz w:val="52"/>
          <w:szCs w:val="52"/>
        </w:rPr>
        <w:t>8</w:t>
      </w:r>
      <w:r w:rsidR="00AF636D" w:rsidRPr="008C1D38">
        <w:rPr>
          <w:rFonts w:cs="Calibri"/>
          <w:b/>
          <w:sz w:val="52"/>
          <w:szCs w:val="52"/>
        </w:rPr>
        <w:t xml:space="preserve"> to </w:t>
      </w:r>
      <w:r w:rsidR="005F2ADC">
        <w:rPr>
          <w:rFonts w:cs="Calibri"/>
          <w:b/>
          <w:sz w:val="52"/>
          <w:szCs w:val="52"/>
        </w:rPr>
        <w:t>31 December</w:t>
      </w:r>
      <w:r w:rsidR="00AF636D" w:rsidRPr="008C1D38">
        <w:rPr>
          <w:rFonts w:cs="Calibri"/>
          <w:b/>
          <w:sz w:val="52"/>
          <w:szCs w:val="52"/>
        </w:rPr>
        <w:t xml:space="preserve"> 201</w:t>
      </w:r>
      <w:r w:rsidR="00352705">
        <w:rPr>
          <w:rFonts w:cs="Calibri"/>
          <w:b/>
          <w:sz w:val="52"/>
          <w:szCs w:val="52"/>
        </w:rPr>
        <w:t>9</w:t>
      </w:r>
    </w:p>
    <w:p w:rsidR="000A119E" w:rsidRPr="008C1D38" w:rsidRDefault="000A119E" w:rsidP="00AF636D">
      <w:pPr>
        <w:jc w:val="center"/>
        <w:rPr>
          <w:rFonts w:cs="Calibri"/>
          <w:b/>
          <w:sz w:val="52"/>
          <w:szCs w:val="52"/>
        </w:rPr>
      </w:pPr>
    </w:p>
    <w:p w:rsidR="00AF636D" w:rsidRPr="008C1D38" w:rsidRDefault="00AF636D" w:rsidP="00AF636D">
      <w:pPr>
        <w:jc w:val="center"/>
        <w:rPr>
          <w:rFonts w:cs="Calibri"/>
          <w:b/>
          <w:sz w:val="52"/>
          <w:szCs w:val="52"/>
        </w:rPr>
      </w:pPr>
    </w:p>
    <w:p w:rsidR="00AF636D" w:rsidRPr="00362709" w:rsidRDefault="00AF636D" w:rsidP="00AF636D">
      <w:pPr>
        <w:jc w:val="center"/>
        <w:rPr>
          <w:b/>
          <w:sz w:val="52"/>
          <w:szCs w:val="52"/>
        </w:rPr>
      </w:pPr>
      <w:r w:rsidRPr="00362709">
        <w:rPr>
          <w:b/>
          <w:sz w:val="52"/>
          <w:szCs w:val="52"/>
        </w:rPr>
        <w:t>Issue Date:</w:t>
      </w:r>
      <w:r>
        <w:rPr>
          <w:b/>
          <w:sz w:val="52"/>
          <w:szCs w:val="52"/>
        </w:rPr>
        <w:t xml:space="preserve"> </w:t>
      </w:r>
      <w:r w:rsidR="0079665D">
        <w:rPr>
          <w:b/>
          <w:sz w:val="52"/>
          <w:szCs w:val="52"/>
        </w:rPr>
        <w:t>0</w:t>
      </w:r>
      <w:r w:rsidR="0079665D">
        <w:rPr>
          <w:rFonts w:cs="Calibri"/>
          <w:b/>
          <w:sz w:val="52"/>
          <w:szCs w:val="52"/>
        </w:rPr>
        <w:t xml:space="preserve">1 January </w:t>
      </w:r>
      <w:r w:rsidR="0079665D" w:rsidRPr="008C1D38">
        <w:rPr>
          <w:rFonts w:cs="Calibri"/>
          <w:b/>
          <w:sz w:val="52"/>
          <w:szCs w:val="52"/>
        </w:rPr>
        <w:t>201</w:t>
      </w:r>
      <w:r w:rsidR="0079665D">
        <w:rPr>
          <w:rFonts w:cs="Calibri"/>
          <w:b/>
          <w:sz w:val="52"/>
          <w:szCs w:val="52"/>
        </w:rPr>
        <w:t>8</w:t>
      </w:r>
    </w:p>
    <w:p w:rsidR="00AF636D" w:rsidRDefault="00AF636D" w:rsidP="00945E0F">
      <w:pPr>
        <w:pStyle w:val="TOC2"/>
      </w:pPr>
      <w:r>
        <w:br w:type="page"/>
      </w:r>
    </w:p>
    <w:p w:rsidR="004A14E0" w:rsidRDefault="004A14E0" w:rsidP="003A34E6">
      <w:pPr>
        <w:pStyle w:val="TOC2"/>
        <w:jc w:val="right"/>
      </w:pPr>
    </w:p>
    <w:p w:rsidR="004A14E0" w:rsidRPr="00945E0F" w:rsidRDefault="004A14E0" w:rsidP="00945E0F">
      <w:pPr>
        <w:pStyle w:val="TOC2"/>
      </w:pPr>
      <w:r w:rsidRPr="00945E0F">
        <w:t>TABLE OF CONTENTS</w:t>
      </w:r>
    </w:p>
    <w:p w:rsidR="00725C21" w:rsidRDefault="00E12F91">
      <w:pPr>
        <w:pStyle w:val="TOC1"/>
        <w:rPr>
          <w:rFonts w:asciiTheme="minorHAnsi" w:eastAsiaTheme="minorEastAsia" w:hAnsiTheme="minorHAnsi" w:cstheme="minorBidi"/>
          <w:b w:val="0"/>
          <w:bCs w:val="0"/>
          <w:caps w:val="0"/>
        </w:rPr>
      </w:pPr>
      <w:r w:rsidRPr="007C259A">
        <w:fldChar w:fldCharType="begin"/>
      </w:r>
      <w:r w:rsidR="004B203E" w:rsidRPr="007C259A">
        <w:instrText xml:space="preserve"> TOC \o "1-2" \h \z \t "H1 AASSOGS,1,H2 AASSOGS,2" </w:instrText>
      </w:r>
      <w:r w:rsidRPr="007C259A">
        <w:fldChar w:fldCharType="separate"/>
      </w:r>
      <w:hyperlink w:anchor="_Toc490735661" w:history="1">
        <w:r w:rsidR="00725C21" w:rsidRPr="00DF6019">
          <w:rPr>
            <w:rStyle w:val="Hyperlink"/>
          </w:rPr>
          <w:t>1</w:t>
        </w:r>
        <w:r w:rsidR="00725C21">
          <w:rPr>
            <w:rFonts w:asciiTheme="minorHAnsi" w:eastAsiaTheme="minorEastAsia" w:hAnsiTheme="minorHAnsi" w:cstheme="minorBidi"/>
            <w:b w:val="0"/>
            <w:bCs w:val="0"/>
            <w:caps w:val="0"/>
          </w:rPr>
          <w:tab/>
        </w:r>
        <w:r w:rsidR="00725C21" w:rsidRPr="00DF6019">
          <w:rPr>
            <w:rStyle w:val="Hyperlink"/>
          </w:rPr>
          <w:t>Definition of Terms</w:t>
        </w:r>
        <w:r w:rsidR="00725C21">
          <w:rPr>
            <w:webHidden/>
          </w:rPr>
          <w:tab/>
        </w:r>
        <w:r w:rsidR="00725C21">
          <w:rPr>
            <w:webHidden/>
          </w:rPr>
          <w:fldChar w:fldCharType="begin"/>
        </w:r>
        <w:r w:rsidR="00725C21">
          <w:rPr>
            <w:webHidden/>
          </w:rPr>
          <w:instrText xml:space="preserve"> PAGEREF _Toc490735661 \h </w:instrText>
        </w:r>
        <w:r w:rsidR="00725C21">
          <w:rPr>
            <w:webHidden/>
          </w:rPr>
        </w:r>
        <w:r w:rsidR="00725C21">
          <w:rPr>
            <w:webHidden/>
          </w:rPr>
          <w:fldChar w:fldCharType="separate"/>
        </w:r>
        <w:r w:rsidR="0082765A">
          <w:rPr>
            <w:webHidden/>
          </w:rPr>
          <w:t>3</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62" w:history="1">
        <w:r w:rsidR="00725C21" w:rsidRPr="00DF6019">
          <w:rPr>
            <w:rStyle w:val="Hyperlink"/>
          </w:rPr>
          <w:t>2</w:t>
        </w:r>
        <w:r w:rsidR="00725C21">
          <w:rPr>
            <w:rFonts w:asciiTheme="minorHAnsi" w:eastAsiaTheme="minorEastAsia" w:hAnsiTheme="minorHAnsi" w:cstheme="minorBidi"/>
            <w:b w:val="0"/>
            <w:bCs w:val="0"/>
            <w:caps w:val="0"/>
          </w:rPr>
          <w:tab/>
        </w:r>
        <w:r w:rsidR="00725C21" w:rsidRPr="00DF6019">
          <w:rPr>
            <w:rStyle w:val="Hyperlink"/>
          </w:rPr>
          <w:t>Introduction and roles</w:t>
        </w:r>
        <w:r w:rsidR="00725C21">
          <w:rPr>
            <w:webHidden/>
          </w:rPr>
          <w:tab/>
        </w:r>
        <w:r w:rsidR="00725C21">
          <w:rPr>
            <w:webHidden/>
          </w:rPr>
          <w:fldChar w:fldCharType="begin"/>
        </w:r>
        <w:r w:rsidR="00725C21">
          <w:rPr>
            <w:webHidden/>
          </w:rPr>
          <w:instrText xml:space="preserve"> PAGEREF _Toc490735662 \h </w:instrText>
        </w:r>
        <w:r w:rsidR="00725C21">
          <w:rPr>
            <w:webHidden/>
          </w:rPr>
        </w:r>
        <w:r w:rsidR="00725C21">
          <w:rPr>
            <w:webHidden/>
          </w:rPr>
          <w:fldChar w:fldCharType="separate"/>
        </w:r>
        <w:r>
          <w:rPr>
            <w:webHidden/>
          </w:rPr>
          <w:t>5</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63" w:history="1">
        <w:r w:rsidR="00725C21" w:rsidRPr="00DF6019">
          <w:rPr>
            <w:rStyle w:val="Hyperlink"/>
          </w:rPr>
          <w:t>3</w:t>
        </w:r>
        <w:r w:rsidR="00725C21">
          <w:rPr>
            <w:rFonts w:asciiTheme="minorHAnsi" w:eastAsiaTheme="minorEastAsia" w:hAnsiTheme="minorHAnsi" w:cstheme="minorBidi"/>
            <w:b w:val="0"/>
            <w:bCs w:val="0"/>
            <w:caps w:val="0"/>
          </w:rPr>
          <w:tab/>
        </w:r>
        <w:r w:rsidR="00725C21" w:rsidRPr="00DF6019">
          <w:rPr>
            <w:rStyle w:val="Hyperlink"/>
          </w:rPr>
          <w:t>Services</w:t>
        </w:r>
        <w:r w:rsidR="00725C21">
          <w:rPr>
            <w:webHidden/>
          </w:rPr>
          <w:tab/>
        </w:r>
        <w:r w:rsidR="00725C21">
          <w:rPr>
            <w:webHidden/>
          </w:rPr>
          <w:fldChar w:fldCharType="begin"/>
        </w:r>
        <w:r w:rsidR="00725C21">
          <w:rPr>
            <w:webHidden/>
          </w:rPr>
          <w:instrText xml:space="preserve"> PAGEREF _Toc490735663 \h </w:instrText>
        </w:r>
        <w:r w:rsidR="00725C21">
          <w:rPr>
            <w:webHidden/>
          </w:rPr>
        </w:r>
        <w:r w:rsidR="00725C21">
          <w:rPr>
            <w:webHidden/>
          </w:rPr>
          <w:fldChar w:fldCharType="separate"/>
        </w:r>
        <w:r>
          <w:rPr>
            <w:webHidden/>
          </w:rPr>
          <w:t>7</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64" w:history="1">
        <w:r w:rsidR="00725C21" w:rsidRPr="00DF6019">
          <w:rPr>
            <w:rStyle w:val="Hyperlink"/>
          </w:rPr>
          <w:t>4</w:t>
        </w:r>
        <w:r w:rsidR="00725C21">
          <w:rPr>
            <w:rFonts w:asciiTheme="minorHAnsi" w:eastAsiaTheme="minorEastAsia" w:hAnsiTheme="minorHAnsi" w:cstheme="minorBidi"/>
            <w:b w:val="0"/>
            <w:bCs w:val="0"/>
            <w:caps w:val="0"/>
          </w:rPr>
          <w:tab/>
        </w:r>
        <w:r w:rsidR="00725C21" w:rsidRPr="00DF6019">
          <w:rPr>
            <w:rStyle w:val="Hyperlink"/>
          </w:rPr>
          <w:t>Servicing Post 30 June 2019</w:t>
        </w:r>
        <w:r w:rsidR="00725C21">
          <w:rPr>
            <w:webHidden/>
          </w:rPr>
          <w:tab/>
        </w:r>
        <w:r w:rsidR="00725C21">
          <w:rPr>
            <w:webHidden/>
          </w:rPr>
          <w:fldChar w:fldCharType="begin"/>
        </w:r>
        <w:r w:rsidR="00725C21">
          <w:rPr>
            <w:webHidden/>
          </w:rPr>
          <w:instrText xml:space="preserve"> PAGEREF _Toc490735664 \h </w:instrText>
        </w:r>
        <w:r w:rsidR="00725C21">
          <w:rPr>
            <w:webHidden/>
          </w:rPr>
        </w:r>
        <w:r w:rsidR="00725C21">
          <w:rPr>
            <w:webHidden/>
          </w:rPr>
          <w:fldChar w:fldCharType="separate"/>
        </w:r>
        <w:r>
          <w:rPr>
            <w:webHidden/>
          </w:rPr>
          <w:t>12</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65" w:history="1">
        <w:r w:rsidR="00725C21" w:rsidRPr="00DF6019">
          <w:rPr>
            <w:rStyle w:val="Hyperlink"/>
          </w:rPr>
          <w:t>5</w:t>
        </w:r>
        <w:r w:rsidR="00725C21">
          <w:rPr>
            <w:rFonts w:asciiTheme="minorHAnsi" w:eastAsiaTheme="minorEastAsia" w:hAnsiTheme="minorHAnsi" w:cstheme="minorBidi"/>
            <w:b w:val="0"/>
            <w:bCs w:val="0"/>
            <w:caps w:val="0"/>
          </w:rPr>
          <w:tab/>
        </w:r>
        <w:r w:rsidR="00725C21" w:rsidRPr="00DF6019">
          <w:rPr>
            <w:rStyle w:val="Hyperlink"/>
          </w:rPr>
          <w:t>Payments</w:t>
        </w:r>
        <w:r w:rsidR="00725C21">
          <w:rPr>
            <w:webHidden/>
          </w:rPr>
          <w:tab/>
        </w:r>
        <w:r w:rsidR="00725C21">
          <w:rPr>
            <w:webHidden/>
          </w:rPr>
          <w:fldChar w:fldCharType="begin"/>
        </w:r>
        <w:r w:rsidR="00725C21">
          <w:rPr>
            <w:webHidden/>
          </w:rPr>
          <w:instrText xml:space="preserve"> PAGEREF _Toc490735665 \h </w:instrText>
        </w:r>
        <w:r w:rsidR="00725C21">
          <w:rPr>
            <w:webHidden/>
          </w:rPr>
        </w:r>
        <w:r w:rsidR="00725C21">
          <w:rPr>
            <w:webHidden/>
          </w:rPr>
          <w:fldChar w:fldCharType="separate"/>
        </w:r>
        <w:r>
          <w:rPr>
            <w:webHidden/>
          </w:rPr>
          <w:t>13</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66" w:history="1">
        <w:r w:rsidR="00725C21" w:rsidRPr="00DF6019">
          <w:rPr>
            <w:rStyle w:val="Hyperlink"/>
          </w:rPr>
          <w:t>6</w:t>
        </w:r>
        <w:r w:rsidR="00725C21">
          <w:rPr>
            <w:rFonts w:asciiTheme="minorHAnsi" w:eastAsiaTheme="minorEastAsia" w:hAnsiTheme="minorHAnsi" w:cstheme="minorBidi"/>
            <w:b w:val="0"/>
            <w:bCs w:val="0"/>
            <w:caps w:val="0"/>
          </w:rPr>
          <w:tab/>
        </w:r>
        <w:r w:rsidR="00725C21" w:rsidRPr="00DF6019">
          <w:rPr>
            <w:rStyle w:val="Hyperlink"/>
          </w:rPr>
          <w:t>Reallocation of Places</w:t>
        </w:r>
        <w:r w:rsidR="00725C21">
          <w:rPr>
            <w:webHidden/>
          </w:rPr>
          <w:tab/>
        </w:r>
        <w:r w:rsidR="00725C21">
          <w:rPr>
            <w:webHidden/>
          </w:rPr>
          <w:fldChar w:fldCharType="begin"/>
        </w:r>
        <w:r w:rsidR="00725C21">
          <w:rPr>
            <w:webHidden/>
          </w:rPr>
          <w:instrText xml:space="preserve"> PAGEREF _Toc490735666 \h </w:instrText>
        </w:r>
        <w:r w:rsidR="00725C21">
          <w:rPr>
            <w:webHidden/>
          </w:rPr>
        </w:r>
        <w:r w:rsidR="00725C21">
          <w:rPr>
            <w:webHidden/>
          </w:rPr>
          <w:fldChar w:fldCharType="separate"/>
        </w:r>
        <w:r>
          <w:rPr>
            <w:webHidden/>
          </w:rPr>
          <w:t>15</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67" w:history="1">
        <w:r w:rsidR="00725C21" w:rsidRPr="00DF6019">
          <w:rPr>
            <w:rStyle w:val="Hyperlink"/>
          </w:rPr>
          <w:t>7</w:t>
        </w:r>
        <w:r w:rsidR="00725C21">
          <w:rPr>
            <w:rFonts w:asciiTheme="minorHAnsi" w:eastAsiaTheme="minorEastAsia" w:hAnsiTheme="minorHAnsi" w:cstheme="minorBidi"/>
            <w:b w:val="0"/>
            <w:bCs w:val="0"/>
            <w:caps w:val="0"/>
          </w:rPr>
          <w:tab/>
        </w:r>
        <w:r w:rsidR="00725C21" w:rsidRPr="00DF6019">
          <w:rPr>
            <w:rStyle w:val="Hyperlink"/>
          </w:rPr>
          <w:t>Performance Management Framework</w:t>
        </w:r>
        <w:r w:rsidR="00725C21">
          <w:rPr>
            <w:webHidden/>
          </w:rPr>
          <w:tab/>
        </w:r>
        <w:r w:rsidR="00725C21">
          <w:rPr>
            <w:webHidden/>
          </w:rPr>
          <w:fldChar w:fldCharType="begin"/>
        </w:r>
        <w:r w:rsidR="00725C21">
          <w:rPr>
            <w:webHidden/>
          </w:rPr>
          <w:instrText xml:space="preserve"> PAGEREF _Toc490735667 \h </w:instrText>
        </w:r>
        <w:r w:rsidR="00725C21">
          <w:rPr>
            <w:webHidden/>
          </w:rPr>
        </w:r>
        <w:r w:rsidR="00725C21">
          <w:rPr>
            <w:webHidden/>
          </w:rPr>
          <w:fldChar w:fldCharType="separate"/>
        </w:r>
        <w:r>
          <w:rPr>
            <w:webHidden/>
          </w:rPr>
          <w:t>16</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68" w:history="1">
        <w:r w:rsidR="00725C21" w:rsidRPr="00DF6019">
          <w:rPr>
            <w:rStyle w:val="Hyperlink"/>
          </w:rPr>
          <w:t>8</w:t>
        </w:r>
        <w:r w:rsidR="00725C21">
          <w:rPr>
            <w:rFonts w:asciiTheme="minorHAnsi" w:eastAsiaTheme="minorEastAsia" w:hAnsiTheme="minorHAnsi" w:cstheme="minorBidi"/>
            <w:b w:val="0"/>
            <w:bCs w:val="0"/>
            <w:caps w:val="0"/>
          </w:rPr>
          <w:tab/>
        </w:r>
        <w:r w:rsidR="00725C21" w:rsidRPr="00DF6019">
          <w:rPr>
            <w:rStyle w:val="Hyperlink"/>
          </w:rPr>
          <w:t>Stakeholder Engagement / Communications Strategy</w:t>
        </w:r>
        <w:r w:rsidR="00725C21">
          <w:rPr>
            <w:webHidden/>
          </w:rPr>
          <w:tab/>
        </w:r>
        <w:r w:rsidR="00725C21">
          <w:rPr>
            <w:webHidden/>
          </w:rPr>
          <w:fldChar w:fldCharType="begin"/>
        </w:r>
        <w:r w:rsidR="00725C21">
          <w:rPr>
            <w:webHidden/>
          </w:rPr>
          <w:instrText xml:space="preserve"> PAGEREF _Toc490735668 \h </w:instrText>
        </w:r>
        <w:r w:rsidR="00725C21">
          <w:rPr>
            <w:webHidden/>
          </w:rPr>
        </w:r>
        <w:r w:rsidR="00725C21">
          <w:rPr>
            <w:webHidden/>
          </w:rPr>
          <w:fldChar w:fldCharType="separate"/>
        </w:r>
        <w:r>
          <w:rPr>
            <w:webHidden/>
          </w:rPr>
          <w:t>20</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69" w:history="1">
        <w:r w:rsidR="00725C21" w:rsidRPr="00DF6019">
          <w:rPr>
            <w:rStyle w:val="Hyperlink"/>
          </w:rPr>
          <w:t>9</w:t>
        </w:r>
        <w:r w:rsidR="00725C21">
          <w:rPr>
            <w:rFonts w:asciiTheme="minorHAnsi" w:eastAsiaTheme="minorEastAsia" w:hAnsiTheme="minorHAnsi" w:cstheme="minorBidi"/>
            <w:b w:val="0"/>
            <w:bCs w:val="0"/>
            <w:caps w:val="0"/>
          </w:rPr>
          <w:tab/>
        </w:r>
        <w:r w:rsidR="00725C21" w:rsidRPr="00DF6019">
          <w:rPr>
            <w:rStyle w:val="Hyperlink"/>
          </w:rPr>
          <w:t>Marketing</w:t>
        </w:r>
        <w:r w:rsidR="00725C21">
          <w:rPr>
            <w:webHidden/>
          </w:rPr>
          <w:tab/>
        </w:r>
        <w:r w:rsidR="00725C21">
          <w:rPr>
            <w:webHidden/>
          </w:rPr>
          <w:fldChar w:fldCharType="begin"/>
        </w:r>
        <w:r w:rsidR="00725C21">
          <w:rPr>
            <w:webHidden/>
          </w:rPr>
          <w:instrText xml:space="preserve"> PAGEREF _Toc490735669 \h </w:instrText>
        </w:r>
        <w:r w:rsidR="00725C21">
          <w:rPr>
            <w:webHidden/>
          </w:rPr>
        </w:r>
        <w:r w:rsidR="00725C21">
          <w:rPr>
            <w:webHidden/>
          </w:rPr>
          <w:fldChar w:fldCharType="separate"/>
        </w:r>
        <w:r>
          <w:rPr>
            <w:webHidden/>
          </w:rPr>
          <w:t>22</w:t>
        </w:r>
        <w:r w:rsidR="00725C21">
          <w:rPr>
            <w:webHidden/>
          </w:rPr>
          <w:fldChar w:fldCharType="end"/>
        </w:r>
      </w:hyperlink>
    </w:p>
    <w:p w:rsidR="00725C21" w:rsidRDefault="0082765A">
      <w:pPr>
        <w:pStyle w:val="TOC1"/>
        <w:rPr>
          <w:rFonts w:asciiTheme="minorHAnsi" w:eastAsiaTheme="minorEastAsia" w:hAnsiTheme="minorHAnsi" w:cstheme="minorBidi"/>
          <w:b w:val="0"/>
          <w:bCs w:val="0"/>
          <w:caps w:val="0"/>
        </w:rPr>
      </w:pPr>
      <w:hyperlink w:anchor="_Toc490735670" w:history="1">
        <w:r w:rsidR="00725C21" w:rsidRPr="00DF6019">
          <w:rPr>
            <w:rStyle w:val="Hyperlink"/>
          </w:rPr>
          <w:t>10</w:t>
        </w:r>
        <w:r w:rsidR="00725C21">
          <w:rPr>
            <w:rFonts w:asciiTheme="minorHAnsi" w:eastAsiaTheme="minorEastAsia" w:hAnsiTheme="minorHAnsi" w:cstheme="minorBidi"/>
            <w:b w:val="0"/>
            <w:bCs w:val="0"/>
            <w:caps w:val="0"/>
          </w:rPr>
          <w:tab/>
        </w:r>
        <w:r w:rsidR="00725C21" w:rsidRPr="00DF6019">
          <w:rPr>
            <w:rStyle w:val="Hyperlink"/>
          </w:rPr>
          <w:t>Complaints Handling Process</w:t>
        </w:r>
        <w:r w:rsidR="00725C21">
          <w:rPr>
            <w:webHidden/>
          </w:rPr>
          <w:tab/>
        </w:r>
        <w:r w:rsidR="00725C21">
          <w:rPr>
            <w:webHidden/>
          </w:rPr>
          <w:fldChar w:fldCharType="begin"/>
        </w:r>
        <w:r w:rsidR="00725C21">
          <w:rPr>
            <w:webHidden/>
          </w:rPr>
          <w:instrText xml:space="preserve"> PAGEREF _Toc490735670 \h </w:instrText>
        </w:r>
        <w:r w:rsidR="00725C21">
          <w:rPr>
            <w:webHidden/>
          </w:rPr>
        </w:r>
        <w:r w:rsidR="00725C21">
          <w:rPr>
            <w:webHidden/>
          </w:rPr>
          <w:fldChar w:fldCharType="separate"/>
        </w:r>
        <w:r>
          <w:rPr>
            <w:webHidden/>
          </w:rPr>
          <w:t>22</w:t>
        </w:r>
        <w:r w:rsidR="00725C21">
          <w:rPr>
            <w:webHidden/>
          </w:rPr>
          <w:fldChar w:fldCharType="end"/>
        </w:r>
      </w:hyperlink>
    </w:p>
    <w:p w:rsidR="00635ACF" w:rsidRDefault="00E12F91" w:rsidP="0076023E">
      <w:pPr>
        <w:pStyle w:val="AASSOGSLEVEL1"/>
        <w:outlineLvl w:val="2"/>
      </w:pPr>
      <w:r w:rsidRPr="007C259A">
        <w:fldChar w:fldCharType="end"/>
      </w:r>
    </w:p>
    <w:p w:rsidR="00635ACF" w:rsidRDefault="00635ACF" w:rsidP="00635ACF"/>
    <w:p w:rsidR="004A14E0" w:rsidRPr="00635ACF" w:rsidRDefault="004A14E0" w:rsidP="00635ACF">
      <w:pPr>
        <w:sectPr w:rsidR="004A14E0" w:rsidRPr="00635ACF">
          <w:footerReference w:type="default" r:id="rId9"/>
          <w:pgSz w:w="11906" w:h="16838"/>
          <w:pgMar w:top="1440" w:right="1440" w:bottom="1440" w:left="1440" w:header="708" w:footer="708" w:gutter="0"/>
          <w:cols w:space="708"/>
          <w:docGrid w:linePitch="360"/>
        </w:sectPr>
      </w:pPr>
    </w:p>
    <w:p w:rsidR="000C5C33" w:rsidRPr="00B057B2" w:rsidRDefault="000C5C33" w:rsidP="00B057B2">
      <w:pPr>
        <w:pStyle w:val="H1AASSOGS"/>
      </w:pPr>
      <w:bookmarkStart w:id="1" w:name="_Toc393441917"/>
      <w:bookmarkStart w:id="2" w:name="_Toc393442746"/>
      <w:bookmarkStart w:id="3" w:name="_Toc490735661"/>
      <w:r w:rsidRPr="00B057B2">
        <w:lastRenderedPageBreak/>
        <w:t>Definition of Terms</w:t>
      </w:r>
      <w:bookmarkEnd w:id="1"/>
      <w:bookmarkEnd w:id="2"/>
      <w:bookmarkEnd w:id="3"/>
    </w:p>
    <w:p w:rsidR="00AF636D" w:rsidRPr="00543E7F" w:rsidRDefault="00AF636D" w:rsidP="00AF636D">
      <w:pPr>
        <w:pStyle w:val="AASSOGSLEVEL2"/>
        <w:ind w:left="720"/>
        <w:rPr>
          <w:sz w:val="20"/>
        </w:rPr>
      </w:pPr>
    </w:p>
    <w:tbl>
      <w:tblPr>
        <w:tblW w:w="10789" w:type="dxa"/>
        <w:tblInd w:w="-601" w:type="dxa"/>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2977"/>
        <w:gridCol w:w="7797"/>
        <w:gridCol w:w="15"/>
      </w:tblGrid>
      <w:tr w:rsidR="00D062B8" w:rsidRPr="000C5C33" w:rsidTr="00745A1C">
        <w:tc>
          <w:tcPr>
            <w:tcW w:w="2977" w:type="dxa"/>
            <w:tcBorders>
              <w:left w:val="single" w:sz="4" w:space="0" w:color="auto"/>
              <w:right w:val="single" w:sz="4" w:space="0" w:color="auto"/>
            </w:tcBorders>
            <w:shd w:val="clear" w:color="auto" w:fill="auto"/>
            <w:vAlign w:val="center"/>
          </w:tcPr>
          <w:p w:rsidR="00D062B8" w:rsidRPr="005A5E91" w:rsidRDefault="00D062B8" w:rsidP="00DF4E37">
            <w:pPr>
              <w:pStyle w:val="AASSOGSLEVEL3"/>
              <w:spacing w:before="120" w:after="120" w:line="240" w:lineRule="auto"/>
            </w:pPr>
            <w:r>
              <w:t>Additional Support</w:t>
            </w:r>
          </w:p>
        </w:tc>
        <w:tc>
          <w:tcPr>
            <w:tcW w:w="7812" w:type="dxa"/>
            <w:gridSpan w:val="2"/>
            <w:tcBorders>
              <w:left w:val="single" w:sz="4" w:space="0" w:color="auto"/>
              <w:right w:val="single" w:sz="4" w:space="0" w:color="auto"/>
            </w:tcBorders>
            <w:shd w:val="clear" w:color="auto" w:fill="auto"/>
            <w:vAlign w:val="center"/>
          </w:tcPr>
          <w:p w:rsidR="00D062B8" w:rsidRPr="001D4999" w:rsidRDefault="00D062B8" w:rsidP="002677FF">
            <w:pPr>
              <w:spacing w:before="60" w:afterLines="60" w:after="144" w:line="240" w:lineRule="auto"/>
            </w:pPr>
            <w:r>
              <w:t xml:space="preserve">Support for Australian Apprentices that is not provided by the ISMAA Provider and is outside of their skill set, for example, drug and/or alcohol counselling or mental health support </w:t>
            </w:r>
            <w:r w:rsidR="00DF4E37">
              <w:t>services</w:t>
            </w:r>
            <w:r>
              <w:t>.</w:t>
            </w:r>
          </w:p>
        </w:tc>
      </w:tr>
      <w:tr w:rsidR="00AE0473" w:rsidRPr="000C5C33" w:rsidTr="00745A1C">
        <w:tc>
          <w:tcPr>
            <w:tcW w:w="2977" w:type="dxa"/>
            <w:tcBorders>
              <w:left w:val="single" w:sz="4" w:space="0" w:color="auto"/>
              <w:right w:val="single" w:sz="4" w:space="0" w:color="auto"/>
            </w:tcBorders>
            <w:shd w:val="clear" w:color="auto" w:fill="auto"/>
            <w:vAlign w:val="center"/>
          </w:tcPr>
          <w:p w:rsidR="00AE0473" w:rsidRPr="006A2954" w:rsidRDefault="00AE0473" w:rsidP="00745A1C">
            <w:pPr>
              <w:pStyle w:val="AASSOGSLEVEL3"/>
              <w:spacing w:before="120" w:after="120" w:line="240" w:lineRule="auto"/>
              <w:rPr>
                <w:rFonts w:cs="Calibri"/>
              </w:rPr>
            </w:pPr>
            <w:r>
              <w:rPr>
                <w:rFonts w:cs="Calibri"/>
              </w:rPr>
              <w:t>Alternative contact methods</w:t>
            </w:r>
          </w:p>
        </w:tc>
        <w:tc>
          <w:tcPr>
            <w:tcW w:w="7812" w:type="dxa"/>
            <w:gridSpan w:val="2"/>
            <w:tcBorders>
              <w:left w:val="single" w:sz="4" w:space="0" w:color="auto"/>
              <w:right w:val="single" w:sz="4" w:space="0" w:color="auto"/>
            </w:tcBorders>
            <w:shd w:val="clear" w:color="auto" w:fill="auto"/>
            <w:vAlign w:val="center"/>
          </w:tcPr>
          <w:p w:rsidR="00AE0473" w:rsidRDefault="00AE0473" w:rsidP="002677FF">
            <w:pPr>
              <w:spacing w:before="60" w:afterLines="60" w:after="144" w:line="240" w:lineRule="auto"/>
              <w:rPr>
                <w:rFonts w:cs="Arial"/>
              </w:rPr>
            </w:pPr>
            <w:r>
              <w:rPr>
                <w:rFonts w:cs="Arial"/>
              </w:rPr>
              <w:t>C</w:t>
            </w:r>
            <w:r w:rsidRPr="006A2954">
              <w:rPr>
                <w:rFonts w:cs="Arial"/>
              </w:rPr>
              <w:t xml:space="preserve">ontact </w:t>
            </w:r>
            <w:r w:rsidR="00D062B8" w:rsidRPr="006A2954">
              <w:rPr>
                <w:rFonts w:cs="Arial"/>
              </w:rPr>
              <w:t xml:space="preserve">with an Australian Apprentice </w:t>
            </w:r>
            <w:r w:rsidR="00D062B8">
              <w:rPr>
                <w:rFonts w:cs="Arial"/>
              </w:rPr>
              <w:t xml:space="preserve">using a </w:t>
            </w:r>
            <w:r w:rsidR="00D062B8" w:rsidRPr="006A2954">
              <w:rPr>
                <w:rFonts w:cs="Arial"/>
              </w:rPr>
              <w:t>communication method</w:t>
            </w:r>
            <w:r>
              <w:rPr>
                <w:rFonts w:cs="Arial"/>
              </w:rPr>
              <w:t xml:space="preserve"> </w:t>
            </w:r>
            <w:r w:rsidR="00DC6408">
              <w:rPr>
                <w:rFonts w:cs="Arial"/>
              </w:rPr>
              <w:t>other than F</w:t>
            </w:r>
            <w:r w:rsidR="00FD1056">
              <w:rPr>
                <w:rFonts w:cs="Arial"/>
              </w:rPr>
              <w:t>ace-to-</w:t>
            </w:r>
            <w:r w:rsidR="00DC6408">
              <w:rPr>
                <w:rFonts w:cs="Arial"/>
              </w:rPr>
              <w:t>F</w:t>
            </w:r>
            <w:r w:rsidR="00FD1056">
              <w:rPr>
                <w:rFonts w:cs="Arial"/>
              </w:rPr>
              <w:t>ace</w:t>
            </w:r>
            <w:r>
              <w:rPr>
                <w:rFonts w:cs="Arial"/>
              </w:rPr>
              <w:t xml:space="preserve"> </w:t>
            </w:r>
            <w:r w:rsidR="00DC6408">
              <w:rPr>
                <w:rFonts w:cs="Arial"/>
              </w:rPr>
              <w:t>C</w:t>
            </w:r>
            <w:r>
              <w:rPr>
                <w:rFonts w:cs="Arial"/>
              </w:rPr>
              <w:t>ontact</w:t>
            </w:r>
            <w:r w:rsidR="00D062B8">
              <w:rPr>
                <w:rFonts w:cs="Arial"/>
              </w:rPr>
              <w:t>, f</w:t>
            </w:r>
            <w:r>
              <w:rPr>
                <w:rFonts w:cs="Arial"/>
              </w:rPr>
              <w:t xml:space="preserve">or example this could include phone calls, </w:t>
            </w:r>
            <w:r w:rsidRPr="006A2954">
              <w:rPr>
                <w:rFonts w:cs="Arial"/>
              </w:rPr>
              <w:t>text messages</w:t>
            </w:r>
            <w:r>
              <w:rPr>
                <w:rFonts w:cs="Arial"/>
              </w:rPr>
              <w:t xml:space="preserve">, </w:t>
            </w:r>
            <w:r w:rsidRPr="006A2954">
              <w:rPr>
                <w:rFonts w:cs="Arial"/>
              </w:rPr>
              <w:t>email</w:t>
            </w:r>
            <w:r>
              <w:rPr>
                <w:rFonts w:cs="Arial"/>
              </w:rPr>
              <w:t xml:space="preserve"> or video calling. These alternatives are acceptable p</w:t>
            </w:r>
            <w:r w:rsidRPr="006A2954">
              <w:rPr>
                <w:rFonts w:cs="Arial"/>
              </w:rPr>
              <w:t xml:space="preserve">rovided a two way communication takes place as </w:t>
            </w:r>
            <w:r w:rsidR="00FD1056">
              <w:rPr>
                <w:rFonts w:cs="Arial"/>
              </w:rPr>
              <w:t xml:space="preserve">would </w:t>
            </w:r>
            <w:r w:rsidRPr="006A2954">
              <w:rPr>
                <w:rFonts w:cs="Arial"/>
              </w:rPr>
              <w:t xml:space="preserve">occur in a </w:t>
            </w:r>
            <w:r w:rsidR="00FD1056">
              <w:rPr>
                <w:rFonts w:cs="Arial"/>
              </w:rPr>
              <w:t>face-to-face</w:t>
            </w:r>
            <w:r w:rsidR="00C4585E">
              <w:rPr>
                <w:rFonts w:cs="Arial"/>
              </w:rPr>
              <w:t xml:space="preserve"> contact</w:t>
            </w:r>
            <w:r w:rsidRPr="006A2954">
              <w:rPr>
                <w:rFonts w:cs="Arial"/>
              </w:rPr>
              <w:t xml:space="preserve">.  </w:t>
            </w:r>
          </w:p>
          <w:p w:rsidR="00C4585E" w:rsidRDefault="00DF4E37" w:rsidP="002677FF">
            <w:pPr>
              <w:spacing w:before="60" w:afterLines="60" w:after="144" w:line="240" w:lineRule="auto"/>
              <w:rPr>
                <w:rFonts w:cs="Arial"/>
              </w:rPr>
            </w:pPr>
            <w:r>
              <w:rPr>
                <w:rFonts w:cs="Arial"/>
              </w:rPr>
              <w:t>ISMAA Provider</w:t>
            </w:r>
            <w:r w:rsidR="00C4585E">
              <w:rPr>
                <w:rFonts w:cs="Arial"/>
              </w:rPr>
              <w:t xml:space="preserve">s must take into consideration </w:t>
            </w:r>
            <w:r w:rsidR="00AB0510">
              <w:rPr>
                <w:rFonts w:cs="Arial"/>
              </w:rPr>
              <w:t xml:space="preserve">the privacy of </w:t>
            </w:r>
            <w:r w:rsidR="00C4585E">
              <w:rPr>
                <w:rFonts w:cs="Arial"/>
              </w:rPr>
              <w:t xml:space="preserve">Australian Apprentices when using all communication methods but especially </w:t>
            </w:r>
            <w:r w:rsidR="00FD1056">
              <w:rPr>
                <w:rFonts w:cs="Arial"/>
              </w:rPr>
              <w:t xml:space="preserve">forms of </w:t>
            </w:r>
            <w:r w:rsidR="00C4585E">
              <w:rPr>
                <w:rFonts w:cs="Arial"/>
              </w:rPr>
              <w:t xml:space="preserve">social media. </w:t>
            </w:r>
          </w:p>
          <w:p w:rsidR="00AE0473" w:rsidRPr="006A2954" w:rsidRDefault="00C41EDA" w:rsidP="002677FF">
            <w:pPr>
              <w:spacing w:before="60" w:afterLines="60" w:after="144" w:line="240" w:lineRule="auto"/>
              <w:rPr>
                <w:rFonts w:cs="Arial"/>
              </w:rPr>
            </w:pPr>
            <w:r>
              <w:rPr>
                <w:rFonts w:cs="Arial"/>
              </w:rPr>
              <w:t>C</w:t>
            </w:r>
            <w:r w:rsidR="00AE0473" w:rsidRPr="00C4585E">
              <w:rPr>
                <w:rFonts w:cs="Arial"/>
              </w:rPr>
              <w:t xml:space="preserve">ontent of each </w:t>
            </w:r>
            <w:r w:rsidR="00AB0510">
              <w:rPr>
                <w:rFonts w:cs="Arial"/>
              </w:rPr>
              <w:t xml:space="preserve">communication </w:t>
            </w:r>
            <w:r w:rsidR="00C4585E" w:rsidRPr="00C4585E">
              <w:rPr>
                <w:rFonts w:cs="Arial"/>
              </w:rPr>
              <w:t>must be recorded</w:t>
            </w:r>
            <w:r w:rsidR="00AE0473" w:rsidRPr="00C4585E">
              <w:rPr>
                <w:rFonts w:cs="Arial"/>
              </w:rPr>
              <w:t xml:space="preserve"> regardless of the </w:t>
            </w:r>
            <w:r w:rsidR="00AB0510">
              <w:rPr>
                <w:rFonts w:cs="Arial"/>
              </w:rPr>
              <w:t xml:space="preserve">contact </w:t>
            </w:r>
            <w:r w:rsidR="00AE0473" w:rsidRPr="00C4585E">
              <w:rPr>
                <w:rFonts w:cs="Arial"/>
              </w:rPr>
              <w:t>method used.</w:t>
            </w:r>
            <w:r w:rsidR="00AE0473" w:rsidRPr="006A2954">
              <w:rPr>
                <w:rFonts w:cs="Arial"/>
              </w:rPr>
              <w:t xml:space="preserve">  </w:t>
            </w:r>
          </w:p>
        </w:tc>
      </w:tr>
      <w:tr w:rsidR="006F48A7" w:rsidRPr="000C5C33" w:rsidTr="00745A1C">
        <w:tc>
          <w:tcPr>
            <w:tcW w:w="2977" w:type="dxa"/>
            <w:tcBorders>
              <w:left w:val="single" w:sz="4" w:space="0" w:color="auto"/>
              <w:right w:val="single" w:sz="4" w:space="0" w:color="auto"/>
            </w:tcBorders>
            <w:shd w:val="clear" w:color="auto" w:fill="auto"/>
            <w:vAlign w:val="center"/>
          </w:tcPr>
          <w:p w:rsidR="006F48A7" w:rsidRPr="000C5C33" w:rsidRDefault="006F48A7" w:rsidP="00745A1C">
            <w:pPr>
              <w:pStyle w:val="AASSOGSLEVEL3"/>
              <w:spacing w:before="120" w:after="120" w:line="240" w:lineRule="auto"/>
              <w:rPr>
                <w:lang w:eastAsia="en-AU"/>
              </w:rPr>
            </w:pPr>
            <w:bookmarkStart w:id="4" w:name="_Toc393441919"/>
            <w:bookmarkStart w:id="5" w:name="_Toc393442748"/>
            <w:r w:rsidRPr="000C5C33">
              <w:rPr>
                <w:lang w:eastAsia="en-AU"/>
              </w:rPr>
              <w:t>Australian Apprentice</w:t>
            </w:r>
            <w:bookmarkEnd w:id="4"/>
            <w:bookmarkEnd w:id="5"/>
          </w:p>
        </w:tc>
        <w:tc>
          <w:tcPr>
            <w:tcW w:w="7812" w:type="dxa"/>
            <w:gridSpan w:val="2"/>
            <w:tcBorders>
              <w:left w:val="single" w:sz="4" w:space="0" w:color="auto"/>
              <w:right w:val="single" w:sz="4" w:space="0" w:color="auto"/>
            </w:tcBorders>
            <w:shd w:val="clear" w:color="auto" w:fill="auto"/>
            <w:vAlign w:val="center"/>
          </w:tcPr>
          <w:p w:rsidR="006F48A7" w:rsidRPr="000C5C33" w:rsidRDefault="006F48A7" w:rsidP="002677FF">
            <w:pPr>
              <w:overflowPunct w:val="0"/>
              <w:autoSpaceDE w:val="0"/>
              <w:autoSpaceDN w:val="0"/>
              <w:adjustRightInd w:val="0"/>
              <w:spacing w:before="60" w:afterLines="60" w:after="144" w:line="240" w:lineRule="auto"/>
              <w:textAlignment w:val="baseline"/>
              <w:rPr>
                <w:rFonts w:cs="Arial"/>
              </w:rPr>
            </w:pPr>
            <w:r w:rsidRPr="000C5C33">
              <w:rPr>
                <w:rFonts w:cs="Arial"/>
              </w:rPr>
              <w:t>A person who</w:t>
            </w:r>
            <w:r w:rsidR="00BE22B6">
              <w:rPr>
                <w:rFonts w:cs="Arial"/>
              </w:rPr>
              <w:t>, by operation of State or Territory law, is an apprentice or trainee.</w:t>
            </w:r>
            <w:r w:rsidRPr="000C5C33">
              <w:rPr>
                <w:rFonts w:cs="Arial"/>
              </w:rPr>
              <w:t xml:space="preserve"> </w:t>
            </w:r>
          </w:p>
        </w:tc>
      </w:tr>
      <w:tr w:rsidR="006F48A7" w:rsidRPr="000C5C33" w:rsidTr="00745A1C">
        <w:tc>
          <w:tcPr>
            <w:tcW w:w="2977" w:type="dxa"/>
            <w:tcBorders>
              <w:left w:val="single" w:sz="4" w:space="0" w:color="auto"/>
              <w:right w:val="single" w:sz="4" w:space="0" w:color="auto"/>
            </w:tcBorders>
            <w:shd w:val="clear" w:color="auto" w:fill="auto"/>
            <w:vAlign w:val="center"/>
          </w:tcPr>
          <w:p w:rsidR="006F48A7" w:rsidRPr="000C5C33" w:rsidRDefault="006F48A7" w:rsidP="00C41EDA">
            <w:pPr>
              <w:pStyle w:val="AASSOGSLEVEL3"/>
              <w:spacing w:before="120" w:after="120" w:line="240" w:lineRule="auto"/>
              <w:rPr>
                <w:rFonts w:cs="Calibri"/>
              </w:rPr>
            </w:pPr>
            <w:r>
              <w:rPr>
                <w:rFonts w:cs="Arial"/>
              </w:rPr>
              <w:t>Australian Apprenticeship Support Network</w:t>
            </w:r>
            <w:r w:rsidRPr="003563E7">
              <w:rPr>
                <w:rFonts w:cs="Arial"/>
              </w:rPr>
              <w:t xml:space="preserve"> </w:t>
            </w:r>
            <w:r>
              <w:rPr>
                <w:rFonts w:cs="Arial"/>
              </w:rPr>
              <w:t>(A</w:t>
            </w:r>
            <w:r w:rsidR="00C41EDA">
              <w:rPr>
                <w:rFonts w:cs="Arial"/>
              </w:rPr>
              <w:t xml:space="preserve">pprenticeship </w:t>
            </w:r>
            <w:r>
              <w:rPr>
                <w:rFonts w:cs="Arial"/>
              </w:rPr>
              <w:t>N</w:t>
            </w:r>
            <w:r w:rsidR="00C41EDA">
              <w:rPr>
                <w:rFonts w:cs="Arial"/>
              </w:rPr>
              <w:t>etwork</w:t>
            </w:r>
            <w:r>
              <w:rPr>
                <w:rFonts w:cs="Arial"/>
              </w:rPr>
              <w:t xml:space="preserve">) </w:t>
            </w:r>
          </w:p>
        </w:tc>
        <w:tc>
          <w:tcPr>
            <w:tcW w:w="7812" w:type="dxa"/>
            <w:gridSpan w:val="2"/>
            <w:tcBorders>
              <w:left w:val="single" w:sz="4" w:space="0" w:color="auto"/>
              <w:right w:val="single" w:sz="4" w:space="0" w:color="auto"/>
            </w:tcBorders>
            <w:shd w:val="clear" w:color="auto" w:fill="auto"/>
            <w:vAlign w:val="center"/>
          </w:tcPr>
          <w:p w:rsidR="00725D51" w:rsidRPr="000C5C33" w:rsidRDefault="006F48A7" w:rsidP="002677FF">
            <w:pPr>
              <w:spacing w:before="60" w:afterLines="60" w:after="144" w:line="240" w:lineRule="auto"/>
              <w:rPr>
                <w:rFonts w:cs="Arial"/>
              </w:rPr>
            </w:pPr>
            <w:r w:rsidRPr="00717CAC">
              <w:rPr>
                <w:rFonts w:ascii="Calibri" w:eastAsia="Times New Roman" w:hAnsi="Calibri" w:cs="Arial"/>
                <w:lang w:eastAsia="en-AU"/>
              </w:rPr>
              <w:t>The Australian Gover</w:t>
            </w:r>
            <w:r>
              <w:rPr>
                <w:rFonts w:ascii="Calibri" w:eastAsia="Times New Roman" w:hAnsi="Calibri" w:cs="Arial"/>
                <w:lang w:eastAsia="en-AU"/>
              </w:rPr>
              <w:t xml:space="preserve">nment established the Australian Apprenticeship Support Network </w:t>
            </w:r>
            <w:r w:rsidR="00D42A52">
              <w:rPr>
                <w:rFonts w:ascii="Calibri" w:eastAsia="Times New Roman" w:hAnsi="Calibri" w:cs="Arial"/>
                <w:lang w:eastAsia="en-AU"/>
              </w:rPr>
              <w:t xml:space="preserve">(Apprenticeship Network) </w:t>
            </w:r>
            <w:r w:rsidRPr="00717CAC">
              <w:rPr>
                <w:rFonts w:ascii="Calibri" w:eastAsia="Times New Roman" w:hAnsi="Calibri" w:cs="Arial"/>
                <w:lang w:eastAsia="en-AU"/>
              </w:rPr>
              <w:t xml:space="preserve">to provide a streamlined service for employers, Australian Apprentices and individuals to access quality Australian Apprenticeships.  </w:t>
            </w:r>
          </w:p>
        </w:tc>
      </w:tr>
      <w:tr w:rsidR="006F48A7" w:rsidRPr="000C5C33" w:rsidTr="00745A1C">
        <w:tc>
          <w:tcPr>
            <w:tcW w:w="2977" w:type="dxa"/>
            <w:tcBorders>
              <w:left w:val="single" w:sz="4" w:space="0" w:color="auto"/>
              <w:right w:val="single" w:sz="4" w:space="0" w:color="auto"/>
            </w:tcBorders>
            <w:shd w:val="clear" w:color="auto" w:fill="auto"/>
            <w:vAlign w:val="center"/>
          </w:tcPr>
          <w:p w:rsidR="006F48A7" w:rsidRDefault="006F48A7" w:rsidP="00C41EDA">
            <w:pPr>
              <w:pStyle w:val="AASSOGSLEVEL3"/>
              <w:spacing w:before="120" w:after="120" w:line="240" w:lineRule="auto"/>
              <w:rPr>
                <w:rFonts w:cs="Arial"/>
              </w:rPr>
            </w:pPr>
            <w:r>
              <w:rPr>
                <w:rFonts w:cs="Arial"/>
              </w:rPr>
              <w:t>Australian Apprenticeship Support Network Provider (A</w:t>
            </w:r>
            <w:r w:rsidR="00C41EDA">
              <w:rPr>
                <w:rFonts w:cs="Arial"/>
              </w:rPr>
              <w:t xml:space="preserve">pprenticeship </w:t>
            </w:r>
            <w:r>
              <w:rPr>
                <w:rFonts w:cs="Arial"/>
              </w:rPr>
              <w:t>N</w:t>
            </w:r>
            <w:r w:rsidR="00C41EDA">
              <w:rPr>
                <w:rFonts w:cs="Arial"/>
              </w:rPr>
              <w:t>etwork</w:t>
            </w:r>
            <w:r>
              <w:rPr>
                <w:rFonts w:cs="Arial"/>
              </w:rPr>
              <w:t xml:space="preserve"> </w:t>
            </w:r>
            <w:r w:rsidR="00DF4E37">
              <w:rPr>
                <w:rFonts w:cs="Arial"/>
              </w:rPr>
              <w:t>Provider</w:t>
            </w:r>
            <w:r>
              <w:rPr>
                <w:rFonts w:cs="Arial"/>
              </w:rPr>
              <w:t>)</w:t>
            </w:r>
          </w:p>
        </w:tc>
        <w:tc>
          <w:tcPr>
            <w:tcW w:w="7812" w:type="dxa"/>
            <w:gridSpan w:val="2"/>
            <w:tcBorders>
              <w:left w:val="single" w:sz="4" w:space="0" w:color="auto"/>
              <w:right w:val="single" w:sz="4" w:space="0" w:color="auto"/>
            </w:tcBorders>
            <w:shd w:val="clear" w:color="auto" w:fill="auto"/>
            <w:vAlign w:val="center"/>
          </w:tcPr>
          <w:p w:rsidR="006F48A7" w:rsidRDefault="006F48A7" w:rsidP="002677FF">
            <w:pPr>
              <w:spacing w:before="60" w:afterLines="60" w:after="144" w:line="240" w:lineRule="auto"/>
              <w:rPr>
                <w:rFonts w:cs="Arial"/>
              </w:rPr>
            </w:pPr>
            <w:r w:rsidRPr="003563E7">
              <w:rPr>
                <w:rFonts w:cs="Arial"/>
              </w:rPr>
              <w:t xml:space="preserve">Organisations </w:t>
            </w:r>
            <w:r w:rsidR="00DF4E37">
              <w:rPr>
                <w:rFonts w:cs="Arial"/>
              </w:rPr>
              <w:t>Contract</w:t>
            </w:r>
            <w:r w:rsidRPr="003563E7">
              <w:rPr>
                <w:rFonts w:cs="Arial"/>
              </w:rPr>
              <w:t xml:space="preserve">ed by the </w:t>
            </w:r>
            <w:r>
              <w:rPr>
                <w:rFonts w:cs="Arial"/>
              </w:rPr>
              <w:t>Department of Education and Training</w:t>
            </w:r>
            <w:r w:rsidRPr="003563E7">
              <w:rPr>
                <w:rFonts w:cs="Arial"/>
              </w:rPr>
              <w:t xml:space="preserve"> to deliver support </w:t>
            </w:r>
            <w:r w:rsidR="00471CF3">
              <w:rPr>
                <w:rFonts w:cs="Arial"/>
              </w:rPr>
              <w:t>s</w:t>
            </w:r>
            <w:r w:rsidR="00DF4E37">
              <w:rPr>
                <w:rFonts w:cs="Arial"/>
              </w:rPr>
              <w:t>ervices</w:t>
            </w:r>
            <w:r w:rsidRPr="003563E7">
              <w:rPr>
                <w:rFonts w:cs="Arial"/>
              </w:rPr>
              <w:t xml:space="preserve"> through the Apprenticeship Network.</w:t>
            </w:r>
            <w:r>
              <w:rPr>
                <w:rFonts w:ascii="Calibri" w:eastAsia="Times New Roman" w:hAnsi="Calibri" w:cs="Arial"/>
                <w:lang w:eastAsia="en-AU"/>
              </w:rPr>
              <w:t xml:space="preserve"> </w:t>
            </w:r>
            <w:r w:rsidR="00D42A52">
              <w:rPr>
                <w:rFonts w:ascii="Calibri" w:eastAsia="Times New Roman" w:hAnsi="Calibri" w:cs="Arial"/>
                <w:lang w:eastAsia="en-AU"/>
              </w:rPr>
              <w:t xml:space="preserve">Apprenticeship Network </w:t>
            </w:r>
            <w:r w:rsidR="00DF4E37">
              <w:rPr>
                <w:rFonts w:ascii="Calibri" w:eastAsia="Times New Roman" w:hAnsi="Calibri" w:cs="Arial"/>
                <w:lang w:eastAsia="en-AU"/>
              </w:rPr>
              <w:t>Provider</w:t>
            </w:r>
            <w:r>
              <w:rPr>
                <w:rFonts w:ascii="Calibri" w:eastAsia="Times New Roman" w:hAnsi="Calibri" w:cs="Arial"/>
                <w:lang w:eastAsia="en-AU"/>
              </w:rPr>
              <w:t>s</w:t>
            </w:r>
            <w:r w:rsidR="00246036">
              <w:rPr>
                <w:rFonts w:ascii="Calibri" w:eastAsia="Times New Roman" w:hAnsi="Calibri" w:cs="Arial"/>
                <w:lang w:eastAsia="en-AU"/>
              </w:rPr>
              <w:t xml:space="preserve"> deliver </w:t>
            </w:r>
            <w:r w:rsidRPr="00717CAC">
              <w:rPr>
                <w:rFonts w:ascii="Calibri" w:eastAsia="Times New Roman" w:hAnsi="Calibri" w:cs="Arial"/>
                <w:lang w:eastAsia="en-AU"/>
              </w:rPr>
              <w:t xml:space="preserve">a coordinated arrangement for the provision of information, marketing and administration of </w:t>
            </w:r>
            <w:r>
              <w:rPr>
                <w:rFonts w:ascii="Calibri" w:eastAsia="Times New Roman" w:hAnsi="Calibri" w:cs="Arial"/>
                <w:lang w:eastAsia="en-AU"/>
              </w:rPr>
              <w:t>Australian Apprenticeships</w:t>
            </w:r>
            <w:r w:rsidRPr="00717CAC">
              <w:rPr>
                <w:rFonts w:ascii="Calibri" w:eastAsia="Times New Roman" w:hAnsi="Calibri" w:cs="Arial"/>
                <w:lang w:eastAsia="en-AU"/>
              </w:rPr>
              <w:t>.</w:t>
            </w:r>
          </w:p>
        </w:tc>
      </w:tr>
      <w:tr w:rsidR="006F48A7" w:rsidRPr="000C5C33" w:rsidTr="00745A1C">
        <w:tc>
          <w:tcPr>
            <w:tcW w:w="2977" w:type="dxa"/>
            <w:tcBorders>
              <w:left w:val="single" w:sz="4" w:space="0" w:color="auto"/>
              <w:right w:val="single" w:sz="4" w:space="0" w:color="auto"/>
            </w:tcBorders>
            <w:shd w:val="clear" w:color="auto" w:fill="auto"/>
            <w:vAlign w:val="center"/>
          </w:tcPr>
          <w:p w:rsidR="006F48A7" w:rsidRPr="000C5C33" w:rsidRDefault="006F48A7" w:rsidP="00745A1C">
            <w:pPr>
              <w:pStyle w:val="AASSOGSLEVEL3"/>
              <w:spacing w:before="120" w:after="120" w:line="240" w:lineRule="auto"/>
              <w:rPr>
                <w:rFonts w:cs="Calibri"/>
              </w:rPr>
            </w:pPr>
            <w:bookmarkStart w:id="6" w:name="_Toc393442758"/>
            <w:r w:rsidRPr="000C5C33">
              <w:rPr>
                <w:rFonts w:cs="Calibri"/>
              </w:rPr>
              <w:t>Australian Apprenticeships Website</w:t>
            </w:r>
            <w:bookmarkEnd w:id="6"/>
          </w:p>
        </w:tc>
        <w:tc>
          <w:tcPr>
            <w:tcW w:w="7812" w:type="dxa"/>
            <w:gridSpan w:val="2"/>
            <w:tcBorders>
              <w:left w:val="single" w:sz="4" w:space="0" w:color="auto"/>
              <w:right w:val="single" w:sz="4" w:space="0" w:color="auto"/>
            </w:tcBorders>
            <w:shd w:val="clear" w:color="auto" w:fill="auto"/>
            <w:vAlign w:val="center"/>
          </w:tcPr>
          <w:p w:rsidR="006F48A7" w:rsidRPr="000C5C33" w:rsidRDefault="0082765A" w:rsidP="002677FF">
            <w:pPr>
              <w:spacing w:before="60" w:afterLines="60" w:after="144" w:line="240" w:lineRule="auto"/>
              <w:rPr>
                <w:rFonts w:cs="Calibri"/>
              </w:rPr>
            </w:pPr>
            <w:hyperlink r:id="rId10" w:history="1">
              <w:r w:rsidR="006F48A7" w:rsidRPr="000C5C33">
                <w:rPr>
                  <w:rFonts w:cs="Calibri"/>
                  <w:color w:val="0000FF"/>
                  <w:u w:val="single"/>
                </w:rPr>
                <w:t>www.australianapprenticeships.gov.au</w:t>
              </w:r>
            </w:hyperlink>
            <w:r w:rsidR="006F48A7" w:rsidRPr="000C5C33">
              <w:rPr>
                <w:rFonts w:cs="Calibri"/>
              </w:rPr>
              <w:t xml:space="preserve"> </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Default="001A64C9" w:rsidP="00745A1C">
            <w:pPr>
              <w:pStyle w:val="AASSOGSLEVEL3"/>
              <w:spacing w:before="120" w:after="120" w:line="240" w:lineRule="auto"/>
              <w:rPr>
                <w:lang w:eastAsia="en-AU"/>
              </w:rPr>
            </w:pPr>
            <w:r w:rsidRPr="00F01DBA">
              <w:rPr>
                <w:lang w:eastAsia="en-AU"/>
              </w:rPr>
              <w:t>Benchmark servicing requirements</w:t>
            </w:r>
          </w:p>
        </w:tc>
        <w:tc>
          <w:tcPr>
            <w:tcW w:w="7812" w:type="dxa"/>
            <w:gridSpan w:val="2"/>
            <w:tcBorders>
              <w:left w:val="single" w:sz="4" w:space="0" w:color="auto"/>
              <w:right w:val="single" w:sz="4" w:space="0" w:color="auto"/>
            </w:tcBorders>
            <w:shd w:val="clear" w:color="auto" w:fill="auto"/>
            <w:vAlign w:val="center"/>
          </w:tcPr>
          <w:p w:rsidR="00BE22B6" w:rsidRDefault="00BE22B6" w:rsidP="002677FF">
            <w:pPr>
              <w:spacing w:beforeLines="60" w:before="144" w:afterLines="60" w:after="144" w:line="240" w:lineRule="auto"/>
            </w:pPr>
            <w:r>
              <w:t>For a Client to be considered to be receiving (or received) a service under the ISMAA program, the following criteria must be met:</w:t>
            </w:r>
          </w:p>
          <w:p w:rsidR="00BE22B6" w:rsidRPr="00D9155E" w:rsidRDefault="00BE22B6"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o</w:t>
            </w:r>
            <w:r w:rsidRPr="00D9155E">
              <w:rPr>
                <w:rFonts w:ascii="Calibri" w:eastAsia="Times New Roman" w:hAnsi="Calibri" w:cs="Arial"/>
                <w:lang w:eastAsia="en-AU"/>
              </w:rPr>
              <w:t>ne hour of mentoring support must have been provide</w:t>
            </w:r>
            <w:r>
              <w:rPr>
                <w:rFonts w:ascii="Calibri" w:eastAsia="Times New Roman" w:hAnsi="Calibri" w:cs="Arial"/>
                <w:lang w:eastAsia="en-AU"/>
              </w:rPr>
              <w:t>d; and</w:t>
            </w:r>
          </w:p>
          <w:p w:rsidR="00BE22B6" w:rsidRPr="00DE1AC7" w:rsidRDefault="00BE22B6"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a</w:t>
            </w:r>
            <w:r w:rsidRPr="00DE1AC7">
              <w:rPr>
                <w:rFonts w:ascii="Calibri" w:eastAsia="Times New Roman" w:hAnsi="Calibri" w:cs="Arial"/>
                <w:lang w:eastAsia="en-AU"/>
              </w:rPr>
              <w:t xml:space="preserve"> </w:t>
            </w:r>
            <w:r>
              <w:rPr>
                <w:rFonts w:ascii="Calibri" w:eastAsia="Times New Roman" w:hAnsi="Calibri" w:cs="Arial"/>
                <w:lang w:eastAsia="en-AU"/>
              </w:rPr>
              <w:t>Commenced</w:t>
            </w:r>
            <w:r w:rsidRPr="00DE1AC7">
              <w:rPr>
                <w:rFonts w:ascii="Calibri" w:eastAsia="Times New Roman" w:hAnsi="Calibri" w:cs="Arial"/>
                <w:lang w:eastAsia="en-AU"/>
              </w:rPr>
              <w:t xml:space="preserve"> </w:t>
            </w:r>
            <w:r w:rsidR="006C36DC">
              <w:rPr>
                <w:rFonts w:ascii="Calibri" w:eastAsia="Times New Roman" w:hAnsi="Calibri" w:cs="Arial"/>
                <w:lang w:eastAsia="en-AU"/>
              </w:rPr>
              <w:t>Individual Mentoring Plan (</w:t>
            </w:r>
            <w:r w:rsidRPr="00DE1AC7">
              <w:rPr>
                <w:rFonts w:ascii="Calibri" w:eastAsia="Times New Roman" w:hAnsi="Calibri" w:cs="Arial"/>
                <w:lang w:eastAsia="en-AU"/>
              </w:rPr>
              <w:t>IMP</w:t>
            </w:r>
            <w:r w:rsidR="006C36DC">
              <w:rPr>
                <w:rFonts w:ascii="Calibri" w:eastAsia="Times New Roman" w:hAnsi="Calibri" w:cs="Arial"/>
                <w:lang w:eastAsia="en-AU"/>
              </w:rPr>
              <w:t>)</w:t>
            </w:r>
            <w:r w:rsidRPr="00DE1AC7">
              <w:rPr>
                <w:rFonts w:ascii="Calibri" w:eastAsia="Times New Roman" w:hAnsi="Calibri" w:cs="Arial"/>
                <w:lang w:eastAsia="en-AU"/>
              </w:rPr>
              <w:t xml:space="preserve"> must be in place.</w:t>
            </w:r>
          </w:p>
          <w:p w:rsidR="00BE22B6" w:rsidRDefault="00BE22B6" w:rsidP="002677FF">
            <w:pPr>
              <w:spacing w:before="60" w:afterLines="60" w:after="144" w:line="240" w:lineRule="auto"/>
            </w:pPr>
            <w:r>
              <w:t>The Department will use</w:t>
            </w:r>
            <w:r w:rsidR="00910589">
              <w:t xml:space="preserve"> these criteria</w:t>
            </w:r>
            <w:r>
              <w:t xml:space="preserve"> to determine how many Clients an ISMAA Provider has serviced in relation to their benchmark.</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C46AB2" w:rsidRDefault="001A64C9" w:rsidP="00745A1C">
            <w:pPr>
              <w:pStyle w:val="AASSOGSLEVEL3"/>
              <w:spacing w:before="120" w:after="120" w:line="240" w:lineRule="auto"/>
            </w:pPr>
            <w:r>
              <w:t>Client</w:t>
            </w:r>
          </w:p>
        </w:tc>
        <w:tc>
          <w:tcPr>
            <w:tcW w:w="7812" w:type="dxa"/>
            <w:gridSpan w:val="2"/>
            <w:tcBorders>
              <w:left w:val="single" w:sz="4" w:space="0" w:color="auto"/>
              <w:right w:val="single" w:sz="4" w:space="0" w:color="auto"/>
            </w:tcBorders>
            <w:shd w:val="clear" w:color="auto" w:fill="auto"/>
            <w:vAlign w:val="center"/>
          </w:tcPr>
          <w:p w:rsidR="001A64C9" w:rsidRPr="00C47E24" w:rsidRDefault="001A64C9" w:rsidP="002677FF">
            <w:pPr>
              <w:spacing w:before="60" w:afterLines="60" w:after="144" w:line="240" w:lineRule="auto"/>
              <w:rPr>
                <w:rFonts w:cs="Arial"/>
              </w:rPr>
            </w:pPr>
            <w:r>
              <w:rPr>
                <w:rFonts w:cs="Arial"/>
              </w:rPr>
              <w:t xml:space="preserve">An Australian Apprentice receiving </w:t>
            </w:r>
            <w:r w:rsidR="00DF4E37">
              <w:rPr>
                <w:rFonts w:cs="Arial"/>
              </w:rPr>
              <w:t>Services</w:t>
            </w:r>
            <w:r>
              <w:rPr>
                <w:rFonts w:cs="Arial"/>
              </w:rPr>
              <w:t xml:space="preserve"> under the ISMAA program.</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AB0510" w:rsidP="00745A1C">
            <w:pPr>
              <w:pStyle w:val="AASSOGSLEVEL3"/>
              <w:spacing w:before="120" w:after="120" w:line="240" w:lineRule="auto"/>
              <w:rPr>
                <w:rFonts w:cs="Calibri"/>
              </w:rPr>
            </w:pPr>
            <w:r>
              <w:rPr>
                <w:rFonts w:cs="Calibri"/>
              </w:rPr>
              <w:t>C</w:t>
            </w:r>
            <w:r w:rsidR="001A64C9" w:rsidRPr="000C5C33">
              <w:rPr>
                <w:rFonts w:cs="Calibri"/>
              </w:rPr>
              <w:t>ontact</w:t>
            </w:r>
          </w:p>
          <w:p w:rsidR="001A64C9" w:rsidRDefault="001A64C9" w:rsidP="00745A1C">
            <w:pPr>
              <w:pStyle w:val="AASSOGSLEVEL3"/>
              <w:spacing w:before="120" w:after="120" w:line="240" w:lineRule="auto"/>
              <w:rPr>
                <w:rFonts w:cs="Calibri"/>
              </w:rPr>
            </w:pPr>
          </w:p>
        </w:tc>
        <w:tc>
          <w:tcPr>
            <w:tcW w:w="7812" w:type="dxa"/>
            <w:gridSpan w:val="2"/>
            <w:tcBorders>
              <w:left w:val="single" w:sz="4" w:space="0" w:color="auto"/>
              <w:right w:val="single" w:sz="4" w:space="0" w:color="auto"/>
            </w:tcBorders>
            <w:shd w:val="clear" w:color="auto" w:fill="auto"/>
            <w:vAlign w:val="center"/>
          </w:tcPr>
          <w:p w:rsidR="001A64C9" w:rsidRDefault="001A64C9" w:rsidP="002677FF">
            <w:pPr>
              <w:spacing w:before="60" w:afterLines="60" w:after="144" w:line="240" w:lineRule="auto"/>
              <w:rPr>
                <w:rFonts w:cs="Calibri"/>
              </w:rPr>
            </w:pPr>
            <w:r w:rsidRPr="000C5C33">
              <w:rPr>
                <w:rFonts w:cs="Calibri"/>
              </w:rPr>
              <w:t>Contact with an Australian Apprentice for the purpose of</w:t>
            </w:r>
            <w:r>
              <w:rPr>
                <w:rFonts w:cs="Calibri"/>
              </w:rPr>
              <w:t xml:space="preserve"> delivering support under the ISMAA program. </w:t>
            </w:r>
          </w:p>
        </w:tc>
      </w:tr>
      <w:tr w:rsidR="00AB0510" w:rsidRPr="000C5C33" w:rsidTr="00745A1C">
        <w:tc>
          <w:tcPr>
            <w:tcW w:w="2977" w:type="dxa"/>
            <w:tcBorders>
              <w:left w:val="single" w:sz="4" w:space="0" w:color="auto"/>
              <w:right w:val="single" w:sz="4" w:space="0" w:color="auto"/>
            </w:tcBorders>
            <w:shd w:val="clear" w:color="auto" w:fill="auto"/>
            <w:vAlign w:val="center"/>
          </w:tcPr>
          <w:p w:rsidR="00AB0510" w:rsidRDefault="00AB0510" w:rsidP="00745A1C">
            <w:pPr>
              <w:pStyle w:val="AASSOGSLEVEL3"/>
              <w:spacing w:before="120" w:after="120" w:line="240" w:lineRule="auto"/>
              <w:rPr>
                <w:rFonts w:cs="Calibri"/>
              </w:rPr>
            </w:pPr>
            <w:r>
              <w:rPr>
                <w:rFonts w:cs="Calibri"/>
              </w:rPr>
              <w:t>Contract</w:t>
            </w:r>
          </w:p>
        </w:tc>
        <w:tc>
          <w:tcPr>
            <w:tcW w:w="7812" w:type="dxa"/>
            <w:gridSpan w:val="2"/>
            <w:tcBorders>
              <w:left w:val="single" w:sz="4" w:space="0" w:color="auto"/>
              <w:right w:val="single" w:sz="4" w:space="0" w:color="auto"/>
            </w:tcBorders>
            <w:shd w:val="clear" w:color="auto" w:fill="auto"/>
            <w:vAlign w:val="center"/>
          </w:tcPr>
          <w:p w:rsidR="00AB0510" w:rsidRPr="000C5C33" w:rsidRDefault="00AB0510" w:rsidP="002677FF">
            <w:pPr>
              <w:spacing w:before="60" w:afterLines="60" w:after="144" w:line="240" w:lineRule="auto"/>
              <w:rPr>
                <w:rFonts w:cs="Calibri"/>
              </w:rPr>
            </w:pPr>
            <w:r>
              <w:rPr>
                <w:rFonts w:cs="Calibri"/>
              </w:rPr>
              <w:t xml:space="preserve">A </w:t>
            </w:r>
            <w:r w:rsidR="00DF4E37">
              <w:rPr>
                <w:rFonts w:cs="Calibri"/>
              </w:rPr>
              <w:t>Contract</w:t>
            </w:r>
            <w:r>
              <w:rPr>
                <w:rFonts w:cs="Calibri"/>
              </w:rPr>
              <w:t xml:space="preserve"> between the Department and an </w:t>
            </w:r>
            <w:r w:rsidR="00DF4E37">
              <w:rPr>
                <w:rFonts w:cs="Calibri"/>
              </w:rPr>
              <w:t>ISMAA Provider</w:t>
            </w:r>
            <w:r>
              <w:rPr>
                <w:rFonts w:cs="Calibri"/>
              </w:rPr>
              <w:t xml:space="preserve"> to provide Services in relation to the ISMAA program.</w:t>
            </w:r>
          </w:p>
        </w:tc>
      </w:tr>
      <w:tr w:rsidR="000E56FC" w:rsidRPr="000C5C33" w:rsidTr="00745A1C">
        <w:tc>
          <w:tcPr>
            <w:tcW w:w="2977" w:type="dxa"/>
            <w:tcBorders>
              <w:left w:val="single" w:sz="4" w:space="0" w:color="auto"/>
              <w:right w:val="single" w:sz="4" w:space="0" w:color="auto"/>
            </w:tcBorders>
            <w:shd w:val="clear" w:color="auto" w:fill="auto"/>
            <w:vAlign w:val="center"/>
          </w:tcPr>
          <w:p w:rsidR="000E56FC" w:rsidRDefault="000E56FC" w:rsidP="00745A1C">
            <w:pPr>
              <w:pStyle w:val="AASSOGSLEVEL3"/>
              <w:spacing w:before="120" w:after="120" w:line="240" w:lineRule="auto"/>
              <w:rPr>
                <w:rFonts w:cs="Calibri"/>
              </w:rPr>
            </w:pPr>
            <w:r>
              <w:rPr>
                <w:rFonts w:cs="Calibri"/>
              </w:rPr>
              <w:t>Commenced Individual Mentoring Plan</w:t>
            </w:r>
          </w:p>
        </w:tc>
        <w:tc>
          <w:tcPr>
            <w:tcW w:w="7812" w:type="dxa"/>
            <w:gridSpan w:val="2"/>
            <w:tcBorders>
              <w:left w:val="single" w:sz="4" w:space="0" w:color="auto"/>
              <w:right w:val="single" w:sz="4" w:space="0" w:color="auto"/>
            </w:tcBorders>
            <w:shd w:val="clear" w:color="auto" w:fill="auto"/>
            <w:vAlign w:val="center"/>
          </w:tcPr>
          <w:p w:rsidR="000E56FC" w:rsidRDefault="000E56FC" w:rsidP="00446315">
            <w:pPr>
              <w:spacing w:before="60" w:afterLines="60" w:after="144" w:line="240" w:lineRule="auto"/>
              <w:rPr>
                <w:rFonts w:cs="Calibri"/>
              </w:rPr>
            </w:pPr>
            <w:r>
              <w:rPr>
                <w:rFonts w:cs="Calibri"/>
              </w:rPr>
              <w:t xml:space="preserve">An Individual Mentoring Plan is considered </w:t>
            </w:r>
            <w:r w:rsidR="00DF4E37">
              <w:rPr>
                <w:rFonts w:cs="Calibri"/>
              </w:rPr>
              <w:t>Commenced</w:t>
            </w:r>
            <w:r>
              <w:rPr>
                <w:rFonts w:cs="Calibri"/>
              </w:rPr>
              <w:t xml:space="preserve"> when the key information regarding the </w:t>
            </w:r>
            <w:r w:rsidR="00AB0510">
              <w:rPr>
                <w:rFonts w:cs="Calibri"/>
              </w:rPr>
              <w:t>Client</w:t>
            </w:r>
            <w:r>
              <w:rPr>
                <w:rFonts w:cs="Calibri"/>
              </w:rPr>
              <w:t xml:space="preserve"> and mentoring arrangements are completed (Sections 1,</w:t>
            </w:r>
            <w:r w:rsidR="00977EB3">
              <w:rPr>
                <w:rFonts w:cs="Calibri"/>
              </w:rPr>
              <w:t xml:space="preserve"> </w:t>
            </w:r>
            <w:r>
              <w:rPr>
                <w:rFonts w:cs="Calibri"/>
              </w:rPr>
              <w:t>2 &amp; 3) and it is signed by both parties (Section 4).</w:t>
            </w:r>
            <w:r w:rsidR="00C41EDA">
              <w:rPr>
                <w:rFonts w:cs="Calibri"/>
              </w:rPr>
              <w:t xml:space="preserve"> See </w:t>
            </w:r>
            <w:r w:rsidR="00446315">
              <w:rPr>
                <w:rFonts w:cs="Calibri"/>
              </w:rPr>
              <w:t xml:space="preserve">Program Guidelines </w:t>
            </w:r>
            <w:r w:rsidR="00C41EDA">
              <w:rPr>
                <w:rFonts w:cs="Calibri"/>
              </w:rPr>
              <w:t>Attachment</w:t>
            </w:r>
            <w:r w:rsidR="00D254C5">
              <w:rPr>
                <w:rFonts w:cs="Calibri"/>
              </w:rPr>
              <w:t>s</w:t>
            </w:r>
            <w:r w:rsidR="00C41EDA">
              <w:rPr>
                <w:rFonts w:cs="Calibri"/>
              </w:rPr>
              <w:t xml:space="preserve"> for template.</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1A64C9" w:rsidP="00745A1C">
            <w:pPr>
              <w:pStyle w:val="AASSOGSLEVEL3"/>
              <w:spacing w:before="120" w:after="120" w:line="240" w:lineRule="auto"/>
              <w:rPr>
                <w:rFonts w:cs="Calibri"/>
              </w:rPr>
            </w:pPr>
            <w:bookmarkStart w:id="7" w:name="_Toc393442763"/>
            <w:r>
              <w:rPr>
                <w:rFonts w:cs="Calibri"/>
              </w:rPr>
              <w:lastRenderedPageBreak/>
              <w:t xml:space="preserve">Contract </w:t>
            </w:r>
            <w:r w:rsidRPr="000C5C33">
              <w:rPr>
                <w:rFonts w:cs="Calibri"/>
              </w:rPr>
              <w:t>Period</w:t>
            </w:r>
            <w:bookmarkEnd w:id="7"/>
          </w:p>
        </w:tc>
        <w:tc>
          <w:tcPr>
            <w:tcW w:w="7812" w:type="dxa"/>
            <w:gridSpan w:val="2"/>
            <w:tcBorders>
              <w:left w:val="single" w:sz="4" w:space="0" w:color="auto"/>
              <w:right w:val="single" w:sz="4" w:space="0" w:color="auto"/>
            </w:tcBorders>
            <w:shd w:val="clear" w:color="auto" w:fill="auto"/>
            <w:vAlign w:val="center"/>
          </w:tcPr>
          <w:p w:rsidR="001A64C9" w:rsidRPr="000C5C33" w:rsidRDefault="001A64C9" w:rsidP="002677FF">
            <w:pPr>
              <w:spacing w:before="60" w:afterLines="60" w:after="144" w:line="240" w:lineRule="auto"/>
              <w:rPr>
                <w:rFonts w:cs="Calibri"/>
              </w:rPr>
            </w:pPr>
            <w:r w:rsidRPr="000C5C33">
              <w:rPr>
                <w:rFonts w:cs="Calibri"/>
              </w:rPr>
              <w:t xml:space="preserve">The </w:t>
            </w:r>
            <w:r w:rsidR="00B93853">
              <w:rPr>
                <w:rFonts w:cs="Calibri"/>
              </w:rPr>
              <w:t>term</w:t>
            </w:r>
            <w:r w:rsidRPr="000C5C33">
              <w:rPr>
                <w:rFonts w:cs="Calibri"/>
              </w:rPr>
              <w:t xml:space="preserve"> of the </w:t>
            </w:r>
            <w:r w:rsidR="00DF4E37">
              <w:rPr>
                <w:rFonts w:cs="Calibri"/>
              </w:rPr>
              <w:t>Contract</w:t>
            </w:r>
            <w:r w:rsidR="00B93853">
              <w:rPr>
                <w:rFonts w:cs="Calibri"/>
              </w:rPr>
              <w:t xml:space="preserve">, that is, </w:t>
            </w:r>
            <w:r w:rsidRPr="000C5C33">
              <w:rPr>
                <w:rFonts w:cs="Calibri"/>
              </w:rPr>
              <w:t xml:space="preserve">from </w:t>
            </w:r>
            <w:r w:rsidR="00477728">
              <w:rPr>
                <w:rFonts w:cs="Calibri"/>
              </w:rPr>
              <w:t xml:space="preserve">execution of the </w:t>
            </w:r>
            <w:r w:rsidR="00B93853">
              <w:rPr>
                <w:rFonts w:cs="Calibri"/>
              </w:rPr>
              <w:t>C</w:t>
            </w:r>
            <w:r w:rsidR="00477728">
              <w:rPr>
                <w:rFonts w:cs="Calibri"/>
              </w:rPr>
              <w:t>ontract</w:t>
            </w:r>
            <w:r w:rsidRPr="000C5C33">
              <w:rPr>
                <w:rFonts w:cs="Calibri"/>
              </w:rPr>
              <w:t xml:space="preserve"> to 3</w:t>
            </w:r>
            <w:r w:rsidR="00477728">
              <w:rPr>
                <w:rFonts w:cs="Calibri"/>
              </w:rPr>
              <w:t>1</w:t>
            </w:r>
            <w:r w:rsidRPr="000C5C33">
              <w:rPr>
                <w:rFonts w:cs="Calibri"/>
              </w:rPr>
              <w:t xml:space="preserve"> </w:t>
            </w:r>
            <w:r w:rsidR="00477728">
              <w:rPr>
                <w:rFonts w:cs="Calibri"/>
              </w:rPr>
              <w:t>December</w:t>
            </w:r>
            <w:r w:rsidRPr="000C5C33">
              <w:rPr>
                <w:rFonts w:cs="Calibri"/>
              </w:rPr>
              <w:t xml:space="preserve"> 201</w:t>
            </w:r>
            <w:r>
              <w:rPr>
                <w:rFonts w:cs="Calibri"/>
              </w:rPr>
              <w:t>9</w:t>
            </w:r>
            <w:r w:rsidRPr="000C5C33">
              <w:rPr>
                <w:rFonts w:cs="Calibri"/>
              </w:rPr>
              <w:t>.</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Default="001A64C9" w:rsidP="00745A1C">
            <w:pPr>
              <w:pStyle w:val="AASSOGSLEVEL3"/>
              <w:spacing w:before="120" w:after="120" w:line="240" w:lineRule="auto"/>
              <w:rPr>
                <w:rFonts w:cs="Calibri"/>
              </w:rPr>
            </w:pPr>
            <w:r>
              <w:rPr>
                <w:rFonts w:cs="Calibri"/>
              </w:rPr>
              <w:t>Contract region</w:t>
            </w:r>
          </w:p>
        </w:tc>
        <w:tc>
          <w:tcPr>
            <w:tcW w:w="7812" w:type="dxa"/>
            <w:gridSpan w:val="2"/>
            <w:tcBorders>
              <w:left w:val="single" w:sz="4" w:space="0" w:color="auto"/>
              <w:right w:val="single" w:sz="4" w:space="0" w:color="auto"/>
            </w:tcBorders>
            <w:shd w:val="clear" w:color="auto" w:fill="auto"/>
            <w:vAlign w:val="center"/>
          </w:tcPr>
          <w:p w:rsidR="001A64C9" w:rsidRPr="000C5C33" w:rsidRDefault="001A64C9" w:rsidP="002677FF">
            <w:pPr>
              <w:spacing w:before="60" w:afterLines="60" w:after="144" w:line="240" w:lineRule="auto"/>
              <w:rPr>
                <w:rFonts w:cs="Calibri"/>
              </w:rPr>
            </w:pPr>
            <w:r>
              <w:rPr>
                <w:rFonts w:cs="Calibri"/>
              </w:rPr>
              <w:t xml:space="preserve">The geographic area as defined in </w:t>
            </w:r>
            <w:r w:rsidR="001E51F4">
              <w:rPr>
                <w:rFonts w:cs="Calibri"/>
              </w:rPr>
              <w:t>Your</w:t>
            </w:r>
            <w:r>
              <w:rPr>
                <w:rFonts w:cs="Calibri"/>
              </w:rPr>
              <w:t xml:space="preserve"> </w:t>
            </w:r>
            <w:r w:rsidR="00B93853">
              <w:rPr>
                <w:rFonts w:cs="Calibri"/>
              </w:rPr>
              <w:t>C</w:t>
            </w:r>
            <w:r>
              <w:rPr>
                <w:rFonts w:cs="Calibri"/>
              </w:rPr>
              <w:t xml:space="preserve">ontract where </w:t>
            </w:r>
            <w:r w:rsidR="00B93853">
              <w:rPr>
                <w:rFonts w:cs="Calibri"/>
              </w:rPr>
              <w:t>Y</w:t>
            </w:r>
            <w:r w:rsidR="00E47D93">
              <w:rPr>
                <w:rFonts w:cs="Calibri"/>
              </w:rPr>
              <w:t>ou</w:t>
            </w:r>
            <w:r>
              <w:rPr>
                <w:rFonts w:cs="Calibri"/>
              </w:rPr>
              <w:t xml:space="preserve"> will deliver </w:t>
            </w:r>
            <w:r w:rsidR="00B93853">
              <w:rPr>
                <w:rFonts w:cs="Calibri"/>
              </w:rPr>
              <w:t>S</w:t>
            </w:r>
            <w:r>
              <w:rPr>
                <w:rFonts w:cs="Calibri"/>
              </w:rPr>
              <w:t xml:space="preserve">ervices under the </w:t>
            </w:r>
            <w:r w:rsidR="00471CF3">
              <w:rPr>
                <w:rFonts w:cs="Calibri"/>
              </w:rPr>
              <w:t>p</w:t>
            </w:r>
            <w:r>
              <w:rPr>
                <w:rFonts w:cs="Calibri"/>
              </w:rPr>
              <w:t>rogram.</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1A64C9" w:rsidP="00B93853">
            <w:pPr>
              <w:pStyle w:val="AASSOGSLEVEL3"/>
              <w:spacing w:before="120" w:after="120" w:line="240" w:lineRule="auto"/>
              <w:rPr>
                <w:rFonts w:cs="Calibri"/>
              </w:rPr>
            </w:pPr>
            <w:bookmarkStart w:id="8" w:name="_Toc393442766"/>
            <w:r>
              <w:rPr>
                <w:rFonts w:cs="Calibri"/>
              </w:rPr>
              <w:t>Department</w:t>
            </w:r>
            <w:bookmarkEnd w:id="8"/>
          </w:p>
        </w:tc>
        <w:tc>
          <w:tcPr>
            <w:tcW w:w="7812" w:type="dxa"/>
            <w:gridSpan w:val="2"/>
            <w:tcBorders>
              <w:left w:val="single" w:sz="4" w:space="0" w:color="auto"/>
              <w:right w:val="single" w:sz="4" w:space="0" w:color="auto"/>
            </w:tcBorders>
            <w:shd w:val="clear" w:color="auto" w:fill="auto"/>
            <w:vAlign w:val="center"/>
          </w:tcPr>
          <w:p w:rsidR="001A64C9" w:rsidRPr="000C5C33" w:rsidRDefault="001A64C9" w:rsidP="002677FF">
            <w:pPr>
              <w:spacing w:before="60" w:afterLines="60" w:after="144" w:line="240" w:lineRule="auto"/>
              <w:rPr>
                <w:rFonts w:cs="Calibri"/>
              </w:rPr>
            </w:pPr>
            <w:r w:rsidRPr="00F76255">
              <w:rPr>
                <w:rFonts w:cs="Calibri"/>
              </w:rPr>
              <w:t>The Australian Government Department</w:t>
            </w:r>
            <w:r w:rsidR="00B93853">
              <w:rPr>
                <w:rFonts w:cs="Calibri"/>
              </w:rPr>
              <w:t xml:space="preserve"> of Education and Training</w:t>
            </w:r>
            <w:r w:rsidRPr="00F76255">
              <w:rPr>
                <w:rFonts w:cs="Calibri"/>
              </w:rPr>
              <w:t xml:space="preserve"> with responsibility for </w:t>
            </w:r>
            <w:r w:rsidR="00C41EDA">
              <w:rPr>
                <w:rFonts w:cs="Calibri"/>
              </w:rPr>
              <w:t>management of ISMAA program</w:t>
            </w:r>
            <w:r>
              <w:rPr>
                <w:rFonts w:cs="Calibri"/>
              </w:rPr>
              <w:t xml:space="preserve">. </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1A64C9" w:rsidP="00B93853">
            <w:pPr>
              <w:pStyle w:val="AASSOGSLEVEL3"/>
              <w:spacing w:before="120" w:after="120" w:line="240" w:lineRule="auto"/>
              <w:rPr>
                <w:rFonts w:cs="Calibri"/>
              </w:rPr>
            </w:pPr>
            <w:bookmarkStart w:id="9" w:name="_Toc393442767"/>
            <w:r>
              <w:rPr>
                <w:rFonts w:cs="Calibri"/>
              </w:rPr>
              <w:t xml:space="preserve">Department </w:t>
            </w:r>
            <w:r w:rsidRPr="000C5C33">
              <w:rPr>
                <w:rFonts w:cs="Calibri"/>
              </w:rPr>
              <w:t>website</w:t>
            </w:r>
            <w:bookmarkEnd w:id="9"/>
          </w:p>
        </w:tc>
        <w:tc>
          <w:tcPr>
            <w:tcW w:w="7812" w:type="dxa"/>
            <w:gridSpan w:val="2"/>
            <w:tcBorders>
              <w:left w:val="single" w:sz="4" w:space="0" w:color="auto"/>
              <w:right w:val="single" w:sz="4" w:space="0" w:color="auto"/>
            </w:tcBorders>
            <w:shd w:val="clear" w:color="auto" w:fill="auto"/>
            <w:vAlign w:val="center"/>
          </w:tcPr>
          <w:p w:rsidR="001A64C9" w:rsidRPr="000C5C33" w:rsidRDefault="0082765A" w:rsidP="002677FF">
            <w:pPr>
              <w:spacing w:before="60" w:afterLines="60" w:after="144" w:line="240" w:lineRule="auto"/>
              <w:rPr>
                <w:rFonts w:cs="Calibri"/>
              </w:rPr>
            </w:pPr>
            <w:hyperlink r:id="rId11" w:history="1">
              <w:r w:rsidR="001A64C9" w:rsidRPr="009B6EEA">
                <w:rPr>
                  <w:rStyle w:val="Hyperlink"/>
                  <w:rFonts w:cs="Calibri"/>
                </w:rPr>
                <w:t>www.education.gov.au</w:t>
              </w:r>
            </w:hyperlink>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832ED7" w:rsidRDefault="00FD1056" w:rsidP="00745A1C">
            <w:pPr>
              <w:pStyle w:val="AASSOGSLEVEL3"/>
              <w:spacing w:before="120" w:after="120" w:line="240" w:lineRule="auto"/>
              <w:rPr>
                <w:rFonts w:cs="Calibri"/>
              </w:rPr>
            </w:pPr>
            <w:r>
              <w:rPr>
                <w:rFonts w:cs="Calibri"/>
              </w:rPr>
              <w:t>Face-to-face</w:t>
            </w:r>
            <w:r w:rsidR="001A64C9">
              <w:rPr>
                <w:rFonts w:cs="Calibri"/>
              </w:rPr>
              <w:t xml:space="preserve"> contact</w:t>
            </w:r>
          </w:p>
        </w:tc>
        <w:tc>
          <w:tcPr>
            <w:tcW w:w="7812" w:type="dxa"/>
            <w:gridSpan w:val="2"/>
            <w:tcBorders>
              <w:left w:val="single" w:sz="4" w:space="0" w:color="auto"/>
              <w:right w:val="single" w:sz="4" w:space="0" w:color="auto"/>
            </w:tcBorders>
            <w:shd w:val="clear" w:color="auto" w:fill="auto"/>
            <w:vAlign w:val="center"/>
          </w:tcPr>
          <w:p w:rsidR="001A64C9" w:rsidRPr="00832ED7" w:rsidRDefault="00B93853" w:rsidP="002677FF">
            <w:pPr>
              <w:spacing w:before="60" w:afterLines="60" w:after="144" w:line="240" w:lineRule="auto"/>
              <w:rPr>
                <w:rFonts w:cs="Arial"/>
              </w:rPr>
            </w:pPr>
            <w:r>
              <w:rPr>
                <w:rFonts w:cs="Arial"/>
              </w:rPr>
              <w:t>This is considered, f</w:t>
            </w:r>
            <w:r w:rsidR="001A64C9">
              <w:rPr>
                <w:rFonts w:cs="Arial"/>
              </w:rPr>
              <w:t xml:space="preserve">or the purpose of this program, </w:t>
            </w:r>
            <w:r>
              <w:rPr>
                <w:rFonts w:cs="Arial"/>
              </w:rPr>
              <w:t xml:space="preserve">to be meeting in person with an individual. This excludes Contact undertaken via a visual electronic mechanism </w:t>
            </w:r>
            <w:r w:rsidR="001A64C9">
              <w:rPr>
                <w:rFonts w:cs="Arial"/>
              </w:rPr>
              <w:t>such as utilising Skype or FaceTime</w:t>
            </w:r>
            <w:r>
              <w:rPr>
                <w:rFonts w:cs="Arial"/>
              </w:rPr>
              <w:t>.</w:t>
            </w:r>
          </w:p>
        </w:tc>
      </w:tr>
      <w:tr w:rsidR="001A64C9" w:rsidRPr="00EA6E32" w:rsidTr="00745A1C">
        <w:tc>
          <w:tcPr>
            <w:tcW w:w="2977" w:type="dxa"/>
            <w:tcBorders>
              <w:left w:val="single" w:sz="4" w:space="0" w:color="auto"/>
              <w:right w:val="single" w:sz="4" w:space="0" w:color="auto"/>
            </w:tcBorders>
            <w:shd w:val="clear" w:color="auto" w:fill="auto"/>
            <w:vAlign w:val="center"/>
          </w:tcPr>
          <w:p w:rsidR="001A64C9" w:rsidRDefault="001A64C9" w:rsidP="00745A1C">
            <w:pPr>
              <w:pStyle w:val="AASSOGSLEVEL3"/>
              <w:spacing w:before="120" w:after="120" w:line="240" w:lineRule="auto"/>
              <w:rPr>
                <w:rFonts w:cs="Calibri"/>
              </w:rPr>
            </w:pPr>
            <w:r>
              <w:rPr>
                <w:rFonts w:cs="Calibri"/>
              </w:rPr>
              <w:t>File Notes</w:t>
            </w:r>
          </w:p>
        </w:tc>
        <w:tc>
          <w:tcPr>
            <w:tcW w:w="7812" w:type="dxa"/>
            <w:gridSpan w:val="2"/>
            <w:tcBorders>
              <w:left w:val="single" w:sz="4" w:space="0" w:color="auto"/>
              <w:right w:val="single" w:sz="4" w:space="0" w:color="auto"/>
            </w:tcBorders>
            <w:shd w:val="clear" w:color="auto" w:fill="auto"/>
            <w:vAlign w:val="center"/>
          </w:tcPr>
          <w:p w:rsidR="001A64C9" w:rsidRPr="00EA6E32" w:rsidRDefault="00E34FEB" w:rsidP="002677FF">
            <w:pPr>
              <w:spacing w:before="60" w:afterLines="60" w:after="144" w:line="240" w:lineRule="auto"/>
              <w:rPr>
                <w:rFonts w:cs="Calibri"/>
              </w:rPr>
            </w:pPr>
            <w:r>
              <w:rPr>
                <w:rFonts w:cs="Calibri"/>
              </w:rPr>
              <w:t xml:space="preserve">Notes kept by </w:t>
            </w:r>
            <w:r w:rsidR="00DF4E37">
              <w:rPr>
                <w:rFonts w:cs="Calibri"/>
              </w:rPr>
              <w:t>ISMAA Provider</w:t>
            </w:r>
            <w:r w:rsidR="001A64C9">
              <w:rPr>
                <w:rFonts w:cs="Calibri"/>
              </w:rPr>
              <w:t>s of their interactions</w:t>
            </w:r>
            <w:r>
              <w:rPr>
                <w:rFonts w:cs="Calibri"/>
              </w:rPr>
              <w:t xml:space="preserve"> and Contacts</w:t>
            </w:r>
            <w:r w:rsidR="001A64C9">
              <w:rPr>
                <w:rFonts w:cs="Calibri"/>
              </w:rPr>
              <w:t xml:space="preserve"> with Australian Apprentices</w:t>
            </w:r>
            <w:r>
              <w:rPr>
                <w:rFonts w:cs="Calibri"/>
              </w:rPr>
              <w:t xml:space="preserve"> </w:t>
            </w:r>
            <w:r w:rsidR="001A64C9">
              <w:rPr>
                <w:rFonts w:cs="Calibri"/>
              </w:rPr>
              <w:t>as part of the Individual Mentoring Plan (IMP).</w:t>
            </w:r>
          </w:p>
        </w:tc>
      </w:tr>
      <w:tr w:rsidR="000E56FC" w:rsidRPr="00EA6E32" w:rsidTr="00745A1C">
        <w:tc>
          <w:tcPr>
            <w:tcW w:w="2977" w:type="dxa"/>
            <w:tcBorders>
              <w:left w:val="single" w:sz="4" w:space="0" w:color="auto"/>
              <w:right w:val="single" w:sz="4" w:space="0" w:color="auto"/>
            </w:tcBorders>
            <w:shd w:val="clear" w:color="auto" w:fill="auto"/>
            <w:vAlign w:val="center"/>
          </w:tcPr>
          <w:p w:rsidR="000E56FC" w:rsidRDefault="000E56FC" w:rsidP="00745A1C">
            <w:pPr>
              <w:pStyle w:val="AASSOGSLEVEL3"/>
              <w:spacing w:before="120" w:after="120" w:line="240" w:lineRule="auto"/>
              <w:rPr>
                <w:rFonts w:cs="Calibri"/>
              </w:rPr>
            </w:pPr>
            <w:r>
              <w:rPr>
                <w:rFonts w:cs="Calibri"/>
              </w:rPr>
              <w:t>Finalised Individual Mentoring Plan</w:t>
            </w:r>
          </w:p>
        </w:tc>
        <w:tc>
          <w:tcPr>
            <w:tcW w:w="7812" w:type="dxa"/>
            <w:gridSpan w:val="2"/>
            <w:tcBorders>
              <w:left w:val="single" w:sz="4" w:space="0" w:color="auto"/>
              <w:right w:val="single" w:sz="4" w:space="0" w:color="auto"/>
            </w:tcBorders>
            <w:shd w:val="clear" w:color="auto" w:fill="auto"/>
            <w:vAlign w:val="center"/>
          </w:tcPr>
          <w:p w:rsidR="000E56FC" w:rsidRDefault="000E56FC" w:rsidP="002677FF">
            <w:pPr>
              <w:spacing w:before="60" w:afterLines="60" w:after="144" w:line="240" w:lineRule="auto"/>
              <w:rPr>
                <w:rFonts w:cs="Calibri"/>
              </w:rPr>
            </w:pPr>
            <w:r>
              <w:rPr>
                <w:rFonts w:cs="Calibri"/>
              </w:rPr>
              <w:t xml:space="preserve">An </w:t>
            </w:r>
            <w:r w:rsidR="00D42A52">
              <w:rPr>
                <w:rFonts w:cs="Calibri"/>
              </w:rPr>
              <w:t>IMP</w:t>
            </w:r>
            <w:r>
              <w:rPr>
                <w:rFonts w:cs="Calibri"/>
              </w:rPr>
              <w:t xml:space="preserve"> is considered </w:t>
            </w:r>
            <w:r w:rsidR="00DF4E37">
              <w:rPr>
                <w:rFonts w:cs="Calibri"/>
              </w:rPr>
              <w:t>Finalised</w:t>
            </w:r>
            <w:r>
              <w:rPr>
                <w:rFonts w:cs="Calibri"/>
              </w:rPr>
              <w:t xml:space="preserve"> when all aspects of the mentoring </w:t>
            </w:r>
            <w:r w:rsidR="0059627D">
              <w:rPr>
                <w:rFonts w:cs="Calibri"/>
              </w:rPr>
              <w:t>C</w:t>
            </w:r>
            <w:r>
              <w:rPr>
                <w:rFonts w:cs="Calibri"/>
              </w:rPr>
              <w:t xml:space="preserve">ontacts have been </w:t>
            </w:r>
            <w:r w:rsidR="00DF4E37">
              <w:rPr>
                <w:rFonts w:cs="Calibri"/>
              </w:rPr>
              <w:t>Finalised</w:t>
            </w:r>
            <w:r>
              <w:rPr>
                <w:rFonts w:cs="Calibri"/>
              </w:rPr>
              <w:t xml:space="preserve"> and both parties have signed and an outcome is recorded (Sections 5 &amp; 6 are completed).</w:t>
            </w:r>
          </w:p>
        </w:tc>
      </w:tr>
      <w:tr w:rsidR="001A64C9" w:rsidRPr="00EA6E32" w:rsidTr="00745A1C">
        <w:tc>
          <w:tcPr>
            <w:tcW w:w="2977" w:type="dxa"/>
            <w:tcBorders>
              <w:left w:val="single" w:sz="4" w:space="0" w:color="auto"/>
              <w:right w:val="single" w:sz="4" w:space="0" w:color="auto"/>
            </w:tcBorders>
            <w:shd w:val="clear" w:color="auto" w:fill="auto"/>
            <w:vAlign w:val="center"/>
          </w:tcPr>
          <w:p w:rsidR="001A64C9" w:rsidRDefault="001A64C9" w:rsidP="00745A1C">
            <w:pPr>
              <w:pStyle w:val="AASSOGSLEVEL3"/>
              <w:spacing w:before="120" w:after="120" w:line="240" w:lineRule="auto"/>
              <w:rPr>
                <w:rFonts w:cs="Calibri"/>
              </w:rPr>
            </w:pPr>
            <w:r>
              <w:rPr>
                <w:rFonts w:cs="Calibri"/>
              </w:rPr>
              <w:t>First two years of training</w:t>
            </w:r>
          </w:p>
        </w:tc>
        <w:tc>
          <w:tcPr>
            <w:tcW w:w="7812" w:type="dxa"/>
            <w:gridSpan w:val="2"/>
            <w:tcBorders>
              <w:left w:val="single" w:sz="4" w:space="0" w:color="auto"/>
              <w:right w:val="single" w:sz="4" w:space="0" w:color="auto"/>
            </w:tcBorders>
            <w:shd w:val="clear" w:color="auto" w:fill="auto"/>
            <w:vAlign w:val="center"/>
          </w:tcPr>
          <w:p w:rsidR="00354FDD" w:rsidRDefault="00354FDD" w:rsidP="002677FF">
            <w:pPr>
              <w:spacing w:beforeLines="60" w:before="144" w:afterLines="60" w:after="144" w:line="240" w:lineRule="auto"/>
            </w:pPr>
            <w:r>
              <w:t>For the purpose of the ISMAA program, the first two years of training is defined as:</w:t>
            </w:r>
          </w:p>
          <w:p w:rsidR="00354FDD" w:rsidRPr="003C1BBB" w:rsidRDefault="00354FDD"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t</w:t>
            </w:r>
            <w:r w:rsidRPr="003C1BBB">
              <w:rPr>
                <w:rFonts w:ascii="Calibri" w:eastAsia="Times New Roman" w:hAnsi="Calibri" w:cs="Arial"/>
                <w:lang w:eastAsia="en-AU"/>
              </w:rPr>
              <w:t>he cumulative time spent in an apprenticeship</w:t>
            </w:r>
            <w:r>
              <w:rPr>
                <w:rFonts w:ascii="Calibri" w:eastAsia="Times New Roman" w:hAnsi="Calibri" w:cs="Arial"/>
                <w:lang w:eastAsia="en-AU"/>
              </w:rPr>
              <w:t xml:space="preserve"> that</w:t>
            </w:r>
            <w:r w:rsidRPr="003C1BBB">
              <w:rPr>
                <w:rFonts w:ascii="Calibri" w:eastAsia="Times New Roman" w:hAnsi="Calibri" w:cs="Arial"/>
                <w:lang w:eastAsia="en-AU"/>
              </w:rPr>
              <w:t xml:space="preserve"> is less than or equal to 24 months or 730 days</w:t>
            </w:r>
            <w:r>
              <w:rPr>
                <w:rFonts w:ascii="Calibri" w:eastAsia="Times New Roman" w:hAnsi="Calibri" w:cs="Arial"/>
                <w:lang w:eastAsia="en-AU"/>
              </w:rPr>
              <w:t>; or</w:t>
            </w:r>
          </w:p>
          <w:p w:rsidR="00354FDD" w:rsidRDefault="00354FDD"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pPr>
            <w:r>
              <w:rPr>
                <w:rFonts w:ascii="Calibri" w:eastAsia="Times New Roman" w:hAnsi="Calibri" w:cs="Arial"/>
                <w:lang w:eastAsia="en-AU"/>
              </w:rPr>
              <w:t>w</w:t>
            </w:r>
            <w:r w:rsidRPr="003C1BBB">
              <w:rPr>
                <w:rFonts w:ascii="Calibri" w:eastAsia="Times New Roman" w:hAnsi="Calibri" w:cs="Arial"/>
                <w:lang w:eastAsia="en-AU"/>
              </w:rPr>
              <w:t>here an apprenticeship is being undertaken part</w:t>
            </w:r>
            <w:r>
              <w:rPr>
                <w:rFonts w:ascii="Calibri" w:eastAsia="Times New Roman" w:hAnsi="Calibri" w:cs="Arial"/>
                <w:lang w:eastAsia="en-AU"/>
              </w:rPr>
              <w:t>-</w:t>
            </w:r>
            <w:r w:rsidRPr="003C1BBB">
              <w:rPr>
                <w:rFonts w:ascii="Calibri" w:eastAsia="Times New Roman" w:hAnsi="Calibri" w:cs="Arial"/>
                <w:lang w:eastAsia="en-AU"/>
              </w:rPr>
              <w:t>time this is counted as 50% of the full</w:t>
            </w:r>
            <w:r>
              <w:rPr>
                <w:rFonts w:ascii="Calibri" w:eastAsia="Times New Roman" w:hAnsi="Calibri" w:cs="Arial"/>
                <w:lang w:eastAsia="en-AU"/>
              </w:rPr>
              <w:t>-</w:t>
            </w:r>
            <w:r w:rsidRPr="003C1BBB">
              <w:rPr>
                <w:rFonts w:ascii="Calibri" w:eastAsia="Times New Roman" w:hAnsi="Calibri" w:cs="Arial"/>
                <w:lang w:eastAsia="en-AU"/>
              </w:rPr>
              <w:t>time equivalent. Therefore the cumulative time spent in an apprenticeship must be less than or equal to 48 months or 1460 days</w:t>
            </w:r>
            <w:r>
              <w:t>.</w:t>
            </w:r>
          </w:p>
          <w:p w:rsidR="00354FDD" w:rsidRDefault="00354FDD" w:rsidP="002677FF">
            <w:pPr>
              <w:spacing w:beforeLines="60" w:before="144" w:afterLines="60" w:after="144" w:line="240" w:lineRule="auto"/>
            </w:pPr>
            <w:r>
              <w:rPr>
                <w:b/>
              </w:rPr>
              <w:t>E</w:t>
            </w:r>
            <w:r w:rsidRPr="00CA5CB8">
              <w:rPr>
                <w:b/>
              </w:rPr>
              <w:t>xample:</w:t>
            </w:r>
            <w:r>
              <w:t xml:space="preserve"> Jane started her apprenticeship full-time on 1 November 2015 and left on 1 March 2016, completing four months. She then recommences her training in December 2017 in the same apprenticeship with a different employer. She is eligible to receive ISMAA support as she is within her first two years of training (she completed four months with her first employer) despite starting her training more than two years ago.</w:t>
            </w:r>
          </w:p>
          <w:p w:rsidR="00354FDD" w:rsidRDefault="00354FDD" w:rsidP="002677FF">
            <w:pPr>
              <w:spacing w:before="60" w:afterLines="60" w:after="144" w:line="240" w:lineRule="auto"/>
              <w:rPr>
                <w:rFonts w:cs="Calibri"/>
              </w:rPr>
            </w:pPr>
            <w:r w:rsidRPr="008D7518">
              <w:rPr>
                <w:b/>
              </w:rPr>
              <w:t>Example:</w:t>
            </w:r>
            <w:r w:rsidRPr="008D7518">
              <w:t xml:space="preserve"> John started his apprenticeship </w:t>
            </w:r>
            <w:r>
              <w:t>part-time</w:t>
            </w:r>
            <w:r w:rsidRPr="008D7518">
              <w:t xml:space="preserve"> on 1 January 2014 and left on 30 June 2014. He then recommences his training in January 2018 in the same apprenticeship with a different employer. He is eligible to receive ISMAA support as he is within his first two years of training (he completed </w:t>
            </w:r>
            <w:r>
              <w:t>three</w:t>
            </w:r>
            <w:r w:rsidRPr="008D7518">
              <w:t xml:space="preserve"> months </w:t>
            </w:r>
            <w:r>
              <w:t>full-time</w:t>
            </w:r>
            <w:r w:rsidRPr="008D7518">
              <w:t xml:space="preserve"> equivalent with his first employer) despite starting his training more than two years ago.</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1A64C9" w:rsidP="00745A1C">
            <w:pPr>
              <w:pStyle w:val="AASSOGSLEVEL3"/>
              <w:spacing w:before="120" w:after="120" w:line="240" w:lineRule="auto"/>
              <w:rPr>
                <w:rFonts w:cs="Calibri"/>
              </w:rPr>
            </w:pPr>
            <w:bookmarkStart w:id="10" w:name="_Toc393442789"/>
            <w:r>
              <w:rPr>
                <w:rFonts w:cs="Calibri"/>
              </w:rPr>
              <w:t xml:space="preserve">Fraud </w:t>
            </w:r>
            <w:r w:rsidRPr="000C5C33">
              <w:rPr>
                <w:rFonts w:cs="Calibri"/>
              </w:rPr>
              <w:t>Risk Management Plan</w:t>
            </w:r>
            <w:bookmarkEnd w:id="10"/>
            <w:r>
              <w:rPr>
                <w:rFonts w:cs="Calibri"/>
              </w:rPr>
              <w:t xml:space="preserve"> </w:t>
            </w:r>
          </w:p>
        </w:tc>
        <w:tc>
          <w:tcPr>
            <w:tcW w:w="7812" w:type="dxa"/>
            <w:gridSpan w:val="2"/>
            <w:tcBorders>
              <w:left w:val="single" w:sz="4" w:space="0" w:color="auto"/>
              <w:right w:val="single" w:sz="4" w:space="0" w:color="auto"/>
            </w:tcBorders>
            <w:shd w:val="clear" w:color="auto" w:fill="auto"/>
            <w:vAlign w:val="center"/>
          </w:tcPr>
          <w:p w:rsidR="001A64C9" w:rsidRDefault="001A64C9" w:rsidP="002677FF">
            <w:pPr>
              <w:spacing w:before="60" w:afterLines="60" w:after="144" w:line="240" w:lineRule="auto"/>
              <w:rPr>
                <w:rFonts w:cs="Arial"/>
              </w:rPr>
            </w:pPr>
            <w:r>
              <w:rPr>
                <w:rFonts w:cs="Arial"/>
              </w:rPr>
              <w:t>A plan that is de</w:t>
            </w:r>
            <w:r w:rsidR="00BA1D06">
              <w:rPr>
                <w:rFonts w:cs="Arial"/>
              </w:rPr>
              <w:t>veloped and implemented by</w:t>
            </w:r>
            <w:r>
              <w:rPr>
                <w:rFonts w:cs="Arial"/>
              </w:rPr>
              <w:t xml:space="preserve"> </w:t>
            </w:r>
            <w:r w:rsidR="00DF4E37">
              <w:rPr>
                <w:rFonts w:cs="Arial"/>
              </w:rPr>
              <w:t>Provider</w:t>
            </w:r>
            <w:r>
              <w:rPr>
                <w:rFonts w:cs="Arial"/>
              </w:rPr>
              <w:t xml:space="preserve">s covering the role they have in delivering ISMAA </w:t>
            </w:r>
            <w:r w:rsidR="00DF4E37">
              <w:rPr>
                <w:rFonts w:cs="Arial"/>
              </w:rPr>
              <w:t>Services</w:t>
            </w:r>
            <w:r>
              <w:rPr>
                <w:rFonts w:cs="Arial"/>
              </w:rPr>
              <w:t xml:space="preserve"> to Australian Apprentices. </w:t>
            </w:r>
          </w:p>
          <w:p w:rsidR="001A64C9" w:rsidRPr="00C67891" w:rsidRDefault="001A64C9" w:rsidP="002677FF">
            <w:pPr>
              <w:spacing w:before="60" w:afterLines="60" w:after="144" w:line="240" w:lineRule="auto"/>
              <w:rPr>
                <w:rFonts w:cs="Arial"/>
              </w:rPr>
            </w:pPr>
            <w:r>
              <w:rPr>
                <w:rFonts w:cs="Arial"/>
              </w:rPr>
              <w:t xml:space="preserve">Under the ISMAA </w:t>
            </w:r>
            <w:r w:rsidR="00DF4E37">
              <w:rPr>
                <w:rFonts w:cs="Arial"/>
              </w:rPr>
              <w:t>Contract</w:t>
            </w:r>
            <w:r>
              <w:rPr>
                <w:rFonts w:cs="Arial"/>
              </w:rPr>
              <w:t>, a Fraud Risk Management Plan should include</w:t>
            </w:r>
            <w:r w:rsidR="00C41EDA">
              <w:rPr>
                <w:rFonts w:cs="Arial"/>
              </w:rPr>
              <w:t xml:space="preserve"> </w:t>
            </w:r>
            <w:r w:rsidR="00C41EDA" w:rsidRPr="00C41EDA">
              <w:rPr>
                <w:rFonts w:cs="Arial"/>
              </w:rPr>
              <w:t>strategies for identifying, minimising and mitigating</w:t>
            </w:r>
            <w:r w:rsidR="00BA1D06">
              <w:rPr>
                <w:rFonts w:cs="Arial"/>
              </w:rPr>
              <w:t xml:space="preserve">: </w:t>
            </w:r>
            <w:r>
              <w:rPr>
                <w:rFonts w:cs="Arial"/>
              </w:rPr>
              <w:t>fraud;</w:t>
            </w:r>
            <w:r w:rsidR="00BA1D06">
              <w:rPr>
                <w:rFonts w:cs="Arial"/>
              </w:rPr>
              <w:t xml:space="preserve"> </w:t>
            </w:r>
            <w:r>
              <w:rPr>
                <w:rFonts w:cs="Arial"/>
              </w:rPr>
              <w:t>legal risks;</w:t>
            </w:r>
            <w:r w:rsidR="00D42A52">
              <w:rPr>
                <w:rFonts w:cs="Arial"/>
              </w:rPr>
              <w:t xml:space="preserve"> and</w:t>
            </w:r>
            <w:r w:rsidR="00BA1D06">
              <w:rPr>
                <w:rFonts w:cs="Arial"/>
              </w:rPr>
              <w:t xml:space="preserve"> other</w:t>
            </w:r>
            <w:r>
              <w:rPr>
                <w:rFonts w:cs="Arial"/>
              </w:rPr>
              <w:t xml:space="preserve"> potential and actual risks relating to business operation. </w:t>
            </w:r>
          </w:p>
        </w:tc>
      </w:tr>
      <w:tr w:rsidR="00062727" w:rsidRPr="000C5C33" w:rsidTr="00745A1C">
        <w:tc>
          <w:tcPr>
            <w:tcW w:w="2977" w:type="dxa"/>
            <w:tcBorders>
              <w:left w:val="single" w:sz="4" w:space="0" w:color="auto"/>
              <w:right w:val="single" w:sz="4" w:space="0" w:color="auto"/>
            </w:tcBorders>
            <w:shd w:val="clear" w:color="auto" w:fill="auto"/>
            <w:vAlign w:val="center"/>
          </w:tcPr>
          <w:p w:rsidR="00062727" w:rsidRDefault="00062727" w:rsidP="00745A1C">
            <w:pPr>
              <w:pStyle w:val="AASSOGSLEVEL3"/>
              <w:spacing w:before="120" w:after="120" w:line="240" w:lineRule="auto"/>
              <w:rPr>
                <w:rFonts w:cs="Calibri"/>
              </w:rPr>
            </w:pPr>
            <w:r>
              <w:rPr>
                <w:rFonts w:cs="Calibri"/>
              </w:rPr>
              <w:t>Guidelines</w:t>
            </w:r>
          </w:p>
        </w:tc>
        <w:tc>
          <w:tcPr>
            <w:tcW w:w="7812" w:type="dxa"/>
            <w:gridSpan w:val="2"/>
            <w:tcBorders>
              <w:left w:val="single" w:sz="4" w:space="0" w:color="auto"/>
              <w:right w:val="single" w:sz="4" w:space="0" w:color="auto"/>
            </w:tcBorders>
            <w:shd w:val="clear" w:color="auto" w:fill="auto"/>
            <w:vAlign w:val="center"/>
          </w:tcPr>
          <w:p w:rsidR="00062727" w:rsidRDefault="00062727" w:rsidP="002677FF">
            <w:pPr>
              <w:spacing w:before="60" w:afterLines="60" w:after="144" w:line="240" w:lineRule="auto"/>
              <w:rPr>
                <w:rFonts w:cs="Arial"/>
              </w:rPr>
            </w:pPr>
            <w:r>
              <w:rPr>
                <w:rFonts w:cs="Arial"/>
              </w:rPr>
              <w:t>This document which are the ISMAA program Guidelines.</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1A64C9" w:rsidP="00745A1C">
            <w:pPr>
              <w:pStyle w:val="AASSOGSLEVEL3"/>
              <w:spacing w:before="120" w:after="120" w:line="240" w:lineRule="auto"/>
              <w:rPr>
                <w:rFonts w:cs="Calibri"/>
              </w:rPr>
            </w:pPr>
            <w:bookmarkStart w:id="11" w:name="_Toc393442771"/>
            <w:r w:rsidRPr="000C5C33">
              <w:rPr>
                <w:rFonts w:cs="Calibri"/>
              </w:rPr>
              <w:lastRenderedPageBreak/>
              <w:t>Group Training Organisation (GTO)</w:t>
            </w:r>
            <w:bookmarkEnd w:id="11"/>
          </w:p>
        </w:tc>
        <w:tc>
          <w:tcPr>
            <w:tcW w:w="7812" w:type="dxa"/>
            <w:gridSpan w:val="2"/>
            <w:tcBorders>
              <w:left w:val="single" w:sz="4" w:space="0" w:color="auto"/>
              <w:right w:val="single" w:sz="4" w:space="0" w:color="auto"/>
            </w:tcBorders>
            <w:shd w:val="clear" w:color="auto" w:fill="auto"/>
            <w:vAlign w:val="center"/>
          </w:tcPr>
          <w:p w:rsidR="001A64C9" w:rsidRPr="000C5C33" w:rsidRDefault="00792192" w:rsidP="002677FF">
            <w:pPr>
              <w:spacing w:before="60" w:afterLines="60" w:after="144" w:line="240" w:lineRule="auto"/>
              <w:rPr>
                <w:rFonts w:cs="Calibri"/>
              </w:rPr>
            </w:pPr>
            <w:r w:rsidRPr="00792192">
              <w:rPr>
                <w:rFonts w:cs="Calibri"/>
              </w:rPr>
              <w:t xml:space="preserve">GTOs employ apprentices and trainees under a Training Contract and </w:t>
            </w:r>
            <w:r w:rsidR="001E51F4">
              <w:rPr>
                <w:rFonts w:cs="Calibri"/>
              </w:rPr>
              <w:t>place them with host employers.</w:t>
            </w:r>
            <w:r w:rsidRPr="00792192">
              <w:rPr>
                <w:rFonts w:cs="Calibri"/>
              </w:rPr>
              <w:t xml:space="preserve"> They undertake the employer responsibilities for the quality and continuity of the apprentices’ and trai</w:t>
            </w:r>
            <w:r w:rsidR="001E51F4">
              <w:rPr>
                <w:rFonts w:cs="Calibri"/>
              </w:rPr>
              <w:t>nees’ employment and training.</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F76255" w:rsidRDefault="001A64C9" w:rsidP="00745A1C">
            <w:pPr>
              <w:pStyle w:val="AASSOGSLEVEL3"/>
              <w:spacing w:before="120" w:after="120" w:line="240" w:lineRule="auto"/>
              <w:rPr>
                <w:rFonts w:cs="Calibri"/>
              </w:rPr>
            </w:pPr>
            <w:r>
              <w:rPr>
                <w:rFonts w:cs="Calibri"/>
              </w:rPr>
              <w:t>Individual Mentoring Plan (IMP)</w:t>
            </w:r>
          </w:p>
        </w:tc>
        <w:tc>
          <w:tcPr>
            <w:tcW w:w="7812" w:type="dxa"/>
            <w:gridSpan w:val="2"/>
            <w:tcBorders>
              <w:left w:val="single" w:sz="4" w:space="0" w:color="auto"/>
              <w:right w:val="single" w:sz="4" w:space="0" w:color="auto"/>
            </w:tcBorders>
            <w:shd w:val="clear" w:color="auto" w:fill="auto"/>
            <w:vAlign w:val="center"/>
          </w:tcPr>
          <w:p w:rsidR="001A64C9" w:rsidRPr="00F76255" w:rsidRDefault="001A64C9" w:rsidP="002677FF">
            <w:pPr>
              <w:spacing w:before="60" w:afterLines="60" w:after="144" w:line="240" w:lineRule="auto"/>
              <w:rPr>
                <w:rFonts w:cs="Calibri"/>
              </w:rPr>
            </w:pPr>
            <w:r>
              <w:rPr>
                <w:rFonts w:cs="Calibri"/>
              </w:rPr>
              <w:t xml:space="preserve">The formal </w:t>
            </w:r>
            <w:r w:rsidR="00792192">
              <w:rPr>
                <w:rFonts w:cs="Calibri"/>
              </w:rPr>
              <w:t xml:space="preserve">agreed </w:t>
            </w:r>
            <w:r>
              <w:rPr>
                <w:rFonts w:cs="Calibri"/>
              </w:rPr>
              <w:t>plan that details the service being provided by a mentor to an Australian Apprentice under the ISMAA program.</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EE1DBF" w:rsidRDefault="001A64C9" w:rsidP="00745A1C">
            <w:pPr>
              <w:pStyle w:val="AASSOGSLEVEL3"/>
              <w:spacing w:before="120" w:after="120" w:line="240" w:lineRule="auto"/>
              <w:rPr>
                <w:rFonts w:cs="Calibri"/>
              </w:rPr>
            </w:pPr>
            <w:r>
              <w:rPr>
                <w:rFonts w:cs="Calibri"/>
              </w:rPr>
              <w:t>In-training support</w:t>
            </w:r>
          </w:p>
        </w:tc>
        <w:tc>
          <w:tcPr>
            <w:tcW w:w="7812" w:type="dxa"/>
            <w:gridSpan w:val="2"/>
            <w:tcBorders>
              <w:left w:val="single" w:sz="4" w:space="0" w:color="auto"/>
              <w:right w:val="single" w:sz="4" w:space="0" w:color="auto"/>
            </w:tcBorders>
            <w:shd w:val="clear" w:color="auto" w:fill="auto"/>
            <w:vAlign w:val="center"/>
          </w:tcPr>
          <w:p w:rsidR="00477728" w:rsidRPr="00EE1DBF" w:rsidRDefault="00477728" w:rsidP="002677FF">
            <w:pPr>
              <w:spacing w:before="60" w:afterLines="60" w:after="144" w:line="240" w:lineRule="auto"/>
              <w:rPr>
                <w:rFonts w:cs="Arial"/>
              </w:rPr>
            </w:pPr>
            <w:r>
              <w:rPr>
                <w:rFonts w:cs="Arial"/>
              </w:rPr>
              <w:t xml:space="preserve">Support available from </w:t>
            </w:r>
            <w:r w:rsidR="00792192">
              <w:rPr>
                <w:rFonts w:cs="Arial"/>
              </w:rPr>
              <w:t xml:space="preserve">Apprenticeship Network </w:t>
            </w:r>
            <w:r w:rsidR="00DF4E37">
              <w:rPr>
                <w:rFonts w:cs="Arial"/>
              </w:rPr>
              <w:t>Provider</w:t>
            </w:r>
            <w:r>
              <w:rPr>
                <w:rFonts w:cs="Arial"/>
              </w:rPr>
              <w:t xml:space="preserve">s to eligible Australian Apprentices and their employers at any point of their training. </w:t>
            </w:r>
            <w:r w:rsidR="00062727">
              <w:rPr>
                <w:rFonts w:cs="Arial"/>
              </w:rPr>
              <w:t>This</w:t>
            </w:r>
            <w:r>
              <w:rPr>
                <w:rFonts w:cs="Arial"/>
              </w:rPr>
              <w:t xml:space="preserve"> support may involve one-off assistance or be ongoing</w:t>
            </w:r>
            <w:r w:rsidR="00062727">
              <w:rPr>
                <w:rFonts w:cs="Arial"/>
              </w:rPr>
              <w:t xml:space="preserve"> and </w:t>
            </w:r>
            <w:r>
              <w:rPr>
                <w:rFonts w:cs="Arial"/>
              </w:rPr>
              <w:t xml:space="preserve">is tailored to suit the needs of individuals. </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Default="001A64C9" w:rsidP="00745A1C">
            <w:pPr>
              <w:pStyle w:val="AASSOGSLEVEL3"/>
              <w:spacing w:before="120" w:after="120" w:line="240" w:lineRule="auto"/>
              <w:rPr>
                <w:rFonts w:cs="Calibri"/>
              </w:rPr>
            </w:pPr>
            <w:r>
              <w:rPr>
                <w:rFonts w:cs="Calibri"/>
              </w:rPr>
              <w:t>Industry Specialist Mentoring for Australian Apprentices (ISMAA) program</w:t>
            </w:r>
          </w:p>
        </w:tc>
        <w:tc>
          <w:tcPr>
            <w:tcW w:w="7812" w:type="dxa"/>
            <w:gridSpan w:val="2"/>
            <w:tcBorders>
              <w:left w:val="single" w:sz="4" w:space="0" w:color="auto"/>
              <w:right w:val="single" w:sz="4" w:space="0" w:color="auto"/>
            </w:tcBorders>
            <w:shd w:val="clear" w:color="auto" w:fill="auto"/>
            <w:vAlign w:val="center"/>
          </w:tcPr>
          <w:p w:rsidR="001A64C9" w:rsidRDefault="001A64C9" w:rsidP="002677FF">
            <w:pPr>
              <w:spacing w:before="60" w:afterLines="60" w:after="144" w:line="240" w:lineRule="auto"/>
              <w:rPr>
                <w:rFonts w:cs="Arial"/>
              </w:rPr>
            </w:pPr>
            <w:r w:rsidRPr="002360D2">
              <w:rPr>
                <w:rFonts w:cs="Arial"/>
              </w:rPr>
              <w:t xml:space="preserve">The </w:t>
            </w:r>
            <w:r>
              <w:rPr>
                <w:rFonts w:cs="Arial"/>
              </w:rPr>
              <w:t>ISMAA</w:t>
            </w:r>
            <w:r w:rsidRPr="002360D2">
              <w:rPr>
                <w:rFonts w:cs="Arial"/>
              </w:rPr>
              <w:t xml:space="preserve"> program </w:t>
            </w:r>
            <w:r>
              <w:rPr>
                <w:rFonts w:cs="Arial"/>
              </w:rPr>
              <w:t xml:space="preserve">was announced in the 2017-2018 Federal Budget and </w:t>
            </w:r>
            <w:r w:rsidRPr="002360D2">
              <w:rPr>
                <w:rFonts w:cs="Arial"/>
              </w:rPr>
              <w:t>will provide intensive support to apprentices and trainees in the first two years of their training in industries that are undergoing structural change.</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Default="001A64C9" w:rsidP="00745A1C">
            <w:pPr>
              <w:pStyle w:val="AASSOGSLEVEL3"/>
              <w:spacing w:before="120" w:after="120" w:line="240" w:lineRule="auto"/>
              <w:rPr>
                <w:rFonts w:cs="Calibri"/>
              </w:rPr>
            </w:pPr>
            <w:r>
              <w:rPr>
                <w:rFonts w:cs="Calibri"/>
              </w:rPr>
              <w:t xml:space="preserve">Industry Specialist Mentoring for Australian Apprentices </w:t>
            </w:r>
            <w:r w:rsidR="00DF4E37">
              <w:rPr>
                <w:rFonts w:cs="Calibri"/>
              </w:rPr>
              <w:t>Provider</w:t>
            </w:r>
            <w:r>
              <w:rPr>
                <w:rFonts w:cs="Calibri"/>
              </w:rPr>
              <w:t xml:space="preserve"> (</w:t>
            </w:r>
            <w:r w:rsidR="00DF4E37">
              <w:rPr>
                <w:rFonts w:cs="Calibri"/>
              </w:rPr>
              <w:t>ISMAA Provider</w:t>
            </w:r>
            <w:r>
              <w:rPr>
                <w:rFonts w:cs="Calibri"/>
              </w:rPr>
              <w:t xml:space="preserve"> or </w:t>
            </w:r>
            <w:r w:rsidR="00DF4E37">
              <w:rPr>
                <w:rFonts w:cs="Calibri"/>
              </w:rPr>
              <w:t>Provider</w:t>
            </w:r>
            <w:r>
              <w:rPr>
                <w:rFonts w:cs="Calibri"/>
              </w:rPr>
              <w:t>)</w:t>
            </w:r>
          </w:p>
        </w:tc>
        <w:tc>
          <w:tcPr>
            <w:tcW w:w="7812" w:type="dxa"/>
            <w:gridSpan w:val="2"/>
            <w:tcBorders>
              <w:left w:val="single" w:sz="4" w:space="0" w:color="auto"/>
              <w:right w:val="single" w:sz="4" w:space="0" w:color="auto"/>
            </w:tcBorders>
            <w:shd w:val="clear" w:color="auto" w:fill="auto"/>
            <w:vAlign w:val="center"/>
          </w:tcPr>
          <w:p w:rsidR="001A64C9" w:rsidRDefault="001A64C9" w:rsidP="002677FF">
            <w:pPr>
              <w:spacing w:before="60" w:afterLines="60" w:after="144" w:line="240" w:lineRule="auto"/>
              <w:rPr>
                <w:rFonts w:cs="Arial"/>
              </w:rPr>
            </w:pPr>
            <w:r>
              <w:rPr>
                <w:rFonts w:cs="Arial"/>
              </w:rPr>
              <w:t xml:space="preserve">Providers </w:t>
            </w:r>
            <w:r w:rsidR="00DF4E37">
              <w:rPr>
                <w:rFonts w:cs="Arial"/>
              </w:rPr>
              <w:t>Contract</w:t>
            </w:r>
            <w:r>
              <w:rPr>
                <w:rFonts w:cs="Arial"/>
              </w:rPr>
              <w:t xml:space="preserve">ed by the </w:t>
            </w:r>
            <w:r w:rsidR="00062727">
              <w:rPr>
                <w:rFonts w:cs="Arial"/>
              </w:rPr>
              <w:t>Department</w:t>
            </w:r>
            <w:r>
              <w:rPr>
                <w:rFonts w:cs="Arial"/>
              </w:rPr>
              <w:t xml:space="preserve"> to deliver </w:t>
            </w:r>
            <w:r w:rsidR="00DF4E37">
              <w:rPr>
                <w:rFonts w:cs="Arial"/>
              </w:rPr>
              <w:t>Services</w:t>
            </w:r>
            <w:r>
              <w:rPr>
                <w:rFonts w:cs="Arial"/>
              </w:rPr>
              <w:t xml:space="preserve"> under the Industry Specialist Mentoring for Australian Apprentices program.</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1A64C9" w:rsidP="00745A1C">
            <w:pPr>
              <w:pStyle w:val="AASSOGSLEVEL3"/>
              <w:spacing w:before="120" w:after="120" w:line="240" w:lineRule="auto"/>
              <w:rPr>
                <w:rFonts w:cs="Calibri"/>
              </w:rPr>
            </w:pPr>
            <w:bookmarkStart w:id="12" w:name="_Toc393442778"/>
            <w:r w:rsidRPr="000C5C33">
              <w:rPr>
                <w:rFonts w:cs="Calibri"/>
              </w:rPr>
              <w:t>Key Performance Indicator (KPI)</w:t>
            </w:r>
            <w:bookmarkEnd w:id="12"/>
          </w:p>
        </w:tc>
        <w:tc>
          <w:tcPr>
            <w:tcW w:w="7812" w:type="dxa"/>
            <w:gridSpan w:val="2"/>
            <w:tcBorders>
              <w:left w:val="single" w:sz="4" w:space="0" w:color="auto"/>
              <w:right w:val="single" w:sz="4" w:space="0" w:color="auto"/>
            </w:tcBorders>
            <w:shd w:val="clear" w:color="auto" w:fill="auto"/>
            <w:vAlign w:val="center"/>
          </w:tcPr>
          <w:p w:rsidR="001A64C9" w:rsidRPr="000C5C33" w:rsidRDefault="001A64C9" w:rsidP="00446315">
            <w:pPr>
              <w:spacing w:before="60" w:afterLines="60" w:after="144" w:line="240" w:lineRule="auto"/>
              <w:rPr>
                <w:rFonts w:cs="Arial"/>
              </w:rPr>
            </w:pPr>
            <w:r>
              <w:rPr>
                <w:rFonts w:cs="Arial"/>
              </w:rPr>
              <w:t xml:space="preserve">A </w:t>
            </w:r>
            <w:r w:rsidR="00446315">
              <w:rPr>
                <w:rFonts w:cs="Arial"/>
              </w:rPr>
              <w:t>measure of the</w:t>
            </w:r>
            <w:r>
              <w:rPr>
                <w:rFonts w:cs="Arial"/>
              </w:rPr>
              <w:t xml:space="preserve"> </w:t>
            </w:r>
            <w:r w:rsidR="00DF4E37">
              <w:rPr>
                <w:rFonts w:cs="Arial"/>
              </w:rPr>
              <w:t>ISMAA Provider</w:t>
            </w:r>
            <w:r>
              <w:rPr>
                <w:rFonts w:cs="Arial"/>
              </w:rPr>
              <w:t>s’ performance with regards to the delivery of the program.</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1A64C9" w:rsidP="00745A1C">
            <w:pPr>
              <w:pStyle w:val="AASSOGSLEVEL3"/>
              <w:spacing w:before="120" w:after="120" w:line="240" w:lineRule="auto"/>
              <w:rPr>
                <w:rFonts w:cs="Calibri"/>
              </w:rPr>
            </w:pPr>
            <w:r>
              <w:rPr>
                <w:rFonts w:cs="Calibri"/>
              </w:rPr>
              <w:t>Mentor</w:t>
            </w:r>
          </w:p>
        </w:tc>
        <w:tc>
          <w:tcPr>
            <w:tcW w:w="7812" w:type="dxa"/>
            <w:gridSpan w:val="2"/>
            <w:tcBorders>
              <w:left w:val="single" w:sz="4" w:space="0" w:color="auto"/>
              <w:right w:val="single" w:sz="4" w:space="0" w:color="auto"/>
            </w:tcBorders>
            <w:shd w:val="clear" w:color="auto" w:fill="auto"/>
            <w:vAlign w:val="center"/>
          </w:tcPr>
          <w:p w:rsidR="001A64C9" w:rsidRPr="000C5C33" w:rsidRDefault="001A64C9" w:rsidP="002677FF">
            <w:pPr>
              <w:spacing w:before="60" w:afterLines="60" w:after="144" w:line="240" w:lineRule="auto"/>
              <w:rPr>
                <w:rFonts w:cs="Arial"/>
              </w:rPr>
            </w:pPr>
            <w:r>
              <w:rPr>
                <w:rFonts w:cs="Arial"/>
              </w:rPr>
              <w:t>P</w:t>
            </w:r>
            <w:r w:rsidRPr="008841DD">
              <w:rPr>
                <w:rFonts w:cs="Arial"/>
              </w:rPr>
              <w:t>erson</w:t>
            </w:r>
            <w:r>
              <w:rPr>
                <w:rFonts w:cs="Arial"/>
              </w:rPr>
              <w:t xml:space="preserve"> </w:t>
            </w:r>
            <w:r w:rsidR="008841DD">
              <w:rPr>
                <w:rFonts w:cs="Arial"/>
              </w:rPr>
              <w:t>engaged</w:t>
            </w:r>
            <w:r>
              <w:rPr>
                <w:rFonts w:cs="Arial"/>
              </w:rPr>
              <w:t xml:space="preserve"> by an </w:t>
            </w:r>
            <w:r w:rsidR="00DF4E37">
              <w:rPr>
                <w:rFonts w:cs="Arial"/>
              </w:rPr>
              <w:t>ISMAA Provider</w:t>
            </w:r>
            <w:r>
              <w:rPr>
                <w:rFonts w:cs="Arial"/>
              </w:rPr>
              <w:t xml:space="preserve"> to deliver mentoring support to Australian Apprentices under the program.</w:t>
            </w:r>
          </w:p>
        </w:tc>
      </w:tr>
      <w:tr w:rsidR="007262C2" w:rsidRPr="000C5C33" w:rsidTr="00745A1C">
        <w:tc>
          <w:tcPr>
            <w:tcW w:w="2977" w:type="dxa"/>
            <w:tcBorders>
              <w:left w:val="single" w:sz="4" w:space="0" w:color="auto"/>
              <w:right w:val="single" w:sz="4" w:space="0" w:color="auto"/>
            </w:tcBorders>
            <w:shd w:val="clear" w:color="auto" w:fill="auto"/>
            <w:vAlign w:val="center"/>
          </w:tcPr>
          <w:p w:rsidR="007262C2" w:rsidRPr="00725C21" w:rsidRDefault="007262C2" w:rsidP="00745A1C">
            <w:pPr>
              <w:pStyle w:val="AASSOGSLEVEL3"/>
              <w:spacing w:before="120" w:after="120" w:line="240" w:lineRule="auto"/>
              <w:rPr>
                <w:rFonts w:cs="Calibri"/>
              </w:rPr>
            </w:pPr>
            <w:r w:rsidRPr="00725C21">
              <w:rPr>
                <w:rFonts w:cs="Calibri"/>
              </w:rPr>
              <w:t>Mentoring Start Date</w:t>
            </w:r>
          </w:p>
        </w:tc>
        <w:tc>
          <w:tcPr>
            <w:tcW w:w="7812" w:type="dxa"/>
            <w:gridSpan w:val="2"/>
            <w:tcBorders>
              <w:left w:val="single" w:sz="4" w:space="0" w:color="auto"/>
              <w:right w:val="single" w:sz="4" w:space="0" w:color="auto"/>
            </w:tcBorders>
            <w:shd w:val="clear" w:color="auto" w:fill="auto"/>
            <w:vAlign w:val="center"/>
          </w:tcPr>
          <w:p w:rsidR="007262C2" w:rsidRPr="00725C21" w:rsidRDefault="007262C2" w:rsidP="00725C21">
            <w:pPr>
              <w:spacing w:before="60" w:afterLines="60" w:after="144" w:line="240" w:lineRule="auto"/>
              <w:rPr>
                <w:rFonts w:cs="Arial"/>
              </w:rPr>
            </w:pPr>
            <w:r w:rsidRPr="00725C21">
              <w:rPr>
                <w:rFonts w:cs="Arial"/>
              </w:rPr>
              <w:t xml:space="preserve">The date </w:t>
            </w:r>
            <w:r w:rsidR="00725C21" w:rsidRPr="00725C21">
              <w:rPr>
                <w:rFonts w:cs="Arial"/>
              </w:rPr>
              <w:t>of the first mentoring contact</w:t>
            </w:r>
            <w:r w:rsidRPr="00725C21">
              <w:rPr>
                <w:rFonts w:cs="Arial"/>
              </w:rPr>
              <w:t>.</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Default="001A64C9" w:rsidP="00745A1C">
            <w:pPr>
              <w:pStyle w:val="AASSOGSLEVEL3"/>
              <w:spacing w:before="120" w:after="120" w:line="240" w:lineRule="auto"/>
              <w:rPr>
                <w:lang w:eastAsia="en-AU"/>
              </w:rPr>
            </w:pPr>
            <w:r>
              <w:rPr>
                <w:lang w:eastAsia="en-AU"/>
              </w:rPr>
              <w:t>Minimum servicing requirement</w:t>
            </w:r>
          </w:p>
        </w:tc>
        <w:tc>
          <w:tcPr>
            <w:tcW w:w="7812" w:type="dxa"/>
            <w:gridSpan w:val="2"/>
            <w:tcBorders>
              <w:left w:val="single" w:sz="4" w:space="0" w:color="auto"/>
              <w:right w:val="single" w:sz="4" w:space="0" w:color="auto"/>
            </w:tcBorders>
            <w:shd w:val="clear" w:color="auto" w:fill="auto"/>
            <w:vAlign w:val="center"/>
          </w:tcPr>
          <w:p w:rsidR="001A64C9" w:rsidRDefault="001A64C9" w:rsidP="002677FF">
            <w:pPr>
              <w:spacing w:before="60" w:afterLines="60" w:after="144" w:line="240" w:lineRule="auto"/>
            </w:pPr>
            <w:r>
              <w:t>The minimum service delivery requirements required under this program.</w:t>
            </w:r>
          </w:p>
        </w:tc>
      </w:tr>
      <w:tr w:rsidR="001A64C9" w:rsidRPr="000C5C33" w:rsidTr="00745A1C">
        <w:trPr>
          <w:gridAfter w:val="1"/>
          <w:wAfter w:w="15" w:type="dxa"/>
        </w:trPr>
        <w:tc>
          <w:tcPr>
            <w:tcW w:w="2977" w:type="dxa"/>
            <w:tcBorders>
              <w:left w:val="single" w:sz="4" w:space="0" w:color="auto"/>
              <w:right w:val="single" w:sz="4" w:space="0" w:color="auto"/>
            </w:tcBorders>
            <w:shd w:val="clear" w:color="auto" w:fill="auto"/>
            <w:vAlign w:val="center"/>
          </w:tcPr>
          <w:p w:rsidR="001A64C9" w:rsidRPr="000C5C33" w:rsidRDefault="001A64C9" w:rsidP="00745A1C">
            <w:pPr>
              <w:pStyle w:val="AASSOGSLEVEL3"/>
              <w:spacing w:before="120" w:after="120" w:line="240" w:lineRule="auto"/>
            </w:pPr>
            <w:bookmarkStart w:id="13" w:name="_Toc393442791"/>
            <w:r w:rsidRPr="000C5C33">
              <w:t>Contract Manager</w:t>
            </w:r>
            <w:bookmarkEnd w:id="13"/>
            <w:r>
              <w:t xml:space="preserve"> </w:t>
            </w:r>
          </w:p>
        </w:tc>
        <w:tc>
          <w:tcPr>
            <w:tcW w:w="7797" w:type="dxa"/>
            <w:tcBorders>
              <w:left w:val="single" w:sz="4" w:space="0" w:color="auto"/>
              <w:right w:val="single" w:sz="4" w:space="0" w:color="auto"/>
            </w:tcBorders>
            <w:shd w:val="clear" w:color="auto" w:fill="auto"/>
            <w:vAlign w:val="center"/>
          </w:tcPr>
          <w:p w:rsidR="001A64C9" w:rsidRPr="000C5C33" w:rsidRDefault="001A64C9" w:rsidP="00446315">
            <w:pPr>
              <w:spacing w:before="60" w:afterLines="60" w:after="144" w:line="240" w:lineRule="auto"/>
              <w:rPr>
                <w:rFonts w:cs="Arial"/>
              </w:rPr>
            </w:pPr>
            <w:r w:rsidRPr="000C5C33">
              <w:rPr>
                <w:rFonts w:cs="Arial"/>
              </w:rPr>
              <w:t xml:space="preserve">Staff </w:t>
            </w:r>
            <w:r w:rsidR="00062727">
              <w:rPr>
                <w:rFonts w:cs="Arial"/>
              </w:rPr>
              <w:t xml:space="preserve">from </w:t>
            </w:r>
            <w:r w:rsidRPr="000C5C33">
              <w:rPr>
                <w:rFonts w:cs="Calibri"/>
              </w:rPr>
              <w:t xml:space="preserve">the </w:t>
            </w:r>
            <w:r w:rsidR="00446315">
              <w:rPr>
                <w:rFonts w:cs="Calibri"/>
              </w:rPr>
              <w:t>D</w:t>
            </w:r>
            <w:r>
              <w:rPr>
                <w:rFonts w:cs="Calibri"/>
              </w:rPr>
              <w:t>epartment</w:t>
            </w:r>
            <w:r w:rsidR="00062727">
              <w:rPr>
                <w:rFonts w:cs="Calibri"/>
              </w:rPr>
              <w:t xml:space="preserve"> </w:t>
            </w:r>
            <w:r w:rsidR="007D5907" w:rsidRPr="009E02A6">
              <w:rPr>
                <w:rFonts w:cs="Arial"/>
              </w:rPr>
              <w:t>that</w:t>
            </w:r>
            <w:r w:rsidRPr="009E02A6">
              <w:rPr>
                <w:rFonts w:cs="Arial"/>
              </w:rPr>
              <w:t xml:space="preserve"> manage</w:t>
            </w:r>
            <w:r w:rsidR="00062727">
              <w:rPr>
                <w:rFonts w:cs="Arial"/>
              </w:rPr>
              <w:t>s</w:t>
            </w:r>
            <w:r w:rsidRPr="009E02A6">
              <w:rPr>
                <w:rFonts w:cs="Arial"/>
              </w:rPr>
              <w:t xml:space="preserve"> the ISMAA </w:t>
            </w:r>
            <w:r w:rsidR="00062727">
              <w:rPr>
                <w:rFonts w:cs="Arial"/>
              </w:rPr>
              <w:t>C</w:t>
            </w:r>
            <w:r w:rsidRPr="009E02A6">
              <w:rPr>
                <w:rFonts w:cs="Arial"/>
              </w:rPr>
              <w:t>ontracts</w:t>
            </w:r>
            <w:r>
              <w:rPr>
                <w:rFonts w:cs="Arial"/>
              </w:rPr>
              <w:t xml:space="preserve">, </w:t>
            </w:r>
            <w:r w:rsidRPr="000C5C33">
              <w:rPr>
                <w:rFonts w:cs="Arial"/>
              </w:rPr>
              <w:t xml:space="preserve">including </w:t>
            </w:r>
            <w:r w:rsidR="00A77DC3" w:rsidRPr="000C5C33">
              <w:rPr>
                <w:rFonts w:cs="Arial"/>
              </w:rPr>
              <w:t>day</w:t>
            </w:r>
            <w:r w:rsidR="00A77DC3">
              <w:rPr>
                <w:rFonts w:cs="Arial"/>
              </w:rPr>
              <w:t>-</w:t>
            </w:r>
            <w:r w:rsidR="00A77DC3" w:rsidRPr="000C5C33">
              <w:rPr>
                <w:rFonts w:cs="Arial"/>
              </w:rPr>
              <w:t>to</w:t>
            </w:r>
            <w:r w:rsidR="00A77DC3">
              <w:rPr>
                <w:rFonts w:cs="Arial"/>
              </w:rPr>
              <w:t>-</w:t>
            </w:r>
            <w:r w:rsidRPr="000C5C33">
              <w:rPr>
                <w:rFonts w:cs="Arial"/>
              </w:rPr>
              <w:t xml:space="preserve">day liaison with </w:t>
            </w:r>
            <w:r w:rsidR="00DF4E37">
              <w:rPr>
                <w:rFonts w:cs="Arial"/>
              </w:rPr>
              <w:t>Provider</w:t>
            </w:r>
            <w:r>
              <w:rPr>
                <w:rFonts w:cs="Arial"/>
              </w:rPr>
              <w:t>s and investigat</w:t>
            </w:r>
            <w:r w:rsidR="00477728">
              <w:rPr>
                <w:rFonts w:cs="Arial"/>
              </w:rPr>
              <w:t>ion</w:t>
            </w:r>
            <w:r>
              <w:rPr>
                <w:rFonts w:cs="Arial"/>
              </w:rPr>
              <w:t xml:space="preserve"> and resol</w:t>
            </w:r>
            <w:r w:rsidR="00477728">
              <w:rPr>
                <w:rFonts w:cs="Arial"/>
              </w:rPr>
              <w:t>ution of</w:t>
            </w:r>
            <w:r>
              <w:rPr>
                <w:rFonts w:cs="Arial"/>
              </w:rPr>
              <w:t xml:space="preserve"> </w:t>
            </w:r>
            <w:r w:rsidR="00792192">
              <w:rPr>
                <w:rFonts w:cs="Arial"/>
              </w:rPr>
              <w:t xml:space="preserve">issues </w:t>
            </w:r>
            <w:r>
              <w:rPr>
                <w:rFonts w:cs="Arial"/>
              </w:rPr>
              <w:t xml:space="preserve">the </w:t>
            </w:r>
            <w:r w:rsidR="00446315">
              <w:rPr>
                <w:rFonts w:cs="Arial"/>
              </w:rPr>
              <w:t>D</w:t>
            </w:r>
            <w:r>
              <w:rPr>
                <w:rFonts w:cs="Arial"/>
              </w:rPr>
              <w:t xml:space="preserve">epartment </w:t>
            </w:r>
            <w:r w:rsidR="00792192">
              <w:rPr>
                <w:rFonts w:cs="Arial"/>
              </w:rPr>
              <w:t xml:space="preserve">may </w:t>
            </w:r>
            <w:r>
              <w:rPr>
                <w:rFonts w:cs="Arial"/>
              </w:rPr>
              <w:t>receive</w:t>
            </w:r>
            <w:r w:rsidR="00792192">
              <w:rPr>
                <w:rFonts w:cs="Arial"/>
              </w:rPr>
              <w:t xml:space="preserve"> in relation to the program</w:t>
            </w:r>
            <w:r w:rsidRPr="000C5C33">
              <w:rPr>
                <w:rFonts w:cs="Arial"/>
              </w:rPr>
              <w:t xml:space="preserve">.  </w:t>
            </w:r>
          </w:p>
        </w:tc>
      </w:tr>
      <w:tr w:rsidR="00062727" w:rsidRPr="000C5C33" w:rsidTr="00745A1C">
        <w:trPr>
          <w:gridAfter w:val="1"/>
          <w:wAfter w:w="15" w:type="dxa"/>
        </w:trPr>
        <w:tc>
          <w:tcPr>
            <w:tcW w:w="2977" w:type="dxa"/>
            <w:tcBorders>
              <w:left w:val="single" w:sz="4" w:space="0" w:color="auto"/>
              <w:right w:val="single" w:sz="4" w:space="0" w:color="auto"/>
            </w:tcBorders>
            <w:shd w:val="clear" w:color="auto" w:fill="auto"/>
            <w:vAlign w:val="center"/>
          </w:tcPr>
          <w:p w:rsidR="00062727" w:rsidRPr="000C5C33" w:rsidRDefault="00062727" w:rsidP="00745A1C">
            <w:pPr>
              <w:pStyle w:val="AASSOGSLEVEL3"/>
              <w:spacing w:before="120" w:after="120" w:line="240" w:lineRule="auto"/>
            </w:pPr>
            <w:r>
              <w:t>Services</w:t>
            </w:r>
          </w:p>
        </w:tc>
        <w:tc>
          <w:tcPr>
            <w:tcW w:w="7797" w:type="dxa"/>
            <w:tcBorders>
              <w:left w:val="single" w:sz="4" w:space="0" w:color="auto"/>
              <w:right w:val="single" w:sz="4" w:space="0" w:color="auto"/>
            </w:tcBorders>
            <w:shd w:val="clear" w:color="auto" w:fill="auto"/>
            <w:vAlign w:val="center"/>
          </w:tcPr>
          <w:p w:rsidR="00062727" w:rsidRPr="000C5C33" w:rsidRDefault="00062727" w:rsidP="002677FF">
            <w:pPr>
              <w:spacing w:before="60" w:afterLines="60" w:after="144" w:line="240" w:lineRule="auto"/>
              <w:rPr>
                <w:rFonts w:cs="Arial"/>
              </w:rPr>
            </w:pPr>
            <w:r>
              <w:rPr>
                <w:rFonts w:cs="Arial"/>
              </w:rPr>
              <w:t xml:space="preserve">All </w:t>
            </w:r>
            <w:r w:rsidR="00DF4E37">
              <w:rPr>
                <w:rFonts w:cs="Arial"/>
              </w:rPr>
              <w:t>Services</w:t>
            </w:r>
            <w:r>
              <w:rPr>
                <w:rFonts w:cs="Arial"/>
              </w:rPr>
              <w:t xml:space="preserve"> that </w:t>
            </w:r>
            <w:r w:rsidR="00DF4E37">
              <w:rPr>
                <w:rFonts w:cs="Arial"/>
              </w:rPr>
              <w:t>Provider</w:t>
            </w:r>
            <w:r>
              <w:rPr>
                <w:rFonts w:cs="Arial"/>
              </w:rPr>
              <w:t>s are required to provide under a Contract.</w:t>
            </w:r>
          </w:p>
        </w:tc>
      </w:tr>
      <w:tr w:rsidR="001A64C9" w:rsidRPr="000C5C33" w:rsidTr="00745A1C">
        <w:trPr>
          <w:gridAfter w:val="1"/>
          <w:wAfter w:w="15" w:type="dxa"/>
        </w:trPr>
        <w:tc>
          <w:tcPr>
            <w:tcW w:w="2977" w:type="dxa"/>
            <w:tcBorders>
              <w:left w:val="single" w:sz="4" w:space="0" w:color="auto"/>
              <w:right w:val="single" w:sz="4" w:space="0" w:color="auto"/>
            </w:tcBorders>
            <w:shd w:val="clear" w:color="auto" w:fill="auto"/>
            <w:vAlign w:val="center"/>
          </w:tcPr>
          <w:p w:rsidR="001A64C9" w:rsidRPr="000C5C33" w:rsidRDefault="001A64C9" w:rsidP="00745A1C">
            <w:pPr>
              <w:pStyle w:val="AASSOGSLEVEL3"/>
              <w:spacing w:before="120" w:after="120" w:line="240" w:lineRule="auto"/>
              <w:rPr>
                <w:rFonts w:cs="Arial"/>
              </w:rPr>
            </w:pPr>
            <w:bookmarkStart w:id="14" w:name="_Toc393442792"/>
            <w:r w:rsidRPr="000C5C33">
              <w:rPr>
                <w:rFonts w:cs="Arial"/>
              </w:rPr>
              <w:t>State and Territory Training Authorities (STAs)</w:t>
            </w:r>
            <w:bookmarkEnd w:id="14"/>
          </w:p>
        </w:tc>
        <w:tc>
          <w:tcPr>
            <w:tcW w:w="7797" w:type="dxa"/>
            <w:tcBorders>
              <w:left w:val="single" w:sz="4" w:space="0" w:color="auto"/>
              <w:right w:val="single" w:sz="4" w:space="0" w:color="auto"/>
            </w:tcBorders>
            <w:shd w:val="clear" w:color="auto" w:fill="auto"/>
            <w:vAlign w:val="center"/>
          </w:tcPr>
          <w:p w:rsidR="001A64C9" w:rsidRPr="000C5C33" w:rsidRDefault="001A64C9" w:rsidP="002677FF">
            <w:pPr>
              <w:spacing w:before="60" w:afterLines="60" w:after="144" w:line="240" w:lineRule="auto"/>
              <w:rPr>
                <w:rFonts w:cs="Arial"/>
              </w:rPr>
            </w:pPr>
            <w:r w:rsidRPr="000C5C33">
              <w:rPr>
                <w:rFonts w:cs="Arial"/>
              </w:rPr>
              <w:t xml:space="preserve">The body in each </w:t>
            </w:r>
            <w:r w:rsidR="00792192">
              <w:rPr>
                <w:rFonts w:cs="Arial"/>
              </w:rPr>
              <w:t>s</w:t>
            </w:r>
            <w:r w:rsidRPr="000C5C33">
              <w:rPr>
                <w:rFonts w:cs="Arial"/>
              </w:rPr>
              <w:t xml:space="preserve">tate or </w:t>
            </w:r>
            <w:r w:rsidR="00792192">
              <w:rPr>
                <w:rFonts w:cs="Arial"/>
              </w:rPr>
              <w:t>t</w:t>
            </w:r>
            <w:r w:rsidRPr="000C5C33">
              <w:rPr>
                <w:rFonts w:cs="Arial"/>
              </w:rPr>
              <w:t>erritory responsible for the operation of the Vocational Education and Training</w:t>
            </w:r>
            <w:r w:rsidR="0098404F">
              <w:rPr>
                <w:rFonts w:cs="Arial"/>
              </w:rPr>
              <w:t xml:space="preserve"> (VET)</w:t>
            </w:r>
            <w:r w:rsidRPr="000C5C33">
              <w:rPr>
                <w:rFonts w:cs="Arial"/>
              </w:rPr>
              <w:t xml:space="preserve"> system, including Australian Apprenticeships, within that jurisdiction. Each </w:t>
            </w:r>
            <w:r>
              <w:rPr>
                <w:rFonts w:cs="Arial"/>
              </w:rPr>
              <w:t xml:space="preserve">STA </w:t>
            </w:r>
            <w:r w:rsidRPr="000C5C33">
              <w:rPr>
                <w:rFonts w:cs="Arial"/>
              </w:rPr>
              <w:t>participates in the formulation of national policy, planning and objectives, and promotes and implements the agreed policies and priorities within the</w:t>
            </w:r>
            <w:r>
              <w:rPr>
                <w:rFonts w:cs="Arial"/>
              </w:rPr>
              <w:t>ir jurisdiction</w:t>
            </w:r>
            <w:r w:rsidRPr="000C5C33">
              <w:rPr>
                <w:rFonts w:cs="Arial"/>
              </w:rPr>
              <w:t>.</w:t>
            </w:r>
            <w:r>
              <w:rPr>
                <w:rFonts w:cs="Arial"/>
              </w:rPr>
              <w:t xml:space="preserve"> </w:t>
            </w:r>
          </w:p>
        </w:tc>
      </w:tr>
      <w:tr w:rsidR="001A64C9" w:rsidRPr="000C5C33" w:rsidTr="00745A1C">
        <w:tc>
          <w:tcPr>
            <w:tcW w:w="2977" w:type="dxa"/>
            <w:tcBorders>
              <w:left w:val="single" w:sz="4" w:space="0" w:color="auto"/>
              <w:right w:val="single" w:sz="4" w:space="0" w:color="auto"/>
            </w:tcBorders>
            <w:shd w:val="clear" w:color="auto" w:fill="auto"/>
            <w:vAlign w:val="center"/>
          </w:tcPr>
          <w:p w:rsidR="001A64C9" w:rsidRPr="000C5C33" w:rsidRDefault="001A64C9" w:rsidP="00745A1C">
            <w:pPr>
              <w:pStyle w:val="AASSOGSLEVEL3"/>
              <w:spacing w:before="120" w:after="120" w:line="240" w:lineRule="auto"/>
              <w:rPr>
                <w:rFonts w:cs="Arial"/>
              </w:rPr>
            </w:pPr>
            <w:bookmarkStart w:id="15" w:name="_Toc393442801"/>
            <w:r w:rsidRPr="000C5C33">
              <w:rPr>
                <w:rFonts w:cs="Arial"/>
              </w:rPr>
              <w:t xml:space="preserve">You / </w:t>
            </w:r>
            <w:r w:rsidR="001E51F4">
              <w:rPr>
                <w:rFonts w:cs="Arial"/>
              </w:rPr>
              <w:t>Your</w:t>
            </w:r>
            <w:bookmarkEnd w:id="15"/>
          </w:p>
        </w:tc>
        <w:tc>
          <w:tcPr>
            <w:tcW w:w="7812" w:type="dxa"/>
            <w:gridSpan w:val="2"/>
            <w:tcBorders>
              <w:left w:val="single" w:sz="4" w:space="0" w:color="auto"/>
              <w:right w:val="single" w:sz="4" w:space="0" w:color="auto"/>
            </w:tcBorders>
            <w:shd w:val="clear" w:color="auto" w:fill="auto"/>
            <w:vAlign w:val="center"/>
          </w:tcPr>
          <w:p w:rsidR="001A64C9" w:rsidRPr="000C5C33" w:rsidRDefault="001A64C9" w:rsidP="002677FF">
            <w:pPr>
              <w:spacing w:before="60" w:afterLines="60" w:after="144" w:line="240" w:lineRule="auto"/>
              <w:rPr>
                <w:rFonts w:cs="Arial"/>
              </w:rPr>
            </w:pPr>
            <w:r w:rsidRPr="000C5C33">
              <w:rPr>
                <w:rFonts w:cs="Arial"/>
              </w:rPr>
              <w:t xml:space="preserve">Contracted </w:t>
            </w:r>
            <w:r w:rsidR="00DF4E37">
              <w:rPr>
                <w:rFonts w:cs="Arial"/>
              </w:rPr>
              <w:t>ISMAA Provider</w:t>
            </w:r>
            <w:r w:rsidRPr="000C5C33">
              <w:rPr>
                <w:rFonts w:cs="Arial"/>
              </w:rPr>
              <w:t>.</w:t>
            </w:r>
          </w:p>
        </w:tc>
      </w:tr>
    </w:tbl>
    <w:p w:rsidR="00BC4E6D" w:rsidRDefault="00BC4E6D" w:rsidP="00B85D1E">
      <w:pPr>
        <w:spacing w:after="0" w:line="240" w:lineRule="auto"/>
        <w:rPr>
          <w:rFonts w:ascii="Calibri" w:eastAsia="Times New Roman" w:hAnsi="Calibri" w:cs="Arial"/>
          <w:b/>
          <w:smallCaps/>
          <w:sz w:val="32"/>
          <w:szCs w:val="32"/>
          <w:lang w:eastAsia="en-AU"/>
        </w:rPr>
      </w:pPr>
    </w:p>
    <w:p w:rsidR="0064497F" w:rsidRDefault="00CA1FD9" w:rsidP="00CA1FD9">
      <w:pPr>
        <w:pStyle w:val="H1AASSOGS"/>
      </w:pPr>
      <w:bookmarkStart w:id="16" w:name="_Toc490735662"/>
      <w:r>
        <w:t>Introduction</w:t>
      </w:r>
      <w:r w:rsidR="00F45493">
        <w:t xml:space="preserve"> and roles</w:t>
      </w:r>
      <w:bookmarkEnd w:id="16"/>
    </w:p>
    <w:p w:rsidR="00CA1FD9" w:rsidRPr="00DA4037" w:rsidRDefault="00CA1FD9" w:rsidP="0079535D">
      <w:pPr>
        <w:pStyle w:val="H2AASSOGS"/>
      </w:pPr>
    </w:p>
    <w:tbl>
      <w:tblPr>
        <w:tblW w:w="10777" w:type="dxa"/>
        <w:tblInd w:w="-601" w:type="dxa"/>
        <w:tblLook w:val="01E0" w:firstRow="1" w:lastRow="1" w:firstColumn="1" w:lastColumn="1" w:noHBand="0" w:noVBand="0"/>
      </w:tblPr>
      <w:tblGrid>
        <w:gridCol w:w="3112"/>
        <w:gridCol w:w="7665"/>
      </w:tblGrid>
      <w:tr w:rsidR="0066699B" w:rsidRPr="00DF7E81" w:rsidTr="00745A1C">
        <w:tc>
          <w:tcPr>
            <w:tcW w:w="3112" w:type="dxa"/>
            <w:tcBorders>
              <w:top w:val="single" w:sz="4" w:space="0" w:color="auto"/>
              <w:left w:val="single" w:sz="4" w:space="0" w:color="auto"/>
              <w:bottom w:val="single" w:sz="4" w:space="0" w:color="auto"/>
              <w:right w:val="single" w:sz="4" w:space="0" w:color="auto"/>
            </w:tcBorders>
            <w:shd w:val="clear" w:color="auto" w:fill="auto"/>
          </w:tcPr>
          <w:p w:rsidR="0066699B" w:rsidRPr="003671DE" w:rsidRDefault="0066699B" w:rsidP="00745A1C">
            <w:pPr>
              <w:pStyle w:val="AASSOGSLEVEL3"/>
              <w:spacing w:before="120" w:after="120" w:line="240" w:lineRule="auto"/>
            </w:pPr>
            <w:bookmarkStart w:id="17" w:name="_Toc305660859"/>
            <w:bookmarkStart w:id="18" w:name="_Toc307408002"/>
            <w:bookmarkStart w:id="19" w:name="_Toc321822172"/>
            <w:bookmarkStart w:id="20" w:name="_Toc321822683"/>
            <w:bookmarkStart w:id="21" w:name="_Toc321829629"/>
            <w:bookmarkStart w:id="22" w:name="_Toc324950432"/>
            <w:bookmarkStart w:id="23" w:name="_Toc326676631"/>
            <w:bookmarkStart w:id="24" w:name="_Toc348001304"/>
            <w:bookmarkStart w:id="25" w:name="_Toc348002159"/>
            <w:bookmarkStart w:id="26" w:name="_Toc348002619"/>
            <w:bookmarkStart w:id="27" w:name="_Toc373837988"/>
            <w:bookmarkStart w:id="28" w:name="_Toc374709752"/>
            <w:bookmarkStart w:id="29" w:name="_Toc393441922"/>
            <w:bookmarkStart w:id="30" w:name="_Toc393442804"/>
            <w:r w:rsidRPr="003671DE">
              <w:lastRenderedPageBreak/>
              <w:t>Overview</w:t>
            </w:r>
            <w:bookmarkEnd w:id="17"/>
            <w:bookmarkEnd w:id="18"/>
            <w:bookmarkEnd w:id="19"/>
            <w:bookmarkEnd w:id="20"/>
            <w:bookmarkEnd w:id="21"/>
            <w:bookmarkEnd w:id="22"/>
            <w:bookmarkEnd w:id="23"/>
            <w:bookmarkEnd w:id="24"/>
            <w:bookmarkEnd w:id="25"/>
            <w:bookmarkEnd w:id="26"/>
            <w:bookmarkEnd w:id="27"/>
            <w:bookmarkEnd w:id="28"/>
            <w:bookmarkEnd w:id="29"/>
            <w:bookmarkEnd w:id="30"/>
          </w:p>
        </w:tc>
        <w:tc>
          <w:tcPr>
            <w:tcW w:w="7665" w:type="dxa"/>
            <w:tcBorders>
              <w:top w:val="single" w:sz="4" w:space="0" w:color="auto"/>
              <w:left w:val="single" w:sz="4" w:space="0" w:color="auto"/>
              <w:bottom w:val="single" w:sz="4" w:space="0" w:color="auto"/>
              <w:right w:val="single" w:sz="4" w:space="0" w:color="auto"/>
            </w:tcBorders>
            <w:shd w:val="clear" w:color="auto" w:fill="auto"/>
          </w:tcPr>
          <w:p w:rsidR="002360D2" w:rsidRPr="002360D2" w:rsidRDefault="002360D2" w:rsidP="002677FF">
            <w:pPr>
              <w:spacing w:beforeLines="60" w:before="144" w:afterLines="60" w:after="144" w:line="240" w:lineRule="auto"/>
              <w:rPr>
                <w:rFonts w:cs="Arial"/>
              </w:rPr>
            </w:pPr>
            <w:r w:rsidRPr="002360D2">
              <w:rPr>
                <w:rFonts w:cs="Arial"/>
              </w:rPr>
              <w:t xml:space="preserve">The </w:t>
            </w:r>
            <w:r>
              <w:rPr>
                <w:rFonts w:cs="Arial"/>
              </w:rPr>
              <w:t>ISMAA</w:t>
            </w:r>
            <w:r w:rsidRPr="002360D2">
              <w:rPr>
                <w:rFonts w:cs="Arial"/>
              </w:rPr>
              <w:t xml:space="preserve"> program will provide intensive support to apprentices and trainees in the first two years of their training in industries that are undergoing structural change.</w:t>
            </w:r>
          </w:p>
          <w:p w:rsidR="002360D2" w:rsidRDefault="002360D2" w:rsidP="002677FF">
            <w:pPr>
              <w:spacing w:beforeLines="60" w:before="144" w:afterLines="60" w:after="144" w:line="240" w:lineRule="auto"/>
              <w:rPr>
                <w:rFonts w:cs="Arial"/>
              </w:rPr>
            </w:pPr>
            <w:r w:rsidRPr="002360D2">
              <w:rPr>
                <w:rFonts w:cs="Arial"/>
              </w:rPr>
              <w:t xml:space="preserve">The program complements other Australian Government support for apprentices, trainees and their employers through the Australian Apprenticeships Incentives </w:t>
            </w:r>
            <w:r w:rsidR="00471CF3">
              <w:rPr>
                <w:rFonts w:cs="Arial"/>
              </w:rPr>
              <w:t>program</w:t>
            </w:r>
            <w:r w:rsidRPr="002360D2">
              <w:rPr>
                <w:rFonts w:cs="Arial"/>
              </w:rPr>
              <w:t>, Trade Support Loans and the Australian Apprenticeship Support Network.</w:t>
            </w:r>
          </w:p>
          <w:p w:rsidR="002360D2" w:rsidRDefault="002360D2" w:rsidP="002677FF">
            <w:pPr>
              <w:spacing w:beforeLines="60" w:before="144" w:afterLines="60" w:after="144" w:line="240" w:lineRule="auto"/>
              <w:rPr>
                <w:rFonts w:cs="Arial"/>
              </w:rPr>
            </w:pPr>
            <w:r>
              <w:rPr>
                <w:rFonts w:cs="Arial"/>
              </w:rPr>
              <w:t xml:space="preserve">The ISMAA program </w:t>
            </w:r>
            <w:r w:rsidR="00DF4E37">
              <w:rPr>
                <w:rFonts w:cs="Arial"/>
              </w:rPr>
              <w:t>Guidelines</w:t>
            </w:r>
            <w:r>
              <w:rPr>
                <w:rFonts w:cs="Arial"/>
              </w:rPr>
              <w:t xml:space="preserve"> (</w:t>
            </w:r>
            <w:r w:rsidRPr="002360D2">
              <w:rPr>
                <w:rFonts w:cs="Arial"/>
              </w:rPr>
              <w:t>the Guidelines</w:t>
            </w:r>
            <w:r>
              <w:rPr>
                <w:rFonts w:cs="Arial"/>
              </w:rPr>
              <w:t xml:space="preserve">) provide details of operating processes that </w:t>
            </w:r>
            <w:r w:rsidR="00DF4E37">
              <w:rPr>
                <w:rFonts w:cs="Arial"/>
              </w:rPr>
              <w:t>Provider</w:t>
            </w:r>
            <w:r>
              <w:rPr>
                <w:rFonts w:cs="Arial"/>
              </w:rPr>
              <w:t xml:space="preserve">s must adhere to over the life of their </w:t>
            </w:r>
            <w:r w:rsidR="00D42A52">
              <w:rPr>
                <w:rFonts w:cs="Arial"/>
              </w:rPr>
              <w:t>ISMAA</w:t>
            </w:r>
            <w:r>
              <w:rPr>
                <w:rFonts w:cs="Arial"/>
              </w:rPr>
              <w:t xml:space="preserve"> 2017-2019 </w:t>
            </w:r>
            <w:r w:rsidR="00DF4E37">
              <w:rPr>
                <w:rFonts w:cs="Arial"/>
              </w:rPr>
              <w:t>Contract</w:t>
            </w:r>
            <w:r>
              <w:rPr>
                <w:rFonts w:cs="Arial"/>
              </w:rPr>
              <w:t>.</w:t>
            </w:r>
          </w:p>
          <w:p w:rsidR="0066699B" w:rsidRPr="00DF7E81" w:rsidRDefault="002360D2" w:rsidP="002677FF">
            <w:pPr>
              <w:spacing w:beforeLines="60" w:before="144" w:afterLines="60" w:after="144" w:line="240" w:lineRule="auto"/>
              <w:rPr>
                <w:rFonts w:cs="Arial"/>
              </w:rPr>
            </w:pPr>
            <w:r>
              <w:rPr>
                <w:rFonts w:cs="Arial"/>
              </w:rPr>
              <w:t xml:space="preserve">These </w:t>
            </w:r>
            <w:r w:rsidR="00DF4E37">
              <w:rPr>
                <w:rFonts w:cs="Arial"/>
              </w:rPr>
              <w:t>Guidelines</w:t>
            </w:r>
            <w:r>
              <w:rPr>
                <w:rFonts w:cs="Arial"/>
              </w:rPr>
              <w:t xml:space="preserve"> must be used in conjunction with</w:t>
            </w:r>
            <w:r w:rsidR="00112F5E">
              <w:rPr>
                <w:rFonts w:cs="Arial"/>
              </w:rPr>
              <w:t xml:space="preserve"> </w:t>
            </w:r>
            <w:r w:rsidR="003D04F1">
              <w:rPr>
                <w:rFonts w:cs="Arial"/>
              </w:rPr>
              <w:t>y</w:t>
            </w:r>
            <w:r w:rsidR="001E51F4">
              <w:rPr>
                <w:rFonts w:ascii="Calibri" w:eastAsia="Times New Roman" w:hAnsi="Calibri" w:cs="Arial"/>
                <w:lang w:eastAsia="en-AU"/>
              </w:rPr>
              <w:t>our</w:t>
            </w:r>
            <w:r>
              <w:rPr>
                <w:rFonts w:ascii="Calibri" w:eastAsia="Times New Roman" w:hAnsi="Calibri" w:cs="Arial"/>
                <w:lang w:eastAsia="en-AU"/>
              </w:rPr>
              <w:t xml:space="preserve"> </w:t>
            </w:r>
            <w:r w:rsidR="00D42A52">
              <w:rPr>
                <w:rFonts w:ascii="Calibri" w:eastAsia="Times New Roman" w:hAnsi="Calibri" w:cs="Arial"/>
                <w:lang w:eastAsia="en-AU"/>
              </w:rPr>
              <w:t>ISMAA</w:t>
            </w:r>
            <w:r>
              <w:rPr>
                <w:rFonts w:ascii="Calibri" w:eastAsia="Times New Roman" w:hAnsi="Calibri" w:cs="Arial"/>
                <w:lang w:eastAsia="en-AU"/>
              </w:rPr>
              <w:t xml:space="preserve"> 2017-2019 </w:t>
            </w:r>
            <w:r w:rsidR="00DF4E37">
              <w:rPr>
                <w:rFonts w:ascii="Calibri" w:eastAsia="Times New Roman" w:hAnsi="Calibri" w:cs="Arial"/>
                <w:lang w:eastAsia="en-AU"/>
              </w:rPr>
              <w:t>Contract</w:t>
            </w:r>
            <w:r w:rsidR="00194F49">
              <w:rPr>
                <w:rFonts w:ascii="Calibri" w:eastAsia="Times New Roman" w:hAnsi="Calibri" w:cs="Arial"/>
                <w:lang w:eastAsia="en-AU"/>
              </w:rPr>
              <w:t>.</w:t>
            </w:r>
          </w:p>
        </w:tc>
      </w:tr>
      <w:tr w:rsidR="0066699B" w:rsidRPr="00DF7E81" w:rsidTr="00745A1C">
        <w:tc>
          <w:tcPr>
            <w:tcW w:w="3112" w:type="dxa"/>
            <w:tcBorders>
              <w:top w:val="single" w:sz="4" w:space="0" w:color="auto"/>
              <w:left w:val="single" w:sz="4" w:space="0" w:color="auto"/>
              <w:bottom w:val="single" w:sz="4" w:space="0" w:color="auto"/>
              <w:right w:val="single" w:sz="4" w:space="0" w:color="auto"/>
            </w:tcBorders>
            <w:shd w:val="clear" w:color="auto" w:fill="auto"/>
          </w:tcPr>
          <w:p w:rsidR="0066699B" w:rsidRPr="008334A8" w:rsidRDefault="0066699B" w:rsidP="00745A1C">
            <w:pPr>
              <w:pStyle w:val="AASSOGSLEVEL3"/>
              <w:spacing w:before="120" w:after="120" w:line="240" w:lineRule="auto"/>
            </w:pPr>
            <w:bookmarkStart w:id="31" w:name="_Toc305660860"/>
            <w:bookmarkStart w:id="32" w:name="_Toc307408003"/>
            <w:bookmarkStart w:id="33" w:name="_Toc321822173"/>
            <w:bookmarkStart w:id="34" w:name="_Toc321822684"/>
            <w:bookmarkStart w:id="35" w:name="_Toc321829630"/>
            <w:bookmarkStart w:id="36" w:name="_Toc324950433"/>
            <w:bookmarkStart w:id="37" w:name="_Toc326676632"/>
            <w:bookmarkStart w:id="38" w:name="_Toc348001305"/>
            <w:bookmarkStart w:id="39" w:name="_Toc348002160"/>
            <w:bookmarkStart w:id="40" w:name="_Toc348002620"/>
            <w:bookmarkStart w:id="41" w:name="_Toc373837989"/>
            <w:bookmarkStart w:id="42" w:name="_Toc374709753"/>
            <w:bookmarkStart w:id="43" w:name="_Toc393442805"/>
            <w:r w:rsidRPr="008334A8">
              <w:rPr>
                <w:szCs w:val="24"/>
              </w:rPr>
              <w:t>Guidelines Operation Period</w:t>
            </w:r>
            <w:bookmarkEnd w:id="31"/>
            <w:bookmarkEnd w:id="32"/>
            <w:bookmarkEnd w:id="33"/>
            <w:bookmarkEnd w:id="34"/>
            <w:bookmarkEnd w:id="35"/>
            <w:bookmarkEnd w:id="36"/>
            <w:bookmarkEnd w:id="37"/>
            <w:bookmarkEnd w:id="38"/>
            <w:bookmarkEnd w:id="39"/>
            <w:bookmarkEnd w:id="40"/>
            <w:bookmarkEnd w:id="41"/>
            <w:bookmarkEnd w:id="42"/>
            <w:bookmarkEnd w:id="43"/>
          </w:p>
        </w:tc>
        <w:tc>
          <w:tcPr>
            <w:tcW w:w="7665" w:type="dxa"/>
            <w:tcBorders>
              <w:top w:val="single" w:sz="4" w:space="0" w:color="auto"/>
              <w:left w:val="single" w:sz="4" w:space="0" w:color="auto"/>
              <w:bottom w:val="single" w:sz="4" w:space="0" w:color="auto"/>
              <w:right w:val="single" w:sz="4" w:space="0" w:color="auto"/>
            </w:tcBorders>
            <w:shd w:val="clear" w:color="auto" w:fill="auto"/>
          </w:tcPr>
          <w:p w:rsidR="0066699B" w:rsidRPr="00DF7E81" w:rsidRDefault="0066699B" w:rsidP="002677FF">
            <w:pPr>
              <w:spacing w:beforeLines="60" w:before="144" w:afterLines="60" w:after="144" w:line="240" w:lineRule="auto"/>
              <w:rPr>
                <w:rFonts w:cs="Arial"/>
              </w:rPr>
            </w:pPr>
            <w:r w:rsidRPr="00DF7E81">
              <w:rPr>
                <w:rFonts w:cs="Arial"/>
              </w:rPr>
              <w:t xml:space="preserve">These </w:t>
            </w:r>
            <w:r w:rsidR="00DF4E37">
              <w:rPr>
                <w:rFonts w:cs="Arial"/>
              </w:rPr>
              <w:t>Guidelines</w:t>
            </w:r>
            <w:r w:rsidRPr="00DF7E81">
              <w:rPr>
                <w:rFonts w:cs="Arial"/>
              </w:rPr>
              <w:t xml:space="preserve"> apply</w:t>
            </w:r>
            <w:r w:rsidR="0098404F">
              <w:rPr>
                <w:rFonts w:cs="Arial"/>
              </w:rPr>
              <w:t xml:space="preserve"> throughout t</w:t>
            </w:r>
            <w:r w:rsidRPr="00DF7E81">
              <w:rPr>
                <w:rFonts w:cs="Arial"/>
              </w:rPr>
              <w:t xml:space="preserve">he </w:t>
            </w:r>
            <w:r w:rsidR="00D42A52">
              <w:rPr>
                <w:rFonts w:cs="Arial"/>
              </w:rPr>
              <w:t>ISMAA</w:t>
            </w:r>
            <w:r w:rsidR="001E51F4">
              <w:rPr>
                <w:rFonts w:cs="Arial"/>
              </w:rPr>
              <w:t xml:space="preserve"> </w:t>
            </w:r>
            <w:r w:rsidR="00E12C02">
              <w:rPr>
                <w:rFonts w:cs="Arial"/>
              </w:rPr>
              <w:t>201</w:t>
            </w:r>
            <w:r w:rsidR="00CC204F">
              <w:rPr>
                <w:rFonts w:cs="Arial"/>
              </w:rPr>
              <w:t>7</w:t>
            </w:r>
            <w:r w:rsidR="00E12C02">
              <w:rPr>
                <w:rFonts w:cs="Arial"/>
              </w:rPr>
              <w:t xml:space="preserve"> – 201</w:t>
            </w:r>
            <w:r w:rsidR="00CC204F">
              <w:rPr>
                <w:rFonts w:cs="Arial"/>
              </w:rPr>
              <w:t>9</w:t>
            </w:r>
            <w:r w:rsidR="00E12C02">
              <w:rPr>
                <w:rFonts w:cs="Arial"/>
              </w:rPr>
              <w:t xml:space="preserve"> </w:t>
            </w:r>
            <w:r w:rsidR="00DF4E37">
              <w:rPr>
                <w:rFonts w:cs="Arial"/>
              </w:rPr>
              <w:t>Contract</w:t>
            </w:r>
            <w:r w:rsidR="00E12C02">
              <w:rPr>
                <w:rFonts w:cs="Arial"/>
              </w:rPr>
              <w:t xml:space="preserve"> period</w:t>
            </w:r>
            <w:r w:rsidR="0098404F">
              <w:rPr>
                <w:rFonts w:cs="Arial"/>
              </w:rPr>
              <w:t xml:space="preserve"> and </w:t>
            </w:r>
            <w:r w:rsidRPr="00DF7E81">
              <w:rPr>
                <w:rFonts w:cs="Arial"/>
              </w:rPr>
              <w:t xml:space="preserve">may be varied </w:t>
            </w:r>
            <w:r w:rsidR="008334A8">
              <w:rPr>
                <w:rFonts w:cs="Arial"/>
              </w:rPr>
              <w:t>as required b</w:t>
            </w:r>
            <w:r w:rsidRPr="00DF7E81">
              <w:rPr>
                <w:rFonts w:cs="Arial"/>
              </w:rPr>
              <w:t>y the Department.</w:t>
            </w:r>
          </w:p>
          <w:p w:rsidR="0066699B" w:rsidRPr="00DF7E81" w:rsidRDefault="0066699B" w:rsidP="002677FF">
            <w:pPr>
              <w:spacing w:beforeLines="60" w:before="144" w:afterLines="60" w:after="144" w:line="240" w:lineRule="auto"/>
              <w:rPr>
                <w:rFonts w:cs="Arial"/>
              </w:rPr>
            </w:pPr>
            <w:r w:rsidRPr="00DF7E81">
              <w:rPr>
                <w:rFonts w:cs="Arial"/>
              </w:rPr>
              <w:t xml:space="preserve">The final decision on the interpretation of these </w:t>
            </w:r>
            <w:r w:rsidR="00DF4E37">
              <w:rPr>
                <w:rFonts w:cs="Arial"/>
              </w:rPr>
              <w:t>Guidelines</w:t>
            </w:r>
            <w:r w:rsidRPr="00DF7E81">
              <w:rPr>
                <w:rFonts w:cs="Arial"/>
              </w:rPr>
              <w:t xml:space="preserve"> rests with the Department.</w:t>
            </w:r>
          </w:p>
        </w:tc>
      </w:tr>
      <w:tr w:rsidR="00F1205A" w:rsidRPr="00DF7E81" w:rsidTr="00745A1C">
        <w:tc>
          <w:tcPr>
            <w:tcW w:w="3112" w:type="dxa"/>
            <w:tcBorders>
              <w:top w:val="single" w:sz="4" w:space="0" w:color="auto"/>
              <w:left w:val="single" w:sz="4" w:space="0" w:color="auto"/>
              <w:bottom w:val="single" w:sz="4" w:space="0" w:color="auto"/>
              <w:right w:val="single" w:sz="4" w:space="0" w:color="auto"/>
            </w:tcBorders>
            <w:shd w:val="clear" w:color="auto" w:fill="auto"/>
          </w:tcPr>
          <w:p w:rsidR="00F1205A" w:rsidRPr="008334A8" w:rsidRDefault="00F1205A" w:rsidP="00A33B9B">
            <w:pPr>
              <w:pStyle w:val="AASSOGSLEVEL3"/>
              <w:spacing w:before="120" w:after="120" w:line="240" w:lineRule="auto"/>
              <w:rPr>
                <w:szCs w:val="24"/>
              </w:rPr>
            </w:pPr>
            <w:r>
              <w:rPr>
                <w:szCs w:val="24"/>
              </w:rPr>
              <w:t xml:space="preserve">Role of the </w:t>
            </w:r>
            <w:r w:rsidR="00466639">
              <w:rPr>
                <w:szCs w:val="24"/>
              </w:rPr>
              <w:t>Department</w:t>
            </w:r>
          </w:p>
        </w:tc>
        <w:tc>
          <w:tcPr>
            <w:tcW w:w="7665" w:type="dxa"/>
            <w:tcBorders>
              <w:top w:val="single" w:sz="4" w:space="0" w:color="auto"/>
              <w:left w:val="single" w:sz="4" w:space="0" w:color="auto"/>
              <w:bottom w:val="single" w:sz="4" w:space="0" w:color="auto"/>
              <w:right w:val="single" w:sz="4" w:space="0" w:color="auto"/>
            </w:tcBorders>
            <w:shd w:val="clear" w:color="auto" w:fill="auto"/>
          </w:tcPr>
          <w:p w:rsidR="00F1205A" w:rsidRPr="002E7D05" w:rsidRDefault="00F1205A" w:rsidP="002677FF">
            <w:pPr>
              <w:spacing w:beforeLines="60" w:before="144" w:afterLines="60" w:after="144" w:line="240" w:lineRule="auto"/>
              <w:rPr>
                <w:rFonts w:cs="Arial"/>
              </w:rPr>
            </w:pPr>
            <w:r w:rsidRPr="002E7D05">
              <w:rPr>
                <w:rFonts w:cs="Arial"/>
              </w:rPr>
              <w:t xml:space="preserve">The </w:t>
            </w:r>
            <w:r w:rsidR="00466639">
              <w:rPr>
                <w:rFonts w:cs="Arial"/>
              </w:rPr>
              <w:t>Department</w:t>
            </w:r>
            <w:r w:rsidR="00A33B9B">
              <w:rPr>
                <w:rFonts w:cs="Arial"/>
              </w:rPr>
              <w:t xml:space="preserve"> </w:t>
            </w:r>
            <w:r w:rsidRPr="002E7D05">
              <w:rPr>
                <w:rFonts w:cs="Arial"/>
              </w:rPr>
              <w:t>is responsible for:</w:t>
            </w:r>
          </w:p>
          <w:p w:rsidR="00F1205A" w:rsidRPr="003E749C" w:rsidRDefault="00F1205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3E749C">
              <w:rPr>
                <w:rFonts w:ascii="Calibri" w:eastAsia="Times New Roman" w:hAnsi="Calibri" w:cs="Arial"/>
                <w:lang w:eastAsia="en-AU"/>
              </w:rPr>
              <w:t xml:space="preserve">advising the Minister for </w:t>
            </w:r>
            <w:r w:rsidR="006F38C1" w:rsidRPr="003E749C">
              <w:rPr>
                <w:rFonts w:ascii="Calibri" w:eastAsia="Times New Roman" w:hAnsi="Calibri" w:cs="Arial"/>
                <w:lang w:eastAsia="en-AU"/>
              </w:rPr>
              <w:t>Education and Training</w:t>
            </w:r>
            <w:r w:rsidR="000B6528" w:rsidRPr="003E749C">
              <w:rPr>
                <w:rFonts w:ascii="Calibri" w:eastAsia="Times New Roman" w:hAnsi="Calibri" w:cs="Arial"/>
                <w:lang w:eastAsia="en-AU"/>
              </w:rPr>
              <w:t xml:space="preserve"> and Assistant Minister for </w:t>
            </w:r>
            <w:r w:rsidR="001B43AF" w:rsidRPr="003E749C">
              <w:rPr>
                <w:rFonts w:ascii="Calibri" w:eastAsia="Times New Roman" w:hAnsi="Calibri" w:cs="Arial"/>
                <w:lang w:eastAsia="en-AU"/>
              </w:rPr>
              <w:t xml:space="preserve">Vocational </w:t>
            </w:r>
            <w:r w:rsidR="000B6528" w:rsidRPr="003E749C">
              <w:rPr>
                <w:rFonts w:ascii="Calibri" w:eastAsia="Times New Roman" w:hAnsi="Calibri" w:cs="Arial"/>
                <w:lang w:eastAsia="en-AU"/>
              </w:rPr>
              <w:t xml:space="preserve">Education and </w:t>
            </w:r>
            <w:r w:rsidR="001B43AF" w:rsidRPr="003E749C">
              <w:rPr>
                <w:rFonts w:ascii="Calibri" w:eastAsia="Times New Roman" w:hAnsi="Calibri" w:cs="Arial"/>
                <w:lang w:eastAsia="en-AU"/>
              </w:rPr>
              <w:t>Skills</w:t>
            </w:r>
            <w:r w:rsidRPr="003E749C">
              <w:rPr>
                <w:rFonts w:ascii="Calibri" w:eastAsia="Times New Roman" w:hAnsi="Calibri" w:cs="Arial"/>
                <w:lang w:eastAsia="en-AU"/>
              </w:rPr>
              <w:t xml:space="preserve">; and </w:t>
            </w:r>
          </w:p>
          <w:p w:rsidR="00F1205A" w:rsidRPr="003E749C" w:rsidRDefault="00F1205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3E749C">
              <w:rPr>
                <w:rFonts w:ascii="Calibri" w:eastAsia="Times New Roman" w:hAnsi="Calibri" w:cs="Arial"/>
                <w:lang w:eastAsia="en-AU"/>
              </w:rPr>
              <w:t xml:space="preserve">developing and implementing the Australian Government’s Australian Apprenticeships policies and programs. </w:t>
            </w:r>
          </w:p>
          <w:p w:rsidR="00F1205A" w:rsidRPr="002E7D05" w:rsidRDefault="00F1205A" w:rsidP="002677FF">
            <w:pPr>
              <w:spacing w:beforeLines="60" w:before="144" w:afterLines="60" w:after="144" w:line="240" w:lineRule="auto"/>
              <w:rPr>
                <w:rFonts w:cs="Arial"/>
              </w:rPr>
            </w:pPr>
            <w:r w:rsidRPr="002E7D05">
              <w:rPr>
                <w:rFonts w:cs="Arial"/>
              </w:rPr>
              <w:t xml:space="preserve">The </w:t>
            </w:r>
            <w:r w:rsidR="00AA667A">
              <w:rPr>
                <w:rFonts w:cs="Arial"/>
              </w:rPr>
              <w:t>D</w:t>
            </w:r>
            <w:r w:rsidRPr="002E7D05">
              <w:rPr>
                <w:rFonts w:cs="Arial"/>
              </w:rPr>
              <w:t xml:space="preserve">epartment, on behalf of the Australian Government, has </w:t>
            </w:r>
            <w:r w:rsidR="00DF4E37">
              <w:rPr>
                <w:rFonts w:cs="Arial"/>
              </w:rPr>
              <w:t>Contract</w:t>
            </w:r>
            <w:r w:rsidRPr="002E7D05">
              <w:rPr>
                <w:rFonts w:cs="Arial"/>
              </w:rPr>
              <w:t xml:space="preserve">ed </w:t>
            </w:r>
            <w:r w:rsidR="00DF4E37">
              <w:rPr>
                <w:rFonts w:cs="Arial"/>
              </w:rPr>
              <w:t>Provider</w:t>
            </w:r>
            <w:r w:rsidR="0097542E">
              <w:rPr>
                <w:rFonts w:cs="Arial"/>
              </w:rPr>
              <w:t>s to deliver the ISMAA program and i</w:t>
            </w:r>
            <w:r w:rsidRPr="002E7D05">
              <w:rPr>
                <w:rFonts w:cs="Arial"/>
              </w:rPr>
              <w:t xml:space="preserve">s responsible for </w:t>
            </w:r>
            <w:r w:rsidR="00DF4E37">
              <w:rPr>
                <w:rFonts w:cs="Arial"/>
              </w:rPr>
              <w:t>Contract</w:t>
            </w:r>
            <w:r w:rsidRPr="002E7D05">
              <w:rPr>
                <w:rFonts w:cs="Arial"/>
              </w:rPr>
              <w:t xml:space="preserve"> management an</w:t>
            </w:r>
            <w:r>
              <w:rPr>
                <w:rFonts w:cs="Arial"/>
              </w:rPr>
              <w:t xml:space="preserve">d administration of the program. </w:t>
            </w:r>
          </w:p>
          <w:p w:rsidR="00F1205A" w:rsidRPr="002E7D05" w:rsidRDefault="00F023D8" w:rsidP="002677FF">
            <w:pPr>
              <w:spacing w:beforeLines="60" w:before="144" w:afterLines="60" w:after="144" w:line="240" w:lineRule="auto"/>
              <w:rPr>
                <w:rFonts w:cs="Arial"/>
              </w:rPr>
            </w:pPr>
            <w:r>
              <w:rPr>
                <w:rFonts w:cs="Arial"/>
              </w:rPr>
              <w:t xml:space="preserve">Specifically, the </w:t>
            </w:r>
            <w:r w:rsidR="00AA667A">
              <w:rPr>
                <w:rFonts w:cs="Arial"/>
              </w:rPr>
              <w:t>D</w:t>
            </w:r>
            <w:r w:rsidR="00F1205A" w:rsidRPr="002E7D05">
              <w:rPr>
                <w:rFonts w:cs="Arial"/>
              </w:rPr>
              <w:t>epartment’s activities include but are not limited to:</w:t>
            </w:r>
          </w:p>
          <w:p w:rsidR="00F1205A" w:rsidRPr="00D9155E" w:rsidRDefault="00F1205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9155E">
              <w:rPr>
                <w:rFonts w:ascii="Calibri" w:eastAsia="Times New Roman" w:hAnsi="Calibri" w:cs="Arial"/>
                <w:lang w:eastAsia="en-AU"/>
              </w:rPr>
              <w:t>developing and providing advice on policy for Australian Apprenticeships</w:t>
            </w:r>
            <w:r w:rsidR="006F4A9D">
              <w:rPr>
                <w:rFonts w:ascii="Calibri" w:eastAsia="Times New Roman" w:hAnsi="Calibri" w:cs="Arial"/>
                <w:lang w:eastAsia="en-AU"/>
              </w:rPr>
              <w:t xml:space="preserve"> and the Australian Apprenticeships Incentives </w:t>
            </w:r>
            <w:r w:rsidR="00471CF3">
              <w:rPr>
                <w:rFonts w:ascii="Calibri" w:eastAsia="Times New Roman" w:hAnsi="Calibri" w:cs="Arial"/>
                <w:lang w:eastAsia="en-AU"/>
              </w:rPr>
              <w:t>program</w:t>
            </w:r>
            <w:r w:rsidRPr="00D9155E">
              <w:rPr>
                <w:rFonts w:ascii="Calibri" w:eastAsia="Times New Roman" w:hAnsi="Calibri" w:cs="Arial"/>
                <w:lang w:eastAsia="en-AU"/>
              </w:rPr>
              <w:t>;</w:t>
            </w:r>
          </w:p>
          <w:p w:rsidR="0097542E" w:rsidRPr="00D9155E" w:rsidRDefault="0097542E"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9155E">
              <w:rPr>
                <w:rFonts w:ascii="Calibri" w:eastAsia="Times New Roman" w:hAnsi="Calibri" w:cs="Arial"/>
                <w:lang w:eastAsia="en-AU"/>
              </w:rPr>
              <w:t xml:space="preserve">tendering and </w:t>
            </w:r>
            <w:r w:rsidR="00DF4E37">
              <w:rPr>
                <w:rFonts w:ascii="Calibri" w:eastAsia="Times New Roman" w:hAnsi="Calibri" w:cs="Arial"/>
                <w:lang w:eastAsia="en-AU"/>
              </w:rPr>
              <w:t>Contract</w:t>
            </w:r>
            <w:r w:rsidRPr="00D9155E">
              <w:rPr>
                <w:rFonts w:ascii="Calibri" w:eastAsia="Times New Roman" w:hAnsi="Calibri" w:cs="Arial"/>
                <w:lang w:eastAsia="en-AU"/>
              </w:rPr>
              <w:t xml:space="preserve">ing organisations to provide the </w:t>
            </w:r>
            <w:r w:rsidR="00D42A52">
              <w:rPr>
                <w:rFonts w:ascii="Calibri" w:eastAsia="Times New Roman" w:hAnsi="Calibri" w:cs="Arial"/>
                <w:lang w:eastAsia="en-AU"/>
              </w:rPr>
              <w:t>ISMAA</w:t>
            </w:r>
            <w:r w:rsidRPr="00D9155E">
              <w:rPr>
                <w:rFonts w:ascii="Calibri" w:eastAsia="Times New Roman" w:hAnsi="Calibri" w:cs="Arial"/>
                <w:lang w:eastAsia="en-AU"/>
              </w:rPr>
              <w:t xml:space="preserve"> program;</w:t>
            </w:r>
          </w:p>
          <w:p w:rsidR="00F9166D" w:rsidRPr="00D9155E" w:rsidRDefault="00F9166D"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9155E">
              <w:rPr>
                <w:rFonts w:ascii="Calibri" w:eastAsia="Times New Roman" w:hAnsi="Calibri" w:cs="Arial"/>
                <w:lang w:eastAsia="en-AU"/>
              </w:rPr>
              <w:t>developing and providing advice on policy for Trade Support Loans</w:t>
            </w:r>
            <w:r w:rsidR="00740072" w:rsidRPr="00D9155E">
              <w:rPr>
                <w:rFonts w:ascii="Calibri" w:eastAsia="Times New Roman" w:hAnsi="Calibri" w:cs="Arial"/>
                <w:lang w:eastAsia="en-AU"/>
              </w:rPr>
              <w:t>;</w:t>
            </w:r>
          </w:p>
          <w:p w:rsidR="00F1205A" w:rsidRPr="00D9155E" w:rsidRDefault="00F1205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9155E">
              <w:rPr>
                <w:rFonts w:ascii="Calibri" w:eastAsia="Times New Roman" w:hAnsi="Calibri" w:cs="Arial"/>
                <w:lang w:eastAsia="en-AU"/>
              </w:rPr>
              <w:t xml:space="preserve">tendering and </w:t>
            </w:r>
            <w:r w:rsidR="00DF4E37">
              <w:rPr>
                <w:rFonts w:ascii="Calibri" w:eastAsia="Times New Roman" w:hAnsi="Calibri" w:cs="Arial"/>
                <w:lang w:eastAsia="en-AU"/>
              </w:rPr>
              <w:t>Contract</w:t>
            </w:r>
            <w:r w:rsidRPr="00D9155E">
              <w:rPr>
                <w:rFonts w:ascii="Calibri" w:eastAsia="Times New Roman" w:hAnsi="Calibri" w:cs="Arial"/>
                <w:lang w:eastAsia="en-AU"/>
              </w:rPr>
              <w:t xml:space="preserve">ing organisations to provide </w:t>
            </w:r>
            <w:r w:rsidR="00D42A52">
              <w:rPr>
                <w:rFonts w:ascii="Calibri" w:eastAsia="Times New Roman" w:hAnsi="Calibri" w:cs="Arial"/>
                <w:lang w:eastAsia="en-AU"/>
              </w:rPr>
              <w:t xml:space="preserve">Apprenticeship Network </w:t>
            </w:r>
            <w:r w:rsidR="00F9166D" w:rsidRPr="00D9155E">
              <w:rPr>
                <w:rFonts w:ascii="Calibri" w:eastAsia="Times New Roman" w:hAnsi="Calibri" w:cs="Arial"/>
                <w:lang w:eastAsia="en-AU"/>
              </w:rPr>
              <w:t xml:space="preserve">support </w:t>
            </w:r>
            <w:r w:rsidR="00DF4E37">
              <w:rPr>
                <w:rFonts w:ascii="Calibri" w:eastAsia="Times New Roman" w:hAnsi="Calibri" w:cs="Arial"/>
                <w:lang w:eastAsia="en-AU"/>
              </w:rPr>
              <w:t>Services</w:t>
            </w:r>
            <w:r w:rsidRPr="00D9155E">
              <w:rPr>
                <w:rFonts w:ascii="Calibri" w:eastAsia="Times New Roman" w:hAnsi="Calibri" w:cs="Arial"/>
                <w:lang w:eastAsia="en-AU"/>
              </w:rPr>
              <w:t>;</w:t>
            </w:r>
          </w:p>
          <w:p w:rsidR="00F1205A" w:rsidRPr="00D9155E" w:rsidRDefault="00F1205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9155E">
              <w:rPr>
                <w:rFonts w:ascii="Calibri" w:eastAsia="Times New Roman" w:hAnsi="Calibri" w:cs="Arial"/>
                <w:lang w:eastAsia="en-AU"/>
              </w:rPr>
              <w:t>monitoring, reviewing and evaluating</w:t>
            </w:r>
            <w:r w:rsidR="00F9166D" w:rsidRPr="00D9155E">
              <w:rPr>
                <w:rFonts w:ascii="Calibri" w:eastAsia="Times New Roman" w:hAnsi="Calibri" w:cs="Arial"/>
                <w:lang w:eastAsia="en-AU"/>
              </w:rPr>
              <w:t xml:space="preserve"> </w:t>
            </w:r>
            <w:r w:rsidR="00DF4E37">
              <w:rPr>
                <w:rFonts w:ascii="Calibri" w:eastAsia="Times New Roman" w:hAnsi="Calibri" w:cs="Arial"/>
                <w:lang w:eastAsia="en-AU"/>
              </w:rPr>
              <w:t>Provider</w:t>
            </w:r>
            <w:r w:rsidR="00F9166D" w:rsidRPr="00D9155E">
              <w:rPr>
                <w:rFonts w:ascii="Calibri" w:eastAsia="Times New Roman" w:hAnsi="Calibri" w:cs="Arial"/>
                <w:lang w:eastAsia="en-AU"/>
              </w:rPr>
              <w:t>s</w:t>
            </w:r>
            <w:r w:rsidRPr="00D9155E">
              <w:rPr>
                <w:rFonts w:ascii="Calibri" w:eastAsia="Times New Roman" w:hAnsi="Calibri" w:cs="Arial"/>
                <w:lang w:eastAsia="en-AU"/>
              </w:rPr>
              <w:t xml:space="preserve">’ performance and </w:t>
            </w:r>
            <w:r w:rsidR="00DF4E37">
              <w:rPr>
                <w:rFonts w:ascii="Calibri" w:eastAsia="Times New Roman" w:hAnsi="Calibri" w:cs="Arial"/>
                <w:lang w:eastAsia="en-AU"/>
              </w:rPr>
              <w:t>Contract</w:t>
            </w:r>
            <w:r w:rsidRPr="00D9155E">
              <w:rPr>
                <w:rFonts w:ascii="Calibri" w:eastAsia="Times New Roman" w:hAnsi="Calibri" w:cs="Arial"/>
                <w:lang w:eastAsia="en-AU"/>
              </w:rPr>
              <w:t>ual compliance;</w:t>
            </w:r>
          </w:p>
          <w:p w:rsidR="00F1205A" w:rsidRPr="00D9155E" w:rsidRDefault="00F1205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9155E">
              <w:rPr>
                <w:rFonts w:ascii="Calibri" w:eastAsia="Times New Roman" w:hAnsi="Calibri" w:cs="Arial"/>
                <w:lang w:eastAsia="en-AU"/>
              </w:rPr>
              <w:t>collecting, analysing, reporting and publishing i</w:t>
            </w:r>
            <w:r w:rsidR="00477728">
              <w:rPr>
                <w:rFonts w:ascii="Calibri" w:eastAsia="Times New Roman" w:hAnsi="Calibri" w:cs="Arial"/>
                <w:lang w:eastAsia="en-AU"/>
              </w:rPr>
              <w:t>nformation on outcomes achieved.</w:t>
            </w:r>
          </w:p>
          <w:p w:rsidR="00F1205A" w:rsidRPr="00DF7E81" w:rsidRDefault="00F1205A" w:rsidP="002677FF">
            <w:pPr>
              <w:spacing w:beforeLines="60" w:before="144" w:afterLines="60" w:after="144" w:line="240" w:lineRule="auto"/>
              <w:rPr>
                <w:rFonts w:cs="Arial"/>
              </w:rPr>
            </w:pPr>
            <w:r w:rsidRPr="002E7D05">
              <w:rPr>
                <w:rFonts w:cs="Arial"/>
              </w:rPr>
              <w:t xml:space="preserve">More information on the </w:t>
            </w:r>
            <w:r w:rsidR="00466639">
              <w:rPr>
                <w:rFonts w:cs="Arial"/>
              </w:rPr>
              <w:t>Department of Education and Training</w:t>
            </w:r>
            <w:r w:rsidRPr="002E7D05">
              <w:rPr>
                <w:rFonts w:cs="Arial"/>
              </w:rPr>
              <w:t xml:space="preserve"> can be obtained at </w:t>
            </w:r>
            <w:hyperlink r:id="rId12" w:history="1">
              <w:r w:rsidR="004C5E95">
                <w:rPr>
                  <w:rStyle w:val="Hyperlink"/>
                  <w:rFonts w:cs="Arial"/>
                </w:rPr>
                <w:t>www.education.gov.au.</w:t>
              </w:r>
            </w:hyperlink>
            <w:r w:rsidR="004C5E95">
              <w:rPr>
                <w:rStyle w:val="Hyperlink"/>
                <w:rFonts w:cs="Arial"/>
              </w:rPr>
              <w:t xml:space="preserve"> </w:t>
            </w:r>
          </w:p>
        </w:tc>
      </w:tr>
      <w:tr w:rsidR="001B43AF" w:rsidRPr="00DF7E81" w:rsidTr="00745A1C">
        <w:tc>
          <w:tcPr>
            <w:tcW w:w="3112" w:type="dxa"/>
            <w:tcBorders>
              <w:top w:val="single" w:sz="4" w:space="0" w:color="auto"/>
              <w:left w:val="single" w:sz="4" w:space="0" w:color="auto"/>
              <w:bottom w:val="single" w:sz="4" w:space="0" w:color="auto"/>
              <w:right w:val="single" w:sz="4" w:space="0" w:color="auto"/>
            </w:tcBorders>
            <w:shd w:val="clear" w:color="auto" w:fill="auto"/>
          </w:tcPr>
          <w:p w:rsidR="001B43AF" w:rsidRDefault="001B43AF" w:rsidP="00745A1C">
            <w:pPr>
              <w:pStyle w:val="AASSOGSLEVEL3"/>
              <w:spacing w:before="120" w:after="120" w:line="240" w:lineRule="auto"/>
              <w:rPr>
                <w:szCs w:val="24"/>
              </w:rPr>
            </w:pPr>
            <w:r>
              <w:rPr>
                <w:szCs w:val="24"/>
              </w:rPr>
              <w:t>Role of ISMAA Providers</w:t>
            </w:r>
          </w:p>
        </w:tc>
        <w:tc>
          <w:tcPr>
            <w:tcW w:w="7665" w:type="dxa"/>
            <w:tcBorders>
              <w:top w:val="single" w:sz="4" w:space="0" w:color="auto"/>
              <w:left w:val="single" w:sz="4" w:space="0" w:color="auto"/>
              <w:bottom w:val="single" w:sz="4" w:space="0" w:color="auto"/>
              <w:right w:val="single" w:sz="4" w:space="0" w:color="auto"/>
            </w:tcBorders>
            <w:shd w:val="clear" w:color="auto" w:fill="auto"/>
          </w:tcPr>
          <w:p w:rsidR="001B43AF" w:rsidRDefault="00DF4E37" w:rsidP="002677FF">
            <w:pPr>
              <w:spacing w:beforeLines="60" w:before="144" w:afterLines="60" w:after="144" w:line="240" w:lineRule="auto"/>
              <w:rPr>
                <w:rFonts w:cs="Arial"/>
              </w:rPr>
            </w:pPr>
            <w:r>
              <w:rPr>
                <w:rFonts w:cs="Arial"/>
              </w:rPr>
              <w:t>ISMAA Provider</w:t>
            </w:r>
            <w:r w:rsidR="001B43AF">
              <w:rPr>
                <w:rFonts w:cs="Arial"/>
              </w:rPr>
              <w:t xml:space="preserve">s are </w:t>
            </w:r>
            <w:r>
              <w:rPr>
                <w:rFonts w:cs="Arial"/>
              </w:rPr>
              <w:t>Contract</w:t>
            </w:r>
            <w:r w:rsidR="001B43AF">
              <w:rPr>
                <w:rFonts w:cs="Arial"/>
              </w:rPr>
              <w:t xml:space="preserve">ed by the Australian Government to deliver mentoring </w:t>
            </w:r>
            <w:r>
              <w:rPr>
                <w:rFonts w:cs="Arial"/>
              </w:rPr>
              <w:t>Services</w:t>
            </w:r>
            <w:r w:rsidR="001B43AF">
              <w:rPr>
                <w:rFonts w:cs="Arial"/>
              </w:rPr>
              <w:t xml:space="preserve"> under the </w:t>
            </w:r>
            <w:r w:rsidR="00D42A52">
              <w:rPr>
                <w:rFonts w:cs="Arial"/>
              </w:rPr>
              <w:t>ISMAA</w:t>
            </w:r>
            <w:r w:rsidR="001B43AF">
              <w:rPr>
                <w:rFonts w:cs="Arial"/>
              </w:rPr>
              <w:t xml:space="preserve"> 2017-2019 </w:t>
            </w:r>
            <w:r>
              <w:rPr>
                <w:rFonts w:cs="Arial"/>
              </w:rPr>
              <w:t>Contract</w:t>
            </w:r>
            <w:r w:rsidR="00AA667A">
              <w:rPr>
                <w:rFonts w:cs="Arial"/>
              </w:rPr>
              <w:t>s</w:t>
            </w:r>
            <w:r w:rsidR="001B43AF">
              <w:rPr>
                <w:rFonts w:cs="Arial"/>
              </w:rPr>
              <w:t>.</w:t>
            </w:r>
          </w:p>
          <w:p w:rsidR="001B43AF" w:rsidRPr="00BA369B" w:rsidRDefault="00492F47" w:rsidP="002677FF">
            <w:pPr>
              <w:spacing w:beforeLines="60" w:before="144" w:afterLines="60" w:after="144" w:line="240" w:lineRule="auto"/>
              <w:rPr>
                <w:rFonts w:cs="Arial"/>
              </w:rPr>
            </w:pPr>
            <w:r>
              <w:rPr>
                <w:rFonts w:cs="Arial"/>
              </w:rPr>
              <w:t>The Australian Government</w:t>
            </w:r>
            <w:r w:rsidR="001B43AF">
              <w:rPr>
                <w:rFonts w:cs="Arial"/>
              </w:rPr>
              <w:t xml:space="preserve"> establish</w:t>
            </w:r>
            <w:r w:rsidR="00ED1C29">
              <w:rPr>
                <w:rFonts w:cs="Arial"/>
              </w:rPr>
              <w:t>ed</w:t>
            </w:r>
            <w:r w:rsidR="001B43AF">
              <w:rPr>
                <w:rFonts w:cs="Arial"/>
              </w:rPr>
              <w:t xml:space="preserve"> this program to provide Australian Apprentices with the opportunity to</w:t>
            </w:r>
            <w:r w:rsidR="002C67E7">
              <w:rPr>
                <w:rFonts w:cs="Arial"/>
              </w:rPr>
              <w:t xml:space="preserve"> access</w:t>
            </w:r>
            <w:r w:rsidR="001B43AF">
              <w:rPr>
                <w:rFonts w:cs="Arial"/>
              </w:rPr>
              <w:t xml:space="preserve"> </w:t>
            </w:r>
            <w:r w:rsidR="001B43AF" w:rsidRPr="00BA369B">
              <w:rPr>
                <w:rFonts w:cs="Arial"/>
              </w:rPr>
              <w:t xml:space="preserve">an intensive and specialist level of assistance that requires a detailed knowledge of their industry. The support will </w:t>
            </w:r>
            <w:r w:rsidR="001B43AF" w:rsidRPr="00BA369B">
              <w:rPr>
                <w:rFonts w:cs="Arial"/>
              </w:rPr>
              <w:lastRenderedPageBreak/>
              <w:t xml:space="preserve">help to address particular career and skills development concerns related to the industry. It will involve, regular one to one contact, highly skilled mentors with skill sets appropriate to service the targeted cohort. </w:t>
            </w:r>
          </w:p>
          <w:p w:rsidR="001B43AF" w:rsidRDefault="00DF4E37" w:rsidP="002677FF">
            <w:pPr>
              <w:spacing w:beforeLines="60" w:before="144" w:afterLines="60" w:after="144" w:line="240" w:lineRule="auto"/>
              <w:rPr>
                <w:rFonts w:cs="Arial"/>
              </w:rPr>
            </w:pPr>
            <w:r>
              <w:rPr>
                <w:rFonts w:cs="Arial"/>
              </w:rPr>
              <w:t>ISMAA Provider</w:t>
            </w:r>
            <w:r w:rsidR="008855DB">
              <w:rPr>
                <w:rFonts w:cs="Arial"/>
              </w:rPr>
              <w:t>s are required to deliver mentoring support which in turn is expected to increase the retention and completion rates of Australian Apprentices within their defined industries and regions.</w:t>
            </w:r>
          </w:p>
          <w:p w:rsidR="008855DB" w:rsidRDefault="008855DB" w:rsidP="002677FF">
            <w:pPr>
              <w:spacing w:beforeLines="60" w:before="144" w:afterLines="60" w:after="144" w:line="240" w:lineRule="auto"/>
              <w:rPr>
                <w:rFonts w:cs="Arial"/>
              </w:rPr>
            </w:pPr>
            <w:r>
              <w:rPr>
                <w:rFonts w:cs="Arial"/>
              </w:rPr>
              <w:t xml:space="preserve">In providing these </w:t>
            </w:r>
            <w:r w:rsidR="00DF4E37">
              <w:rPr>
                <w:rFonts w:cs="Arial"/>
              </w:rPr>
              <w:t>Services</w:t>
            </w:r>
            <w:r w:rsidR="00B26ABF">
              <w:rPr>
                <w:rFonts w:cs="Arial"/>
              </w:rPr>
              <w:t>,</w:t>
            </w:r>
            <w:r w:rsidR="00A33B9B">
              <w:rPr>
                <w:rFonts w:cs="Arial"/>
              </w:rPr>
              <w:t xml:space="preserve"> in accordance with </w:t>
            </w:r>
            <w:r w:rsidR="00DF4E37">
              <w:rPr>
                <w:rFonts w:cs="Arial"/>
              </w:rPr>
              <w:t>You</w:t>
            </w:r>
            <w:r w:rsidR="00A33B9B">
              <w:rPr>
                <w:rFonts w:cs="Arial"/>
              </w:rPr>
              <w:t xml:space="preserve">r </w:t>
            </w:r>
            <w:r w:rsidR="00DF4E37">
              <w:rPr>
                <w:rFonts w:cs="Arial"/>
              </w:rPr>
              <w:t>Contract</w:t>
            </w:r>
            <w:r w:rsidR="00A33B9B">
              <w:rPr>
                <w:rFonts w:cs="Arial"/>
              </w:rPr>
              <w:t>,</w:t>
            </w:r>
            <w:r w:rsidR="00B26ABF">
              <w:rPr>
                <w:rFonts w:cs="Arial"/>
              </w:rPr>
              <w:t xml:space="preserve"> </w:t>
            </w:r>
            <w:r w:rsidR="00DF4E37">
              <w:rPr>
                <w:rFonts w:cs="Arial"/>
              </w:rPr>
              <w:t>You</w:t>
            </w:r>
            <w:r w:rsidR="00B26ABF">
              <w:rPr>
                <w:rFonts w:cs="Arial"/>
              </w:rPr>
              <w:t xml:space="preserve"> </w:t>
            </w:r>
            <w:r w:rsidR="00ED1C29">
              <w:rPr>
                <w:rFonts w:cs="Arial"/>
              </w:rPr>
              <w:t>must</w:t>
            </w:r>
            <w:r w:rsidR="00B26ABF">
              <w:rPr>
                <w:rFonts w:cs="Arial"/>
              </w:rPr>
              <w:t>:</w:t>
            </w:r>
          </w:p>
          <w:p w:rsidR="00AA667A" w:rsidRPr="00D9155E" w:rsidRDefault="00AA667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 xml:space="preserve">engage with Australian Apprentices, their employers, </w:t>
            </w:r>
            <w:r w:rsidR="00492F47">
              <w:rPr>
                <w:rFonts w:ascii="Calibri" w:eastAsia="Times New Roman" w:hAnsi="Calibri" w:cs="Arial"/>
                <w:lang w:eastAsia="en-AU"/>
              </w:rPr>
              <w:t>Registered Training Organisations (</w:t>
            </w:r>
            <w:r>
              <w:rPr>
                <w:rFonts w:ascii="Calibri" w:eastAsia="Times New Roman" w:hAnsi="Calibri" w:cs="Arial"/>
                <w:lang w:eastAsia="en-AU"/>
              </w:rPr>
              <w:t>RTO</w:t>
            </w:r>
            <w:r w:rsidR="00492F47">
              <w:rPr>
                <w:rFonts w:ascii="Calibri" w:eastAsia="Times New Roman" w:hAnsi="Calibri" w:cs="Arial"/>
                <w:lang w:eastAsia="en-AU"/>
              </w:rPr>
              <w:t>)</w:t>
            </w:r>
            <w:r>
              <w:rPr>
                <w:rFonts w:ascii="Calibri" w:eastAsia="Times New Roman" w:hAnsi="Calibri" w:cs="Arial"/>
                <w:lang w:eastAsia="en-AU"/>
              </w:rPr>
              <w:t xml:space="preserve"> and other parties in a manner which respects their privacy and helps to build rapport and trust with the </w:t>
            </w:r>
            <w:r w:rsidR="00AB0510">
              <w:rPr>
                <w:rFonts w:ascii="Calibri" w:eastAsia="Times New Roman" w:hAnsi="Calibri" w:cs="Arial"/>
                <w:lang w:eastAsia="en-AU"/>
              </w:rPr>
              <w:t>Client</w:t>
            </w:r>
            <w:r w:rsidRPr="00BE1898">
              <w:rPr>
                <w:rFonts w:ascii="Calibri" w:eastAsia="Times New Roman" w:hAnsi="Calibri" w:cs="Arial"/>
                <w:lang w:eastAsia="en-AU"/>
              </w:rPr>
              <w:t>;</w:t>
            </w:r>
          </w:p>
          <w:p w:rsidR="00AA667A" w:rsidRPr="00D9155E" w:rsidRDefault="00AA667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BE1898">
              <w:rPr>
                <w:rFonts w:ascii="Calibri" w:eastAsia="Times New Roman" w:hAnsi="Calibri" w:cs="Arial"/>
                <w:lang w:eastAsia="en-AU"/>
              </w:rPr>
              <w:t>comply wit</w:t>
            </w:r>
            <w:r>
              <w:rPr>
                <w:rFonts w:ascii="Calibri" w:eastAsia="Times New Roman" w:hAnsi="Calibri" w:cs="Arial"/>
                <w:lang w:eastAsia="en-AU"/>
              </w:rPr>
              <w:t>h the</w:t>
            </w:r>
            <w:r w:rsidR="00A33B9B">
              <w:rPr>
                <w:rFonts w:ascii="Calibri" w:eastAsia="Times New Roman" w:hAnsi="Calibri" w:cs="Arial"/>
                <w:lang w:eastAsia="en-AU"/>
              </w:rPr>
              <w:t xml:space="preserve">se </w:t>
            </w:r>
            <w:r>
              <w:rPr>
                <w:rFonts w:ascii="Calibri" w:eastAsia="Times New Roman" w:hAnsi="Calibri" w:cs="Arial"/>
                <w:lang w:eastAsia="en-AU"/>
              </w:rPr>
              <w:t>Guidelines</w:t>
            </w:r>
            <w:r w:rsidR="002600E4">
              <w:rPr>
                <w:rFonts w:ascii="Calibri" w:eastAsia="Times New Roman" w:hAnsi="Calibri" w:cs="Arial"/>
                <w:lang w:eastAsia="en-AU"/>
              </w:rPr>
              <w:t xml:space="preserve">; </w:t>
            </w:r>
            <w:r>
              <w:rPr>
                <w:rFonts w:ascii="Calibri" w:eastAsia="Times New Roman" w:hAnsi="Calibri" w:cs="Arial"/>
                <w:lang w:eastAsia="en-AU"/>
              </w:rPr>
              <w:t>and</w:t>
            </w:r>
          </w:p>
          <w:p w:rsidR="001B43AF" w:rsidRPr="00AA667A" w:rsidRDefault="00AA667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cs="Arial"/>
              </w:rPr>
            </w:pPr>
            <w:r w:rsidRPr="00BE1898">
              <w:rPr>
                <w:rFonts w:ascii="Calibri" w:eastAsia="Times New Roman" w:hAnsi="Calibri" w:cs="Arial"/>
                <w:lang w:eastAsia="en-AU"/>
              </w:rPr>
              <w:t xml:space="preserve">assist the </w:t>
            </w:r>
            <w:r>
              <w:rPr>
                <w:rFonts w:ascii="Calibri" w:eastAsia="Times New Roman" w:hAnsi="Calibri" w:cs="Arial"/>
                <w:lang w:eastAsia="en-AU"/>
              </w:rPr>
              <w:t>Department</w:t>
            </w:r>
            <w:r w:rsidRPr="00BE1898">
              <w:rPr>
                <w:rFonts w:ascii="Calibri" w:eastAsia="Times New Roman" w:hAnsi="Calibri" w:cs="Arial"/>
                <w:lang w:eastAsia="en-AU"/>
              </w:rPr>
              <w:t xml:space="preserve"> to monitor and evaluate the delivery of the </w:t>
            </w:r>
            <w:r w:rsidR="00DF4E37">
              <w:rPr>
                <w:rFonts w:ascii="Calibri" w:eastAsia="Times New Roman" w:hAnsi="Calibri" w:cs="Arial"/>
                <w:lang w:eastAsia="en-AU"/>
              </w:rPr>
              <w:t>Services</w:t>
            </w:r>
            <w:r w:rsidRPr="00BE1898">
              <w:rPr>
                <w:rFonts w:ascii="Calibri" w:eastAsia="Times New Roman" w:hAnsi="Calibri" w:cs="Arial"/>
                <w:lang w:eastAsia="en-AU"/>
              </w:rPr>
              <w:t xml:space="preserve"> as set out in </w:t>
            </w:r>
            <w:r w:rsidR="001E51F4">
              <w:rPr>
                <w:rFonts w:ascii="Calibri" w:eastAsia="Times New Roman" w:hAnsi="Calibri" w:cs="Arial"/>
                <w:lang w:eastAsia="en-AU"/>
              </w:rPr>
              <w:t>Your</w:t>
            </w:r>
            <w:r>
              <w:rPr>
                <w:rFonts w:ascii="Calibri" w:eastAsia="Times New Roman" w:hAnsi="Calibri" w:cs="Arial"/>
                <w:lang w:eastAsia="en-AU"/>
              </w:rPr>
              <w:t xml:space="preserve"> Contract.</w:t>
            </w:r>
          </w:p>
        </w:tc>
      </w:tr>
      <w:tr w:rsidR="00792189" w:rsidRPr="00DF7E81" w:rsidTr="00745A1C">
        <w:tc>
          <w:tcPr>
            <w:tcW w:w="3112" w:type="dxa"/>
            <w:tcBorders>
              <w:top w:val="single" w:sz="4" w:space="0" w:color="auto"/>
              <w:left w:val="single" w:sz="4" w:space="0" w:color="auto"/>
              <w:bottom w:val="single" w:sz="4" w:space="0" w:color="auto"/>
              <w:right w:val="single" w:sz="4" w:space="0" w:color="auto"/>
            </w:tcBorders>
            <w:shd w:val="clear" w:color="auto" w:fill="auto"/>
          </w:tcPr>
          <w:p w:rsidR="00792189" w:rsidRPr="009F4B81" w:rsidRDefault="00ED1C29" w:rsidP="00ED1C29">
            <w:pPr>
              <w:spacing w:before="120"/>
              <w:rPr>
                <w:rFonts w:cs="Arial"/>
                <w:b/>
              </w:rPr>
            </w:pPr>
            <w:r>
              <w:rPr>
                <w:b/>
              </w:rPr>
              <w:lastRenderedPageBreak/>
              <w:t xml:space="preserve">Role of </w:t>
            </w:r>
            <w:r w:rsidR="00792189" w:rsidRPr="000300B5">
              <w:rPr>
                <w:b/>
              </w:rPr>
              <w:t xml:space="preserve">State </w:t>
            </w:r>
            <w:r w:rsidR="00492F47">
              <w:rPr>
                <w:b/>
              </w:rPr>
              <w:t>and</w:t>
            </w:r>
            <w:r w:rsidR="00492F47" w:rsidRPr="000300B5">
              <w:rPr>
                <w:b/>
              </w:rPr>
              <w:t xml:space="preserve"> Territory</w:t>
            </w:r>
            <w:r w:rsidR="00792189" w:rsidRPr="000300B5">
              <w:rPr>
                <w:b/>
              </w:rPr>
              <w:t xml:space="preserve"> Training Authorities (STA)</w:t>
            </w:r>
          </w:p>
        </w:tc>
        <w:tc>
          <w:tcPr>
            <w:tcW w:w="7665" w:type="dxa"/>
            <w:tcBorders>
              <w:top w:val="single" w:sz="4" w:space="0" w:color="auto"/>
              <w:left w:val="single" w:sz="4" w:space="0" w:color="auto"/>
              <w:bottom w:val="single" w:sz="4" w:space="0" w:color="auto"/>
              <w:right w:val="single" w:sz="4" w:space="0" w:color="auto"/>
            </w:tcBorders>
            <w:shd w:val="clear" w:color="auto" w:fill="auto"/>
          </w:tcPr>
          <w:p w:rsidR="00792189" w:rsidRDefault="002600E4" w:rsidP="002677FF">
            <w:pPr>
              <w:overflowPunct w:val="0"/>
              <w:autoSpaceDE w:val="0"/>
              <w:autoSpaceDN w:val="0"/>
              <w:adjustRightInd w:val="0"/>
              <w:spacing w:beforeLines="60" w:before="144" w:afterLines="60" w:after="144" w:line="240" w:lineRule="auto"/>
              <w:textAlignment w:val="baseline"/>
              <w:rPr>
                <w:rFonts w:ascii="Calibri" w:eastAsia="Times New Roman" w:hAnsi="Calibri" w:cs="Arial"/>
                <w:lang w:eastAsia="en-AU"/>
              </w:rPr>
            </w:pPr>
            <w:r>
              <w:rPr>
                <w:rFonts w:ascii="Calibri" w:eastAsia="Times New Roman" w:hAnsi="Calibri" w:cs="Arial"/>
                <w:lang w:eastAsia="en-AU"/>
              </w:rPr>
              <w:t>STAs</w:t>
            </w:r>
            <w:r w:rsidR="00792189" w:rsidRPr="00DE22BB">
              <w:rPr>
                <w:rFonts w:ascii="Calibri" w:eastAsia="Times New Roman" w:hAnsi="Calibri" w:cs="Arial"/>
                <w:lang w:eastAsia="en-AU"/>
              </w:rPr>
              <w:t xml:space="preserve"> are responsible for: </w:t>
            </w:r>
          </w:p>
          <w:p w:rsidR="00AA667A" w:rsidRDefault="00AA667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F7E81">
              <w:rPr>
                <w:rFonts w:ascii="Calibri" w:eastAsia="Times New Roman" w:hAnsi="Calibri" w:cs="Arial"/>
                <w:lang w:eastAsia="en-AU"/>
              </w:rPr>
              <w:t>all aspects of their training systems, including policies, delivery of training, regulatory and administrative matters</w:t>
            </w:r>
            <w:r>
              <w:rPr>
                <w:rFonts w:ascii="Calibri" w:eastAsia="Times New Roman" w:hAnsi="Calibri" w:cs="Arial"/>
                <w:lang w:eastAsia="en-AU"/>
              </w:rPr>
              <w:t>;</w:t>
            </w:r>
          </w:p>
          <w:p w:rsidR="00AA667A" w:rsidRDefault="00AA667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F7E81">
              <w:rPr>
                <w:rFonts w:ascii="Calibri" w:eastAsia="Times New Roman" w:hAnsi="Calibri" w:cs="Arial"/>
                <w:lang w:eastAsia="en-AU"/>
              </w:rPr>
              <w:t xml:space="preserve">administration of the </w:t>
            </w:r>
            <w:r>
              <w:rPr>
                <w:rFonts w:ascii="Calibri" w:eastAsia="Times New Roman" w:hAnsi="Calibri" w:cs="Arial"/>
                <w:lang w:eastAsia="en-AU"/>
              </w:rPr>
              <w:t>Training Contract; and</w:t>
            </w:r>
          </w:p>
          <w:p w:rsidR="00792189" w:rsidRPr="00AA667A" w:rsidRDefault="00AA667A"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E22BB">
              <w:rPr>
                <w:rFonts w:ascii="Calibri" w:eastAsia="Times New Roman" w:hAnsi="Calibri" w:cs="Arial"/>
                <w:lang w:eastAsia="en-AU"/>
              </w:rPr>
              <w:t>registration and approval of apprenticeships and traineeships in each jurisdiction.</w:t>
            </w:r>
          </w:p>
        </w:tc>
      </w:tr>
      <w:tr w:rsidR="00792189" w:rsidRPr="00DF7E81" w:rsidTr="00745A1C">
        <w:tc>
          <w:tcPr>
            <w:tcW w:w="3112" w:type="dxa"/>
            <w:tcBorders>
              <w:top w:val="single" w:sz="4" w:space="0" w:color="auto"/>
              <w:left w:val="single" w:sz="4" w:space="0" w:color="auto"/>
              <w:bottom w:val="single" w:sz="4" w:space="0" w:color="auto"/>
              <w:right w:val="single" w:sz="4" w:space="0" w:color="auto"/>
            </w:tcBorders>
            <w:shd w:val="clear" w:color="auto" w:fill="auto"/>
          </w:tcPr>
          <w:p w:rsidR="00792189" w:rsidRPr="009505E5" w:rsidRDefault="00792189" w:rsidP="00745A1C">
            <w:pPr>
              <w:spacing w:before="120"/>
              <w:rPr>
                <w:rFonts w:cs="Arial"/>
                <w:b/>
              </w:rPr>
            </w:pPr>
            <w:r w:rsidRPr="009505E5">
              <w:rPr>
                <w:rFonts w:cs="Arial"/>
                <w:b/>
              </w:rPr>
              <w:t>ICT systems</w:t>
            </w:r>
          </w:p>
          <w:p w:rsidR="00792189" w:rsidRPr="004C7180" w:rsidRDefault="00792189" w:rsidP="00745A1C">
            <w:pPr>
              <w:spacing w:before="120"/>
              <w:rPr>
                <w:rFonts w:cs="Arial"/>
              </w:rPr>
            </w:pPr>
          </w:p>
        </w:tc>
        <w:tc>
          <w:tcPr>
            <w:tcW w:w="7665" w:type="dxa"/>
            <w:tcBorders>
              <w:top w:val="single" w:sz="4" w:space="0" w:color="auto"/>
              <w:left w:val="single" w:sz="4" w:space="0" w:color="auto"/>
              <w:bottom w:val="single" w:sz="4" w:space="0" w:color="auto"/>
              <w:right w:val="single" w:sz="4" w:space="0" w:color="auto"/>
            </w:tcBorders>
            <w:shd w:val="clear" w:color="auto" w:fill="auto"/>
          </w:tcPr>
          <w:p w:rsidR="00792189" w:rsidRPr="00441314" w:rsidRDefault="002C67E7" w:rsidP="00446315">
            <w:pPr>
              <w:pStyle w:val="MELegal3"/>
              <w:numPr>
                <w:ilvl w:val="0"/>
                <w:numId w:val="0"/>
              </w:numPr>
              <w:spacing w:beforeLines="60" w:before="144" w:afterLines="60" w:after="144" w:line="240" w:lineRule="auto"/>
              <w:rPr>
                <w:rFonts w:asciiTheme="minorHAnsi" w:eastAsiaTheme="minorHAnsi" w:hAnsiTheme="minorHAnsi" w:cs="Arial"/>
                <w:lang w:eastAsia="en-US" w:bidi="ar-SA"/>
              </w:rPr>
            </w:pPr>
            <w:r>
              <w:rPr>
                <w:rFonts w:asciiTheme="minorHAnsi" w:eastAsiaTheme="minorHAnsi" w:hAnsiTheme="minorHAnsi" w:cs="Arial"/>
                <w:lang w:eastAsia="en-US" w:bidi="ar-SA"/>
              </w:rPr>
              <w:t>The IS</w:t>
            </w:r>
            <w:r w:rsidR="00BA369B">
              <w:rPr>
                <w:rFonts w:asciiTheme="minorHAnsi" w:eastAsiaTheme="minorHAnsi" w:hAnsiTheme="minorHAnsi" w:cs="Arial"/>
                <w:lang w:eastAsia="en-US" w:bidi="ar-SA"/>
              </w:rPr>
              <w:t>MAA program will be supported using common Microsoft</w:t>
            </w:r>
            <w:r w:rsidR="002600E4">
              <w:rPr>
                <w:rFonts w:asciiTheme="minorHAnsi" w:eastAsiaTheme="minorHAnsi" w:hAnsiTheme="minorHAnsi" w:cs="Arial"/>
                <w:lang w:eastAsia="en-US" w:bidi="ar-SA"/>
              </w:rPr>
              <w:t xml:space="preserve"> Office</w:t>
            </w:r>
            <w:r w:rsidR="00BA369B">
              <w:rPr>
                <w:rFonts w:asciiTheme="minorHAnsi" w:eastAsiaTheme="minorHAnsi" w:hAnsiTheme="minorHAnsi" w:cs="Arial"/>
                <w:lang w:eastAsia="en-US" w:bidi="ar-SA"/>
              </w:rPr>
              <w:t xml:space="preserve"> applications, such as Word and Excel. T</w:t>
            </w:r>
            <w:r>
              <w:rPr>
                <w:rFonts w:asciiTheme="minorHAnsi" w:eastAsiaTheme="minorHAnsi" w:hAnsiTheme="minorHAnsi" w:cs="Arial"/>
                <w:lang w:eastAsia="en-US" w:bidi="ar-SA"/>
              </w:rPr>
              <w:t xml:space="preserve">he </w:t>
            </w:r>
            <w:r w:rsidR="00BA369B">
              <w:rPr>
                <w:rFonts w:asciiTheme="minorHAnsi" w:eastAsiaTheme="minorHAnsi" w:hAnsiTheme="minorHAnsi" w:cs="Arial"/>
                <w:lang w:eastAsia="en-US" w:bidi="ar-SA"/>
              </w:rPr>
              <w:t>Department will provide template</w:t>
            </w:r>
            <w:r w:rsidR="00E47D93">
              <w:rPr>
                <w:rFonts w:asciiTheme="minorHAnsi" w:eastAsiaTheme="minorHAnsi" w:hAnsiTheme="minorHAnsi" w:cs="Arial"/>
                <w:lang w:eastAsia="en-US" w:bidi="ar-SA"/>
              </w:rPr>
              <w:t>s</w:t>
            </w:r>
            <w:r w:rsidR="00BA369B">
              <w:rPr>
                <w:rFonts w:asciiTheme="minorHAnsi" w:eastAsiaTheme="minorHAnsi" w:hAnsiTheme="minorHAnsi" w:cs="Arial"/>
                <w:lang w:eastAsia="en-US" w:bidi="ar-SA"/>
              </w:rPr>
              <w:t xml:space="preserve"> for information production and reporting. </w:t>
            </w:r>
            <w:r w:rsidR="00DF4E37">
              <w:rPr>
                <w:rFonts w:asciiTheme="minorHAnsi" w:eastAsiaTheme="minorHAnsi" w:hAnsiTheme="minorHAnsi" w:cs="Arial"/>
                <w:lang w:eastAsia="en-US" w:bidi="ar-SA"/>
              </w:rPr>
              <w:t>ISMAA Provider</w:t>
            </w:r>
            <w:r>
              <w:rPr>
                <w:rFonts w:asciiTheme="minorHAnsi" w:eastAsiaTheme="minorHAnsi" w:hAnsiTheme="minorHAnsi" w:cs="Arial"/>
                <w:lang w:eastAsia="en-US" w:bidi="ar-SA"/>
              </w:rPr>
              <w:t xml:space="preserve">s are required to record data and provide information to the </w:t>
            </w:r>
            <w:r w:rsidR="002600E4">
              <w:rPr>
                <w:rFonts w:asciiTheme="minorHAnsi" w:eastAsiaTheme="minorHAnsi" w:hAnsiTheme="minorHAnsi" w:cs="Arial"/>
                <w:lang w:eastAsia="en-US" w:bidi="ar-SA"/>
              </w:rPr>
              <w:t>D</w:t>
            </w:r>
            <w:r>
              <w:rPr>
                <w:rFonts w:asciiTheme="minorHAnsi" w:eastAsiaTheme="minorHAnsi" w:hAnsiTheme="minorHAnsi" w:cs="Arial"/>
                <w:lang w:eastAsia="en-US" w:bidi="ar-SA"/>
              </w:rPr>
              <w:t>epartment as specified in</w:t>
            </w:r>
            <w:r w:rsidR="00E47D93">
              <w:rPr>
                <w:rFonts w:asciiTheme="minorHAnsi" w:eastAsiaTheme="minorHAnsi" w:hAnsiTheme="minorHAnsi" w:cs="Arial"/>
                <w:lang w:eastAsia="en-US" w:bidi="ar-SA"/>
              </w:rPr>
              <w:t xml:space="preserve"> the instructions that accompany these templates</w:t>
            </w:r>
            <w:r>
              <w:rPr>
                <w:rFonts w:asciiTheme="minorHAnsi" w:eastAsiaTheme="minorHAnsi" w:hAnsiTheme="minorHAnsi" w:cs="Arial"/>
                <w:lang w:eastAsia="en-US" w:bidi="ar-SA"/>
              </w:rPr>
              <w:t>.</w:t>
            </w:r>
          </w:p>
        </w:tc>
      </w:tr>
    </w:tbl>
    <w:p w:rsidR="002600E4" w:rsidRDefault="002600E4" w:rsidP="002600E4">
      <w:pPr>
        <w:pStyle w:val="H1AASSOGS"/>
        <w:numPr>
          <w:ilvl w:val="0"/>
          <w:numId w:val="0"/>
        </w:numPr>
        <w:ind w:left="720"/>
      </w:pPr>
    </w:p>
    <w:p w:rsidR="00A80FD2" w:rsidRPr="00AB5208" w:rsidRDefault="004C46EE" w:rsidP="00AB5208">
      <w:pPr>
        <w:pStyle w:val="H1AASSOGS"/>
      </w:pPr>
      <w:bookmarkStart w:id="44" w:name="_Toc490735663"/>
      <w:r>
        <w:t>Services</w:t>
      </w:r>
      <w:bookmarkEnd w:id="44"/>
    </w:p>
    <w:p w:rsidR="00A80FD2" w:rsidRPr="00DA4037" w:rsidRDefault="00A80FD2" w:rsidP="00DA4037">
      <w:pPr>
        <w:pStyle w:val="H1AASSOGS"/>
        <w:numPr>
          <w:ilvl w:val="0"/>
          <w:numId w:val="0"/>
        </w:numPr>
        <w:ind w:left="720"/>
        <w:rPr>
          <w:sz w:val="24"/>
        </w:rPr>
      </w:pPr>
    </w:p>
    <w:tbl>
      <w:tblPr>
        <w:tblW w:w="107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2"/>
        <w:gridCol w:w="7665"/>
      </w:tblGrid>
      <w:tr w:rsidR="001C1946" w:rsidRPr="001C1946" w:rsidTr="00745A1C">
        <w:tc>
          <w:tcPr>
            <w:tcW w:w="3112" w:type="dxa"/>
          </w:tcPr>
          <w:p w:rsidR="004C1934" w:rsidRPr="00CC204F" w:rsidRDefault="004C1934" w:rsidP="00745A1C">
            <w:pPr>
              <w:pStyle w:val="AASSOGSLEVEL3"/>
              <w:spacing w:before="120" w:after="120" w:line="240" w:lineRule="auto"/>
              <w:rPr>
                <w:lang w:eastAsia="en-AU"/>
              </w:rPr>
            </w:pPr>
            <w:r w:rsidRPr="00CC204F">
              <w:rPr>
                <w:lang w:eastAsia="en-AU"/>
              </w:rPr>
              <w:t>Explanatory Note</w:t>
            </w:r>
          </w:p>
          <w:p w:rsidR="001C1946" w:rsidRPr="001C1946" w:rsidRDefault="001C1946" w:rsidP="00745A1C">
            <w:pPr>
              <w:pStyle w:val="AASSOGSLEVEL3"/>
              <w:spacing w:before="120" w:after="120" w:line="240" w:lineRule="auto"/>
              <w:rPr>
                <w:lang w:eastAsia="en-AU"/>
              </w:rPr>
            </w:pPr>
          </w:p>
        </w:tc>
        <w:tc>
          <w:tcPr>
            <w:tcW w:w="7665" w:type="dxa"/>
          </w:tcPr>
          <w:p w:rsidR="003D2BFC" w:rsidRPr="001C1946" w:rsidRDefault="004C1934" w:rsidP="002677FF">
            <w:pPr>
              <w:spacing w:beforeLines="60" w:before="144" w:afterLines="60" w:after="144" w:line="240" w:lineRule="auto"/>
              <w:rPr>
                <w:rFonts w:cs="Arial"/>
              </w:rPr>
            </w:pPr>
            <w:r w:rsidRPr="00CC204F">
              <w:rPr>
                <w:rFonts w:cs="Arial"/>
              </w:rPr>
              <w:t xml:space="preserve">In this document, </w:t>
            </w:r>
            <w:r w:rsidRPr="002600E4">
              <w:rPr>
                <w:rFonts w:cs="Arial"/>
                <w:b/>
              </w:rPr>
              <w:t>‘must’</w:t>
            </w:r>
            <w:r w:rsidRPr="00CC204F">
              <w:rPr>
                <w:rFonts w:cs="Arial"/>
              </w:rPr>
              <w:t xml:space="preserve"> means that compliance is mandatory and </w:t>
            </w:r>
            <w:r w:rsidRPr="002600E4">
              <w:rPr>
                <w:rFonts w:cs="Arial"/>
                <w:b/>
              </w:rPr>
              <w:t>‘should’</w:t>
            </w:r>
            <w:r w:rsidRPr="00CC204F">
              <w:rPr>
                <w:rFonts w:cs="Arial"/>
              </w:rPr>
              <w:t xml:space="preserve"> means that compliance represents best practice and that compliance is discretionary.</w:t>
            </w:r>
          </w:p>
        </w:tc>
      </w:tr>
      <w:tr w:rsidR="004C1934" w:rsidRPr="001C1946" w:rsidTr="00745A1C">
        <w:tc>
          <w:tcPr>
            <w:tcW w:w="3112" w:type="dxa"/>
          </w:tcPr>
          <w:p w:rsidR="004C1934" w:rsidRPr="001C1946" w:rsidRDefault="00194F49" w:rsidP="00745A1C">
            <w:pPr>
              <w:pStyle w:val="AASSOGSLEVEL3"/>
              <w:spacing w:before="120" w:after="120" w:line="240" w:lineRule="auto"/>
              <w:rPr>
                <w:lang w:eastAsia="en-AU"/>
              </w:rPr>
            </w:pPr>
            <w:r>
              <w:rPr>
                <w:lang w:eastAsia="en-AU"/>
              </w:rPr>
              <w:t>P</w:t>
            </w:r>
            <w:r w:rsidR="00471CF3">
              <w:rPr>
                <w:lang w:eastAsia="en-AU"/>
              </w:rPr>
              <w:t>rogram</w:t>
            </w:r>
            <w:r w:rsidR="004C1934">
              <w:rPr>
                <w:lang w:eastAsia="en-AU"/>
              </w:rPr>
              <w:t xml:space="preserve"> Aim</w:t>
            </w:r>
          </w:p>
        </w:tc>
        <w:tc>
          <w:tcPr>
            <w:tcW w:w="7665" w:type="dxa"/>
          </w:tcPr>
          <w:p w:rsidR="004C1934" w:rsidRPr="001C1946" w:rsidRDefault="004C1934" w:rsidP="002677FF">
            <w:pPr>
              <w:spacing w:beforeLines="60" w:before="144" w:afterLines="60" w:after="144" w:line="240" w:lineRule="auto"/>
              <w:rPr>
                <w:rFonts w:cs="Arial"/>
              </w:rPr>
            </w:pPr>
            <w:r>
              <w:rPr>
                <w:rFonts w:cs="Arial"/>
              </w:rPr>
              <w:t>The ISMAA program aims to increase retention rates</w:t>
            </w:r>
            <w:r w:rsidR="00D57704">
              <w:rPr>
                <w:rFonts w:cs="Arial"/>
              </w:rPr>
              <w:t xml:space="preserve"> of </w:t>
            </w:r>
            <w:r w:rsidR="002600E4">
              <w:rPr>
                <w:rFonts w:cs="Arial"/>
              </w:rPr>
              <w:t>Australian Apprentices</w:t>
            </w:r>
            <w:r>
              <w:rPr>
                <w:rFonts w:cs="Arial"/>
              </w:rPr>
              <w:t xml:space="preserve"> in industries that are undergoing structural change</w:t>
            </w:r>
            <w:r w:rsidR="00D57704">
              <w:rPr>
                <w:rFonts w:cs="Arial"/>
              </w:rPr>
              <w:t xml:space="preserve"> b</w:t>
            </w:r>
            <w:r>
              <w:rPr>
                <w:rFonts w:cs="Arial"/>
              </w:rPr>
              <w:t xml:space="preserve">y providing mentoring support </w:t>
            </w:r>
            <w:r w:rsidR="002600E4">
              <w:rPr>
                <w:rFonts w:cs="Arial"/>
              </w:rPr>
              <w:t>d</w:t>
            </w:r>
            <w:r>
              <w:rPr>
                <w:rFonts w:cs="Arial"/>
              </w:rPr>
              <w:t>uring the</w:t>
            </w:r>
            <w:r w:rsidR="002600E4">
              <w:rPr>
                <w:rFonts w:cs="Arial"/>
              </w:rPr>
              <w:t xml:space="preserve">ir first two years of </w:t>
            </w:r>
            <w:r>
              <w:rPr>
                <w:rFonts w:cs="Arial"/>
              </w:rPr>
              <w:t>training</w:t>
            </w:r>
            <w:r w:rsidR="00D57704">
              <w:rPr>
                <w:rFonts w:cs="Arial"/>
              </w:rPr>
              <w:t>.</w:t>
            </w:r>
            <w:r>
              <w:rPr>
                <w:rFonts w:cs="Arial"/>
              </w:rPr>
              <w:t xml:space="preserve"> </w:t>
            </w:r>
          </w:p>
        </w:tc>
      </w:tr>
      <w:tr w:rsidR="004C1934" w:rsidRPr="001C1946" w:rsidTr="00745A1C">
        <w:tc>
          <w:tcPr>
            <w:tcW w:w="3112" w:type="dxa"/>
          </w:tcPr>
          <w:p w:rsidR="004C1934" w:rsidRPr="001C1946" w:rsidRDefault="004C1934" w:rsidP="00745A1C">
            <w:pPr>
              <w:pStyle w:val="AASSOGSLEVEL3"/>
              <w:spacing w:before="120" w:after="120" w:line="240" w:lineRule="auto"/>
              <w:rPr>
                <w:lang w:eastAsia="en-AU"/>
              </w:rPr>
            </w:pPr>
            <w:bookmarkStart w:id="45" w:name="_Toc393442846"/>
            <w:r w:rsidRPr="001C1946">
              <w:rPr>
                <w:lang w:eastAsia="en-AU"/>
              </w:rPr>
              <w:t>Overview</w:t>
            </w:r>
            <w:bookmarkEnd w:id="45"/>
          </w:p>
        </w:tc>
        <w:tc>
          <w:tcPr>
            <w:tcW w:w="7665" w:type="dxa"/>
          </w:tcPr>
          <w:p w:rsidR="004C1934" w:rsidRDefault="004C1934" w:rsidP="002677FF">
            <w:pPr>
              <w:spacing w:beforeLines="60" w:before="144" w:afterLines="60" w:after="144" w:line="240" w:lineRule="auto"/>
            </w:pPr>
            <w:r>
              <w:t xml:space="preserve">The ISMAA program provides an intensive and specialist level of assistance that requires a detailed knowledge of the industry. The support will help to address particular career and skills development concerns related to </w:t>
            </w:r>
            <w:r w:rsidR="001E51F4">
              <w:t>Your</w:t>
            </w:r>
            <w:r>
              <w:t xml:space="preserve"> industry. It involves frequent </w:t>
            </w:r>
            <w:r w:rsidR="00ED1C29">
              <w:t>and</w:t>
            </w:r>
            <w:r>
              <w:t xml:space="preserve"> regular one to one contact</w:t>
            </w:r>
            <w:r w:rsidR="00ED1C29">
              <w:t xml:space="preserve"> with apprentices </w:t>
            </w:r>
            <w:r w:rsidR="00492F47">
              <w:t>by highly</w:t>
            </w:r>
            <w:r>
              <w:t xml:space="preserve"> skilled mentors with skill sets appropriate to service the targeted cohort. </w:t>
            </w:r>
          </w:p>
          <w:p w:rsidR="004C1934" w:rsidRDefault="004C1934" w:rsidP="002677FF">
            <w:pPr>
              <w:spacing w:beforeLines="60" w:before="144" w:afterLines="60" w:after="144" w:line="240" w:lineRule="auto"/>
            </w:pPr>
            <w:r>
              <w:t>Australian Apprentices</w:t>
            </w:r>
            <w:r w:rsidR="00ED1C29">
              <w:t xml:space="preserve"> must be provided</w:t>
            </w:r>
            <w:r>
              <w:t xml:space="preserve"> with support through a range of different mechanisms</w:t>
            </w:r>
            <w:r w:rsidR="00ED1C29">
              <w:t xml:space="preserve">, </w:t>
            </w:r>
            <w:r>
              <w:t>includ</w:t>
            </w:r>
            <w:r w:rsidR="00ED1C29">
              <w:t>ing</w:t>
            </w:r>
            <w:r>
              <w:t xml:space="preserve"> but not limited to:</w:t>
            </w:r>
          </w:p>
          <w:p w:rsidR="004C1934" w:rsidRPr="00D9155E"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s</w:t>
            </w:r>
            <w:r w:rsidRPr="00D9155E">
              <w:rPr>
                <w:rFonts w:ascii="Calibri" w:eastAsia="Times New Roman" w:hAnsi="Calibri" w:cs="Arial"/>
                <w:lang w:eastAsia="en-AU"/>
              </w:rPr>
              <w:t xml:space="preserve">upport </w:t>
            </w:r>
            <w:r w:rsidR="004C1934" w:rsidRPr="00D9155E">
              <w:rPr>
                <w:rFonts w:ascii="Calibri" w:eastAsia="Times New Roman" w:hAnsi="Calibri" w:cs="Arial"/>
                <w:lang w:eastAsia="en-AU"/>
              </w:rPr>
              <w:t>in the development</w:t>
            </w:r>
            <w:r w:rsidR="000824A7">
              <w:rPr>
                <w:rFonts w:ascii="Calibri" w:eastAsia="Times New Roman" w:hAnsi="Calibri" w:cs="Arial"/>
                <w:lang w:eastAsia="en-AU"/>
              </w:rPr>
              <w:t xml:space="preserve"> of particular technical skills</w:t>
            </w:r>
          </w:p>
          <w:p w:rsidR="004C1934" w:rsidRPr="00D9155E"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s</w:t>
            </w:r>
            <w:r w:rsidRPr="00D9155E">
              <w:rPr>
                <w:rFonts w:ascii="Calibri" w:eastAsia="Times New Roman" w:hAnsi="Calibri" w:cs="Arial"/>
                <w:lang w:eastAsia="en-AU"/>
              </w:rPr>
              <w:t xml:space="preserve">upporting </w:t>
            </w:r>
            <w:r w:rsidR="00492F47">
              <w:rPr>
                <w:rFonts w:ascii="Calibri" w:eastAsia="Times New Roman" w:hAnsi="Calibri" w:cs="Arial"/>
                <w:lang w:eastAsia="en-AU"/>
              </w:rPr>
              <w:t>off-the-</w:t>
            </w:r>
            <w:r w:rsidR="000824A7">
              <w:rPr>
                <w:rFonts w:ascii="Calibri" w:eastAsia="Times New Roman" w:hAnsi="Calibri" w:cs="Arial"/>
                <w:lang w:eastAsia="en-AU"/>
              </w:rPr>
              <w:t>job learning requirements</w:t>
            </w:r>
          </w:p>
          <w:p w:rsidR="004C1934" w:rsidRPr="00D9155E"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lastRenderedPageBreak/>
              <w:t>p</w:t>
            </w:r>
            <w:r w:rsidRPr="00D9155E">
              <w:rPr>
                <w:rFonts w:ascii="Calibri" w:eastAsia="Times New Roman" w:hAnsi="Calibri" w:cs="Arial"/>
                <w:lang w:eastAsia="en-AU"/>
              </w:rPr>
              <w:t xml:space="preserve">roviding </w:t>
            </w:r>
            <w:r w:rsidR="004C1934" w:rsidRPr="00D9155E">
              <w:rPr>
                <w:rFonts w:ascii="Calibri" w:eastAsia="Times New Roman" w:hAnsi="Calibri" w:cs="Arial"/>
                <w:lang w:eastAsia="en-AU"/>
              </w:rPr>
              <w:t xml:space="preserve">career and pathway advice related to </w:t>
            </w:r>
            <w:r w:rsidR="001E51F4">
              <w:rPr>
                <w:rFonts w:ascii="Calibri" w:eastAsia="Times New Roman" w:hAnsi="Calibri" w:cs="Arial"/>
                <w:lang w:eastAsia="en-AU"/>
              </w:rPr>
              <w:t>Your</w:t>
            </w:r>
            <w:r w:rsidR="000824A7">
              <w:rPr>
                <w:rFonts w:ascii="Calibri" w:eastAsia="Times New Roman" w:hAnsi="Calibri" w:cs="Arial"/>
                <w:lang w:eastAsia="en-AU"/>
              </w:rPr>
              <w:t xml:space="preserve"> industry</w:t>
            </w:r>
          </w:p>
          <w:p w:rsidR="004C1934" w:rsidRPr="00D9155E"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p</w:t>
            </w:r>
            <w:r w:rsidRPr="00D9155E">
              <w:rPr>
                <w:rFonts w:ascii="Calibri" w:eastAsia="Times New Roman" w:hAnsi="Calibri" w:cs="Arial"/>
                <w:lang w:eastAsia="en-AU"/>
              </w:rPr>
              <w:t>rovid</w:t>
            </w:r>
            <w:r>
              <w:rPr>
                <w:rFonts w:ascii="Calibri" w:eastAsia="Times New Roman" w:hAnsi="Calibri" w:cs="Arial"/>
                <w:lang w:eastAsia="en-AU"/>
              </w:rPr>
              <w:t>ing</w:t>
            </w:r>
            <w:r w:rsidRPr="00D9155E">
              <w:rPr>
                <w:rFonts w:ascii="Calibri" w:eastAsia="Times New Roman" w:hAnsi="Calibri" w:cs="Arial"/>
                <w:lang w:eastAsia="en-AU"/>
              </w:rPr>
              <w:t xml:space="preserve"> </w:t>
            </w:r>
            <w:r w:rsidR="004C1934" w:rsidRPr="00D9155E">
              <w:rPr>
                <w:rFonts w:ascii="Calibri" w:eastAsia="Times New Roman" w:hAnsi="Calibri" w:cs="Arial"/>
                <w:lang w:eastAsia="en-AU"/>
              </w:rPr>
              <w:t>motivation and confidence building to help achieve</w:t>
            </w:r>
            <w:r w:rsidR="000824A7">
              <w:rPr>
                <w:rFonts w:ascii="Calibri" w:eastAsia="Times New Roman" w:hAnsi="Calibri" w:cs="Arial"/>
                <w:lang w:eastAsia="en-AU"/>
              </w:rPr>
              <w:t xml:space="preserve"> potential and build resilience</w:t>
            </w:r>
          </w:p>
          <w:p w:rsidR="004C1934"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b</w:t>
            </w:r>
            <w:r w:rsidRPr="00D9155E">
              <w:rPr>
                <w:rFonts w:ascii="Calibri" w:eastAsia="Times New Roman" w:hAnsi="Calibri" w:cs="Arial"/>
                <w:lang w:eastAsia="en-AU"/>
              </w:rPr>
              <w:t xml:space="preserve">eing </w:t>
            </w:r>
            <w:r w:rsidR="004C1934" w:rsidRPr="00D9155E">
              <w:rPr>
                <w:rFonts w:ascii="Calibri" w:eastAsia="Times New Roman" w:hAnsi="Calibri" w:cs="Arial"/>
                <w:lang w:eastAsia="en-AU"/>
              </w:rPr>
              <w:t>a positive role model t</w:t>
            </w:r>
            <w:r w:rsidR="00ED1C29">
              <w:rPr>
                <w:rFonts w:ascii="Calibri" w:eastAsia="Times New Roman" w:hAnsi="Calibri" w:cs="Arial"/>
                <w:lang w:eastAsia="en-AU"/>
              </w:rPr>
              <w:t>o</w:t>
            </w:r>
            <w:r w:rsidR="004C1934" w:rsidRPr="00D9155E">
              <w:rPr>
                <w:rFonts w:ascii="Calibri" w:eastAsia="Times New Roman" w:hAnsi="Calibri" w:cs="Arial"/>
                <w:lang w:eastAsia="en-AU"/>
              </w:rPr>
              <w:t xml:space="preserve"> help encourage independence, self-reliance and assist</w:t>
            </w:r>
            <w:r w:rsidR="00ED1C29">
              <w:rPr>
                <w:rFonts w:ascii="Calibri" w:eastAsia="Times New Roman" w:hAnsi="Calibri" w:cs="Arial"/>
                <w:lang w:eastAsia="en-AU"/>
              </w:rPr>
              <w:t>ance</w:t>
            </w:r>
            <w:r w:rsidR="004C1934" w:rsidRPr="00D9155E">
              <w:rPr>
                <w:rFonts w:ascii="Calibri" w:eastAsia="Times New Roman" w:hAnsi="Calibri" w:cs="Arial"/>
                <w:lang w:eastAsia="en-AU"/>
              </w:rPr>
              <w:t xml:space="preserve"> with resolving issues that could pose a threat to</w:t>
            </w:r>
            <w:r w:rsidR="000824A7">
              <w:rPr>
                <w:rFonts w:ascii="Calibri" w:eastAsia="Times New Roman" w:hAnsi="Calibri" w:cs="Arial"/>
                <w:lang w:eastAsia="en-AU"/>
              </w:rPr>
              <w:t xml:space="preserve"> the completion of the training</w:t>
            </w:r>
          </w:p>
          <w:p w:rsidR="004C1934" w:rsidRPr="0025499C"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p</w:t>
            </w:r>
            <w:r w:rsidRPr="0025499C">
              <w:rPr>
                <w:rFonts w:ascii="Calibri" w:eastAsia="Times New Roman" w:hAnsi="Calibri" w:cs="Arial"/>
                <w:lang w:eastAsia="en-AU"/>
              </w:rPr>
              <w:t xml:space="preserve">roviding </w:t>
            </w:r>
            <w:r w:rsidR="004C1934" w:rsidRPr="0025499C">
              <w:rPr>
                <w:rFonts w:ascii="Calibri" w:eastAsia="Times New Roman" w:hAnsi="Calibri" w:cs="Arial"/>
                <w:lang w:eastAsia="en-AU"/>
              </w:rPr>
              <w:t>support and advice to apprentices during periods of personal difficulty.</w:t>
            </w:r>
          </w:p>
          <w:p w:rsidR="004C1934" w:rsidRDefault="00261281" w:rsidP="002677FF">
            <w:pPr>
              <w:spacing w:beforeLines="60" w:before="144" w:afterLines="60" w:after="144" w:line="240" w:lineRule="auto"/>
            </w:pPr>
            <w:r>
              <w:t>T</w:t>
            </w:r>
            <w:r w:rsidR="004C1934">
              <w:t>h</w:t>
            </w:r>
            <w:r w:rsidR="00ED1C29">
              <w:t>e</w:t>
            </w:r>
            <w:r w:rsidR="004C1934">
              <w:t xml:space="preserve"> program will be delivered to Australian Apprentices</w:t>
            </w:r>
            <w:r>
              <w:t>; however</w:t>
            </w:r>
            <w:r w:rsidR="004C1934">
              <w:t xml:space="preserve"> mentors delivering </w:t>
            </w:r>
            <w:r w:rsidR="00DF4E37">
              <w:t>Services</w:t>
            </w:r>
            <w:r w:rsidR="004C1934">
              <w:t xml:space="preserve"> through this program should have a level of involvement with both employer</w:t>
            </w:r>
            <w:r w:rsidR="00ED1C29">
              <w:t>s</w:t>
            </w:r>
            <w:r w:rsidR="004C1934">
              <w:t xml:space="preserve"> and the </w:t>
            </w:r>
            <w:r w:rsidR="000824A7">
              <w:t>Australian A</w:t>
            </w:r>
            <w:r w:rsidR="00ED1C29">
              <w:t>pprentice</w:t>
            </w:r>
            <w:r w:rsidR="000824A7">
              <w:t>’</w:t>
            </w:r>
            <w:r w:rsidR="00ED1C29">
              <w:t xml:space="preserve">s </w:t>
            </w:r>
            <w:r w:rsidR="004C1934">
              <w:t>RTO to ensure that potential factors influencing success of the apprenticeship can be addressed.</w:t>
            </w:r>
          </w:p>
          <w:p w:rsidR="004C1934" w:rsidRDefault="004C1934" w:rsidP="002677FF">
            <w:pPr>
              <w:spacing w:beforeLines="60" w:before="144" w:afterLines="60" w:after="144" w:line="240" w:lineRule="auto"/>
            </w:pPr>
            <w:r w:rsidRPr="00975DA4">
              <w:t>The program expectations are that mentors with industry specific knowledge would be able to provide deeper insights regarding the challenges and issues faced by apprentices in each particular sector.</w:t>
            </w:r>
            <w:r w:rsidR="006217C6">
              <w:t xml:space="preserve"> </w:t>
            </w:r>
          </w:p>
          <w:p w:rsidR="006217C6" w:rsidRDefault="00DF4E37" w:rsidP="002677FF">
            <w:pPr>
              <w:spacing w:beforeLines="60" w:before="144" w:afterLines="60" w:after="144" w:line="240" w:lineRule="auto"/>
            </w:pPr>
            <w:r>
              <w:t>ISMAA Provider</w:t>
            </w:r>
            <w:r w:rsidR="006217C6">
              <w:t xml:space="preserve">s will use their experience to deliver </w:t>
            </w:r>
            <w:r>
              <w:t>Services</w:t>
            </w:r>
            <w:r w:rsidR="006217C6">
              <w:t xml:space="preserve"> under this program in a manner that:</w:t>
            </w:r>
          </w:p>
          <w:p w:rsidR="006217C6" w:rsidRDefault="003C1BBB" w:rsidP="002677FF">
            <w:pPr>
              <w:pStyle w:val="ListParagraph"/>
              <w:numPr>
                <w:ilvl w:val="0"/>
                <w:numId w:val="31"/>
              </w:numPr>
              <w:spacing w:beforeLines="60" w:before="144" w:afterLines="60" w:after="144" w:line="240" w:lineRule="auto"/>
              <w:ind w:left="324" w:hanging="283"/>
            </w:pPr>
            <w:r>
              <w:t>s</w:t>
            </w:r>
            <w:r w:rsidR="006217C6">
              <w:t xml:space="preserve">uits the needs of the </w:t>
            </w:r>
            <w:r w:rsidR="00AB0510">
              <w:t>Client</w:t>
            </w:r>
            <w:r w:rsidR="006217C6">
              <w:t>;</w:t>
            </w:r>
            <w:r>
              <w:t xml:space="preserve"> and</w:t>
            </w:r>
          </w:p>
          <w:p w:rsidR="006217C6" w:rsidRDefault="003C1BBB" w:rsidP="002677FF">
            <w:pPr>
              <w:pStyle w:val="ListParagraph"/>
              <w:numPr>
                <w:ilvl w:val="0"/>
                <w:numId w:val="31"/>
              </w:numPr>
              <w:spacing w:beforeLines="60" w:before="144" w:afterLines="60" w:after="144" w:line="240" w:lineRule="auto"/>
              <w:ind w:left="324" w:hanging="283"/>
            </w:pPr>
            <w:r>
              <w:t>meets</w:t>
            </w:r>
            <w:r w:rsidR="006217C6">
              <w:t xml:space="preserve"> the </w:t>
            </w:r>
            <w:r>
              <w:t xml:space="preserve">requirements outlined in these </w:t>
            </w:r>
            <w:r w:rsidR="00DF4E37">
              <w:t>Guidelines</w:t>
            </w:r>
            <w:r>
              <w:t>; and</w:t>
            </w:r>
          </w:p>
          <w:p w:rsidR="003C1BBB" w:rsidRDefault="003C1BBB" w:rsidP="002677FF">
            <w:pPr>
              <w:pStyle w:val="ListParagraph"/>
              <w:numPr>
                <w:ilvl w:val="0"/>
                <w:numId w:val="31"/>
              </w:numPr>
              <w:spacing w:beforeLines="60" w:before="144" w:afterLines="60" w:after="144" w:line="240" w:lineRule="auto"/>
              <w:ind w:left="324" w:hanging="283"/>
            </w:pPr>
            <w:r>
              <w:t xml:space="preserve">aligns with the service offering described in </w:t>
            </w:r>
            <w:r w:rsidR="001E51F4">
              <w:t>Your</w:t>
            </w:r>
            <w:r>
              <w:t xml:space="preserve"> </w:t>
            </w:r>
            <w:r w:rsidR="00DF4E37">
              <w:t>Contract</w:t>
            </w:r>
            <w:r>
              <w:t>.</w:t>
            </w:r>
          </w:p>
        </w:tc>
      </w:tr>
      <w:tr w:rsidR="004C1934" w:rsidRPr="001C1946" w:rsidTr="00745A1C">
        <w:tc>
          <w:tcPr>
            <w:tcW w:w="3112" w:type="dxa"/>
          </w:tcPr>
          <w:p w:rsidR="004C1934" w:rsidRPr="001C1946" w:rsidRDefault="004C1934" w:rsidP="00745A1C">
            <w:pPr>
              <w:pStyle w:val="AASSOGSLEVEL3"/>
              <w:spacing w:before="120" w:after="120" w:line="240" w:lineRule="auto"/>
              <w:rPr>
                <w:lang w:eastAsia="en-AU"/>
              </w:rPr>
            </w:pPr>
            <w:r>
              <w:rPr>
                <w:lang w:eastAsia="en-AU"/>
              </w:rPr>
              <w:lastRenderedPageBreak/>
              <w:t>Mentor qualifications</w:t>
            </w:r>
          </w:p>
        </w:tc>
        <w:tc>
          <w:tcPr>
            <w:tcW w:w="7665" w:type="dxa"/>
          </w:tcPr>
          <w:p w:rsidR="00A07E9F" w:rsidRDefault="00DF4E37" w:rsidP="002677FF">
            <w:pPr>
              <w:spacing w:beforeLines="60" w:before="144" w:afterLines="60" w:after="144" w:line="240" w:lineRule="auto"/>
            </w:pPr>
            <w:r>
              <w:t>ISMAA Provider</w:t>
            </w:r>
            <w:r w:rsidR="004C1934">
              <w:t xml:space="preserve">s must deliver </w:t>
            </w:r>
            <w:r>
              <w:t>Services</w:t>
            </w:r>
            <w:r w:rsidR="004C1934">
              <w:t xml:space="preserve"> </w:t>
            </w:r>
            <w:r w:rsidR="00C70E52">
              <w:t xml:space="preserve">utilising </w:t>
            </w:r>
            <w:r w:rsidR="004C1934">
              <w:t xml:space="preserve">mentors that have </w:t>
            </w:r>
            <w:r w:rsidR="0035103E">
              <w:t>suitable</w:t>
            </w:r>
            <w:r w:rsidR="004C1934">
              <w:t xml:space="preserve"> experience within the industry and </w:t>
            </w:r>
            <w:r w:rsidR="00C70E52">
              <w:t>who are</w:t>
            </w:r>
            <w:r w:rsidR="004C1934">
              <w:t xml:space="preserve"> able to meet the service expectations as outlined above. </w:t>
            </w:r>
            <w:r>
              <w:t>ISMAA Provider</w:t>
            </w:r>
            <w:r w:rsidR="004C1934">
              <w:t xml:space="preserve">s are required to cover the cost of any professional development required to ensure mentors are at the standard </w:t>
            </w:r>
            <w:r w:rsidR="00A07E9F">
              <w:t xml:space="preserve">outlined by the </w:t>
            </w:r>
            <w:r>
              <w:t>Provider</w:t>
            </w:r>
            <w:r w:rsidR="00A07E9F">
              <w:t xml:space="preserve"> in their tender response</w:t>
            </w:r>
            <w:r w:rsidR="0068155D">
              <w:t xml:space="preserve"> and agreed to by the Department as part of their </w:t>
            </w:r>
            <w:r>
              <w:t>Contract</w:t>
            </w:r>
            <w:r w:rsidR="00ED1C29">
              <w:t>s</w:t>
            </w:r>
            <w:r w:rsidR="00A07E9F">
              <w:t>.</w:t>
            </w:r>
          </w:p>
        </w:tc>
      </w:tr>
      <w:tr w:rsidR="004C1934" w:rsidRPr="001C1946" w:rsidTr="00745A1C">
        <w:tc>
          <w:tcPr>
            <w:tcW w:w="3112" w:type="dxa"/>
          </w:tcPr>
          <w:p w:rsidR="004C1934" w:rsidRPr="001C1946" w:rsidRDefault="009F586A" w:rsidP="00745A1C">
            <w:pPr>
              <w:pStyle w:val="AASSOGSLEVEL3"/>
              <w:spacing w:before="120" w:after="120" w:line="240" w:lineRule="auto"/>
              <w:rPr>
                <w:lang w:eastAsia="en-AU"/>
              </w:rPr>
            </w:pPr>
            <w:r>
              <w:rPr>
                <w:lang w:eastAsia="en-AU"/>
              </w:rPr>
              <w:t>Additional</w:t>
            </w:r>
            <w:r w:rsidR="004C1934">
              <w:rPr>
                <w:lang w:eastAsia="en-AU"/>
              </w:rPr>
              <w:t xml:space="preserve"> support </w:t>
            </w:r>
            <w:r w:rsidR="00DF4E37">
              <w:rPr>
                <w:lang w:eastAsia="en-AU"/>
              </w:rPr>
              <w:t>Services</w:t>
            </w:r>
          </w:p>
        </w:tc>
        <w:tc>
          <w:tcPr>
            <w:tcW w:w="7665" w:type="dxa"/>
          </w:tcPr>
          <w:p w:rsidR="004C1934" w:rsidRDefault="004C1934" w:rsidP="002677FF">
            <w:pPr>
              <w:spacing w:beforeLines="60" w:before="144" w:afterLines="60" w:after="144" w:line="240" w:lineRule="auto"/>
            </w:pPr>
            <w:r>
              <w:t>Australian Apprentice</w:t>
            </w:r>
            <w:r w:rsidR="0078069C">
              <w:t xml:space="preserve">s </w:t>
            </w:r>
            <w:r>
              <w:t xml:space="preserve">may require the intervention of </w:t>
            </w:r>
            <w:r w:rsidR="009F586A">
              <w:t>additional</w:t>
            </w:r>
            <w:r>
              <w:t xml:space="preserve"> </w:t>
            </w:r>
            <w:r w:rsidR="009F586A">
              <w:t xml:space="preserve">support </w:t>
            </w:r>
            <w:r w:rsidR="00480D00">
              <w:t>s</w:t>
            </w:r>
            <w:r w:rsidR="00DF4E37">
              <w:t>ervices</w:t>
            </w:r>
            <w:r>
              <w:t xml:space="preserve"> such as drug, alcohol</w:t>
            </w:r>
            <w:r w:rsidR="0078069C">
              <w:t xml:space="preserve">, </w:t>
            </w:r>
            <w:r>
              <w:t xml:space="preserve">mental health support </w:t>
            </w:r>
            <w:r w:rsidR="0078069C">
              <w:t xml:space="preserve">or other </w:t>
            </w:r>
            <w:r w:rsidR="00480D00">
              <w:t>s</w:t>
            </w:r>
            <w:r w:rsidR="00DF4E37">
              <w:t>ervices</w:t>
            </w:r>
            <w:r>
              <w:t xml:space="preserve">. </w:t>
            </w:r>
            <w:r w:rsidR="0078069C">
              <w:t>M</w:t>
            </w:r>
            <w:r>
              <w:t>entors should</w:t>
            </w:r>
            <w:r w:rsidR="00C70E52">
              <w:t xml:space="preserve"> </w:t>
            </w:r>
            <w:r>
              <w:t xml:space="preserve">provide a level of support to </w:t>
            </w:r>
            <w:r w:rsidR="00AB0510">
              <w:t>Client</w:t>
            </w:r>
            <w:r>
              <w:t>s throug</w:t>
            </w:r>
            <w:r w:rsidR="000824A7">
              <w:t>h these other interactions</w:t>
            </w:r>
            <w:r>
              <w:t xml:space="preserve"> commensurate wit</w:t>
            </w:r>
            <w:r w:rsidR="00C70E52">
              <w:t xml:space="preserve">h their level of expertise. </w:t>
            </w:r>
          </w:p>
          <w:p w:rsidR="004C1934" w:rsidRDefault="00DF4E37" w:rsidP="002677FF">
            <w:pPr>
              <w:spacing w:beforeLines="60" w:before="144" w:afterLines="60" w:after="144" w:line="240" w:lineRule="auto"/>
            </w:pPr>
            <w:r>
              <w:t>ISMAA Provider</w:t>
            </w:r>
            <w:r w:rsidR="004C1934">
              <w:t xml:space="preserve">s must have linkages with relevant support </w:t>
            </w:r>
            <w:r w:rsidR="00480D00">
              <w:t>s</w:t>
            </w:r>
            <w:r>
              <w:t>ervices</w:t>
            </w:r>
            <w:r w:rsidR="004C1934">
              <w:t xml:space="preserve"> to help transition their </w:t>
            </w:r>
            <w:r w:rsidR="00AB0510">
              <w:t>Client</w:t>
            </w:r>
            <w:r w:rsidR="004C1934">
              <w:t xml:space="preserve">s to the appropriate service where this is required. </w:t>
            </w:r>
          </w:p>
        </w:tc>
      </w:tr>
      <w:tr w:rsidR="004C1934" w:rsidRPr="001C1946" w:rsidTr="00745A1C">
        <w:tc>
          <w:tcPr>
            <w:tcW w:w="3112" w:type="dxa"/>
          </w:tcPr>
          <w:p w:rsidR="004C1934" w:rsidRDefault="004C1934" w:rsidP="00745A1C">
            <w:pPr>
              <w:pStyle w:val="AASSOGSLEVEL3"/>
              <w:spacing w:before="120" w:after="120" w:line="240" w:lineRule="auto"/>
              <w:rPr>
                <w:lang w:eastAsia="en-AU"/>
              </w:rPr>
            </w:pPr>
            <w:r>
              <w:rPr>
                <w:lang w:eastAsia="en-AU"/>
              </w:rPr>
              <w:t>Level of expertise</w:t>
            </w:r>
          </w:p>
        </w:tc>
        <w:tc>
          <w:tcPr>
            <w:tcW w:w="7665" w:type="dxa"/>
          </w:tcPr>
          <w:p w:rsidR="00012179" w:rsidRDefault="004C1934" w:rsidP="002677FF">
            <w:pPr>
              <w:spacing w:beforeLines="60" w:before="144" w:afterLines="60" w:after="144" w:line="240" w:lineRule="auto"/>
            </w:pPr>
            <w:r>
              <w:t>Mentors must operate within their level of training and expertise</w:t>
            </w:r>
            <w:r w:rsidR="0078069C">
              <w:t xml:space="preserve"> </w:t>
            </w:r>
            <w:r w:rsidR="000824A7">
              <w:t>and may</w:t>
            </w:r>
            <w:r>
              <w:t xml:space="preserve"> provide support and advice to their </w:t>
            </w:r>
            <w:r w:rsidR="00AB0510">
              <w:t>Client</w:t>
            </w:r>
            <w:r>
              <w:t xml:space="preserve">s when </w:t>
            </w:r>
            <w:r w:rsidR="00012179">
              <w:t>additional</w:t>
            </w:r>
            <w:r>
              <w:t xml:space="preserve"> support is required but they </w:t>
            </w:r>
            <w:r w:rsidR="00F03DDC">
              <w:t xml:space="preserve">must </w:t>
            </w:r>
            <w:r>
              <w:t xml:space="preserve">not deliver </w:t>
            </w:r>
            <w:r w:rsidR="00DF4E37">
              <w:t>Services</w:t>
            </w:r>
            <w:r>
              <w:t xml:space="preserve"> that are outside the scope of their experience</w:t>
            </w:r>
            <w:r w:rsidR="0018648C">
              <w:t xml:space="preserve"> or qualification</w:t>
            </w:r>
            <w:r>
              <w:t>.</w:t>
            </w:r>
          </w:p>
        </w:tc>
      </w:tr>
      <w:tr w:rsidR="00AD5145" w:rsidRPr="001C1946" w:rsidTr="00745A1C">
        <w:tc>
          <w:tcPr>
            <w:tcW w:w="3112" w:type="dxa"/>
          </w:tcPr>
          <w:p w:rsidR="00AD5145" w:rsidRDefault="00AD5145" w:rsidP="00745A1C">
            <w:pPr>
              <w:pStyle w:val="AASSOGSLEVEL3"/>
              <w:spacing w:before="120" w:after="120" w:line="240" w:lineRule="auto"/>
              <w:rPr>
                <w:lang w:eastAsia="en-AU"/>
              </w:rPr>
            </w:pPr>
            <w:r>
              <w:rPr>
                <w:lang w:eastAsia="en-AU"/>
              </w:rPr>
              <w:t>Eligibility for ISMAA</w:t>
            </w:r>
          </w:p>
        </w:tc>
        <w:tc>
          <w:tcPr>
            <w:tcW w:w="7665" w:type="dxa"/>
          </w:tcPr>
          <w:p w:rsidR="00AD5145" w:rsidRDefault="00AD5145" w:rsidP="002677FF">
            <w:pPr>
              <w:spacing w:beforeLines="60" w:before="144" w:afterLines="60" w:after="144" w:line="240" w:lineRule="auto"/>
            </w:pPr>
            <w:r>
              <w:t xml:space="preserve">In order for an Australian Apprentice to be eligible to receive </w:t>
            </w:r>
            <w:r w:rsidR="00DF4E37">
              <w:t>Services</w:t>
            </w:r>
            <w:r>
              <w:t xml:space="preserve"> under the ISMAA program they </w:t>
            </w:r>
            <w:r w:rsidR="000824A7">
              <w:t xml:space="preserve">must </w:t>
            </w:r>
            <w:r w:rsidR="0078069C">
              <w:t>be</w:t>
            </w:r>
            <w:r>
              <w:t>:</w:t>
            </w:r>
          </w:p>
          <w:p w:rsidR="00AD5145" w:rsidRPr="002C2690" w:rsidRDefault="00AD5145"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2C2690">
              <w:rPr>
                <w:rFonts w:ascii="Calibri" w:eastAsia="Times New Roman" w:hAnsi="Calibri" w:cs="Arial"/>
                <w:lang w:eastAsia="en-AU"/>
              </w:rPr>
              <w:t>undertaking an Australian Apprenticeship; and</w:t>
            </w:r>
          </w:p>
          <w:p w:rsidR="00AD5145" w:rsidRPr="002C2690" w:rsidRDefault="00AD5145"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2C2690">
              <w:rPr>
                <w:rFonts w:ascii="Calibri" w:eastAsia="Times New Roman" w:hAnsi="Calibri" w:cs="Arial"/>
                <w:lang w:eastAsia="en-AU"/>
              </w:rPr>
              <w:t>in the first two years of their training; and</w:t>
            </w:r>
          </w:p>
          <w:p w:rsidR="00AD5145" w:rsidRPr="000D4604" w:rsidRDefault="00AD5145"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pPr>
            <w:r w:rsidRPr="002C2690">
              <w:rPr>
                <w:rFonts w:ascii="Calibri" w:eastAsia="Times New Roman" w:hAnsi="Calibri" w:cs="Arial"/>
                <w:lang w:eastAsia="en-AU"/>
              </w:rPr>
              <w:t>undertaking their training in an occupation</w:t>
            </w:r>
            <w:r w:rsidRPr="00D9155E">
              <w:rPr>
                <w:rFonts w:ascii="Calibri" w:eastAsia="Times New Roman" w:hAnsi="Calibri" w:cs="Arial"/>
                <w:lang w:eastAsia="en-AU"/>
              </w:rPr>
              <w:t xml:space="preserve"> that is in an industry undergoing structural change.</w:t>
            </w:r>
          </w:p>
          <w:p w:rsidR="000D4604" w:rsidRDefault="000D4604" w:rsidP="002677FF">
            <w:pPr>
              <w:overflowPunct w:val="0"/>
              <w:autoSpaceDE w:val="0"/>
              <w:autoSpaceDN w:val="0"/>
              <w:adjustRightInd w:val="0"/>
              <w:spacing w:beforeLines="60" w:before="144" w:afterLines="60" w:after="144" w:line="240" w:lineRule="auto"/>
              <w:textAlignment w:val="baseline"/>
            </w:pPr>
            <w:r>
              <w:lastRenderedPageBreak/>
              <w:t xml:space="preserve">Where an </w:t>
            </w:r>
            <w:r w:rsidR="00DF4E37">
              <w:t>ISMAA Provider</w:t>
            </w:r>
            <w:r>
              <w:t xml:space="preserve"> identifies an Australian Apprentice</w:t>
            </w:r>
            <w:r w:rsidR="00261281">
              <w:t xml:space="preserve"> that does not meet the above eligibility criteria but </w:t>
            </w:r>
            <w:r>
              <w:t xml:space="preserve">would benefit from receiving </w:t>
            </w:r>
            <w:r w:rsidR="00DF4E37">
              <w:t>Services</w:t>
            </w:r>
            <w:r>
              <w:t xml:space="preserve"> under this program, the </w:t>
            </w:r>
            <w:r w:rsidR="00DF4E37">
              <w:t>Provider</w:t>
            </w:r>
            <w:r>
              <w:t xml:space="preserve"> </w:t>
            </w:r>
            <w:r w:rsidR="00261281">
              <w:t>should</w:t>
            </w:r>
            <w:r>
              <w:t xml:space="preserve"> approach their </w:t>
            </w:r>
            <w:r w:rsidR="00DF4E37">
              <w:t>Contract</w:t>
            </w:r>
            <w:r>
              <w:t xml:space="preserve"> manager for consideration of special circumstances.</w:t>
            </w:r>
          </w:p>
        </w:tc>
      </w:tr>
      <w:tr w:rsidR="004C1934" w:rsidRPr="001C1946" w:rsidTr="00745A1C">
        <w:tc>
          <w:tcPr>
            <w:tcW w:w="3112" w:type="dxa"/>
          </w:tcPr>
          <w:p w:rsidR="004C1934" w:rsidRDefault="004C1934" w:rsidP="00745A1C">
            <w:pPr>
              <w:pStyle w:val="AASSOGSLEVEL3"/>
              <w:spacing w:before="120" w:after="120" w:line="240" w:lineRule="auto"/>
              <w:rPr>
                <w:lang w:eastAsia="en-AU"/>
              </w:rPr>
            </w:pPr>
            <w:r>
              <w:rPr>
                <w:lang w:eastAsia="en-AU"/>
              </w:rPr>
              <w:lastRenderedPageBreak/>
              <w:t xml:space="preserve">Individual Mentoring Plan </w:t>
            </w:r>
            <w:r w:rsidR="00BA71AD">
              <w:rPr>
                <w:lang w:eastAsia="en-AU"/>
              </w:rPr>
              <w:t>(IMP)</w:t>
            </w:r>
          </w:p>
        </w:tc>
        <w:tc>
          <w:tcPr>
            <w:tcW w:w="7665" w:type="dxa"/>
          </w:tcPr>
          <w:p w:rsidR="004C1934" w:rsidRDefault="004C1934" w:rsidP="002677FF">
            <w:pPr>
              <w:spacing w:beforeLines="60" w:before="144" w:afterLines="60" w:after="144" w:line="240" w:lineRule="auto"/>
            </w:pPr>
            <w:r>
              <w:t xml:space="preserve">Recognising that each Australian Apprentice receiving </w:t>
            </w:r>
            <w:r w:rsidR="00DF4E37">
              <w:t>Services</w:t>
            </w:r>
            <w:r>
              <w:t xml:space="preserve"> under this program will have different needs and require different levels of support, </w:t>
            </w:r>
            <w:r w:rsidR="00DF4E37">
              <w:t>Provider</w:t>
            </w:r>
            <w:r>
              <w:t xml:space="preserve">s </w:t>
            </w:r>
            <w:r w:rsidR="006A768E">
              <w:t>are r</w:t>
            </w:r>
            <w:r>
              <w:t xml:space="preserve">equired to create an </w:t>
            </w:r>
            <w:r w:rsidR="006A768E">
              <w:t>IMP</w:t>
            </w:r>
            <w:r>
              <w:t xml:space="preserve"> for each </w:t>
            </w:r>
            <w:r w:rsidR="00AB0510">
              <w:t>Client</w:t>
            </w:r>
            <w:r>
              <w:t xml:space="preserve">. </w:t>
            </w:r>
            <w:r w:rsidR="00012179">
              <w:t xml:space="preserve">The </w:t>
            </w:r>
            <w:r w:rsidR="008E1A00">
              <w:t>IMP</w:t>
            </w:r>
            <w:r>
              <w:t xml:space="preserve"> template</w:t>
            </w:r>
            <w:r w:rsidR="00012179">
              <w:t xml:space="preserve"> </w:t>
            </w:r>
            <w:r w:rsidR="00354460">
              <w:t>is in the</w:t>
            </w:r>
            <w:r w:rsidR="00012179">
              <w:t xml:space="preserve"> attachment</w:t>
            </w:r>
            <w:r w:rsidR="00354460">
              <w:t>s</w:t>
            </w:r>
            <w:r w:rsidR="00012179">
              <w:t xml:space="preserve"> to these </w:t>
            </w:r>
            <w:r w:rsidR="00DF4E37">
              <w:t>Guidelines</w:t>
            </w:r>
            <w:r w:rsidR="00012179">
              <w:t>.</w:t>
            </w:r>
          </w:p>
          <w:p w:rsidR="004C1934" w:rsidRDefault="004C1934" w:rsidP="002677FF">
            <w:pPr>
              <w:spacing w:beforeLines="60" w:before="144" w:afterLines="60" w:after="144" w:line="240" w:lineRule="auto"/>
            </w:pPr>
            <w:r>
              <w:t>The</w:t>
            </w:r>
            <w:r w:rsidR="00354FDD">
              <w:t xml:space="preserve"> IMP</w:t>
            </w:r>
            <w:r>
              <w:t xml:space="preserve"> </w:t>
            </w:r>
            <w:r w:rsidR="000A0147">
              <w:t xml:space="preserve">must </w:t>
            </w:r>
            <w:r>
              <w:t xml:space="preserve">contain information regarding the specific needs of the </w:t>
            </w:r>
            <w:r w:rsidR="007A1465">
              <w:t xml:space="preserve">Australian Apprentice </w:t>
            </w:r>
            <w:r>
              <w:t>as well as the</w:t>
            </w:r>
            <w:r w:rsidR="000A0147">
              <w:t xml:space="preserve"> </w:t>
            </w:r>
            <w:r>
              <w:t xml:space="preserve">type, </w:t>
            </w:r>
            <w:r w:rsidR="000A0147">
              <w:t xml:space="preserve">schedule </w:t>
            </w:r>
            <w:r>
              <w:t xml:space="preserve">and engagement style of the </w:t>
            </w:r>
            <w:r w:rsidR="00480D00">
              <w:t>S</w:t>
            </w:r>
            <w:r>
              <w:t xml:space="preserve">ervice. Information regarding the strategies that will be used to, if required, engage with the </w:t>
            </w:r>
            <w:r w:rsidR="007A1465">
              <w:t>Australian A</w:t>
            </w:r>
            <w:r>
              <w:t>pprentice</w:t>
            </w:r>
            <w:r w:rsidR="007A1465">
              <w:t>’</w:t>
            </w:r>
            <w:r>
              <w:t xml:space="preserve">s employer and RTO must also be included in </w:t>
            </w:r>
            <w:r w:rsidR="00354FDD">
              <w:t>an IMP</w:t>
            </w:r>
            <w:r>
              <w:t>.</w:t>
            </w:r>
          </w:p>
          <w:p w:rsidR="004C1934" w:rsidRDefault="004C1934" w:rsidP="002677FF">
            <w:pPr>
              <w:spacing w:beforeLines="60" w:before="144" w:afterLines="60" w:after="144" w:line="240" w:lineRule="auto"/>
            </w:pPr>
            <w:r>
              <w:t xml:space="preserve">The engagement style used for each </w:t>
            </w:r>
            <w:r w:rsidR="00AB0510">
              <w:t>Client</w:t>
            </w:r>
            <w:r>
              <w:t xml:space="preserve"> must be outlined in the </w:t>
            </w:r>
            <w:r w:rsidR="008E1A00">
              <w:t>IMP</w:t>
            </w:r>
            <w:r>
              <w:t xml:space="preserve">. </w:t>
            </w:r>
            <w:r w:rsidR="00DF4E37">
              <w:t>ISMAA Provider</w:t>
            </w:r>
            <w:r>
              <w:t xml:space="preserve">s must deliver the majority of contact </w:t>
            </w:r>
            <w:r w:rsidR="00FD1056">
              <w:t>face-to-face</w:t>
            </w:r>
            <w:r>
              <w:t xml:space="preserve">, supported by alternate contact methods such as phone, email and SMS as required. Where </w:t>
            </w:r>
            <w:r w:rsidR="00FD1056">
              <w:t>face-to-face</w:t>
            </w:r>
            <w:r>
              <w:t xml:space="preserve"> contact </w:t>
            </w:r>
            <w:r w:rsidR="007A1465">
              <w:t>does not</w:t>
            </w:r>
            <w:r w:rsidR="0064172A">
              <w:t xml:space="preserve"> </w:t>
            </w:r>
            <w:r>
              <w:t xml:space="preserve">form the majority of time spent servicing the </w:t>
            </w:r>
            <w:r w:rsidR="00AB0510">
              <w:t>Client</w:t>
            </w:r>
            <w:r w:rsidR="007A1465">
              <w:t>,</w:t>
            </w:r>
            <w:r>
              <w:t xml:space="preserve"> the </w:t>
            </w:r>
            <w:r w:rsidR="00DF4E37">
              <w:t>Provider</w:t>
            </w:r>
            <w:r>
              <w:t xml:space="preserve"> must record </w:t>
            </w:r>
            <w:r w:rsidR="007A1465">
              <w:t xml:space="preserve">the rationale </w:t>
            </w:r>
            <w:r>
              <w:t xml:space="preserve">in </w:t>
            </w:r>
            <w:r w:rsidR="006A768E">
              <w:t>the IMP</w:t>
            </w:r>
            <w:r>
              <w:t>.</w:t>
            </w:r>
          </w:p>
          <w:p w:rsidR="004C1934" w:rsidRDefault="008E1A00" w:rsidP="002677FF">
            <w:pPr>
              <w:spacing w:beforeLines="60" w:before="144" w:afterLines="60" w:after="144" w:line="240" w:lineRule="auto"/>
            </w:pPr>
            <w:r>
              <w:t>IMPs</w:t>
            </w:r>
            <w:r w:rsidR="0025499C">
              <w:t xml:space="preserve"> must also outline any other mentoring support service that </w:t>
            </w:r>
            <w:r w:rsidR="007A1465">
              <w:t xml:space="preserve">the Australian Apprentice </w:t>
            </w:r>
            <w:r w:rsidR="0025499C">
              <w:t xml:space="preserve">may be </w:t>
            </w:r>
            <w:r w:rsidR="007A1465">
              <w:t>receiving</w:t>
            </w:r>
            <w:r w:rsidR="0025499C">
              <w:t xml:space="preserve"> and identify how the support elements complement each other without duplicati</w:t>
            </w:r>
            <w:r w:rsidR="007A1465">
              <w:t>on</w:t>
            </w:r>
            <w:r w:rsidR="0025499C">
              <w:t>.</w:t>
            </w:r>
          </w:p>
          <w:p w:rsidR="004C1934" w:rsidRDefault="004C1934" w:rsidP="002677FF">
            <w:pPr>
              <w:spacing w:beforeLines="60" w:before="144" w:afterLines="60" w:after="144" w:line="240" w:lineRule="auto"/>
            </w:pPr>
            <w:r>
              <w:t>As specified in further detail in the Performance Management Framework</w:t>
            </w:r>
            <w:r w:rsidR="00354FDD">
              <w:t xml:space="preserve"> (see </w:t>
            </w:r>
            <w:r w:rsidR="008019A9">
              <w:t xml:space="preserve">Section </w:t>
            </w:r>
            <w:r w:rsidR="009A3A03">
              <w:t>7</w:t>
            </w:r>
            <w:r w:rsidR="00354FDD">
              <w:t xml:space="preserve"> below)</w:t>
            </w:r>
            <w:r>
              <w:t xml:space="preserve">, </w:t>
            </w:r>
            <w:r w:rsidR="00DF4E37">
              <w:t>Provider</w:t>
            </w:r>
            <w:r>
              <w:t xml:space="preserve">s must be able to produce these </w:t>
            </w:r>
            <w:r w:rsidR="008E1A00">
              <w:t>I</w:t>
            </w:r>
            <w:r w:rsidR="00354FDD">
              <w:t xml:space="preserve">ndividual Mentoring Plans during IMP </w:t>
            </w:r>
            <w:r>
              <w:t>file monitoring or as</w:t>
            </w:r>
            <w:r w:rsidR="0064172A">
              <w:t xml:space="preserve"> </w:t>
            </w:r>
            <w:r>
              <w:t>request</w:t>
            </w:r>
            <w:r w:rsidR="007A1465">
              <w:t>ed</w:t>
            </w:r>
            <w:r>
              <w:t xml:space="preserve"> by the Department.</w:t>
            </w:r>
          </w:p>
          <w:p w:rsidR="00354FDD" w:rsidRDefault="00BA71AD" w:rsidP="002677FF">
            <w:pPr>
              <w:spacing w:beforeLines="60" w:before="144" w:afterLines="60" w:after="144" w:line="240" w:lineRule="auto"/>
            </w:pPr>
            <w:r>
              <w:t xml:space="preserve">Each IMP must be signed by both the mentor and Australian Apprentice </w:t>
            </w:r>
            <w:r w:rsidR="008019A9">
              <w:t>to be considered</w:t>
            </w:r>
            <w:r>
              <w:t xml:space="preserve"> </w:t>
            </w:r>
            <w:r w:rsidR="00DF4E37">
              <w:t>Commenced</w:t>
            </w:r>
            <w:r w:rsidR="000A119E">
              <w:t xml:space="preserve">. </w:t>
            </w:r>
          </w:p>
          <w:p w:rsidR="003F2948" w:rsidRDefault="003F2948" w:rsidP="002677FF">
            <w:pPr>
              <w:spacing w:beforeLines="60" w:before="144" w:afterLines="60" w:after="144" w:line="240" w:lineRule="auto"/>
            </w:pPr>
            <w:r>
              <w:t xml:space="preserve">Once the IMP has been </w:t>
            </w:r>
            <w:r w:rsidR="00DF4E37">
              <w:t>Commenced</w:t>
            </w:r>
            <w:r>
              <w:t xml:space="preserve"> the original must be kept on the </w:t>
            </w:r>
            <w:r w:rsidR="00DF4E37">
              <w:t>ISMAA Provider</w:t>
            </w:r>
            <w:r w:rsidR="007A1465">
              <w:t>’</w:t>
            </w:r>
            <w:r>
              <w:t xml:space="preserve">s file in line with the requirements in these </w:t>
            </w:r>
            <w:r w:rsidR="00DF4E37">
              <w:t>Guidelines</w:t>
            </w:r>
            <w:r>
              <w:t xml:space="preserve"> and a copy provided to the </w:t>
            </w:r>
            <w:r w:rsidR="00AB0510">
              <w:t>Client</w:t>
            </w:r>
            <w:r>
              <w:t xml:space="preserve">. This can be a scanned copy which is emailed to the </w:t>
            </w:r>
            <w:r w:rsidR="00AB0510">
              <w:t>Client</w:t>
            </w:r>
            <w:r>
              <w:t xml:space="preserve"> or a</w:t>
            </w:r>
            <w:r w:rsidR="001C1374">
              <w:t>s a</w:t>
            </w:r>
            <w:r>
              <w:t xml:space="preserve"> photocopy.</w:t>
            </w:r>
          </w:p>
          <w:p w:rsidR="003C1BBB" w:rsidRDefault="003C1BBB" w:rsidP="002677FF">
            <w:pPr>
              <w:spacing w:beforeLines="60" w:before="144" w:afterLines="60" w:after="144" w:line="240" w:lineRule="auto"/>
            </w:pPr>
            <w:r>
              <w:t>The</w:t>
            </w:r>
            <w:r w:rsidR="00354FDD">
              <w:t xml:space="preserve"> IMPs</w:t>
            </w:r>
            <w:r>
              <w:t xml:space="preserve"> are unique to each </w:t>
            </w:r>
            <w:r w:rsidR="00AB0510">
              <w:t>Client</w:t>
            </w:r>
            <w:r>
              <w:t xml:space="preserve"> and </w:t>
            </w:r>
            <w:r w:rsidR="00E34D72">
              <w:t>must reflect their individual needs and expectations of the</w:t>
            </w:r>
            <w:r w:rsidR="00354FDD">
              <w:t xml:space="preserve"> ISMAA</w:t>
            </w:r>
            <w:r w:rsidR="00E34D72">
              <w:t xml:space="preserve"> program. </w:t>
            </w:r>
            <w:r w:rsidR="00354FDD">
              <w:t>IMPs</w:t>
            </w:r>
            <w:r w:rsidR="00E34D72">
              <w:t xml:space="preserve"> that are completed using generic or standard comments are unacceptable.</w:t>
            </w:r>
          </w:p>
        </w:tc>
      </w:tr>
      <w:tr w:rsidR="00830893" w:rsidRPr="001C1946" w:rsidTr="00745A1C">
        <w:tc>
          <w:tcPr>
            <w:tcW w:w="3112" w:type="dxa"/>
          </w:tcPr>
          <w:p w:rsidR="00830893" w:rsidRDefault="00830893" w:rsidP="00745A1C">
            <w:pPr>
              <w:pStyle w:val="AASSOGSLEVEL3"/>
              <w:spacing w:before="120" w:after="120" w:line="240" w:lineRule="auto"/>
              <w:rPr>
                <w:lang w:eastAsia="en-AU"/>
              </w:rPr>
            </w:pPr>
            <w:r>
              <w:rPr>
                <w:lang w:eastAsia="en-AU"/>
              </w:rPr>
              <w:t>Australian Apprentice Privacy</w:t>
            </w:r>
          </w:p>
        </w:tc>
        <w:tc>
          <w:tcPr>
            <w:tcW w:w="7665" w:type="dxa"/>
          </w:tcPr>
          <w:p w:rsidR="00830893" w:rsidRDefault="00DF4E37" w:rsidP="002677FF">
            <w:pPr>
              <w:spacing w:beforeLines="60" w:before="144" w:afterLines="60" w:after="144" w:line="240" w:lineRule="auto"/>
            </w:pPr>
            <w:r>
              <w:t>ISMAA Provider</w:t>
            </w:r>
            <w:r w:rsidR="00F311E9">
              <w:t xml:space="preserve">s must include enough information in </w:t>
            </w:r>
            <w:r w:rsidR="00A32779">
              <w:t>an</w:t>
            </w:r>
            <w:r w:rsidR="00F311E9">
              <w:t xml:space="preserve"> </w:t>
            </w:r>
            <w:r w:rsidR="008E1A00">
              <w:t>IMP</w:t>
            </w:r>
            <w:r w:rsidR="00F311E9">
              <w:t xml:space="preserve"> to enable the Department to make an assessment as to the type and content of the support being provided. </w:t>
            </w:r>
            <w:r w:rsidR="00BD5018">
              <w:t xml:space="preserve">This can </w:t>
            </w:r>
            <w:r w:rsidR="00A32779">
              <w:t>include</w:t>
            </w:r>
            <w:r w:rsidR="00BD5018">
              <w:t xml:space="preserve"> topics of discussion and action items but must reflect the </w:t>
            </w:r>
            <w:r w:rsidR="001E5673">
              <w:t>individual</w:t>
            </w:r>
            <w:r w:rsidR="00A32779">
              <w:t xml:space="preserve"> Client’s</w:t>
            </w:r>
            <w:r w:rsidR="00BD5018">
              <w:t xml:space="preserve"> circumstances.</w:t>
            </w:r>
          </w:p>
        </w:tc>
      </w:tr>
      <w:tr w:rsidR="006A768E" w:rsidRPr="001C1946" w:rsidTr="00745A1C">
        <w:tc>
          <w:tcPr>
            <w:tcW w:w="3112" w:type="dxa"/>
          </w:tcPr>
          <w:p w:rsidR="006A768E" w:rsidRDefault="000A119E" w:rsidP="00745A1C">
            <w:pPr>
              <w:pStyle w:val="AASSOGSLEVEL3"/>
              <w:spacing w:before="120" w:after="120" w:line="240" w:lineRule="auto"/>
              <w:rPr>
                <w:lang w:eastAsia="en-AU"/>
              </w:rPr>
            </w:pPr>
            <w:r>
              <w:rPr>
                <w:lang w:eastAsia="en-AU"/>
              </w:rPr>
              <w:t>Benchmark</w:t>
            </w:r>
            <w:r w:rsidR="006A768E">
              <w:rPr>
                <w:lang w:eastAsia="en-AU"/>
              </w:rPr>
              <w:t xml:space="preserve"> servicing requirements</w:t>
            </w:r>
          </w:p>
        </w:tc>
        <w:tc>
          <w:tcPr>
            <w:tcW w:w="7665" w:type="dxa"/>
          </w:tcPr>
          <w:p w:rsidR="006A768E" w:rsidRDefault="00395D45" w:rsidP="002677FF">
            <w:pPr>
              <w:spacing w:beforeLines="60" w:before="144" w:afterLines="60" w:after="144" w:line="240" w:lineRule="auto"/>
            </w:pPr>
            <w:r>
              <w:t xml:space="preserve">For a </w:t>
            </w:r>
            <w:r w:rsidR="00AB0510">
              <w:t>Client</w:t>
            </w:r>
            <w:r>
              <w:t xml:space="preserve"> to be considered to be receiving (or received) a service under the ISMAA program, the following criteria must be met:</w:t>
            </w:r>
          </w:p>
          <w:p w:rsidR="006A768E" w:rsidRPr="00D9155E"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o</w:t>
            </w:r>
            <w:r w:rsidRPr="00D9155E">
              <w:rPr>
                <w:rFonts w:ascii="Calibri" w:eastAsia="Times New Roman" w:hAnsi="Calibri" w:cs="Arial"/>
                <w:lang w:eastAsia="en-AU"/>
              </w:rPr>
              <w:t xml:space="preserve">ne </w:t>
            </w:r>
            <w:r w:rsidR="006A768E" w:rsidRPr="00D9155E">
              <w:rPr>
                <w:rFonts w:ascii="Calibri" w:eastAsia="Times New Roman" w:hAnsi="Calibri" w:cs="Arial"/>
                <w:lang w:eastAsia="en-AU"/>
              </w:rPr>
              <w:t>hour of mentoring support must</w:t>
            </w:r>
            <w:r w:rsidR="00395D45" w:rsidRPr="00D9155E">
              <w:rPr>
                <w:rFonts w:ascii="Calibri" w:eastAsia="Times New Roman" w:hAnsi="Calibri" w:cs="Arial"/>
                <w:lang w:eastAsia="en-AU"/>
              </w:rPr>
              <w:t xml:space="preserve"> have</w:t>
            </w:r>
            <w:r w:rsidR="006A768E" w:rsidRPr="00D9155E">
              <w:rPr>
                <w:rFonts w:ascii="Calibri" w:eastAsia="Times New Roman" w:hAnsi="Calibri" w:cs="Arial"/>
                <w:lang w:eastAsia="en-AU"/>
              </w:rPr>
              <w:t xml:space="preserve"> be</w:t>
            </w:r>
            <w:r w:rsidR="00395D45" w:rsidRPr="00D9155E">
              <w:rPr>
                <w:rFonts w:ascii="Calibri" w:eastAsia="Times New Roman" w:hAnsi="Calibri" w:cs="Arial"/>
                <w:lang w:eastAsia="en-AU"/>
              </w:rPr>
              <w:t>en</w:t>
            </w:r>
            <w:r w:rsidR="006A768E" w:rsidRPr="00D9155E">
              <w:rPr>
                <w:rFonts w:ascii="Calibri" w:eastAsia="Times New Roman" w:hAnsi="Calibri" w:cs="Arial"/>
                <w:lang w:eastAsia="en-AU"/>
              </w:rPr>
              <w:t xml:space="preserve"> provide</w:t>
            </w:r>
            <w:r w:rsidR="000824A7">
              <w:rPr>
                <w:rFonts w:ascii="Calibri" w:eastAsia="Times New Roman" w:hAnsi="Calibri" w:cs="Arial"/>
                <w:lang w:eastAsia="en-AU"/>
              </w:rPr>
              <w:t>d</w:t>
            </w:r>
            <w:r w:rsidR="00A32779">
              <w:rPr>
                <w:rFonts w:ascii="Calibri" w:eastAsia="Times New Roman" w:hAnsi="Calibri" w:cs="Arial"/>
                <w:lang w:eastAsia="en-AU"/>
              </w:rPr>
              <w:t>; and</w:t>
            </w:r>
          </w:p>
          <w:p w:rsidR="00B23494" w:rsidRPr="00DE1AC7"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a</w:t>
            </w:r>
            <w:r w:rsidRPr="00DE1AC7">
              <w:rPr>
                <w:rFonts w:ascii="Calibri" w:eastAsia="Times New Roman" w:hAnsi="Calibri" w:cs="Arial"/>
                <w:lang w:eastAsia="en-AU"/>
              </w:rPr>
              <w:t xml:space="preserve"> </w:t>
            </w:r>
            <w:r w:rsidR="00DF4E37">
              <w:rPr>
                <w:rFonts w:ascii="Calibri" w:eastAsia="Times New Roman" w:hAnsi="Calibri" w:cs="Arial"/>
                <w:lang w:eastAsia="en-AU"/>
              </w:rPr>
              <w:t>Commenced</w:t>
            </w:r>
            <w:r w:rsidR="006A768E" w:rsidRPr="00DE1AC7">
              <w:rPr>
                <w:rFonts w:ascii="Calibri" w:eastAsia="Times New Roman" w:hAnsi="Calibri" w:cs="Arial"/>
                <w:lang w:eastAsia="en-AU"/>
              </w:rPr>
              <w:t xml:space="preserve"> IMP must be in place</w:t>
            </w:r>
            <w:r w:rsidR="00B23494" w:rsidRPr="00DE1AC7">
              <w:rPr>
                <w:rFonts w:ascii="Calibri" w:eastAsia="Times New Roman" w:hAnsi="Calibri" w:cs="Arial"/>
                <w:lang w:eastAsia="en-AU"/>
              </w:rPr>
              <w:t>.</w:t>
            </w:r>
          </w:p>
          <w:p w:rsidR="00395D45" w:rsidRDefault="00395D45" w:rsidP="002677FF">
            <w:pPr>
              <w:spacing w:beforeLines="60" w:before="144" w:afterLines="60" w:after="144" w:line="240" w:lineRule="auto"/>
            </w:pPr>
            <w:r>
              <w:t xml:space="preserve">This is the criteria that the Department will use to determine how many </w:t>
            </w:r>
            <w:r w:rsidR="00AB0510">
              <w:t>Client</w:t>
            </w:r>
            <w:r>
              <w:t xml:space="preserve">s an </w:t>
            </w:r>
            <w:r w:rsidR="00DF4E37">
              <w:t>ISMAA Provider</w:t>
            </w:r>
            <w:r>
              <w:t xml:space="preserve"> has serviced in relation to their benchmark.</w:t>
            </w:r>
          </w:p>
        </w:tc>
      </w:tr>
      <w:tr w:rsidR="000A119E" w:rsidRPr="001C1946" w:rsidTr="00745A1C">
        <w:tc>
          <w:tcPr>
            <w:tcW w:w="3112" w:type="dxa"/>
          </w:tcPr>
          <w:p w:rsidR="000A119E" w:rsidRDefault="000A119E" w:rsidP="00745A1C">
            <w:pPr>
              <w:pStyle w:val="AASSOGSLEVEL3"/>
              <w:spacing w:before="120" w:after="120" w:line="240" w:lineRule="auto"/>
              <w:rPr>
                <w:lang w:eastAsia="en-AU"/>
              </w:rPr>
            </w:pPr>
            <w:r>
              <w:rPr>
                <w:lang w:eastAsia="en-AU"/>
              </w:rPr>
              <w:lastRenderedPageBreak/>
              <w:t>Minimum servicing requirement</w:t>
            </w:r>
          </w:p>
        </w:tc>
        <w:tc>
          <w:tcPr>
            <w:tcW w:w="7665" w:type="dxa"/>
          </w:tcPr>
          <w:p w:rsidR="0026151A" w:rsidRDefault="0026151A" w:rsidP="002677FF">
            <w:pPr>
              <w:spacing w:beforeLines="60" w:before="144" w:afterLines="60" w:after="144" w:line="240" w:lineRule="auto"/>
            </w:pPr>
            <w:r>
              <w:t xml:space="preserve">While each </w:t>
            </w:r>
            <w:r w:rsidR="00AB0510">
              <w:t>Client</w:t>
            </w:r>
            <w:r>
              <w:t xml:space="preserve">’s requirements will be different under the ISMAA program, </w:t>
            </w:r>
            <w:r w:rsidR="00DF4E37">
              <w:t>Provider</w:t>
            </w:r>
            <w:r>
              <w:t xml:space="preserve">s are expected, on average, to </w:t>
            </w:r>
            <w:r w:rsidR="000A119E">
              <w:t xml:space="preserve">deliver a </w:t>
            </w:r>
            <w:r w:rsidR="000A119E" w:rsidRPr="0026151A">
              <w:rPr>
                <w:u w:val="single"/>
              </w:rPr>
              <w:t>minimum</w:t>
            </w:r>
            <w:r w:rsidR="000A119E">
              <w:t xml:space="preserve"> of six hours of support to each Australian Apprentice they service under this program.</w:t>
            </w:r>
          </w:p>
          <w:p w:rsidR="009967C7" w:rsidRDefault="009967C7" w:rsidP="002677FF">
            <w:pPr>
              <w:spacing w:beforeLines="60" w:before="144" w:afterLines="60" w:after="144" w:line="240" w:lineRule="auto"/>
            </w:pPr>
            <w:r>
              <w:t xml:space="preserve">Mentors must determine the most appropriate contact mechanism and schedule for their </w:t>
            </w:r>
            <w:r w:rsidR="00AB0510">
              <w:t>Client</w:t>
            </w:r>
            <w:r>
              <w:t>s noting that these must be recorded in t</w:t>
            </w:r>
            <w:r w:rsidR="00465760">
              <w:t>he IMP. The Department</w:t>
            </w:r>
            <w:r w:rsidR="00AF4508">
              <w:t>’</w:t>
            </w:r>
            <w:r w:rsidR="00465760">
              <w:t xml:space="preserve">s expectation is that the majority of servicing will be provided </w:t>
            </w:r>
            <w:r w:rsidR="00FD1056">
              <w:t>face-to-face</w:t>
            </w:r>
            <w:r w:rsidR="00465760">
              <w:t xml:space="preserve"> and where this </w:t>
            </w:r>
            <w:r w:rsidR="00AF4508">
              <w:t xml:space="preserve">is not </w:t>
            </w:r>
            <w:r w:rsidR="00465760">
              <w:t>the case the IMP must contain comments reflecting why different contact methods were u</w:t>
            </w:r>
            <w:r w:rsidR="003225B8">
              <w:t>sed</w:t>
            </w:r>
            <w:r w:rsidR="00465760">
              <w:t>.</w:t>
            </w:r>
          </w:p>
          <w:p w:rsidR="000A119E" w:rsidRDefault="000A119E" w:rsidP="002677FF">
            <w:pPr>
              <w:spacing w:beforeLines="60" w:before="144" w:afterLines="60" w:after="144" w:line="240" w:lineRule="auto"/>
            </w:pPr>
            <w:r>
              <w:t xml:space="preserve">Where a </w:t>
            </w:r>
            <w:r w:rsidR="00AB0510">
              <w:t>Client</w:t>
            </w:r>
            <w:r>
              <w:t xml:space="preserve"> withdraw</w:t>
            </w:r>
            <w:r w:rsidR="003225B8">
              <w:t>s</w:t>
            </w:r>
            <w:r>
              <w:t xml:space="preserve"> from the</w:t>
            </w:r>
            <w:r w:rsidR="0026151A">
              <w:t xml:space="preserve"> ISMAA</w:t>
            </w:r>
            <w:r>
              <w:t xml:space="preserve"> </w:t>
            </w:r>
            <w:r w:rsidR="00480D00">
              <w:t>Service</w:t>
            </w:r>
            <w:r>
              <w:t xml:space="preserve"> or leaves their Australian Apprenticeship, the benchmark servicing requirements</w:t>
            </w:r>
            <w:r w:rsidR="0026151A">
              <w:t xml:space="preserve"> </w:t>
            </w:r>
            <w:r>
              <w:t xml:space="preserve">must be achieved for this </w:t>
            </w:r>
            <w:r w:rsidR="00480D00">
              <w:t>Service</w:t>
            </w:r>
            <w:r>
              <w:t xml:space="preserve"> to be counted towards a </w:t>
            </w:r>
            <w:r w:rsidR="00DF4E37">
              <w:t>Provider</w:t>
            </w:r>
            <w:r>
              <w:t>’s benchmark.</w:t>
            </w:r>
          </w:p>
          <w:p w:rsidR="0001229C" w:rsidRDefault="0001229C" w:rsidP="002677FF">
            <w:pPr>
              <w:spacing w:beforeLines="60" w:before="144" w:afterLines="60" w:after="144" w:line="240" w:lineRule="auto"/>
            </w:pPr>
            <w:r>
              <w:t xml:space="preserve">While six hours is </w:t>
            </w:r>
            <w:r w:rsidR="00AF4508">
              <w:t>the expected</w:t>
            </w:r>
            <w:r>
              <w:t xml:space="preserve"> average minimum servicing level, each </w:t>
            </w:r>
            <w:r w:rsidR="00AB0510">
              <w:t>Client</w:t>
            </w:r>
            <w:r>
              <w:t xml:space="preserve">’s requirements will be different and the </w:t>
            </w:r>
            <w:r w:rsidR="00A32779">
              <w:t xml:space="preserve">file </w:t>
            </w:r>
            <w:r>
              <w:t xml:space="preserve">notes within the IMP </w:t>
            </w:r>
            <w:r w:rsidR="0037576E">
              <w:t>must</w:t>
            </w:r>
            <w:r>
              <w:t xml:space="preserve"> reflec</w:t>
            </w:r>
            <w:r w:rsidR="009A74D9">
              <w:t>t the actual servicing provided and why this was an appropriate level.</w:t>
            </w:r>
          </w:p>
        </w:tc>
      </w:tr>
      <w:tr w:rsidR="000A119E" w:rsidRPr="001C1946" w:rsidTr="00745A1C">
        <w:tc>
          <w:tcPr>
            <w:tcW w:w="3112" w:type="dxa"/>
          </w:tcPr>
          <w:p w:rsidR="000A119E" w:rsidRDefault="000A119E" w:rsidP="00745A1C">
            <w:pPr>
              <w:pStyle w:val="AASSOGSLEVEL3"/>
              <w:spacing w:before="120" w:after="120" w:line="240" w:lineRule="auto"/>
              <w:rPr>
                <w:lang w:eastAsia="en-AU"/>
              </w:rPr>
            </w:pPr>
            <w:r>
              <w:rPr>
                <w:lang w:eastAsia="en-AU"/>
              </w:rPr>
              <w:t xml:space="preserve">Maximum servicing </w:t>
            </w:r>
            <w:r w:rsidR="00B23494">
              <w:rPr>
                <w:lang w:eastAsia="en-AU"/>
              </w:rPr>
              <w:t>level</w:t>
            </w:r>
          </w:p>
        </w:tc>
        <w:tc>
          <w:tcPr>
            <w:tcW w:w="7665" w:type="dxa"/>
          </w:tcPr>
          <w:p w:rsidR="0001229C" w:rsidRDefault="000A119E" w:rsidP="002677FF">
            <w:pPr>
              <w:spacing w:beforeLines="60" w:before="144" w:afterLines="60" w:after="144" w:line="240" w:lineRule="auto"/>
            </w:pPr>
            <w:r>
              <w:t xml:space="preserve">There </w:t>
            </w:r>
            <w:r w:rsidR="00B23494">
              <w:t>are</w:t>
            </w:r>
            <w:r>
              <w:t xml:space="preserve"> no maximum servicing</w:t>
            </w:r>
            <w:r w:rsidR="00B23494">
              <w:t xml:space="preserve"> levels</w:t>
            </w:r>
            <w:r>
              <w:t xml:space="preserve">. Mentors should determine the appropriate amount of support that is required for each </w:t>
            </w:r>
            <w:r w:rsidR="00AB0510">
              <w:t>Client</w:t>
            </w:r>
            <w:r>
              <w:t xml:space="preserve">. </w:t>
            </w:r>
            <w:r w:rsidR="003225B8">
              <w:t>M</w:t>
            </w:r>
            <w:r w:rsidR="002D6ECD">
              <w:t xml:space="preserve">entors are best placed to determine the level of support required for each </w:t>
            </w:r>
            <w:r w:rsidR="00AB0510">
              <w:t>Client</w:t>
            </w:r>
            <w:r w:rsidR="002D6ECD">
              <w:t xml:space="preserve"> and will deliver </w:t>
            </w:r>
            <w:r w:rsidR="00DF4E37">
              <w:t>Services</w:t>
            </w:r>
            <w:r w:rsidR="002D6ECD">
              <w:t xml:space="preserve"> accordingly, taking into consideration the benchmark and minimum servicing requirements</w:t>
            </w:r>
            <w:r w:rsidR="00AF4508">
              <w:t xml:space="preserve">, and the </w:t>
            </w:r>
            <w:r w:rsidR="00DF4E37">
              <w:t>Provider</w:t>
            </w:r>
            <w:r w:rsidR="00AF4508">
              <w:t xml:space="preserve">’s </w:t>
            </w:r>
            <w:r w:rsidR="00DF4E37">
              <w:t>Contract</w:t>
            </w:r>
            <w:r w:rsidR="00AF4508">
              <w:t>ual obligations</w:t>
            </w:r>
            <w:r w:rsidR="002D6ECD">
              <w:t>.</w:t>
            </w:r>
          </w:p>
        </w:tc>
      </w:tr>
      <w:tr w:rsidR="00EB298A" w:rsidRPr="001C1946" w:rsidTr="00745A1C">
        <w:tc>
          <w:tcPr>
            <w:tcW w:w="3112" w:type="dxa"/>
          </w:tcPr>
          <w:p w:rsidR="00EB298A" w:rsidRDefault="00EB298A" w:rsidP="00745A1C">
            <w:pPr>
              <w:pStyle w:val="AASSOGSLEVEL3"/>
              <w:spacing w:before="120" w:after="120" w:line="240" w:lineRule="auto"/>
              <w:rPr>
                <w:lang w:eastAsia="en-AU"/>
              </w:rPr>
            </w:pPr>
            <w:r>
              <w:rPr>
                <w:lang w:eastAsia="en-AU"/>
              </w:rPr>
              <w:t>Engagement with employers</w:t>
            </w:r>
          </w:p>
        </w:tc>
        <w:tc>
          <w:tcPr>
            <w:tcW w:w="7665" w:type="dxa"/>
          </w:tcPr>
          <w:p w:rsidR="00EB298A" w:rsidRDefault="00AF4508" w:rsidP="002677FF">
            <w:pPr>
              <w:spacing w:beforeLines="60" w:before="144" w:afterLines="60" w:after="144" w:line="240" w:lineRule="auto"/>
            </w:pPr>
            <w:r>
              <w:t xml:space="preserve">The </w:t>
            </w:r>
            <w:r w:rsidR="00AB0510">
              <w:t>Client</w:t>
            </w:r>
            <w:r>
              <w:t xml:space="preserve">’s employer is a key stakeholder in the successful completion of an Australian Apprenticeship. </w:t>
            </w:r>
            <w:r w:rsidR="00EB298A">
              <w:t xml:space="preserve">Mentors must use their skill and judgement to manage interactions with the employer of their </w:t>
            </w:r>
            <w:r w:rsidR="00AB0510">
              <w:t>Client</w:t>
            </w:r>
            <w:r w:rsidR="00EB298A">
              <w:t xml:space="preserve">. Mentors must respect employer requests, especially when this relates to times or location of access to </w:t>
            </w:r>
            <w:r w:rsidR="003225B8">
              <w:t xml:space="preserve">participating </w:t>
            </w:r>
            <w:r w:rsidR="00EB298A">
              <w:t>Australian Apprentices.</w:t>
            </w:r>
          </w:p>
        </w:tc>
      </w:tr>
      <w:tr w:rsidR="006A768E" w:rsidRPr="001C1946" w:rsidTr="00745A1C">
        <w:tc>
          <w:tcPr>
            <w:tcW w:w="3112" w:type="dxa"/>
          </w:tcPr>
          <w:p w:rsidR="006A768E" w:rsidRDefault="006A768E" w:rsidP="00745A1C">
            <w:pPr>
              <w:pStyle w:val="AASSOGSLEVEL3"/>
              <w:spacing w:before="120" w:after="120" w:line="240" w:lineRule="auto"/>
              <w:rPr>
                <w:lang w:eastAsia="en-AU"/>
              </w:rPr>
            </w:pPr>
            <w:r>
              <w:rPr>
                <w:lang w:eastAsia="en-AU"/>
              </w:rPr>
              <w:t xml:space="preserve">Retained </w:t>
            </w:r>
            <w:r w:rsidR="00AB0510">
              <w:rPr>
                <w:lang w:eastAsia="en-AU"/>
              </w:rPr>
              <w:t>Client</w:t>
            </w:r>
            <w:r>
              <w:rPr>
                <w:lang w:eastAsia="en-AU"/>
              </w:rPr>
              <w:t>s</w:t>
            </w:r>
          </w:p>
        </w:tc>
        <w:tc>
          <w:tcPr>
            <w:tcW w:w="7665" w:type="dxa"/>
          </w:tcPr>
          <w:p w:rsidR="004A66EE" w:rsidRDefault="004A66EE" w:rsidP="002677FF">
            <w:pPr>
              <w:spacing w:beforeLines="60" w:before="144" w:afterLines="60" w:after="144" w:line="240" w:lineRule="auto"/>
            </w:pPr>
            <w:r>
              <w:t xml:space="preserve">For a </w:t>
            </w:r>
            <w:r w:rsidR="00AB0510">
              <w:t>Client</w:t>
            </w:r>
            <w:r>
              <w:t xml:space="preserve"> to be considered “Retained” for the purposes of a final outcome on the IMP</w:t>
            </w:r>
            <w:r w:rsidR="00087B3B">
              <w:t xml:space="preserve"> and the program</w:t>
            </w:r>
            <w:r>
              <w:t xml:space="preserve">, an </w:t>
            </w:r>
            <w:r w:rsidR="00DF4E37">
              <w:t>ISMAA Provider</w:t>
            </w:r>
            <w:r>
              <w:t xml:space="preserve"> must deliver </w:t>
            </w:r>
            <w:r w:rsidR="00DF4E37">
              <w:t>Services</w:t>
            </w:r>
            <w:r w:rsidR="0001229C">
              <w:t xml:space="preserve"> in line with the </w:t>
            </w:r>
            <w:r w:rsidR="008104C4">
              <w:t xml:space="preserve">benchmark and </w:t>
            </w:r>
            <w:r w:rsidR="0001229C">
              <w:t xml:space="preserve">minimum servicing requirements </w:t>
            </w:r>
            <w:r>
              <w:t>to Australian Apprentices during their time in this program.</w:t>
            </w:r>
          </w:p>
          <w:p w:rsidR="006A768E" w:rsidRDefault="006A768E" w:rsidP="002677FF">
            <w:pPr>
              <w:spacing w:beforeLines="60" w:before="144" w:afterLines="60" w:after="144" w:line="240" w:lineRule="auto"/>
            </w:pPr>
            <w:r>
              <w:t xml:space="preserve">The </w:t>
            </w:r>
            <w:r w:rsidR="004A66EE">
              <w:t>IMP</w:t>
            </w:r>
            <w:r>
              <w:t xml:space="preserve"> must identify the methods that we</w:t>
            </w:r>
            <w:r w:rsidR="00A32779">
              <w:t>re</w:t>
            </w:r>
            <w:r>
              <w:t xml:space="preserve"> used for each mentoring consultation (i.e.</w:t>
            </w:r>
            <w:r w:rsidR="004A66EE">
              <w:t xml:space="preserve"> </w:t>
            </w:r>
            <w:r w:rsidR="00FD1056">
              <w:t>face-to-face</w:t>
            </w:r>
            <w:r w:rsidR="004A66EE">
              <w:t>, phone, SMS, etc</w:t>
            </w:r>
            <w:r w:rsidR="00AF4508">
              <w:t>.</w:t>
            </w:r>
            <w:r w:rsidR="004A66EE">
              <w:t>) with the Department</w:t>
            </w:r>
            <w:r w:rsidR="00AF4508">
              <w:t>’</w:t>
            </w:r>
            <w:r w:rsidR="004A66EE">
              <w:t xml:space="preserve">s expectation that the majority of this servicing will be undertaken </w:t>
            </w:r>
            <w:r w:rsidR="00FD1056">
              <w:t>face-to-face</w:t>
            </w:r>
            <w:r w:rsidR="004A66EE">
              <w:t xml:space="preserve">. </w:t>
            </w:r>
          </w:p>
          <w:p w:rsidR="004A66EE" w:rsidRDefault="004A66EE" w:rsidP="002677FF">
            <w:pPr>
              <w:spacing w:beforeLines="60" w:before="144" w:afterLines="60" w:after="144" w:line="240" w:lineRule="auto"/>
            </w:pPr>
            <w:r>
              <w:t xml:space="preserve">Following the completion of the </w:t>
            </w:r>
            <w:r w:rsidR="00480D00">
              <w:t>Service</w:t>
            </w:r>
            <w:r>
              <w:t xml:space="preserve"> the IMP must be updated to reflect that the outcome of the mentoring </w:t>
            </w:r>
            <w:r w:rsidR="00480D00">
              <w:t>Service</w:t>
            </w:r>
            <w:r>
              <w:t xml:space="preserve"> for this Australian Apprentice is “Retained” and both </w:t>
            </w:r>
            <w:r w:rsidRPr="007A0C1B">
              <w:t xml:space="preserve">parties must </w:t>
            </w:r>
            <w:r w:rsidR="003D04F1" w:rsidRPr="007A0C1B">
              <w:t>make</w:t>
            </w:r>
            <w:r w:rsidR="003D04F1">
              <w:t xml:space="preserve"> all reasonable attempts to </w:t>
            </w:r>
            <w:r>
              <w:t xml:space="preserve">sign the </w:t>
            </w:r>
            <w:r w:rsidR="00DF4E37">
              <w:t>Finalised</w:t>
            </w:r>
            <w:r>
              <w:t xml:space="preserve"> IMP. </w:t>
            </w:r>
          </w:p>
          <w:p w:rsidR="009A74D9" w:rsidRDefault="009A74D9" w:rsidP="002677FF">
            <w:pPr>
              <w:spacing w:beforeLines="60" w:before="144" w:afterLines="60" w:after="144" w:line="240" w:lineRule="auto"/>
            </w:pPr>
            <w:r>
              <w:t xml:space="preserve">Where </w:t>
            </w:r>
            <w:r w:rsidR="00DF4E37">
              <w:t>Services</w:t>
            </w:r>
            <w:r>
              <w:t xml:space="preserve"> are provided to a </w:t>
            </w:r>
            <w:r w:rsidR="00AB0510">
              <w:t>Client</w:t>
            </w:r>
            <w:r>
              <w:t xml:space="preserve"> that meet the benchmark servicing requirement but do not </w:t>
            </w:r>
            <w:r w:rsidR="006001D9">
              <w:t>meet the minimum servicing requirements</w:t>
            </w:r>
            <w:r>
              <w:t xml:space="preserve">, these </w:t>
            </w:r>
            <w:r w:rsidR="00AB0510">
              <w:t>Client</w:t>
            </w:r>
            <w:r>
              <w:t xml:space="preserve">s could still have an outcome of Retained recorded in their IMP. Providers must indicate in the IMP why the level of servicing was appropriate for the </w:t>
            </w:r>
            <w:r w:rsidR="00AB0510">
              <w:t>Client</w:t>
            </w:r>
            <w:r>
              <w:t xml:space="preserve"> and </w:t>
            </w:r>
            <w:r w:rsidR="00AE1B3B">
              <w:t xml:space="preserve">how the mentoring </w:t>
            </w:r>
            <w:r w:rsidR="00480D00">
              <w:t>Service</w:t>
            </w:r>
            <w:r w:rsidR="00AE1B3B">
              <w:t xml:space="preserve"> contributed to </w:t>
            </w:r>
            <w:r>
              <w:t>a Retained outcome.</w:t>
            </w:r>
          </w:p>
        </w:tc>
      </w:tr>
      <w:tr w:rsidR="006A768E" w:rsidRPr="001C1946" w:rsidTr="00745A1C">
        <w:tc>
          <w:tcPr>
            <w:tcW w:w="3112" w:type="dxa"/>
          </w:tcPr>
          <w:p w:rsidR="006A768E" w:rsidRDefault="006A768E" w:rsidP="00745A1C">
            <w:pPr>
              <w:pStyle w:val="AASSOGSLEVEL3"/>
              <w:spacing w:before="120" w:after="120" w:line="240" w:lineRule="auto"/>
              <w:rPr>
                <w:lang w:eastAsia="en-AU"/>
              </w:rPr>
            </w:pPr>
            <w:r>
              <w:rPr>
                <w:lang w:eastAsia="en-AU"/>
              </w:rPr>
              <w:t xml:space="preserve">Not Retained </w:t>
            </w:r>
            <w:r w:rsidR="00AB0510">
              <w:rPr>
                <w:lang w:eastAsia="en-AU"/>
              </w:rPr>
              <w:t>Client</w:t>
            </w:r>
            <w:r>
              <w:rPr>
                <w:lang w:eastAsia="en-AU"/>
              </w:rPr>
              <w:t>s</w:t>
            </w:r>
          </w:p>
        </w:tc>
        <w:tc>
          <w:tcPr>
            <w:tcW w:w="7665" w:type="dxa"/>
          </w:tcPr>
          <w:p w:rsidR="006A768E" w:rsidRDefault="006A768E" w:rsidP="002677FF">
            <w:pPr>
              <w:spacing w:beforeLines="60" w:before="144" w:afterLines="60" w:after="144" w:line="240" w:lineRule="auto"/>
            </w:pPr>
            <w:r>
              <w:t>Where a</w:t>
            </w:r>
            <w:r w:rsidR="000B64BF">
              <w:t xml:space="preserve"> </w:t>
            </w:r>
            <w:r w:rsidR="00AB0510">
              <w:t>Client</w:t>
            </w:r>
            <w:r>
              <w:t xml:space="preserve"> </w:t>
            </w:r>
            <w:r w:rsidR="000B64BF">
              <w:t xml:space="preserve">leaves their Australian Apprenticeship prior to the completion of their mentoring support </w:t>
            </w:r>
            <w:r>
              <w:t>a</w:t>
            </w:r>
            <w:r w:rsidR="00087B3B">
              <w:t xml:space="preserve"> final outcome of “Not Retained” must be recorded on the IMP.</w:t>
            </w:r>
          </w:p>
          <w:p w:rsidR="00A32779" w:rsidRDefault="005358DF" w:rsidP="002677FF">
            <w:pPr>
              <w:spacing w:beforeLines="60" w:before="144" w:afterLines="60" w:after="144" w:line="240" w:lineRule="auto"/>
            </w:pPr>
            <w:r>
              <w:lastRenderedPageBreak/>
              <w:t xml:space="preserve">Clients with a status of “Not Retained” can still count towards an </w:t>
            </w:r>
            <w:r w:rsidR="00DF4E37">
              <w:t>ISMAA Provider</w:t>
            </w:r>
            <w:r>
              <w:t xml:space="preserve">’s benchmark when they meet </w:t>
            </w:r>
            <w:r w:rsidR="00C6192D">
              <w:t xml:space="preserve">the </w:t>
            </w:r>
            <w:r w:rsidR="00136142" w:rsidRPr="00136142">
              <w:rPr>
                <w:i/>
              </w:rPr>
              <w:t>Benchmark</w:t>
            </w:r>
            <w:r w:rsidR="00C6192D" w:rsidRPr="00C6192D">
              <w:rPr>
                <w:i/>
              </w:rPr>
              <w:t xml:space="preserve"> Servicing Requirements</w:t>
            </w:r>
            <w:r w:rsidR="00C6192D">
              <w:t xml:space="preserve"> </w:t>
            </w:r>
            <w:r>
              <w:t xml:space="preserve">outlined </w:t>
            </w:r>
            <w:r w:rsidR="00C6192D">
              <w:t>above.</w:t>
            </w:r>
          </w:p>
        </w:tc>
      </w:tr>
      <w:tr w:rsidR="00C6192D" w:rsidRPr="001C1946" w:rsidTr="00745A1C">
        <w:tc>
          <w:tcPr>
            <w:tcW w:w="3112" w:type="dxa"/>
          </w:tcPr>
          <w:p w:rsidR="00C6192D" w:rsidRDefault="00C6192D" w:rsidP="00745A1C">
            <w:pPr>
              <w:pStyle w:val="AASSOGSLEVEL3"/>
              <w:spacing w:before="120" w:after="120" w:line="240" w:lineRule="auto"/>
              <w:rPr>
                <w:lang w:eastAsia="en-AU"/>
              </w:rPr>
            </w:pPr>
            <w:r>
              <w:rPr>
                <w:lang w:eastAsia="en-AU"/>
              </w:rPr>
              <w:lastRenderedPageBreak/>
              <w:t>Post program support</w:t>
            </w:r>
          </w:p>
        </w:tc>
        <w:tc>
          <w:tcPr>
            <w:tcW w:w="7665" w:type="dxa"/>
          </w:tcPr>
          <w:p w:rsidR="006A3EF3" w:rsidRDefault="00C6192D" w:rsidP="002677FF">
            <w:pPr>
              <w:spacing w:beforeLines="60" w:before="144" w:afterLines="60" w:after="144" w:line="240" w:lineRule="auto"/>
            </w:pPr>
            <w:r>
              <w:t>Where an outcome of “Not Retained” is recorded</w:t>
            </w:r>
            <w:r w:rsidR="007624D4">
              <w:t>,</w:t>
            </w:r>
            <w:r>
              <w:t xml:space="preserve"> </w:t>
            </w:r>
            <w:r w:rsidR="00DF4E37">
              <w:t>Provider</w:t>
            </w:r>
            <w:r>
              <w:t xml:space="preserve">s </w:t>
            </w:r>
            <w:r w:rsidR="006A3EF3">
              <w:t xml:space="preserve">must </w:t>
            </w:r>
            <w:r w:rsidR="00D3047A">
              <w:t xml:space="preserve">attempt to </w:t>
            </w:r>
            <w:r>
              <w:t>deliver up to</w:t>
            </w:r>
            <w:r w:rsidR="007624D4">
              <w:t xml:space="preserve"> at least</w:t>
            </w:r>
            <w:r>
              <w:t xml:space="preserve"> one hour of support following the </w:t>
            </w:r>
            <w:r w:rsidR="00AB0510">
              <w:t>Client</w:t>
            </w:r>
            <w:r w:rsidR="00AE1B3B">
              <w:t xml:space="preserve">’s </w:t>
            </w:r>
            <w:r>
              <w:t>departure from the</w:t>
            </w:r>
            <w:r w:rsidR="006A3EF3">
              <w:t xml:space="preserve">ir Australian Apprenticeship. </w:t>
            </w:r>
          </w:p>
          <w:p w:rsidR="00C6192D" w:rsidRDefault="006A3EF3" w:rsidP="002677FF">
            <w:pPr>
              <w:spacing w:beforeLines="60" w:before="144" w:afterLines="60" w:after="144" w:line="240" w:lineRule="auto"/>
            </w:pPr>
            <w:r>
              <w:t xml:space="preserve">The purpose of this post program support is to ensure that the </w:t>
            </w:r>
            <w:r w:rsidR="00AB0510">
              <w:t>Client</w:t>
            </w:r>
            <w:r>
              <w:t xml:space="preserve"> is not left unsupported following the departure from their Australian Apprenticeship. </w:t>
            </w:r>
            <w:r w:rsidR="00FA752E">
              <w:t xml:space="preserve">Drawing on the relationship that the mentor has established with their </w:t>
            </w:r>
            <w:r w:rsidR="00AB0510">
              <w:t>Client</w:t>
            </w:r>
            <w:r w:rsidR="00FA752E">
              <w:t>, t</w:t>
            </w:r>
            <w:r w:rsidR="00C6192D">
              <w:t>his</w:t>
            </w:r>
            <w:r>
              <w:t xml:space="preserve"> support</w:t>
            </w:r>
            <w:r w:rsidR="00C6192D">
              <w:t xml:space="preserve"> could </w:t>
            </w:r>
            <w:r>
              <w:t xml:space="preserve">assist with further </w:t>
            </w:r>
            <w:r w:rsidR="00C6192D">
              <w:t>career advice</w:t>
            </w:r>
            <w:r>
              <w:t xml:space="preserve">, </w:t>
            </w:r>
            <w:r w:rsidR="00C6192D">
              <w:t>support</w:t>
            </w:r>
            <w:r>
              <w:t xml:space="preserve"> the</w:t>
            </w:r>
            <w:r w:rsidR="00C6192D">
              <w:t xml:space="preserve"> transition to another job or study pathway or support re-engage</w:t>
            </w:r>
            <w:r>
              <w:t>ment</w:t>
            </w:r>
            <w:r w:rsidR="00C6192D">
              <w:t xml:space="preserve"> </w:t>
            </w:r>
            <w:r>
              <w:t>with their</w:t>
            </w:r>
            <w:r w:rsidR="00C6192D">
              <w:t xml:space="preserve"> training. </w:t>
            </w:r>
          </w:p>
          <w:p w:rsidR="006A3EF3" w:rsidRDefault="006A3EF3" w:rsidP="002677FF">
            <w:pPr>
              <w:spacing w:beforeLines="60" w:before="144" w:afterLines="60" w:after="144" w:line="240" w:lineRule="auto"/>
            </w:pPr>
            <w:r>
              <w:t>The Department</w:t>
            </w:r>
            <w:r w:rsidR="00AE1B3B">
              <w:t>’</w:t>
            </w:r>
            <w:r>
              <w:t xml:space="preserve">s expectation is that the post program support will be provided via phone but contact via any mechanism is </w:t>
            </w:r>
            <w:r w:rsidR="00AE1B3B">
              <w:t>acceptable</w:t>
            </w:r>
            <w:r>
              <w:t>.</w:t>
            </w:r>
          </w:p>
          <w:p w:rsidR="004F0C8A" w:rsidRDefault="006A3EF3" w:rsidP="002677FF">
            <w:pPr>
              <w:spacing w:beforeLines="60" w:before="144" w:afterLines="60" w:after="144" w:line="240" w:lineRule="auto"/>
            </w:pPr>
            <w:r>
              <w:t xml:space="preserve">It is possible that </w:t>
            </w:r>
            <w:r w:rsidR="00AB0510">
              <w:t>Client</w:t>
            </w:r>
            <w:r>
              <w:t xml:space="preserve">s will not wish to engage in post program support. </w:t>
            </w:r>
            <w:r w:rsidR="004F0C8A">
              <w:t xml:space="preserve">Where this is the case the </w:t>
            </w:r>
            <w:r w:rsidR="00DF4E37">
              <w:t>ISMAA Provider</w:t>
            </w:r>
            <w:r w:rsidR="004F0C8A">
              <w:t xml:space="preserve"> must record this outcome in Section 6 of the IMP. Comments in this section must outline the contact.</w:t>
            </w:r>
          </w:p>
          <w:p w:rsidR="00C6192D" w:rsidRDefault="004F0C8A" w:rsidP="002677FF">
            <w:pPr>
              <w:spacing w:beforeLines="60" w:before="144" w:afterLines="60" w:after="144" w:line="240" w:lineRule="auto"/>
            </w:pPr>
            <w:r>
              <w:t>Where contact attempts are unsuccessful (</w:t>
            </w:r>
            <w:r w:rsidR="00BE0C49">
              <w:t>e</w:t>
            </w:r>
            <w:r w:rsidR="00920478">
              <w:t>.</w:t>
            </w:r>
            <w:r w:rsidR="00BE0C49">
              <w:t>g</w:t>
            </w:r>
            <w:r w:rsidR="00920478">
              <w:t>.</w:t>
            </w:r>
            <w:r>
              <w:t xml:space="preserve"> a phone call </w:t>
            </w:r>
            <w:r w:rsidR="00AE1B3B">
              <w:t xml:space="preserve">is not </w:t>
            </w:r>
            <w:r>
              <w:t>returned), t</w:t>
            </w:r>
            <w:r w:rsidR="006A3EF3">
              <w:t xml:space="preserve">he </w:t>
            </w:r>
            <w:r w:rsidR="00DF4E37">
              <w:t>ISMAA Provider</w:t>
            </w:r>
            <w:r w:rsidR="006A3EF3">
              <w:t xml:space="preserve"> must</w:t>
            </w:r>
            <w:r w:rsidR="00156AFF">
              <w:t xml:space="preserve"> demonstrate</w:t>
            </w:r>
            <w:r w:rsidR="006A3EF3">
              <w:t xml:space="preserve"> a minimum of three attempts to deliver this support</w:t>
            </w:r>
            <w:r w:rsidR="00136142">
              <w:t xml:space="preserve"> and record this information in Section 6 of the IMP.</w:t>
            </w:r>
            <w:r w:rsidR="00156AFF">
              <w:t xml:space="preserve"> </w:t>
            </w:r>
            <w:r>
              <w:t xml:space="preserve">Once three attempts have been made to contact the Australian Apprentice the post program support </w:t>
            </w:r>
            <w:r w:rsidR="007624D4">
              <w:t>will be</w:t>
            </w:r>
            <w:r>
              <w:t xml:space="preserve"> considered complete.</w:t>
            </w:r>
          </w:p>
        </w:tc>
      </w:tr>
      <w:tr w:rsidR="00C6192D" w:rsidRPr="001C1946" w:rsidTr="00745A1C">
        <w:tc>
          <w:tcPr>
            <w:tcW w:w="3112" w:type="dxa"/>
          </w:tcPr>
          <w:p w:rsidR="00C6192D" w:rsidRDefault="00C6192D" w:rsidP="00745A1C">
            <w:pPr>
              <w:pStyle w:val="AASSOGSLEVEL3"/>
              <w:spacing w:before="120" w:after="120" w:line="240" w:lineRule="auto"/>
              <w:rPr>
                <w:lang w:eastAsia="en-AU"/>
              </w:rPr>
            </w:pPr>
            <w:r>
              <w:rPr>
                <w:lang w:eastAsia="en-AU"/>
              </w:rPr>
              <w:t>Receiving ISMAA support on multiple occasions</w:t>
            </w:r>
          </w:p>
        </w:tc>
        <w:tc>
          <w:tcPr>
            <w:tcW w:w="7665" w:type="dxa"/>
          </w:tcPr>
          <w:p w:rsidR="00C6192D" w:rsidRDefault="00C6192D" w:rsidP="002677FF">
            <w:pPr>
              <w:spacing w:beforeLines="60" w:before="144" w:afterLines="60" w:after="144" w:line="240" w:lineRule="auto"/>
            </w:pPr>
            <w:r>
              <w:t xml:space="preserve">An Australian Apprentice can receive support under the ISMAA program </w:t>
            </w:r>
            <w:r w:rsidR="00BA5403">
              <w:t>multiple times</w:t>
            </w:r>
            <w:r>
              <w:t xml:space="preserve">, per </w:t>
            </w:r>
            <w:r w:rsidR="00DF4E37">
              <w:t>Provider</w:t>
            </w:r>
            <w:r>
              <w:t>, per period of their apprenticeship</w:t>
            </w:r>
            <w:r w:rsidR="004F0C8A">
              <w:t>,</w:t>
            </w:r>
            <w:r w:rsidR="009A74D9">
              <w:t xml:space="preserve"> subject to meeting eligibility requirements</w:t>
            </w:r>
            <w:r>
              <w:t>. For th</w:t>
            </w:r>
            <w:r w:rsidR="00132D99">
              <w:t>e</w:t>
            </w:r>
            <w:r>
              <w:t xml:space="preserve"> purpose</w:t>
            </w:r>
            <w:r w:rsidR="00132D99">
              <w:t xml:space="preserve"> of this program,</w:t>
            </w:r>
            <w:r>
              <w:t xml:space="preserve"> a period of their apprenticeship is defined as the period of time spent in an Australian Apprenticeship with a particular employer.</w:t>
            </w:r>
          </w:p>
          <w:p w:rsidR="00BA5403" w:rsidRDefault="00BA5403" w:rsidP="002677FF">
            <w:pPr>
              <w:spacing w:beforeLines="60" w:before="144" w:afterLines="60" w:after="144" w:line="240" w:lineRule="auto"/>
            </w:pPr>
            <w:r>
              <w:t xml:space="preserve">Where a </w:t>
            </w:r>
            <w:r w:rsidR="00AB0510">
              <w:t>Client</w:t>
            </w:r>
            <w:r>
              <w:t xml:space="preserve"> chooses to </w:t>
            </w:r>
            <w:r w:rsidR="007624D4">
              <w:t xml:space="preserve">leave </w:t>
            </w:r>
            <w:r>
              <w:t>the</w:t>
            </w:r>
            <w:r w:rsidR="007624D4">
              <w:t xml:space="preserve"> ISMAA</w:t>
            </w:r>
            <w:r>
              <w:t xml:space="preserve"> program the IMP must be updated to reflect this. If the </w:t>
            </w:r>
            <w:r w:rsidR="00AB0510">
              <w:t>Client</w:t>
            </w:r>
            <w:r>
              <w:t xml:space="preserve"> </w:t>
            </w:r>
            <w:r w:rsidR="007624D4">
              <w:t>chooses</w:t>
            </w:r>
            <w:r w:rsidR="00BE0C49">
              <w:t xml:space="preserve"> </w:t>
            </w:r>
            <w:r>
              <w:t xml:space="preserve">to re-engage in the program again during the same period of their apprenticeship then another IMP must be created for that </w:t>
            </w:r>
            <w:r w:rsidR="00AB0510">
              <w:t>Client</w:t>
            </w:r>
            <w:r>
              <w:t>.</w:t>
            </w:r>
          </w:p>
          <w:p w:rsidR="00E9031D" w:rsidRDefault="00283F5E" w:rsidP="002677FF">
            <w:pPr>
              <w:spacing w:beforeLines="60" w:before="144" w:afterLines="60" w:after="144" w:line="240" w:lineRule="auto"/>
            </w:pPr>
            <w:r>
              <w:t xml:space="preserve">If the </w:t>
            </w:r>
            <w:r w:rsidR="00DF4E37">
              <w:t>Services</w:t>
            </w:r>
            <w:r>
              <w:t xml:space="preserve"> are to be delivered by </w:t>
            </w:r>
            <w:r w:rsidR="00E9031D">
              <w:t xml:space="preserve">the same </w:t>
            </w:r>
            <w:r w:rsidR="00DF4E37">
              <w:t>Provider</w:t>
            </w:r>
            <w:r w:rsidR="00E9031D">
              <w:t xml:space="preserve"> </w:t>
            </w:r>
            <w:r w:rsidR="00BA5403">
              <w:t xml:space="preserve">there must be </w:t>
            </w:r>
            <w:r w:rsidR="00BF704C">
              <w:t xml:space="preserve">at least </w:t>
            </w:r>
            <w:r w:rsidR="00BA5403">
              <w:t>a three month break between the finalisation of the previous servicing and the commencement of any subsequent servicing.</w:t>
            </w:r>
            <w:r w:rsidR="00BF704C">
              <w:t xml:space="preserve"> </w:t>
            </w:r>
          </w:p>
          <w:p w:rsidR="00BA5403" w:rsidRDefault="00BF704C" w:rsidP="002677FF">
            <w:pPr>
              <w:spacing w:beforeLines="60" w:before="144" w:afterLines="60" w:after="144" w:line="240" w:lineRule="auto"/>
            </w:pPr>
            <w:r>
              <w:t xml:space="preserve">In </w:t>
            </w:r>
            <w:r w:rsidR="00005DB2">
              <w:t xml:space="preserve">special </w:t>
            </w:r>
            <w:r>
              <w:t xml:space="preserve">circumstances ISMAA servicing may be provided to a </w:t>
            </w:r>
            <w:r w:rsidR="00AB0510">
              <w:t>Client</w:t>
            </w:r>
            <w:r>
              <w:t xml:space="preserve"> again before the expiry of the three month re-entry timeframe</w:t>
            </w:r>
            <w:r w:rsidR="00283F5E">
              <w:t>, but t</w:t>
            </w:r>
            <w:r>
              <w:t xml:space="preserve">his servicing must be approved by </w:t>
            </w:r>
            <w:r w:rsidR="001E51F4">
              <w:t>Your</w:t>
            </w:r>
            <w:r>
              <w:t xml:space="preserve"> </w:t>
            </w:r>
            <w:r w:rsidR="00DF4E37">
              <w:t>Contract</w:t>
            </w:r>
            <w:r>
              <w:t xml:space="preserve"> manager PRIOR to delivering </w:t>
            </w:r>
            <w:r w:rsidR="00DF4E37">
              <w:t>Services</w:t>
            </w:r>
            <w:r>
              <w:t xml:space="preserve"> again to that </w:t>
            </w:r>
            <w:r w:rsidR="00AB0510">
              <w:t>Client</w:t>
            </w:r>
            <w:r>
              <w:t>.</w:t>
            </w:r>
          </w:p>
          <w:p w:rsidR="00DF5D49" w:rsidRDefault="00BA5403" w:rsidP="002677FF">
            <w:pPr>
              <w:spacing w:beforeLines="60" w:before="144" w:afterLines="60" w:after="144" w:line="240" w:lineRule="auto"/>
            </w:pPr>
            <w:r>
              <w:t xml:space="preserve">This </w:t>
            </w:r>
            <w:r w:rsidR="00AB0510">
              <w:t>Client</w:t>
            </w:r>
            <w:r>
              <w:t xml:space="preserve"> will count towards a </w:t>
            </w:r>
            <w:r w:rsidR="00DF4E37">
              <w:t>Provider</w:t>
            </w:r>
            <w:r>
              <w:t xml:space="preserve">’s benchmark </w:t>
            </w:r>
            <w:r w:rsidR="00E9031D">
              <w:t xml:space="preserve">on multiple occasions </w:t>
            </w:r>
            <w:r>
              <w:t xml:space="preserve">provided they have met the benchmark servicing </w:t>
            </w:r>
            <w:r w:rsidR="00E9031D">
              <w:t xml:space="preserve">requirements. </w:t>
            </w:r>
          </w:p>
          <w:p w:rsidR="00C6192D" w:rsidRDefault="008D7518" w:rsidP="002677FF">
            <w:pPr>
              <w:spacing w:beforeLines="60" w:before="144" w:afterLines="60" w:after="144" w:line="240" w:lineRule="auto"/>
            </w:pPr>
            <w:r>
              <w:rPr>
                <w:b/>
              </w:rPr>
              <w:t>E</w:t>
            </w:r>
            <w:r w:rsidR="00C6192D" w:rsidRPr="00846030">
              <w:rPr>
                <w:b/>
              </w:rPr>
              <w:t>xample</w:t>
            </w:r>
            <w:r w:rsidR="00C6192D" w:rsidRPr="001632C6">
              <w:rPr>
                <w:i/>
              </w:rPr>
              <w:t>:</w:t>
            </w:r>
            <w:r w:rsidR="00C6192D">
              <w:t xml:space="preserve"> Jane commences her </w:t>
            </w:r>
            <w:r w:rsidR="00F3524F">
              <w:t>Australian Ap</w:t>
            </w:r>
            <w:r w:rsidR="00C6192D">
              <w:t xml:space="preserve">prenticeship with Employer 1 and completes </w:t>
            </w:r>
            <w:r w:rsidR="00354512">
              <w:t>six</w:t>
            </w:r>
            <w:r w:rsidR="00C6192D">
              <w:t xml:space="preserve"> months. During this time she received mentoring support from Provider A. She then recommences with Employer 2 and is eligible to receive the mentoring support again</w:t>
            </w:r>
            <w:r w:rsidR="00BA5403">
              <w:t>.</w:t>
            </w:r>
          </w:p>
          <w:p w:rsidR="008D7518" w:rsidRDefault="008D7518" w:rsidP="002677FF">
            <w:pPr>
              <w:spacing w:beforeLines="60" w:before="144" w:afterLines="60" w:after="144" w:line="240" w:lineRule="auto"/>
            </w:pPr>
            <w:r w:rsidRPr="00CB2FCE">
              <w:rPr>
                <w:b/>
              </w:rPr>
              <w:lastRenderedPageBreak/>
              <w:t>Example</w:t>
            </w:r>
            <w:r w:rsidRPr="00CB2FCE">
              <w:rPr>
                <w:i/>
              </w:rPr>
              <w:t>:</w:t>
            </w:r>
            <w:r w:rsidRPr="00CB2FCE">
              <w:t xml:space="preserve"> </w:t>
            </w:r>
            <w:r w:rsidR="00614BBE" w:rsidRPr="00CB2FCE">
              <w:t>Henry</w:t>
            </w:r>
            <w:r w:rsidRPr="00CB2FCE">
              <w:t xml:space="preserve"> commences h</w:t>
            </w:r>
            <w:r w:rsidR="00614BBE" w:rsidRPr="00CB2FCE">
              <w:t>is</w:t>
            </w:r>
            <w:r w:rsidRPr="00CB2FCE">
              <w:t xml:space="preserve"> </w:t>
            </w:r>
            <w:r w:rsidR="00F3524F">
              <w:t>Australian Apprenticeship</w:t>
            </w:r>
            <w:r w:rsidRPr="00CB2FCE">
              <w:t xml:space="preserve"> with</w:t>
            </w:r>
            <w:r>
              <w:t xml:space="preserve"> Employer 1</w:t>
            </w:r>
            <w:r w:rsidR="00E9031D">
              <w:t xml:space="preserve">. He receives ISMAA support for two months and then chooses not to receive the </w:t>
            </w:r>
            <w:r w:rsidR="00480D00">
              <w:t>Service</w:t>
            </w:r>
            <w:r w:rsidR="00E9031D">
              <w:t xml:space="preserve"> any more. Four months later Henry requests to receive ISMAA support again. This support is provided by the same </w:t>
            </w:r>
            <w:r w:rsidR="00DF4E37">
              <w:t>Provider</w:t>
            </w:r>
            <w:r w:rsidR="00E9031D">
              <w:t xml:space="preserve"> and he is still in the same period of his Australian Apprenticeship. </w:t>
            </w:r>
            <w:r w:rsidR="00614BBE">
              <w:t>In this example both</w:t>
            </w:r>
            <w:r w:rsidR="00E9031D">
              <w:t xml:space="preserve"> periods of ISMAA support would </w:t>
            </w:r>
            <w:r w:rsidR="00614BBE">
              <w:t>count towards the benchmarks assuming they meet the other criteria.</w:t>
            </w:r>
          </w:p>
          <w:p w:rsidR="00645BD7" w:rsidRDefault="008D7518" w:rsidP="002677FF">
            <w:pPr>
              <w:spacing w:beforeLines="60" w:before="144" w:afterLines="60" w:after="144" w:line="240" w:lineRule="auto"/>
            </w:pPr>
            <w:r w:rsidRPr="00CB2FCE">
              <w:rPr>
                <w:b/>
              </w:rPr>
              <w:t>Example</w:t>
            </w:r>
            <w:r w:rsidRPr="00CB2FCE">
              <w:rPr>
                <w:i/>
              </w:rPr>
              <w:t>:</w:t>
            </w:r>
            <w:r w:rsidRPr="00CB2FCE">
              <w:t xml:space="preserve"> </w:t>
            </w:r>
            <w:r w:rsidR="00614BBE" w:rsidRPr="00CB2FCE">
              <w:t>Samantha</w:t>
            </w:r>
            <w:r w:rsidRPr="00CB2FCE">
              <w:t xml:space="preserve"> commences her </w:t>
            </w:r>
            <w:r w:rsidR="00F3524F">
              <w:t xml:space="preserve">Australian Apprenticeship </w:t>
            </w:r>
            <w:r>
              <w:t xml:space="preserve">with Employer 1 and completes </w:t>
            </w:r>
            <w:r w:rsidR="00354512">
              <w:t>three</w:t>
            </w:r>
            <w:r>
              <w:t xml:space="preserve"> months. During this time she received mentoring support from Provider A. She then recommences with Employer 2 and receive</w:t>
            </w:r>
            <w:r w:rsidR="00614BBE">
              <w:t xml:space="preserve">s the mentoring support again from Provider A </w:t>
            </w:r>
            <w:r>
              <w:t>as this is with a new employer.</w:t>
            </w:r>
            <w:r w:rsidR="00614BBE">
              <w:t xml:space="preserve"> In this example Samantha is counted twice towards the benchmark for Provider A.</w:t>
            </w:r>
          </w:p>
        </w:tc>
      </w:tr>
      <w:tr w:rsidR="004C1934" w:rsidRPr="001C1946" w:rsidTr="00745A1C">
        <w:tc>
          <w:tcPr>
            <w:tcW w:w="3112" w:type="dxa"/>
          </w:tcPr>
          <w:p w:rsidR="004C1934" w:rsidRDefault="004C1934" w:rsidP="00745A1C">
            <w:pPr>
              <w:pStyle w:val="AASSOGSLEVEL3"/>
              <w:spacing w:before="120" w:after="120" w:line="240" w:lineRule="auto"/>
              <w:rPr>
                <w:lang w:eastAsia="en-AU"/>
              </w:rPr>
            </w:pPr>
            <w:r>
              <w:lastRenderedPageBreak/>
              <w:t>Finalisation of mentoring</w:t>
            </w:r>
          </w:p>
        </w:tc>
        <w:tc>
          <w:tcPr>
            <w:tcW w:w="7665" w:type="dxa"/>
          </w:tcPr>
          <w:p w:rsidR="00493489" w:rsidRDefault="004C1934" w:rsidP="002677FF">
            <w:pPr>
              <w:spacing w:beforeLines="60" w:before="144" w:afterLines="60" w:after="144" w:line="240" w:lineRule="auto"/>
            </w:pPr>
            <w:r>
              <w:t xml:space="preserve">Mentoring </w:t>
            </w:r>
            <w:r w:rsidR="00DF4E37">
              <w:t>Provider</w:t>
            </w:r>
            <w:r>
              <w:t xml:space="preserve">s must complete </w:t>
            </w:r>
            <w:r w:rsidR="00E64E03">
              <w:t>S</w:t>
            </w:r>
            <w:r>
              <w:t>ection</w:t>
            </w:r>
            <w:r w:rsidR="00E64E03">
              <w:t xml:space="preserve"> 6</w:t>
            </w:r>
            <w:r>
              <w:t xml:space="preserve"> of the </w:t>
            </w:r>
            <w:r w:rsidR="00493489">
              <w:t>IMP</w:t>
            </w:r>
            <w:r>
              <w:t xml:space="preserve"> which identifies an outcome and reason for finalising their involvement with the program. </w:t>
            </w:r>
            <w:r w:rsidR="00493489">
              <w:t>A “</w:t>
            </w:r>
            <w:r>
              <w:t>retained</w:t>
            </w:r>
            <w:r w:rsidR="00493489">
              <w:t>”</w:t>
            </w:r>
            <w:r>
              <w:t xml:space="preserve"> </w:t>
            </w:r>
            <w:r w:rsidR="00493489">
              <w:t>or</w:t>
            </w:r>
            <w:r>
              <w:t xml:space="preserve"> </w:t>
            </w:r>
            <w:r w:rsidR="00493489">
              <w:t>“</w:t>
            </w:r>
            <w:r>
              <w:t>not retained</w:t>
            </w:r>
            <w:r w:rsidR="00493489">
              <w:t>” outcome must be recorded in the IMP.</w:t>
            </w:r>
          </w:p>
          <w:p w:rsidR="004C1934" w:rsidRDefault="00493489" w:rsidP="002677FF">
            <w:pPr>
              <w:spacing w:beforeLines="60" w:before="144" w:afterLines="60" w:after="144" w:line="240" w:lineRule="auto"/>
            </w:pPr>
            <w:r>
              <w:t xml:space="preserve">Providers </w:t>
            </w:r>
            <w:r w:rsidR="008741AD">
              <w:t>must</w:t>
            </w:r>
            <w:r>
              <w:t xml:space="preserve"> also include comments regarding the outcome of their involvement </w:t>
            </w:r>
            <w:r w:rsidR="003F2948">
              <w:t xml:space="preserve">with the </w:t>
            </w:r>
            <w:r w:rsidR="00AB0510">
              <w:t>Client</w:t>
            </w:r>
            <w:r w:rsidR="004C1934">
              <w:t>.</w:t>
            </w:r>
          </w:p>
        </w:tc>
      </w:tr>
      <w:tr w:rsidR="004C1934" w:rsidRPr="001C1946" w:rsidTr="00745A1C">
        <w:tc>
          <w:tcPr>
            <w:tcW w:w="3112" w:type="dxa"/>
          </w:tcPr>
          <w:p w:rsidR="004C1934" w:rsidRDefault="004C1934" w:rsidP="00745A1C">
            <w:pPr>
              <w:pStyle w:val="AASSOGSLEVEL3"/>
              <w:spacing w:before="120" w:after="120" w:line="240" w:lineRule="auto"/>
            </w:pPr>
            <w:r>
              <w:t>Service regions</w:t>
            </w:r>
          </w:p>
        </w:tc>
        <w:tc>
          <w:tcPr>
            <w:tcW w:w="7665" w:type="dxa"/>
          </w:tcPr>
          <w:p w:rsidR="004C1934" w:rsidRDefault="004C1934" w:rsidP="002677FF">
            <w:pPr>
              <w:spacing w:beforeLines="60" w:before="144" w:afterLines="60" w:after="144" w:line="240" w:lineRule="auto"/>
            </w:pPr>
            <w:r>
              <w:t xml:space="preserve">Services must be provided throughout the entire region(s) specified in </w:t>
            </w:r>
            <w:r w:rsidR="001E51F4">
              <w:t>Your</w:t>
            </w:r>
            <w:r>
              <w:t xml:space="preserve"> </w:t>
            </w:r>
            <w:r w:rsidR="00DF4E37">
              <w:t>Contract</w:t>
            </w:r>
            <w:r>
              <w:t xml:space="preserve">. </w:t>
            </w:r>
          </w:p>
        </w:tc>
      </w:tr>
      <w:tr w:rsidR="008741AD" w:rsidRPr="001C1946" w:rsidTr="00745A1C">
        <w:tc>
          <w:tcPr>
            <w:tcW w:w="3112" w:type="dxa"/>
          </w:tcPr>
          <w:p w:rsidR="008741AD" w:rsidRDefault="008741AD" w:rsidP="00745A1C">
            <w:pPr>
              <w:pStyle w:val="AASSOGSLEVEL3"/>
              <w:spacing w:before="120" w:after="120" w:line="240" w:lineRule="auto"/>
            </w:pPr>
            <w:r>
              <w:t>Australian Apprentices employed by Group Training Organisations</w:t>
            </w:r>
            <w:r w:rsidR="00E64E03">
              <w:t xml:space="preserve"> (GTOs)</w:t>
            </w:r>
          </w:p>
        </w:tc>
        <w:tc>
          <w:tcPr>
            <w:tcW w:w="7665" w:type="dxa"/>
          </w:tcPr>
          <w:p w:rsidR="008741AD" w:rsidRDefault="00020899" w:rsidP="008019A9">
            <w:pPr>
              <w:spacing w:beforeLines="60" w:before="144" w:afterLines="60" w:after="144" w:line="240" w:lineRule="auto"/>
            </w:pPr>
            <w:r>
              <w:t>Australian Apprentices employed by GTO</w:t>
            </w:r>
            <w:r w:rsidR="00283F5E">
              <w:t>s</w:t>
            </w:r>
            <w:r>
              <w:t xml:space="preserve"> are eligible to receive </w:t>
            </w:r>
            <w:r w:rsidR="00DF4E37">
              <w:t>Services</w:t>
            </w:r>
            <w:r>
              <w:t xml:space="preserve"> under the ISMAA program. </w:t>
            </w:r>
            <w:r w:rsidR="007624D4">
              <w:t>A</w:t>
            </w:r>
            <w:r>
              <w:t xml:space="preserve"> </w:t>
            </w:r>
            <w:r w:rsidR="00AB0510">
              <w:t>Client</w:t>
            </w:r>
            <w:r>
              <w:t>’s IMP</w:t>
            </w:r>
            <w:r w:rsidR="007624D4">
              <w:t xml:space="preserve"> must describe</w:t>
            </w:r>
            <w:r>
              <w:t xml:space="preserve"> how</w:t>
            </w:r>
            <w:r w:rsidR="007624D4">
              <w:t xml:space="preserve"> ISMAA </w:t>
            </w:r>
            <w:r w:rsidR="00DF4E37">
              <w:t>Services</w:t>
            </w:r>
            <w:r>
              <w:t xml:space="preserve"> will complement, and not duplicate, the pastoral care </w:t>
            </w:r>
            <w:r w:rsidR="008019A9">
              <w:t xml:space="preserve">services </w:t>
            </w:r>
            <w:r>
              <w:t>provided by the GTO.</w:t>
            </w:r>
          </w:p>
        </w:tc>
      </w:tr>
      <w:tr w:rsidR="008741AD" w:rsidRPr="001C1946" w:rsidTr="00745A1C">
        <w:tc>
          <w:tcPr>
            <w:tcW w:w="3112" w:type="dxa"/>
          </w:tcPr>
          <w:p w:rsidR="008741AD" w:rsidRDefault="008741AD" w:rsidP="00745A1C">
            <w:pPr>
              <w:pStyle w:val="AASSOGSLEVEL3"/>
              <w:spacing w:before="120" w:after="120" w:line="240" w:lineRule="auto"/>
            </w:pPr>
            <w:r>
              <w:t xml:space="preserve">Duplication of </w:t>
            </w:r>
            <w:r w:rsidR="00DF4E37">
              <w:t>Services</w:t>
            </w:r>
          </w:p>
        </w:tc>
        <w:tc>
          <w:tcPr>
            <w:tcW w:w="7665" w:type="dxa"/>
          </w:tcPr>
          <w:p w:rsidR="008741AD" w:rsidRDefault="00655C14" w:rsidP="008019A9">
            <w:pPr>
              <w:spacing w:beforeLines="60" w:before="144" w:afterLines="60" w:after="144" w:line="240" w:lineRule="auto"/>
            </w:pPr>
            <w:r>
              <w:t>Mentors need to be mindful of other mentoring</w:t>
            </w:r>
            <w:r w:rsidR="00354512">
              <w:t>/support</w:t>
            </w:r>
            <w:r>
              <w:t xml:space="preserve"> programs that operate in the market. Mentors must identify any other </w:t>
            </w:r>
            <w:r w:rsidR="00354512">
              <w:t xml:space="preserve">similar </w:t>
            </w:r>
            <w:r w:rsidR="008019A9">
              <w:t xml:space="preserve">services </w:t>
            </w:r>
            <w:r>
              <w:t>that are being received by the Australian Apprentice in their IMP. The IMP must then detail how the</w:t>
            </w:r>
            <w:r w:rsidR="00775485">
              <w:t xml:space="preserve"> ISMAA</w:t>
            </w:r>
            <w:r>
              <w:t xml:space="preserve"> </w:t>
            </w:r>
            <w:r w:rsidR="00DF4E37">
              <w:t>Services</w:t>
            </w:r>
            <w:r>
              <w:t xml:space="preserve"> are complementary and do</w:t>
            </w:r>
            <w:r w:rsidR="007624D4">
              <w:t xml:space="preserve"> </w:t>
            </w:r>
            <w:r>
              <w:t>n</w:t>
            </w:r>
            <w:r w:rsidR="007624D4">
              <w:t>o</w:t>
            </w:r>
            <w:r>
              <w:t xml:space="preserve">t </w:t>
            </w:r>
            <w:r w:rsidR="007624D4">
              <w:t>duplicate</w:t>
            </w:r>
            <w:r>
              <w:t xml:space="preserve"> other </w:t>
            </w:r>
            <w:r w:rsidR="008019A9">
              <w:t xml:space="preserve">services </w:t>
            </w:r>
            <w:r>
              <w:t>being delivered to that Australian Apprentice.</w:t>
            </w:r>
          </w:p>
        </w:tc>
      </w:tr>
      <w:tr w:rsidR="001C1374" w:rsidRPr="001C1946" w:rsidTr="00745A1C">
        <w:tc>
          <w:tcPr>
            <w:tcW w:w="3112" w:type="dxa"/>
          </w:tcPr>
          <w:p w:rsidR="001C1374" w:rsidRDefault="00FF2A00" w:rsidP="00FF2A00">
            <w:pPr>
              <w:pStyle w:val="AASSOGSLEVEL3"/>
              <w:spacing w:before="120" w:after="120" w:line="240" w:lineRule="auto"/>
            </w:pPr>
            <w:r>
              <w:t xml:space="preserve">Engaging with </w:t>
            </w:r>
            <w:r w:rsidR="001C1374">
              <w:t>Australian Apprentice</w:t>
            </w:r>
            <w:r>
              <w:t>s</w:t>
            </w:r>
            <w:r w:rsidR="001C1374">
              <w:t xml:space="preserve"> </w:t>
            </w:r>
          </w:p>
        </w:tc>
        <w:tc>
          <w:tcPr>
            <w:tcW w:w="7665" w:type="dxa"/>
          </w:tcPr>
          <w:p w:rsidR="001C1374" w:rsidRDefault="00DF4E37" w:rsidP="002677FF">
            <w:pPr>
              <w:spacing w:beforeLines="60" w:before="144" w:afterLines="60" w:after="144" w:line="240" w:lineRule="auto"/>
            </w:pPr>
            <w:r>
              <w:t>ISMAA Provider</w:t>
            </w:r>
            <w:r w:rsidR="008237AA">
              <w:t xml:space="preserve">s </w:t>
            </w:r>
            <w:r w:rsidR="00F25D72">
              <w:t>are responsible for</w:t>
            </w:r>
            <w:r w:rsidR="00FF2A00">
              <w:t xml:space="preserve"> developing strategies to identify and engage with Australian Apprentices for the purpose of delivering services through this program</w:t>
            </w:r>
            <w:r w:rsidR="00F25D72">
              <w:t>.</w:t>
            </w:r>
          </w:p>
        </w:tc>
      </w:tr>
    </w:tbl>
    <w:p w:rsidR="00C60F39" w:rsidRDefault="00C60F39" w:rsidP="0079535D">
      <w:pPr>
        <w:pStyle w:val="H2AASSOGS"/>
      </w:pPr>
      <w:bookmarkStart w:id="46" w:name="_Toc393442847"/>
    </w:p>
    <w:p w:rsidR="0062624E" w:rsidRDefault="00644733" w:rsidP="001B3F4B">
      <w:pPr>
        <w:pStyle w:val="H1AASSOGS"/>
      </w:pPr>
      <w:bookmarkStart w:id="47" w:name="_Toc490735664"/>
      <w:bookmarkStart w:id="48" w:name="_Toc401652074"/>
      <w:bookmarkStart w:id="49" w:name="_Toc393442946"/>
      <w:bookmarkEnd w:id="46"/>
      <w:r>
        <w:t>Servic</w:t>
      </w:r>
      <w:r w:rsidR="00826EAF">
        <w:t>ing</w:t>
      </w:r>
      <w:r>
        <w:t xml:space="preserve"> Post 30 June 2019</w:t>
      </w:r>
      <w:bookmarkEnd w:id="47"/>
    </w:p>
    <w:p w:rsidR="00644733" w:rsidRDefault="00644733" w:rsidP="00644733">
      <w:pPr>
        <w:pStyle w:val="H1AASSOGS"/>
        <w:numPr>
          <w:ilvl w:val="0"/>
          <w:numId w:val="0"/>
        </w:numPr>
        <w:ind w:left="720" w:hanging="720"/>
      </w:pPr>
    </w:p>
    <w:tbl>
      <w:tblPr>
        <w:tblW w:w="107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2"/>
        <w:gridCol w:w="7665"/>
      </w:tblGrid>
      <w:tr w:rsidR="00644733" w:rsidRPr="001C1946" w:rsidTr="006217C6">
        <w:tc>
          <w:tcPr>
            <w:tcW w:w="3112" w:type="dxa"/>
          </w:tcPr>
          <w:p w:rsidR="00644733" w:rsidRDefault="00644733" w:rsidP="006217C6">
            <w:pPr>
              <w:pStyle w:val="AASSOGSLEVEL3"/>
              <w:spacing w:before="120" w:after="120" w:line="240" w:lineRule="auto"/>
            </w:pPr>
            <w:r>
              <w:t xml:space="preserve">Provision of </w:t>
            </w:r>
            <w:r w:rsidR="00DF4E37">
              <w:t>Services</w:t>
            </w:r>
            <w:r>
              <w:t xml:space="preserve"> post 30 June 2019</w:t>
            </w:r>
          </w:p>
        </w:tc>
        <w:tc>
          <w:tcPr>
            <w:tcW w:w="7665" w:type="dxa"/>
          </w:tcPr>
          <w:p w:rsidR="00644733" w:rsidRDefault="00644733" w:rsidP="008019A9">
            <w:pPr>
              <w:spacing w:beforeLines="60" w:before="144" w:afterLines="60" w:after="144" w:line="240" w:lineRule="auto"/>
            </w:pPr>
            <w:r>
              <w:t xml:space="preserve">You are </w:t>
            </w:r>
            <w:r w:rsidR="00DF4E37">
              <w:t>Contract</w:t>
            </w:r>
            <w:r>
              <w:t xml:space="preserve">ed to deliver </w:t>
            </w:r>
            <w:r w:rsidR="00DF4E37">
              <w:t>Services</w:t>
            </w:r>
            <w:r>
              <w:t xml:space="preserve"> to </w:t>
            </w:r>
            <w:r w:rsidR="00AB0510">
              <w:t>Client</w:t>
            </w:r>
            <w:r>
              <w:t xml:space="preserve">s up to 31 December 2019. Clients may commence receiving ISMAA </w:t>
            </w:r>
            <w:r w:rsidR="00DF4E37">
              <w:t>Services</w:t>
            </w:r>
            <w:r>
              <w:t xml:space="preserve"> up to </w:t>
            </w:r>
            <w:r w:rsidR="00C9182B">
              <w:t xml:space="preserve">and including </w:t>
            </w:r>
            <w:r>
              <w:t xml:space="preserve">30 June 2019. Following this date new </w:t>
            </w:r>
            <w:r w:rsidR="00AB0510">
              <w:t>Client</w:t>
            </w:r>
            <w:r>
              <w:t xml:space="preserve">s must not be taken into the </w:t>
            </w:r>
            <w:r w:rsidR="008237AA">
              <w:t xml:space="preserve">ISMAA </w:t>
            </w:r>
            <w:r>
              <w:t xml:space="preserve">program, however those already in the program </w:t>
            </w:r>
            <w:r w:rsidR="00C9182B">
              <w:t xml:space="preserve">can </w:t>
            </w:r>
            <w:r>
              <w:t xml:space="preserve">continue to receive </w:t>
            </w:r>
            <w:r w:rsidR="00DF4E37">
              <w:t>Services</w:t>
            </w:r>
            <w:r>
              <w:t xml:space="preserve"> until </w:t>
            </w:r>
            <w:r w:rsidR="008019A9">
              <w:t>31 </w:t>
            </w:r>
            <w:r>
              <w:t xml:space="preserve">December 2019 in line with the </w:t>
            </w:r>
            <w:r w:rsidR="008237AA">
              <w:t>Client’s</w:t>
            </w:r>
            <w:r>
              <w:t xml:space="preserve"> IMP.</w:t>
            </w:r>
          </w:p>
        </w:tc>
      </w:tr>
      <w:tr w:rsidR="00C9182B" w:rsidRPr="001C1946" w:rsidTr="006217C6">
        <w:tc>
          <w:tcPr>
            <w:tcW w:w="3112" w:type="dxa"/>
          </w:tcPr>
          <w:p w:rsidR="00C9182B" w:rsidRDefault="00C9182B" w:rsidP="008237AA">
            <w:pPr>
              <w:pStyle w:val="AASSOGSLEVEL3"/>
              <w:spacing w:before="120" w:after="120" w:line="240" w:lineRule="auto"/>
            </w:pPr>
            <w:r>
              <w:t>Transition Out Plan</w:t>
            </w:r>
          </w:p>
        </w:tc>
        <w:tc>
          <w:tcPr>
            <w:tcW w:w="7665" w:type="dxa"/>
          </w:tcPr>
          <w:p w:rsidR="006E0A09" w:rsidRDefault="00DF4E37" w:rsidP="002677FF">
            <w:pPr>
              <w:spacing w:beforeLines="60" w:before="144" w:afterLines="60" w:after="144" w:line="240" w:lineRule="auto"/>
            </w:pPr>
            <w:r>
              <w:t>ISMAA Provider</w:t>
            </w:r>
            <w:r w:rsidR="00C9182B">
              <w:t xml:space="preserve">s </w:t>
            </w:r>
            <w:r w:rsidR="008237AA">
              <w:t>must</w:t>
            </w:r>
            <w:r w:rsidR="00C9182B">
              <w:t xml:space="preserve"> provide the Department with a Transition Out Plan</w:t>
            </w:r>
            <w:r w:rsidR="00E57FBF">
              <w:t xml:space="preserve">. </w:t>
            </w:r>
            <w:r w:rsidR="00C9182B">
              <w:t xml:space="preserve">This plan must describe </w:t>
            </w:r>
            <w:r w:rsidR="001E51F4">
              <w:t>Your</w:t>
            </w:r>
            <w:r w:rsidR="00C9182B">
              <w:t xml:space="preserve"> approach to the finalisation of </w:t>
            </w:r>
            <w:r>
              <w:t>Services</w:t>
            </w:r>
            <w:r w:rsidR="00C9182B">
              <w:t xml:space="preserve"> with </w:t>
            </w:r>
            <w:r w:rsidR="00AB0510">
              <w:t>Client</w:t>
            </w:r>
            <w:r w:rsidR="00C9182B">
              <w:t xml:space="preserve">s who </w:t>
            </w:r>
            <w:r w:rsidR="00E57FBF">
              <w:t xml:space="preserve">require support </w:t>
            </w:r>
            <w:r w:rsidR="00B33961">
              <w:t>post 31</w:t>
            </w:r>
            <w:r w:rsidR="00E57FBF">
              <w:t xml:space="preserve"> December 2019</w:t>
            </w:r>
            <w:r w:rsidR="00C9182B">
              <w:t>.</w:t>
            </w:r>
          </w:p>
          <w:p w:rsidR="00367F47" w:rsidRDefault="006E0A09" w:rsidP="002677FF">
            <w:pPr>
              <w:spacing w:beforeLines="60" w:before="144" w:afterLines="60" w:after="144" w:line="240" w:lineRule="auto"/>
            </w:pPr>
            <w:r>
              <w:lastRenderedPageBreak/>
              <w:t xml:space="preserve">Where </w:t>
            </w:r>
            <w:r w:rsidR="008237AA">
              <w:t>a Transition Out Plan provides for</w:t>
            </w:r>
            <w:r>
              <w:t xml:space="preserve"> referrals for </w:t>
            </w:r>
            <w:r w:rsidR="00480D00">
              <w:t>Service</w:t>
            </w:r>
            <w:r w:rsidR="0010764A">
              <w:t xml:space="preserve"> continuation</w:t>
            </w:r>
            <w:r>
              <w:t xml:space="preserve"> by </w:t>
            </w:r>
            <w:r w:rsidR="009C5961">
              <w:t>another organisation</w:t>
            </w:r>
            <w:r>
              <w:t xml:space="preserve">, </w:t>
            </w:r>
            <w:r w:rsidR="00DF4E37">
              <w:t>You</w:t>
            </w:r>
            <w:r>
              <w:t xml:space="preserve"> must include documentary evidence that this agreement is </w:t>
            </w:r>
            <w:r w:rsidR="00367F47">
              <w:t>in place.</w:t>
            </w:r>
          </w:p>
          <w:p w:rsidR="00826EAF" w:rsidRDefault="00826EAF" w:rsidP="003010A6">
            <w:pPr>
              <w:spacing w:beforeLines="60" w:before="144" w:afterLines="60" w:after="144" w:line="240" w:lineRule="auto"/>
            </w:pPr>
            <w:r>
              <w:t xml:space="preserve">This plan must be provided to the Department by </w:t>
            </w:r>
            <w:r w:rsidR="003010A6">
              <w:t>4</w:t>
            </w:r>
            <w:r w:rsidR="00AA7EF9">
              <w:t xml:space="preserve"> </w:t>
            </w:r>
            <w:r w:rsidR="00E57FBF">
              <w:t>October</w:t>
            </w:r>
            <w:r>
              <w:t xml:space="preserve"> 2019</w:t>
            </w:r>
            <w:r w:rsidR="001509BB">
              <w:t>.</w:t>
            </w:r>
          </w:p>
        </w:tc>
      </w:tr>
      <w:tr w:rsidR="00C9182B" w:rsidRPr="001C1946" w:rsidTr="006217C6">
        <w:tc>
          <w:tcPr>
            <w:tcW w:w="3112" w:type="dxa"/>
          </w:tcPr>
          <w:p w:rsidR="00C9182B" w:rsidRDefault="00C9182B" w:rsidP="006217C6">
            <w:pPr>
              <w:pStyle w:val="AASSOGSLEVEL3"/>
              <w:spacing w:before="120" w:after="120" w:line="240" w:lineRule="auto"/>
            </w:pPr>
            <w:r>
              <w:lastRenderedPageBreak/>
              <w:t>Monitoring of performance post 30 June 2019</w:t>
            </w:r>
          </w:p>
        </w:tc>
        <w:tc>
          <w:tcPr>
            <w:tcW w:w="7665" w:type="dxa"/>
          </w:tcPr>
          <w:p w:rsidR="00C9182B" w:rsidRDefault="00C9182B" w:rsidP="009C5961">
            <w:pPr>
              <w:spacing w:beforeLines="60" w:before="144" w:afterLines="60" w:after="144" w:line="240" w:lineRule="auto"/>
            </w:pPr>
            <w:r>
              <w:t>The Department will</w:t>
            </w:r>
            <w:r w:rsidR="00CA3355">
              <w:t xml:space="preserve"> continue to</w:t>
            </w:r>
            <w:r w:rsidR="00D17EEC">
              <w:t xml:space="preserve"> undertake IMP</w:t>
            </w:r>
            <w:r w:rsidR="00CA3355">
              <w:t xml:space="preserve"> m</w:t>
            </w:r>
            <w:r>
              <w:t>onitor</w:t>
            </w:r>
            <w:r w:rsidR="00D17EEC">
              <w:t xml:space="preserve">ing </w:t>
            </w:r>
            <w:r w:rsidR="00CA3355">
              <w:t xml:space="preserve">following </w:t>
            </w:r>
            <w:r w:rsidR="009C5961">
              <w:t>30 June </w:t>
            </w:r>
            <w:r w:rsidR="00CA3355">
              <w:t xml:space="preserve">2019. The Department will target monitoring samples to focus on </w:t>
            </w:r>
            <w:r w:rsidR="00AB0510">
              <w:t>Client</w:t>
            </w:r>
            <w:r w:rsidR="00CA3355">
              <w:t xml:space="preserve">s who entered the program in the three months from April – June 2019 to ensure they have received </w:t>
            </w:r>
            <w:r w:rsidR="00DF4E37">
              <w:t>Services</w:t>
            </w:r>
            <w:r w:rsidR="00CA3355">
              <w:t xml:space="preserve"> in line with those outlined in their IMP</w:t>
            </w:r>
            <w:r w:rsidR="00D17EEC">
              <w:t xml:space="preserve">, </w:t>
            </w:r>
            <w:r w:rsidR="00DF4E37">
              <w:t>You</w:t>
            </w:r>
            <w:r w:rsidR="00D17EEC">
              <w:t xml:space="preserve">r </w:t>
            </w:r>
            <w:r w:rsidR="00DF4E37">
              <w:t>Contract</w:t>
            </w:r>
            <w:r w:rsidR="00CA3355">
              <w:t xml:space="preserve"> and in </w:t>
            </w:r>
            <w:r w:rsidR="001E51F4">
              <w:t>Your</w:t>
            </w:r>
            <w:r w:rsidR="00CA3355">
              <w:t xml:space="preserve"> </w:t>
            </w:r>
            <w:r w:rsidR="00D17EEC">
              <w:t>Transition Out Plan</w:t>
            </w:r>
            <w:r w:rsidR="00CA3355">
              <w:t>.</w:t>
            </w:r>
          </w:p>
        </w:tc>
      </w:tr>
    </w:tbl>
    <w:p w:rsidR="00D17EEC" w:rsidRDefault="00D17EEC" w:rsidP="00644733">
      <w:pPr>
        <w:pStyle w:val="H1AASSOGS"/>
        <w:numPr>
          <w:ilvl w:val="0"/>
          <w:numId w:val="0"/>
        </w:numPr>
        <w:ind w:left="720" w:hanging="720"/>
      </w:pPr>
    </w:p>
    <w:p w:rsidR="004B3DDA" w:rsidRDefault="004B3DDA" w:rsidP="001B3F4B">
      <w:pPr>
        <w:pStyle w:val="H1AASSOGS"/>
      </w:pPr>
      <w:bookmarkStart w:id="50" w:name="_Toc490735665"/>
      <w:r>
        <w:t>Payments</w:t>
      </w:r>
      <w:bookmarkEnd w:id="50"/>
      <w:r>
        <w:t xml:space="preserve"> </w:t>
      </w:r>
    </w:p>
    <w:p w:rsidR="004B3DDA" w:rsidRDefault="004B3DDA" w:rsidP="004B3DDA">
      <w:pPr>
        <w:pStyle w:val="H1AASSOGS"/>
        <w:numPr>
          <w:ilvl w:val="0"/>
          <w:numId w:val="0"/>
        </w:numPr>
        <w:ind w:left="720" w:hanging="720"/>
      </w:pPr>
    </w:p>
    <w:tbl>
      <w:tblPr>
        <w:tblW w:w="107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7665"/>
      </w:tblGrid>
      <w:tr w:rsidR="001469FB" w:rsidRPr="001C1946" w:rsidTr="002972BD">
        <w:tc>
          <w:tcPr>
            <w:tcW w:w="3112" w:type="dxa"/>
          </w:tcPr>
          <w:p w:rsidR="001469FB" w:rsidRPr="00602AFB" w:rsidRDefault="001469FB" w:rsidP="002972BD">
            <w:pPr>
              <w:pStyle w:val="AASSOGSLEVEL3"/>
              <w:spacing w:before="120" w:after="120" w:line="240" w:lineRule="auto"/>
            </w:pPr>
            <w:r>
              <w:t xml:space="preserve">Overview </w:t>
            </w:r>
          </w:p>
        </w:tc>
        <w:tc>
          <w:tcPr>
            <w:tcW w:w="7665" w:type="dxa"/>
          </w:tcPr>
          <w:p w:rsidR="001469FB" w:rsidRPr="005A6FEB" w:rsidRDefault="00DF4E37" w:rsidP="002677FF">
            <w:pPr>
              <w:spacing w:beforeLines="60" w:before="144" w:afterLines="60" w:after="144" w:line="240" w:lineRule="auto"/>
              <w:rPr>
                <w:rFonts w:cs="Arial"/>
                <w:highlight w:val="yellow"/>
              </w:rPr>
            </w:pPr>
            <w:r>
              <w:t>ISMAA Provider</w:t>
            </w:r>
            <w:r w:rsidR="009F37EC">
              <w:t>s</w:t>
            </w:r>
            <w:r w:rsidR="001469FB">
              <w:t xml:space="preserve"> are</w:t>
            </w:r>
            <w:r w:rsidR="00B06FA4">
              <w:t xml:space="preserve"> paid fees for providing mentoring</w:t>
            </w:r>
            <w:r w:rsidR="001469FB">
              <w:t xml:space="preserve"> </w:t>
            </w:r>
            <w:r>
              <w:t>Services</w:t>
            </w:r>
            <w:r w:rsidR="001469FB">
              <w:t xml:space="preserve"> under the </w:t>
            </w:r>
            <w:r w:rsidR="008E1A00">
              <w:t>ISMAA</w:t>
            </w:r>
            <w:r w:rsidR="004C770F">
              <w:t xml:space="preserve"> program</w:t>
            </w:r>
            <w:r w:rsidR="001469FB">
              <w:t xml:space="preserve">. </w:t>
            </w:r>
            <w:r w:rsidR="004C770F">
              <w:t xml:space="preserve">These </w:t>
            </w:r>
            <w:r>
              <w:t>Services</w:t>
            </w:r>
            <w:r w:rsidR="004C770F">
              <w:t xml:space="preserve"> must be delivered in line with the terms of </w:t>
            </w:r>
            <w:r w:rsidR="001E51F4">
              <w:t>Your</w:t>
            </w:r>
            <w:r w:rsidR="004C770F">
              <w:t xml:space="preserve"> </w:t>
            </w:r>
            <w:r>
              <w:t>Contract</w:t>
            </w:r>
            <w:r w:rsidR="004C770F">
              <w:t xml:space="preserve"> and t</w:t>
            </w:r>
            <w:r w:rsidR="001469FB" w:rsidRPr="00256CFB">
              <w:t xml:space="preserve">hese </w:t>
            </w:r>
            <w:r>
              <w:t>Services</w:t>
            </w:r>
            <w:r w:rsidR="009F37EC">
              <w:t xml:space="preserve"> must be made </w:t>
            </w:r>
            <w:r w:rsidR="004C770F">
              <w:t>available</w:t>
            </w:r>
            <w:r w:rsidR="001469FB" w:rsidRPr="00256CFB">
              <w:t xml:space="preserve"> </w:t>
            </w:r>
            <w:r w:rsidR="00D36368">
              <w:t xml:space="preserve">at </w:t>
            </w:r>
            <w:r w:rsidR="001469FB" w:rsidRPr="00256CFB">
              <w:t>no cost</w:t>
            </w:r>
            <w:r w:rsidR="001469FB">
              <w:t xml:space="preserve"> to the Australian Apprentice</w:t>
            </w:r>
            <w:r w:rsidR="001469FB" w:rsidRPr="00256CFB">
              <w:t>.</w:t>
            </w:r>
          </w:p>
        </w:tc>
      </w:tr>
      <w:tr w:rsidR="00D36368" w:rsidRPr="001C1946" w:rsidTr="002972BD">
        <w:tc>
          <w:tcPr>
            <w:tcW w:w="3112" w:type="dxa"/>
          </w:tcPr>
          <w:p w:rsidR="00D36368" w:rsidRDefault="00675E58" w:rsidP="002972BD">
            <w:pPr>
              <w:pStyle w:val="AASSOGSLEVEL3"/>
              <w:spacing w:before="120" w:after="120" w:line="240" w:lineRule="auto"/>
            </w:pPr>
            <w:r>
              <w:t>Eligibility for payment</w:t>
            </w:r>
          </w:p>
        </w:tc>
        <w:tc>
          <w:tcPr>
            <w:tcW w:w="7665" w:type="dxa"/>
          </w:tcPr>
          <w:p w:rsidR="00B06FA4" w:rsidRDefault="00675E58" w:rsidP="002677FF">
            <w:pPr>
              <w:spacing w:beforeLines="60" w:before="144" w:afterLines="60" w:after="144" w:line="240" w:lineRule="auto"/>
            </w:pPr>
            <w:r>
              <w:rPr>
                <w:rFonts w:cs="Arial"/>
              </w:rPr>
              <w:t xml:space="preserve">You are paid in advance for the number of </w:t>
            </w:r>
            <w:r w:rsidR="00AB0510">
              <w:rPr>
                <w:rFonts w:cs="Arial"/>
              </w:rPr>
              <w:t>Client</w:t>
            </w:r>
            <w:r>
              <w:rPr>
                <w:rFonts w:cs="Arial"/>
              </w:rPr>
              <w:t xml:space="preserve">s </w:t>
            </w:r>
            <w:r w:rsidR="00DF4E37">
              <w:rPr>
                <w:rFonts w:cs="Arial"/>
              </w:rPr>
              <w:t>You</w:t>
            </w:r>
            <w:r>
              <w:rPr>
                <w:rFonts w:cs="Arial"/>
              </w:rPr>
              <w:t xml:space="preserve"> </w:t>
            </w:r>
            <w:r w:rsidR="00FA46EA">
              <w:rPr>
                <w:rFonts w:cs="Arial"/>
              </w:rPr>
              <w:t xml:space="preserve">are </w:t>
            </w:r>
            <w:r w:rsidR="00DF4E37">
              <w:rPr>
                <w:rFonts w:cs="Arial"/>
              </w:rPr>
              <w:t>Contract</w:t>
            </w:r>
            <w:r w:rsidR="00FA46EA">
              <w:rPr>
                <w:rFonts w:cs="Arial"/>
              </w:rPr>
              <w:t xml:space="preserve">ed </w:t>
            </w:r>
            <w:r w:rsidR="00B06FA4">
              <w:rPr>
                <w:rFonts w:cs="Arial"/>
              </w:rPr>
              <w:t xml:space="preserve">to </w:t>
            </w:r>
            <w:r>
              <w:rPr>
                <w:rFonts w:cs="Arial"/>
              </w:rPr>
              <w:t>mentor</w:t>
            </w:r>
            <w:r w:rsidR="005A09E8">
              <w:rPr>
                <w:rFonts w:cs="Arial"/>
              </w:rPr>
              <w:t xml:space="preserve"> during th</w:t>
            </w:r>
            <w:r w:rsidR="00FA46EA">
              <w:rPr>
                <w:rFonts w:cs="Arial"/>
              </w:rPr>
              <w:t>e</w:t>
            </w:r>
            <w:r w:rsidR="005A09E8">
              <w:rPr>
                <w:rFonts w:cs="Arial"/>
              </w:rPr>
              <w:t xml:space="preserve"> payment period</w:t>
            </w:r>
            <w:r w:rsidR="0078639A">
              <w:rPr>
                <w:rFonts w:cs="Arial"/>
              </w:rPr>
              <w:t>. This is based</w:t>
            </w:r>
            <w:r w:rsidR="00FA46EA">
              <w:rPr>
                <w:rFonts w:cs="Arial"/>
              </w:rPr>
              <w:t xml:space="preserve"> on a pro rata figure</w:t>
            </w:r>
            <w:r w:rsidR="007F526B">
              <w:rPr>
                <w:rFonts w:cs="Arial"/>
              </w:rPr>
              <w:t xml:space="preserve"> of </w:t>
            </w:r>
            <w:r w:rsidR="001E51F4">
              <w:rPr>
                <w:rFonts w:cs="Arial"/>
              </w:rPr>
              <w:t>Your</w:t>
            </w:r>
            <w:r w:rsidR="007F526B">
              <w:rPr>
                <w:rFonts w:cs="Arial"/>
              </w:rPr>
              <w:t xml:space="preserve"> </w:t>
            </w:r>
            <w:r w:rsidR="00DF4E37">
              <w:rPr>
                <w:rFonts w:cs="Arial"/>
              </w:rPr>
              <w:t>Contract</w:t>
            </w:r>
            <w:r w:rsidR="007F526B">
              <w:rPr>
                <w:rFonts w:cs="Arial"/>
              </w:rPr>
              <w:t xml:space="preserve"> benchmark. </w:t>
            </w:r>
            <w:r>
              <w:rPr>
                <w:rFonts w:cs="Arial"/>
              </w:rPr>
              <w:t xml:space="preserve">In order to be eligible to receive payment for a </w:t>
            </w:r>
            <w:r w:rsidR="00AB0510">
              <w:rPr>
                <w:rFonts w:cs="Arial"/>
              </w:rPr>
              <w:t>Client</w:t>
            </w:r>
            <w:r>
              <w:rPr>
                <w:rFonts w:cs="Arial"/>
              </w:rPr>
              <w:t xml:space="preserve"> </w:t>
            </w:r>
            <w:r w:rsidR="00DF4E37">
              <w:rPr>
                <w:rFonts w:cs="Arial"/>
              </w:rPr>
              <w:t>You</w:t>
            </w:r>
            <w:r>
              <w:rPr>
                <w:rFonts w:cs="Arial"/>
              </w:rPr>
              <w:t xml:space="preserve"> must</w:t>
            </w:r>
            <w:r w:rsidR="00B06FA4">
              <w:rPr>
                <w:rFonts w:cs="Arial"/>
              </w:rPr>
              <w:t xml:space="preserve"> have</w:t>
            </w:r>
            <w:r w:rsidR="009F37EC">
              <w:rPr>
                <w:rFonts w:cs="Arial"/>
              </w:rPr>
              <w:t>, for each Client</w:t>
            </w:r>
            <w:r w:rsidR="00B06FA4">
              <w:rPr>
                <w:rFonts w:cs="Arial"/>
              </w:rPr>
              <w:t>:</w:t>
            </w:r>
          </w:p>
          <w:p w:rsidR="00B06FA4" w:rsidRPr="00D9155E" w:rsidRDefault="00B06FA4"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D9155E">
              <w:rPr>
                <w:rFonts w:ascii="Calibri" w:eastAsia="Times New Roman" w:hAnsi="Calibri" w:cs="Arial"/>
                <w:lang w:eastAsia="en-AU"/>
              </w:rPr>
              <w:t>Delivered</w:t>
            </w:r>
            <w:r w:rsidR="00FA46EA" w:rsidRPr="00D9155E">
              <w:rPr>
                <w:rFonts w:ascii="Calibri" w:eastAsia="Times New Roman" w:hAnsi="Calibri" w:cs="Arial"/>
                <w:lang w:eastAsia="en-AU"/>
              </w:rPr>
              <w:t xml:space="preserve"> a minimum of </w:t>
            </w:r>
            <w:r w:rsidRPr="00D9155E">
              <w:rPr>
                <w:rFonts w:ascii="Calibri" w:eastAsia="Times New Roman" w:hAnsi="Calibri" w:cs="Arial"/>
                <w:lang w:eastAsia="en-AU"/>
              </w:rPr>
              <w:t>one hour of mentoring support</w:t>
            </w:r>
            <w:r w:rsidR="009F37EC">
              <w:rPr>
                <w:rFonts w:ascii="Calibri" w:eastAsia="Times New Roman" w:hAnsi="Calibri" w:cs="Arial"/>
                <w:lang w:eastAsia="en-AU"/>
              </w:rPr>
              <w:t xml:space="preserve"> to the Department</w:t>
            </w:r>
            <w:r w:rsidR="009C5961">
              <w:rPr>
                <w:rFonts w:ascii="Calibri" w:eastAsia="Times New Roman" w:hAnsi="Calibri" w:cs="Arial"/>
                <w:lang w:eastAsia="en-AU"/>
              </w:rPr>
              <w:t>’</w:t>
            </w:r>
            <w:r w:rsidR="009F37EC">
              <w:rPr>
                <w:rFonts w:ascii="Calibri" w:eastAsia="Times New Roman" w:hAnsi="Calibri" w:cs="Arial"/>
                <w:lang w:eastAsia="en-AU"/>
              </w:rPr>
              <w:t>s satisfaction</w:t>
            </w:r>
            <w:r w:rsidRPr="00D9155E">
              <w:rPr>
                <w:rFonts w:ascii="Calibri" w:eastAsia="Times New Roman" w:hAnsi="Calibri" w:cs="Arial"/>
                <w:lang w:eastAsia="en-AU"/>
              </w:rPr>
              <w:t>; and</w:t>
            </w:r>
          </w:p>
          <w:p w:rsidR="00E2675B" w:rsidRPr="00675E58" w:rsidRDefault="00B06FA4"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cs="Arial"/>
              </w:rPr>
            </w:pPr>
            <w:r w:rsidRPr="00D9155E">
              <w:rPr>
                <w:rFonts w:ascii="Calibri" w:eastAsia="Times New Roman" w:hAnsi="Calibri" w:cs="Arial"/>
                <w:lang w:eastAsia="en-AU"/>
              </w:rPr>
              <w:t xml:space="preserve">A </w:t>
            </w:r>
            <w:r w:rsidR="00DF4E37">
              <w:rPr>
                <w:rFonts w:ascii="Calibri" w:eastAsia="Times New Roman" w:hAnsi="Calibri" w:cs="Arial"/>
                <w:lang w:eastAsia="en-AU"/>
              </w:rPr>
              <w:t>Commenced</w:t>
            </w:r>
            <w:r w:rsidRPr="00D9155E">
              <w:rPr>
                <w:rFonts w:ascii="Calibri" w:eastAsia="Times New Roman" w:hAnsi="Calibri" w:cs="Arial"/>
                <w:lang w:eastAsia="en-AU"/>
              </w:rPr>
              <w:t xml:space="preserve"> IMP in place.</w:t>
            </w:r>
          </w:p>
        </w:tc>
      </w:tr>
      <w:tr w:rsidR="007F526B" w:rsidRPr="001C1946" w:rsidTr="002972BD">
        <w:tc>
          <w:tcPr>
            <w:tcW w:w="3112" w:type="dxa"/>
          </w:tcPr>
          <w:p w:rsidR="007F526B" w:rsidRDefault="007F526B" w:rsidP="006C0861">
            <w:pPr>
              <w:pStyle w:val="AASSOGSLEVEL3"/>
              <w:spacing w:before="120" w:after="120" w:line="240" w:lineRule="auto"/>
            </w:pPr>
            <w:r>
              <w:t xml:space="preserve">Pro rata </w:t>
            </w:r>
            <w:r w:rsidR="006C0861">
              <w:t>milestone</w:t>
            </w:r>
            <w:r>
              <w:t xml:space="preserve"> calculation</w:t>
            </w:r>
          </w:p>
        </w:tc>
        <w:tc>
          <w:tcPr>
            <w:tcW w:w="7665" w:type="dxa"/>
          </w:tcPr>
          <w:p w:rsidR="007F526B" w:rsidRDefault="006C0861" w:rsidP="002677FF">
            <w:pPr>
              <w:spacing w:beforeLines="60" w:before="144" w:afterLines="60" w:after="144" w:line="240" w:lineRule="auto"/>
              <w:rPr>
                <w:rFonts w:cs="Arial"/>
              </w:rPr>
            </w:pPr>
            <w:r>
              <w:rPr>
                <w:rFonts w:cs="Arial"/>
              </w:rPr>
              <w:t>Funding for the ISMAA program is split across two financial years. Approximately 33% of funding is allocated in the 2017/18 financial year with the remainder in the 2018/19 financial year.</w:t>
            </w:r>
          </w:p>
          <w:p w:rsidR="006C0861" w:rsidRDefault="006C0861" w:rsidP="002677FF">
            <w:pPr>
              <w:spacing w:beforeLines="60" w:before="144" w:afterLines="60" w:after="144" w:line="240" w:lineRule="auto"/>
              <w:rPr>
                <w:rFonts w:cs="Arial"/>
              </w:rPr>
            </w:pPr>
            <w:r>
              <w:rPr>
                <w:rFonts w:cs="Arial"/>
              </w:rPr>
              <w:t xml:space="preserve">Services will be delivered in the 2017/18 financial year across approximately </w:t>
            </w:r>
            <w:r w:rsidR="006C375E">
              <w:rPr>
                <w:rFonts w:cs="Arial"/>
              </w:rPr>
              <w:t xml:space="preserve">eight </w:t>
            </w:r>
            <w:r>
              <w:rPr>
                <w:rFonts w:cs="Arial"/>
              </w:rPr>
              <w:t xml:space="preserve">months following the procurement process and establishment of </w:t>
            </w:r>
            <w:r w:rsidR="00DF4E37">
              <w:rPr>
                <w:rFonts w:cs="Arial"/>
              </w:rPr>
              <w:t>Provider</w:t>
            </w:r>
            <w:r>
              <w:rPr>
                <w:rFonts w:cs="Arial"/>
              </w:rPr>
              <w:t xml:space="preserve">s. This equates to approximately $2.42 million (or 4.15% of total expenditure) expended per month. </w:t>
            </w:r>
          </w:p>
          <w:p w:rsidR="006C0861" w:rsidRDefault="006C0861" w:rsidP="002677FF">
            <w:pPr>
              <w:spacing w:beforeLines="60" w:before="144" w:afterLines="60" w:after="144" w:line="240" w:lineRule="auto"/>
              <w:rPr>
                <w:rFonts w:cs="Arial"/>
              </w:rPr>
            </w:pPr>
            <w:r>
              <w:rPr>
                <w:rFonts w:cs="Arial"/>
              </w:rPr>
              <w:t xml:space="preserve">Services will be </w:t>
            </w:r>
            <w:r w:rsidR="00DF4E37">
              <w:rPr>
                <w:rFonts w:cs="Arial"/>
              </w:rPr>
              <w:t>Commenced</w:t>
            </w:r>
            <w:r w:rsidR="006C375E">
              <w:rPr>
                <w:rFonts w:cs="Arial"/>
              </w:rPr>
              <w:t xml:space="preserve"> </w:t>
            </w:r>
            <w:r>
              <w:rPr>
                <w:rFonts w:cs="Arial"/>
              </w:rPr>
              <w:t xml:space="preserve">in the 2018/19 financial year across 12 months. This equates to approximately $3.25 million (or 5.6% of total expenditure) expended per month. </w:t>
            </w:r>
          </w:p>
          <w:p w:rsidR="006C0861" w:rsidRDefault="006C0861" w:rsidP="002677FF">
            <w:pPr>
              <w:spacing w:beforeLines="60" w:before="144" w:afterLines="60" w:after="144" w:line="240" w:lineRule="auto"/>
              <w:rPr>
                <w:rFonts w:cs="Arial"/>
              </w:rPr>
            </w:pPr>
            <w:r>
              <w:rPr>
                <w:rFonts w:cs="Arial"/>
              </w:rPr>
              <w:t xml:space="preserve">The Department will calculate pro rata milestones that </w:t>
            </w:r>
            <w:r w:rsidR="00DF4E37">
              <w:rPr>
                <w:rFonts w:cs="Arial"/>
              </w:rPr>
              <w:t>ISMAA Provider</w:t>
            </w:r>
            <w:r>
              <w:rPr>
                <w:rFonts w:cs="Arial"/>
              </w:rPr>
              <w:t xml:space="preserve">s must reach through the life of their </w:t>
            </w:r>
            <w:r w:rsidR="00DF4E37">
              <w:rPr>
                <w:rFonts w:cs="Arial"/>
              </w:rPr>
              <w:t>Contract</w:t>
            </w:r>
            <w:r w:rsidR="006C375E">
              <w:rPr>
                <w:rFonts w:cs="Arial"/>
              </w:rPr>
              <w:t xml:space="preserve"> in line with these considerations</w:t>
            </w:r>
            <w:r>
              <w:rPr>
                <w:rFonts w:cs="Arial"/>
              </w:rPr>
              <w:t>. This is to ensure that the overall program goals are on target to be achieved.</w:t>
            </w:r>
          </w:p>
          <w:p w:rsidR="006C0861" w:rsidRDefault="002F67A0" w:rsidP="002677FF">
            <w:pPr>
              <w:spacing w:beforeLines="60" w:before="144" w:afterLines="60" w:after="144" w:line="240" w:lineRule="auto"/>
              <w:rPr>
                <w:rFonts w:cs="Arial"/>
              </w:rPr>
            </w:pPr>
            <w:r>
              <w:rPr>
                <w:rFonts w:cs="Arial"/>
              </w:rPr>
              <w:t xml:space="preserve">These milestones must be achieved in the same timeframes in which </w:t>
            </w:r>
            <w:r w:rsidR="001E51F4">
              <w:rPr>
                <w:rFonts w:cs="Arial"/>
              </w:rPr>
              <w:t>Your</w:t>
            </w:r>
            <w:r>
              <w:rPr>
                <w:rFonts w:cs="Arial"/>
              </w:rPr>
              <w:t xml:space="preserve"> </w:t>
            </w:r>
            <w:r w:rsidR="00480D00">
              <w:rPr>
                <w:rFonts w:cs="Arial"/>
              </w:rPr>
              <w:t>Service</w:t>
            </w:r>
            <w:r>
              <w:rPr>
                <w:rFonts w:cs="Arial"/>
              </w:rPr>
              <w:t xml:space="preserve"> report must be provided to the Department. </w:t>
            </w:r>
            <w:r w:rsidR="00B33961">
              <w:rPr>
                <w:rFonts w:cs="Arial"/>
              </w:rPr>
              <w:t>I.e</w:t>
            </w:r>
            <w:r>
              <w:rPr>
                <w:rFonts w:cs="Arial"/>
              </w:rPr>
              <w:t xml:space="preserve">. by the start of </w:t>
            </w:r>
            <w:r w:rsidR="006C375E">
              <w:rPr>
                <w:rFonts w:cs="Arial"/>
              </w:rPr>
              <w:t xml:space="preserve">Month </w:t>
            </w:r>
            <w:r>
              <w:rPr>
                <w:rFonts w:cs="Arial"/>
              </w:rPr>
              <w:t>4.</w:t>
            </w:r>
          </w:p>
          <w:p w:rsidR="002F67A0" w:rsidRDefault="002F67A0" w:rsidP="002677FF">
            <w:pPr>
              <w:spacing w:beforeLines="60" w:before="144" w:afterLines="60" w:after="144" w:line="240" w:lineRule="auto"/>
              <w:rPr>
                <w:rFonts w:cs="Arial"/>
              </w:rPr>
            </w:pPr>
            <w:r>
              <w:rPr>
                <w:rFonts w:cs="Arial"/>
              </w:rPr>
              <w:t>In practice this calculation means:</w:t>
            </w:r>
          </w:p>
          <w:p w:rsidR="002F67A0" w:rsidRDefault="002F67A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 xml:space="preserve">Milestone 1 will represent 12.4% of </w:t>
            </w:r>
            <w:r w:rsidR="001E51F4">
              <w:rPr>
                <w:rFonts w:ascii="Calibri" w:eastAsia="Times New Roman" w:hAnsi="Calibri" w:cs="Arial"/>
                <w:lang w:eastAsia="en-AU"/>
              </w:rPr>
              <w:t>Your</w:t>
            </w:r>
            <w:r w:rsidR="00920478">
              <w:rPr>
                <w:rFonts w:ascii="Calibri" w:eastAsia="Times New Roman" w:hAnsi="Calibri" w:cs="Arial"/>
                <w:lang w:eastAsia="en-AU"/>
              </w:rPr>
              <w:t xml:space="preserve"> total benchmark (3 months)</w:t>
            </w:r>
          </w:p>
          <w:p w:rsidR="002F67A0" w:rsidRDefault="002F67A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 xml:space="preserve">Milestone 2 will represent 29.1% of </w:t>
            </w:r>
            <w:r w:rsidR="001E51F4">
              <w:rPr>
                <w:rFonts w:ascii="Calibri" w:eastAsia="Times New Roman" w:hAnsi="Calibri" w:cs="Arial"/>
                <w:lang w:eastAsia="en-AU"/>
              </w:rPr>
              <w:t>Your</w:t>
            </w:r>
            <w:r>
              <w:rPr>
                <w:rFonts w:ascii="Calibri" w:eastAsia="Times New Roman" w:hAnsi="Calibri" w:cs="Arial"/>
                <w:lang w:eastAsia="en-AU"/>
              </w:rPr>
              <w:t xml:space="preserve"> total benchmark (7 months)</w:t>
            </w:r>
          </w:p>
          <w:p w:rsidR="002F67A0" w:rsidRDefault="002F67A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 xml:space="preserve">Milestone 3 will represent 51.3% of </w:t>
            </w:r>
            <w:r w:rsidR="001E51F4">
              <w:rPr>
                <w:rFonts w:ascii="Calibri" w:eastAsia="Times New Roman" w:hAnsi="Calibri" w:cs="Arial"/>
                <w:lang w:eastAsia="en-AU"/>
              </w:rPr>
              <w:t>Your</w:t>
            </w:r>
            <w:r>
              <w:rPr>
                <w:rFonts w:ascii="Calibri" w:eastAsia="Times New Roman" w:hAnsi="Calibri" w:cs="Arial"/>
                <w:lang w:eastAsia="en-AU"/>
              </w:rPr>
              <w:t xml:space="preserve"> total benchmark (11 months)</w:t>
            </w:r>
          </w:p>
          <w:p w:rsidR="002F67A0" w:rsidRDefault="002F67A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lastRenderedPageBreak/>
              <w:t xml:space="preserve">Milestone 4 will represent 73.5% of </w:t>
            </w:r>
            <w:r w:rsidR="001E51F4">
              <w:rPr>
                <w:rFonts w:ascii="Calibri" w:eastAsia="Times New Roman" w:hAnsi="Calibri" w:cs="Arial"/>
                <w:lang w:eastAsia="en-AU"/>
              </w:rPr>
              <w:t>Your</w:t>
            </w:r>
            <w:r>
              <w:rPr>
                <w:rFonts w:ascii="Calibri" w:eastAsia="Times New Roman" w:hAnsi="Calibri" w:cs="Arial"/>
                <w:lang w:eastAsia="en-AU"/>
              </w:rPr>
              <w:t xml:space="preserve"> total benchmark (15 months)</w:t>
            </w:r>
          </w:p>
          <w:p w:rsidR="002F67A0" w:rsidRDefault="00B33961"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Overall</w:t>
            </w:r>
            <w:r w:rsidR="008E1A00">
              <w:rPr>
                <w:rFonts w:ascii="Calibri" w:eastAsia="Times New Roman" w:hAnsi="Calibri" w:cs="Arial"/>
                <w:lang w:eastAsia="en-AU"/>
              </w:rPr>
              <w:t xml:space="preserve"> </w:t>
            </w:r>
            <w:r w:rsidR="00DF4E37">
              <w:rPr>
                <w:rFonts w:ascii="Calibri" w:eastAsia="Times New Roman" w:hAnsi="Calibri" w:cs="Arial"/>
                <w:lang w:eastAsia="en-AU"/>
              </w:rPr>
              <w:t>Contract</w:t>
            </w:r>
            <w:r w:rsidR="002F67A0">
              <w:rPr>
                <w:rFonts w:ascii="Calibri" w:eastAsia="Times New Roman" w:hAnsi="Calibri" w:cs="Arial"/>
                <w:lang w:eastAsia="en-AU"/>
              </w:rPr>
              <w:t xml:space="preserve"> milestone (100%) must be achieved by 1 July 2019.</w:t>
            </w:r>
          </w:p>
          <w:p w:rsidR="002F67A0" w:rsidRDefault="00EA42E9" w:rsidP="002677FF">
            <w:pPr>
              <w:overflowPunct w:val="0"/>
              <w:autoSpaceDE w:val="0"/>
              <w:autoSpaceDN w:val="0"/>
              <w:adjustRightInd w:val="0"/>
              <w:spacing w:beforeLines="60" w:before="144" w:afterLines="60" w:after="144" w:line="240" w:lineRule="auto"/>
              <w:textAlignment w:val="baseline"/>
              <w:rPr>
                <w:rFonts w:ascii="Calibri" w:eastAsia="Times New Roman" w:hAnsi="Calibri" w:cs="Arial"/>
                <w:lang w:eastAsia="en-AU"/>
              </w:rPr>
            </w:pPr>
            <w:r>
              <w:rPr>
                <w:rFonts w:ascii="Calibri" w:eastAsia="Times New Roman" w:hAnsi="Calibri" w:cs="Arial"/>
                <w:lang w:eastAsia="en-AU"/>
              </w:rPr>
              <w:t>For example:</w:t>
            </w:r>
          </w:p>
          <w:p w:rsidR="00EA42E9" w:rsidRDefault="006C375E"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 xml:space="preserve">Provider A has a total </w:t>
            </w:r>
            <w:r w:rsidR="00DF4E37">
              <w:rPr>
                <w:rFonts w:ascii="Calibri" w:eastAsia="Times New Roman" w:hAnsi="Calibri" w:cs="Arial"/>
                <w:lang w:eastAsia="en-AU"/>
              </w:rPr>
              <w:t>Contract</w:t>
            </w:r>
            <w:r w:rsidR="00EA42E9">
              <w:rPr>
                <w:rFonts w:ascii="Calibri" w:eastAsia="Times New Roman" w:hAnsi="Calibri" w:cs="Arial"/>
                <w:lang w:eastAsia="en-AU"/>
              </w:rPr>
              <w:t xml:space="preserve"> benchmark </w:t>
            </w:r>
            <w:r>
              <w:rPr>
                <w:rFonts w:ascii="Calibri" w:eastAsia="Times New Roman" w:hAnsi="Calibri" w:cs="Arial"/>
                <w:lang w:eastAsia="en-AU"/>
              </w:rPr>
              <w:t xml:space="preserve">of </w:t>
            </w:r>
            <w:r w:rsidR="00920478">
              <w:rPr>
                <w:rFonts w:ascii="Calibri" w:eastAsia="Times New Roman" w:hAnsi="Calibri" w:cs="Arial"/>
                <w:lang w:eastAsia="en-AU"/>
              </w:rPr>
              <w:t xml:space="preserve">1000 </w:t>
            </w:r>
            <w:r w:rsidR="00AB0510">
              <w:rPr>
                <w:rFonts w:ascii="Calibri" w:eastAsia="Times New Roman" w:hAnsi="Calibri" w:cs="Arial"/>
                <w:lang w:eastAsia="en-AU"/>
              </w:rPr>
              <w:t>Client</w:t>
            </w:r>
            <w:r w:rsidR="00920478">
              <w:rPr>
                <w:rFonts w:ascii="Calibri" w:eastAsia="Times New Roman" w:hAnsi="Calibri" w:cs="Arial"/>
                <w:lang w:eastAsia="en-AU"/>
              </w:rPr>
              <w:t>s</w:t>
            </w:r>
          </w:p>
          <w:p w:rsidR="00EA42E9" w:rsidRDefault="00EA42E9"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Milesto</w:t>
            </w:r>
            <w:r w:rsidR="00920478">
              <w:rPr>
                <w:rFonts w:ascii="Calibri" w:eastAsia="Times New Roman" w:hAnsi="Calibri" w:cs="Arial"/>
                <w:lang w:eastAsia="en-AU"/>
              </w:rPr>
              <w:t xml:space="preserve">ne 1 will represent 124 </w:t>
            </w:r>
            <w:r w:rsidR="00AB0510">
              <w:rPr>
                <w:rFonts w:ascii="Calibri" w:eastAsia="Times New Roman" w:hAnsi="Calibri" w:cs="Arial"/>
                <w:lang w:eastAsia="en-AU"/>
              </w:rPr>
              <w:t>Client</w:t>
            </w:r>
            <w:r w:rsidR="00920478">
              <w:rPr>
                <w:rFonts w:ascii="Calibri" w:eastAsia="Times New Roman" w:hAnsi="Calibri" w:cs="Arial"/>
                <w:lang w:eastAsia="en-AU"/>
              </w:rPr>
              <w:t>s</w:t>
            </w:r>
          </w:p>
          <w:p w:rsidR="00EA42E9" w:rsidRDefault="00EA42E9"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 xml:space="preserve">Milestone 2 will represent </w:t>
            </w:r>
            <w:r w:rsidR="006C375E">
              <w:rPr>
                <w:rFonts w:ascii="Calibri" w:eastAsia="Times New Roman" w:hAnsi="Calibri" w:cs="Arial"/>
                <w:lang w:eastAsia="en-AU"/>
              </w:rPr>
              <w:t xml:space="preserve">291 </w:t>
            </w:r>
            <w:r w:rsidR="00AB0510">
              <w:rPr>
                <w:rFonts w:ascii="Calibri" w:eastAsia="Times New Roman" w:hAnsi="Calibri" w:cs="Arial"/>
                <w:lang w:eastAsia="en-AU"/>
              </w:rPr>
              <w:t>Client</w:t>
            </w:r>
            <w:r>
              <w:rPr>
                <w:rFonts w:ascii="Calibri" w:eastAsia="Times New Roman" w:hAnsi="Calibri" w:cs="Arial"/>
                <w:lang w:eastAsia="en-AU"/>
              </w:rPr>
              <w:t>s</w:t>
            </w:r>
          </w:p>
          <w:p w:rsidR="00EA42E9" w:rsidRDefault="00EA42E9"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 xml:space="preserve">Milestone 3 will represent 513 </w:t>
            </w:r>
            <w:r w:rsidR="00AB0510">
              <w:rPr>
                <w:rFonts w:ascii="Calibri" w:eastAsia="Times New Roman" w:hAnsi="Calibri" w:cs="Arial"/>
                <w:lang w:eastAsia="en-AU"/>
              </w:rPr>
              <w:t>Client</w:t>
            </w:r>
            <w:r>
              <w:rPr>
                <w:rFonts w:ascii="Calibri" w:eastAsia="Times New Roman" w:hAnsi="Calibri" w:cs="Arial"/>
                <w:lang w:eastAsia="en-AU"/>
              </w:rPr>
              <w:t>s</w:t>
            </w:r>
          </w:p>
          <w:p w:rsidR="00EA42E9" w:rsidRDefault="00EA42E9"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 xml:space="preserve">Milestone 4 will represent </w:t>
            </w:r>
            <w:r w:rsidR="006C375E">
              <w:rPr>
                <w:rFonts w:ascii="Calibri" w:eastAsia="Times New Roman" w:hAnsi="Calibri" w:cs="Arial"/>
                <w:lang w:eastAsia="en-AU"/>
              </w:rPr>
              <w:t xml:space="preserve">735 </w:t>
            </w:r>
            <w:r w:rsidR="00AB0510">
              <w:rPr>
                <w:rFonts w:ascii="Calibri" w:eastAsia="Times New Roman" w:hAnsi="Calibri" w:cs="Arial"/>
                <w:lang w:eastAsia="en-AU"/>
              </w:rPr>
              <w:t>Client</w:t>
            </w:r>
            <w:r>
              <w:rPr>
                <w:rFonts w:ascii="Calibri" w:eastAsia="Times New Roman" w:hAnsi="Calibri" w:cs="Arial"/>
                <w:lang w:eastAsia="en-AU"/>
              </w:rPr>
              <w:t>s</w:t>
            </w:r>
          </w:p>
          <w:p w:rsidR="00EA42E9" w:rsidRDefault="00B33961"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Overall</w:t>
            </w:r>
            <w:r w:rsidR="008E1A00">
              <w:rPr>
                <w:rFonts w:ascii="Calibri" w:eastAsia="Times New Roman" w:hAnsi="Calibri" w:cs="Arial"/>
                <w:lang w:eastAsia="en-AU"/>
              </w:rPr>
              <w:t xml:space="preserve"> </w:t>
            </w:r>
            <w:r w:rsidR="00DF4E37">
              <w:rPr>
                <w:rFonts w:ascii="Calibri" w:eastAsia="Times New Roman" w:hAnsi="Calibri" w:cs="Arial"/>
                <w:lang w:eastAsia="en-AU"/>
              </w:rPr>
              <w:t>Contract</w:t>
            </w:r>
            <w:r w:rsidR="00EA42E9">
              <w:rPr>
                <w:rFonts w:ascii="Calibri" w:eastAsia="Times New Roman" w:hAnsi="Calibri" w:cs="Arial"/>
                <w:lang w:eastAsia="en-AU"/>
              </w:rPr>
              <w:t xml:space="preserve"> milestone of 1000 </w:t>
            </w:r>
            <w:r w:rsidR="00AB0510">
              <w:rPr>
                <w:rFonts w:ascii="Calibri" w:eastAsia="Times New Roman" w:hAnsi="Calibri" w:cs="Arial"/>
                <w:lang w:eastAsia="en-AU"/>
              </w:rPr>
              <w:t>Client</w:t>
            </w:r>
            <w:r w:rsidR="00EA42E9">
              <w:rPr>
                <w:rFonts w:ascii="Calibri" w:eastAsia="Times New Roman" w:hAnsi="Calibri" w:cs="Arial"/>
                <w:lang w:eastAsia="en-AU"/>
              </w:rPr>
              <w:t>s must be achieved by 1 July 2019.</w:t>
            </w:r>
          </w:p>
          <w:p w:rsidR="006C0861" w:rsidRPr="00FD42C1" w:rsidRDefault="00EA42E9" w:rsidP="002677FF">
            <w:pPr>
              <w:overflowPunct w:val="0"/>
              <w:autoSpaceDE w:val="0"/>
              <w:autoSpaceDN w:val="0"/>
              <w:adjustRightInd w:val="0"/>
              <w:spacing w:beforeLines="60" w:before="144" w:afterLines="60" w:after="144" w:line="240" w:lineRule="auto"/>
              <w:textAlignment w:val="baseline"/>
              <w:rPr>
                <w:rFonts w:cs="Arial"/>
              </w:rPr>
            </w:pPr>
            <w:r>
              <w:rPr>
                <w:rFonts w:ascii="Calibri" w:eastAsia="Times New Roman" w:hAnsi="Calibri" w:cs="Arial"/>
                <w:lang w:eastAsia="en-AU"/>
              </w:rPr>
              <w:t xml:space="preserve">These milestones will form part of </w:t>
            </w:r>
            <w:r w:rsidR="001E51F4">
              <w:rPr>
                <w:rFonts w:ascii="Calibri" w:eastAsia="Times New Roman" w:hAnsi="Calibri" w:cs="Arial"/>
                <w:lang w:eastAsia="en-AU"/>
              </w:rPr>
              <w:t>Your</w:t>
            </w:r>
            <w:r>
              <w:rPr>
                <w:rFonts w:ascii="Calibri" w:eastAsia="Times New Roman" w:hAnsi="Calibri" w:cs="Arial"/>
                <w:lang w:eastAsia="en-AU"/>
              </w:rPr>
              <w:t xml:space="preserve"> </w:t>
            </w:r>
            <w:r w:rsidR="00DF4E37">
              <w:rPr>
                <w:rFonts w:ascii="Calibri" w:eastAsia="Times New Roman" w:hAnsi="Calibri" w:cs="Arial"/>
                <w:lang w:eastAsia="en-AU"/>
              </w:rPr>
              <w:t>Contract</w:t>
            </w:r>
            <w:r>
              <w:rPr>
                <w:rFonts w:ascii="Calibri" w:eastAsia="Times New Roman" w:hAnsi="Calibri" w:cs="Arial"/>
                <w:lang w:eastAsia="en-AU"/>
              </w:rPr>
              <w:t>.</w:t>
            </w:r>
          </w:p>
        </w:tc>
      </w:tr>
      <w:tr w:rsidR="005A09E8" w:rsidRPr="001C1946" w:rsidTr="002972BD">
        <w:tc>
          <w:tcPr>
            <w:tcW w:w="3112" w:type="dxa"/>
          </w:tcPr>
          <w:p w:rsidR="005A09E8" w:rsidRDefault="005A09E8" w:rsidP="002972BD">
            <w:pPr>
              <w:pStyle w:val="AASSOGSLEVEL3"/>
              <w:spacing w:before="120" w:after="120" w:line="240" w:lineRule="auto"/>
            </w:pPr>
            <w:r>
              <w:lastRenderedPageBreak/>
              <w:t>Payment Period</w:t>
            </w:r>
          </w:p>
        </w:tc>
        <w:tc>
          <w:tcPr>
            <w:tcW w:w="7665" w:type="dxa"/>
          </w:tcPr>
          <w:p w:rsidR="005A09E8" w:rsidRDefault="005A09E8" w:rsidP="002677FF">
            <w:pPr>
              <w:spacing w:beforeLines="60" w:before="144" w:afterLines="60" w:after="144" w:line="240" w:lineRule="auto"/>
              <w:rPr>
                <w:rFonts w:cs="Arial"/>
              </w:rPr>
            </w:pPr>
            <w:r>
              <w:rPr>
                <w:rFonts w:cs="Arial"/>
              </w:rPr>
              <w:t xml:space="preserve">There are five payment periods throughout </w:t>
            </w:r>
            <w:r w:rsidR="001E51F4">
              <w:rPr>
                <w:rFonts w:cs="Arial"/>
              </w:rPr>
              <w:t>Your</w:t>
            </w:r>
            <w:r>
              <w:rPr>
                <w:rFonts w:cs="Arial"/>
              </w:rPr>
              <w:t xml:space="preserve"> </w:t>
            </w:r>
            <w:r w:rsidR="00DF4E37">
              <w:rPr>
                <w:rFonts w:cs="Arial"/>
              </w:rPr>
              <w:t>Contract</w:t>
            </w:r>
            <w:r>
              <w:rPr>
                <w:rFonts w:cs="Arial"/>
              </w:rPr>
              <w:t>. Payments will be made in advance and will be for a specified period</w:t>
            </w:r>
            <w:r w:rsidR="009F37EC">
              <w:rPr>
                <w:rFonts w:cs="Arial"/>
              </w:rPr>
              <w:t>, subject to the achievement of milestones, as required above, to the Department’s satisfaction</w:t>
            </w:r>
            <w:r>
              <w:rPr>
                <w:rFonts w:cs="Arial"/>
              </w:rPr>
              <w:t>. These periods are outlined below and are subject to change as required by the Department.</w:t>
            </w:r>
          </w:p>
          <w:p w:rsidR="00F3321A" w:rsidRDefault="00F3321A" w:rsidP="002677FF">
            <w:pPr>
              <w:spacing w:beforeLines="60" w:before="144" w:afterLines="60" w:after="144" w:line="240" w:lineRule="auto"/>
              <w:rPr>
                <w:rFonts w:cs="Arial"/>
              </w:rPr>
            </w:pPr>
          </w:p>
          <w:tbl>
            <w:tblPr>
              <w:tblStyle w:val="TableGrid"/>
              <w:tblW w:w="5000" w:type="pct"/>
              <w:jc w:val="center"/>
              <w:tblLook w:val="04A0" w:firstRow="1" w:lastRow="0" w:firstColumn="1" w:lastColumn="0" w:noHBand="0" w:noVBand="1"/>
            </w:tblPr>
            <w:tblGrid>
              <w:gridCol w:w="956"/>
              <w:gridCol w:w="1207"/>
              <w:gridCol w:w="1939"/>
              <w:gridCol w:w="960"/>
              <w:gridCol w:w="1001"/>
              <w:gridCol w:w="1376"/>
            </w:tblGrid>
            <w:tr w:rsidR="009F37EC" w:rsidRPr="00D64D66" w:rsidTr="009F37EC">
              <w:trPr>
                <w:jc w:val="center"/>
              </w:trPr>
              <w:tc>
                <w:tcPr>
                  <w:tcW w:w="643" w:type="pct"/>
                  <w:shd w:val="clear" w:color="auto" w:fill="D9D9D9" w:themeFill="background1" w:themeFillShade="D9"/>
                  <w:vAlign w:val="center"/>
                </w:tcPr>
                <w:p w:rsidR="009F37EC" w:rsidRPr="00D64D66" w:rsidRDefault="009F37EC" w:rsidP="002677FF">
                  <w:pPr>
                    <w:spacing w:beforeLines="60" w:before="144" w:afterLines="60" w:after="144"/>
                    <w:jc w:val="center"/>
                    <w:rPr>
                      <w:rFonts w:asciiTheme="minorHAnsi" w:eastAsiaTheme="minorHAnsi" w:hAnsiTheme="minorHAnsi" w:cs="Arial"/>
                      <w:b/>
                      <w:szCs w:val="22"/>
                      <w:lang w:eastAsia="en-US"/>
                    </w:rPr>
                  </w:pPr>
                  <w:r w:rsidRPr="00D64D66">
                    <w:rPr>
                      <w:rFonts w:asciiTheme="minorHAnsi" w:eastAsiaTheme="minorHAnsi" w:hAnsiTheme="minorHAnsi" w:cs="Arial"/>
                      <w:b/>
                      <w:szCs w:val="22"/>
                      <w:lang w:eastAsia="en-US"/>
                    </w:rPr>
                    <w:t>Payment Period</w:t>
                  </w:r>
                </w:p>
              </w:tc>
              <w:tc>
                <w:tcPr>
                  <w:tcW w:w="811" w:type="pct"/>
                  <w:shd w:val="clear" w:color="auto" w:fill="D9D9D9" w:themeFill="background1" w:themeFillShade="D9"/>
                  <w:vAlign w:val="center"/>
                </w:tcPr>
                <w:p w:rsidR="009F37EC" w:rsidRPr="009F37EC" w:rsidRDefault="009F37EC" w:rsidP="002677FF">
                  <w:pPr>
                    <w:spacing w:beforeLines="60" w:before="144" w:afterLines="60" w:after="144"/>
                    <w:jc w:val="center"/>
                    <w:rPr>
                      <w:rFonts w:asciiTheme="minorHAnsi" w:eastAsiaTheme="minorHAnsi" w:hAnsiTheme="minorHAnsi" w:cs="Arial"/>
                      <w:b/>
                      <w:szCs w:val="22"/>
                      <w:lang w:eastAsia="en-US"/>
                    </w:rPr>
                  </w:pPr>
                  <w:r w:rsidRPr="009F37EC">
                    <w:rPr>
                      <w:rFonts w:asciiTheme="minorHAnsi" w:eastAsiaTheme="minorHAnsi" w:hAnsiTheme="minorHAnsi" w:cs="Arial"/>
                      <w:b/>
                      <w:szCs w:val="22"/>
                      <w:lang w:eastAsia="en-US"/>
                    </w:rPr>
                    <w:t>Milestone</w:t>
                  </w:r>
                </w:p>
              </w:tc>
              <w:tc>
                <w:tcPr>
                  <w:tcW w:w="1303" w:type="pct"/>
                  <w:shd w:val="clear" w:color="auto" w:fill="D9D9D9" w:themeFill="background1" w:themeFillShade="D9"/>
                  <w:vAlign w:val="center"/>
                </w:tcPr>
                <w:p w:rsidR="009F37EC" w:rsidRPr="00D64D66" w:rsidRDefault="009F37EC" w:rsidP="002677FF">
                  <w:pPr>
                    <w:spacing w:beforeLines="60" w:before="144" w:afterLines="60" w:after="144"/>
                    <w:jc w:val="center"/>
                    <w:rPr>
                      <w:rFonts w:asciiTheme="minorHAnsi" w:eastAsiaTheme="minorHAnsi" w:hAnsiTheme="minorHAnsi" w:cs="Arial"/>
                      <w:b/>
                      <w:szCs w:val="22"/>
                      <w:lang w:eastAsia="en-US"/>
                    </w:rPr>
                  </w:pPr>
                  <w:r>
                    <w:rPr>
                      <w:rFonts w:asciiTheme="minorHAnsi" w:eastAsiaTheme="minorHAnsi" w:hAnsiTheme="minorHAnsi" w:cs="Arial"/>
                      <w:b/>
                      <w:szCs w:val="22"/>
                      <w:lang w:eastAsia="en-US"/>
                    </w:rPr>
                    <w:t xml:space="preserve">Payment </w:t>
                  </w:r>
                  <w:r w:rsidRPr="00D64D66">
                    <w:rPr>
                      <w:rFonts w:asciiTheme="minorHAnsi" w:eastAsiaTheme="minorHAnsi" w:hAnsiTheme="minorHAnsi" w:cs="Arial"/>
                      <w:b/>
                      <w:szCs w:val="22"/>
                      <w:lang w:eastAsia="en-US"/>
                    </w:rPr>
                    <w:t>Date</w:t>
                  </w:r>
                  <w:r w:rsidR="003010A6">
                    <w:rPr>
                      <w:rFonts w:asciiTheme="minorHAnsi" w:eastAsiaTheme="minorHAnsi" w:hAnsiTheme="minorHAnsi" w:cs="Arial"/>
                      <w:b/>
                      <w:szCs w:val="22"/>
                      <w:lang w:eastAsia="en-US"/>
                    </w:rPr>
                    <w:t xml:space="preserve"> </w:t>
                  </w:r>
                  <w:r w:rsidR="003010A6" w:rsidRPr="007108E5">
                    <w:rPr>
                      <w:rFonts w:asciiTheme="minorHAnsi" w:eastAsiaTheme="minorHAnsi" w:hAnsiTheme="minorHAnsi" w:cs="Arial"/>
                      <w:b/>
                      <w:i/>
                      <w:szCs w:val="22"/>
                      <w:lang w:eastAsia="en-US"/>
                    </w:rPr>
                    <w:t>(payment will be made within 30 days of this date)</w:t>
                  </w:r>
                </w:p>
              </w:tc>
              <w:tc>
                <w:tcPr>
                  <w:tcW w:w="645" w:type="pct"/>
                  <w:shd w:val="clear" w:color="auto" w:fill="D9D9D9" w:themeFill="background1" w:themeFillShade="D9"/>
                  <w:vAlign w:val="center"/>
                </w:tcPr>
                <w:p w:rsidR="009F37EC" w:rsidRDefault="009F37EC" w:rsidP="002677FF">
                  <w:pPr>
                    <w:spacing w:beforeLines="60" w:before="144" w:afterLines="60" w:after="144"/>
                    <w:jc w:val="center"/>
                    <w:rPr>
                      <w:rFonts w:cs="Arial"/>
                      <w:b/>
                    </w:rPr>
                  </w:pPr>
                  <w:r>
                    <w:rPr>
                      <w:rFonts w:asciiTheme="minorHAnsi" w:eastAsiaTheme="minorHAnsi" w:hAnsiTheme="minorHAnsi" w:cs="Arial"/>
                      <w:b/>
                      <w:szCs w:val="22"/>
                      <w:lang w:eastAsia="en-US"/>
                    </w:rPr>
                    <w:t>Provider Data</w:t>
                  </w:r>
                  <w:r w:rsidRPr="00FA46EA">
                    <w:rPr>
                      <w:rFonts w:asciiTheme="minorHAnsi" w:eastAsiaTheme="minorHAnsi" w:hAnsiTheme="minorHAnsi" w:cs="Arial"/>
                      <w:b/>
                      <w:szCs w:val="22"/>
                      <w:lang w:eastAsia="en-US"/>
                    </w:rPr>
                    <w:t xml:space="preserve"> Due</w:t>
                  </w:r>
                </w:p>
              </w:tc>
              <w:tc>
                <w:tcPr>
                  <w:tcW w:w="673" w:type="pct"/>
                  <w:shd w:val="clear" w:color="auto" w:fill="D9D9D9" w:themeFill="background1" w:themeFillShade="D9"/>
                  <w:vAlign w:val="center"/>
                </w:tcPr>
                <w:p w:rsidR="009F37EC" w:rsidRPr="00D64D66" w:rsidRDefault="009F37EC" w:rsidP="002677FF">
                  <w:pPr>
                    <w:spacing w:beforeLines="60" w:before="144" w:afterLines="60" w:after="144"/>
                    <w:jc w:val="center"/>
                    <w:rPr>
                      <w:rFonts w:asciiTheme="minorHAnsi" w:eastAsiaTheme="minorHAnsi" w:hAnsiTheme="minorHAnsi" w:cs="Arial"/>
                      <w:b/>
                      <w:szCs w:val="22"/>
                      <w:lang w:eastAsia="en-US"/>
                    </w:rPr>
                  </w:pPr>
                  <w:r>
                    <w:rPr>
                      <w:rFonts w:asciiTheme="minorHAnsi" w:eastAsiaTheme="minorHAnsi" w:hAnsiTheme="minorHAnsi" w:cs="Arial"/>
                      <w:b/>
                      <w:szCs w:val="22"/>
                      <w:lang w:eastAsia="en-US"/>
                    </w:rPr>
                    <w:t xml:space="preserve">Payment Period </w:t>
                  </w:r>
                  <w:r w:rsidRPr="00D64D66">
                    <w:rPr>
                      <w:rFonts w:asciiTheme="minorHAnsi" w:eastAsiaTheme="minorHAnsi" w:hAnsiTheme="minorHAnsi" w:cs="Arial"/>
                      <w:b/>
                      <w:szCs w:val="22"/>
                      <w:lang w:eastAsia="en-US"/>
                    </w:rPr>
                    <w:t>End Date</w:t>
                  </w:r>
                </w:p>
              </w:tc>
              <w:tc>
                <w:tcPr>
                  <w:tcW w:w="926" w:type="pct"/>
                  <w:shd w:val="clear" w:color="auto" w:fill="D9D9D9" w:themeFill="background1" w:themeFillShade="D9"/>
                  <w:vAlign w:val="center"/>
                </w:tcPr>
                <w:p w:rsidR="009F37EC" w:rsidRPr="00D64D66" w:rsidRDefault="009F37EC" w:rsidP="002677FF">
                  <w:pPr>
                    <w:spacing w:beforeLines="60" w:before="144" w:afterLines="60" w:after="144"/>
                    <w:jc w:val="center"/>
                    <w:rPr>
                      <w:rFonts w:asciiTheme="minorHAnsi" w:eastAsiaTheme="minorHAnsi" w:hAnsiTheme="minorHAnsi" w:cs="Arial"/>
                      <w:b/>
                      <w:szCs w:val="22"/>
                      <w:lang w:eastAsia="en-US"/>
                    </w:rPr>
                  </w:pPr>
                  <w:r w:rsidRPr="00D64D66">
                    <w:rPr>
                      <w:rFonts w:asciiTheme="minorHAnsi" w:eastAsiaTheme="minorHAnsi" w:hAnsiTheme="minorHAnsi" w:cs="Arial"/>
                      <w:b/>
                      <w:szCs w:val="22"/>
                      <w:lang w:eastAsia="en-US"/>
                    </w:rPr>
                    <w:t>Amount payable</w:t>
                  </w:r>
                  <w:r>
                    <w:rPr>
                      <w:rFonts w:asciiTheme="minorHAnsi" w:eastAsiaTheme="minorHAnsi" w:hAnsiTheme="minorHAnsi" w:cs="Arial"/>
                      <w:b/>
                      <w:szCs w:val="22"/>
                      <w:lang w:eastAsia="en-US"/>
                    </w:rPr>
                    <w:t xml:space="preserve"> (% of total </w:t>
                  </w:r>
                  <w:r w:rsidR="00DF4E37">
                    <w:rPr>
                      <w:rFonts w:asciiTheme="minorHAnsi" w:eastAsiaTheme="minorHAnsi" w:hAnsiTheme="minorHAnsi" w:cs="Arial"/>
                      <w:b/>
                      <w:szCs w:val="22"/>
                      <w:lang w:eastAsia="en-US"/>
                    </w:rPr>
                    <w:t>Contract</w:t>
                  </w:r>
                  <w:r>
                    <w:rPr>
                      <w:rFonts w:asciiTheme="minorHAnsi" w:eastAsiaTheme="minorHAnsi" w:hAnsiTheme="minorHAnsi" w:cs="Arial"/>
                      <w:b/>
                      <w:szCs w:val="22"/>
                      <w:lang w:eastAsia="en-US"/>
                    </w:rPr>
                    <w:t xml:space="preserve"> value)</w:t>
                  </w:r>
                </w:p>
              </w:tc>
            </w:tr>
            <w:tr w:rsidR="009F37EC" w:rsidRPr="00D64D66" w:rsidTr="009F37EC">
              <w:trPr>
                <w:jc w:val="center"/>
              </w:trPr>
              <w:tc>
                <w:tcPr>
                  <w:tcW w:w="64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1</w:t>
                  </w:r>
                </w:p>
              </w:tc>
              <w:tc>
                <w:tcPr>
                  <w:tcW w:w="811" w:type="pct"/>
                  <w:vAlign w:val="center"/>
                </w:tcPr>
                <w:p w:rsidR="009F37EC" w:rsidRPr="009F37EC" w:rsidRDefault="009F37EC" w:rsidP="002677FF">
                  <w:pPr>
                    <w:spacing w:beforeLines="60" w:before="144" w:afterLines="60" w:after="144"/>
                    <w:jc w:val="center"/>
                    <w:rPr>
                      <w:rFonts w:asciiTheme="minorHAnsi" w:eastAsiaTheme="minorHAnsi" w:hAnsiTheme="minorHAnsi" w:cs="Arial"/>
                      <w:szCs w:val="22"/>
                      <w:lang w:eastAsia="en-US"/>
                    </w:rPr>
                  </w:pPr>
                  <w:r w:rsidRPr="009F37EC">
                    <w:rPr>
                      <w:rFonts w:asciiTheme="minorHAnsi" w:eastAsiaTheme="minorHAnsi" w:hAnsiTheme="minorHAnsi" w:cs="Arial"/>
                      <w:szCs w:val="22"/>
                      <w:lang w:eastAsia="en-US"/>
                    </w:rPr>
                    <w:t>1</w:t>
                  </w:r>
                </w:p>
              </w:tc>
              <w:tc>
                <w:tcPr>
                  <w:tcW w:w="130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Contract commencement date</w:t>
                  </w:r>
                </w:p>
              </w:tc>
              <w:tc>
                <w:tcPr>
                  <w:tcW w:w="645" w:type="pct"/>
                  <w:vAlign w:val="center"/>
                </w:tcPr>
                <w:p w:rsidR="009F37EC" w:rsidRPr="00FA46EA" w:rsidRDefault="009F37EC" w:rsidP="002677FF">
                  <w:pPr>
                    <w:spacing w:beforeLines="60" w:before="144" w:afterLines="60" w:after="144"/>
                    <w:jc w:val="center"/>
                    <w:rPr>
                      <w:rFonts w:asciiTheme="minorHAnsi" w:eastAsiaTheme="minorHAnsi" w:hAnsiTheme="minorHAnsi" w:cs="Arial"/>
                      <w:szCs w:val="22"/>
                      <w:lang w:eastAsia="en-US"/>
                    </w:rPr>
                  </w:pPr>
                  <w:r>
                    <w:rPr>
                      <w:rFonts w:asciiTheme="minorHAnsi" w:eastAsiaTheme="minorHAnsi" w:hAnsiTheme="minorHAnsi" w:cs="Arial"/>
                      <w:szCs w:val="22"/>
                      <w:lang w:eastAsia="en-US"/>
                    </w:rPr>
                    <w:t>1 Feb 2018</w:t>
                  </w:r>
                </w:p>
              </w:tc>
              <w:tc>
                <w:tcPr>
                  <w:tcW w:w="67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28 Feb</w:t>
                  </w:r>
                  <w:r>
                    <w:rPr>
                      <w:rFonts w:asciiTheme="minorHAnsi" w:eastAsiaTheme="minorHAnsi" w:hAnsiTheme="minorHAnsi" w:cs="Arial"/>
                      <w:szCs w:val="22"/>
                      <w:lang w:eastAsia="en-US"/>
                    </w:rPr>
                    <w:t xml:space="preserve"> 20</w:t>
                  </w:r>
                  <w:r w:rsidRPr="00D64D66">
                    <w:rPr>
                      <w:rFonts w:asciiTheme="minorHAnsi" w:eastAsiaTheme="minorHAnsi" w:hAnsiTheme="minorHAnsi" w:cs="Arial"/>
                      <w:szCs w:val="22"/>
                      <w:lang w:eastAsia="en-US"/>
                    </w:rPr>
                    <w:t>18</w:t>
                  </w:r>
                </w:p>
              </w:tc>
              <w:tc>
                <w:tcPr>
                  <w:tcW w:w="926"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25%</w:t>
                  </w:r>
                </w:p>
              </w:tc>
            </w:tr>
            <w:tr w:rsidR="009F37EC" w:rsidRPr="00D64D66" w:rsidTr="009F37EC">
              <w:trPr>
                <w:jc w:val="center"/>
              </w:trPr>
              <w:tc>
                <w:tcPr>
                  <w:tcW w:w="64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2</w:t>
                  </w:r>
                </w:p>
              </w:tc>
              <w:tc>
                <w:tcPr>
                  <w:tcW w:w="811" w:type="pct"/>
                  <w:vAlign w:val="center"/>
                </w:tcPr>
                <w:p w:rsidR="009F37EC" w:rsidRPr="009F37EC" w:rsidRDefault="009F37EC" w:rsidP="002677FF">
                  <w:pPr>
                    <w:spacing w:beforeLines="60" w:before="144" w:afterLines="60" w:after="144"/>
                    <w:jc w:val="center"/>
                    <w:rPr>
                      <w:rFonts w:asciiTheme="minorHAnsi" w:eastAsiaTheme="minorHAnsi" w:hAnsiTheme="minorHAnsi" w:cs="Arial"/>
                      <w:szCs w:val="22"/>
                      <w:lang w:eastAsia="en-US"/>
                    </w:rPr>
                  </w:pPr>
                  <w:r w:rsidRPr="009F37EC">
                    <w:rPr>
                      <w:rFonts w:asciiTheme="minorHAnsi" w:eastAsiaTheme="minorHAnsi" w:hAnsiTheme="minorHAnsi" w:cs="Arial"/>
                      <w:szCs w:val="22"/>
                      <w:lang w:eastAsia="en-US"/>
                    </w:rPr>
                    <w:t>2</w:t>
                  </w:r>
                </w:p>
              </w:tc>
              <w:tc>
                <w:tcPr>
                  <w:tcW w:w="130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1 Mar 2018</w:t>
                  </w:r>
                </w:p>
              </w:tc>
              <w:tc>
                <w:tcPr>
                  <w:tcW w:w="645" w:type="pct"/>
                </w:tcPr>
                <w:p w:rsidR="009F37EC" w:rsidRPr="00FA46EA" w:rsidRDefault="009F37EC" w:rsidP="002677FF">
                  <w:pPr>
                    <w:spacing w:beforeLines="60" w:before="144" w:afterLines="60" w:after="144"/>
                    <w:jc w:val="center"/>
                    <w:rPr>
                      <w:rFonts w:asciiTheme="minorHAnsi" w:eastAsiaTheme="minorHAnsi" w:hAnsiTheme="minorHAnsi" w:cs="Arial"/>
                      <w:szCs w:val="22"/>
                      <w:lang w:eastAsia="en-US"/>
                    </w:rPr>
                  </w:pPr>
                  <w:r>
                    <w:rPr>
                      <w:rFonts w:asciiTheme="minorHAnsi" w:eastAsiaTheme="minorHAnsi" w:hAnsiTheme="minorHAnsi" w:cs="Arial"/>
                      <w:szCs w:val="22"/>
                      <w:lang w:eastAsia="en-US"/>
                    </w:rPr>
                    <w:t>1 Jun 2018</w:t>
                  </w:r>
                </w:p>
              </w:tc>
              <w:tc>
                <w:tcPr>
                  <w:tcW w:w="67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30 Jun 2018</w:t>
                  </w:r>
                </w:p>
              </w:tc>
              <w:tc>
                <w:tcPr>
                  <w:tcW w:w="926"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8.17%</w:t>
                  </w:r>
                </w:p>
              </w:tc>
            </w:tr>
            <w:tr w:rsidR="009F37EC" w:rsidRPr="00D64D66" w:rsidTr="009F37EC">
              <w:trPr>
                <w:jc w:val="center"/>
              </w:trPr>
              <w:tc>
                <w:tcPr>
                  <w:tcW w:w="64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3</w:t>
                  </w:r>
                </w:p>
              </w:tc>
              <w:tc>
                <w:tcPr>
                  <w:tcW w:w="811" w:type="pct"/>
                  <w:vAlign w:val="center"/>
                </w:tcPr>
                <w:p w:rsidR="009F37EC" w:rsidRPr="009F37EC" w:rsidRDefault="009F37EC" w:rsidP="002677FF">
                  <w:pPr>
                    <w:spacing w:beforeLines="60" w:before="144" w:afterLines="60" w:after="144"/>
                    <w:jc w:val="center"/>
                    <w:rPr>
                      <w:rFonts w:asciiTheme="minorHAnsi" w:eastAsiaTheme="minorHAnsi" w:hAnsiTheme="minorHAnsi" w:cs="Arial"/>
                      <w:szCs w:val="22"/>
                      <w:lang w:eastAsia="en-US"/>
                    </w:rPr>
                  </w:pPr>
                  <w:r w:rsidRPr="009F37EC">
                    <w:rPr>
                      <w:rFonts w:asciiTheme="minorHAnsi" w:eastAsiaTheme="minorHAnsi" w:hAnsiTheme="minorHAnsi" w:cs="Arial"/>
                      <w:szCs w:val="22"/>
                      <w:lang w:eastAsia="en-US"/>
                    </w:rPr>
                    <w:t>3</w:t>
                  </w:r>
                </w:p>
              </w:tc>
              <w:tc>
                <w:tcPr>
                  <w:tcW w:w="130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1 Jul 2018</w:t>
                  </w:r>
                </w:p>
              </w:tc>
              <w:tc>
                <w:tcPr>
                  <w:tcW w:w="645" w:type="pct"/>
                </w:tcPr>
                <w:p w:rsidR="009F37EC" w:rsidRPr="00FA46EA" w:rsidRDefault="009F37EC" w:rsidP="002677FF">
                  <w:pPr>
                    <w:spacing w:beforeLines="60" w:before="144" w:afterLines="60" w:after="144"/>
                    <w:jc w:val="center"/>
                    <w:rPr>
                      <w:rFonts w:asciiTheme="minorHAnsi" w:eastAsiaTheme="minorHAnsi" w:hAnsiTheme="minorHAnsi" w:cs="Arial"/>
                      <w:szCs w:val="22"/>
                      <w:lang w:eastAsia="en-US"/>
                    </w:rPr>
                  </w:pPr>
                  <w:r>
                    <w:rPr>
                      <w:rFonts w:asciiTheme="minorHAnsi" w:eastAsiaTheme="minorHAnsi" w:hAnsiTheme="minorHAnsi" w:cs="Arial"/>
                      <w:szCs w:val="22"/>
                      <w:lang w:eastAsia="en-US"/>
                    </w:rPr>
                    <w:t>1 Oct 2018</w:t>
                  </w:r>
                </w:p>
              </w:tc>
              <w:tc>
                <w:tcPr>
                  <w:tcW w:w="67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31 Oct 2018</w:t>
                  </w:r>
                </w:p>
              </w:tc>
              <w:tc>
                <w:tcPr>
                  <w:tcW w:w="926"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22.28%</w:t>
                  </w:r>
                </w:p>
              </w:tc>
            </w:tr>
            <w:tr w:rsidR="009F37EC" w:rsidRPr="00D64D66" w:rsidTr="009F37EC">
              <w:trPr>
                <w:jc w:val="center"/>
              </w:trPr>
              <w:tc>
                <w:tcPr>
                  <w:tcW w:w="64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4</w:t>
                  </w:r>
                </w:p>
              </w:tc>
              <w:tc>
                <w:tcPr>
                  <w:tcW w:w="811" w:type="pct"/>
                  <w:vAlign w:val="center"/>
                </w:tcPr>
                <w:p w:rsidR="009F37EC" w:rsidRPr="009F37EC" w:rsidRDefault="009F37EC" w:rsidP="002677FF">
                  <w:pPr>
                    <w:spacing w:beforeLines="60" w:before="144" w:afterLines="60" w:after="144"/>
                    <w:jc w:val="center"/>
                    <w:rPr>
                      <w:rFonts w:asciiTheme="minorHAnsi" w:eastAsiaTheme="minorHAnsi" w:hAnsiTheme="minorHAnsi" w:cs="Arial"/>
                      <w:szCs w:val="22"/>
                      <w:lang w:eastAsia="en-US"/>
                    </w:rPr>
                  </w:pPr>
                  <w:r w:rsidRPr="009F37EC">
                    <w:rPr>
                      <w:rFonts w:asciiTheme="minorHAnsi" w:eastAsiaTheme="minorHAnsi" w:hAnsiTheme="minorHAnsi" w:cs="Arial"/>
                      <w:szCs w:val="22"/>
                      <w:lang w:eastAsia="en-US"/>
                    </w:rPr>
                    <w:t>4</w:t>
                  </w:r>
                </w:p>
              </w:tc>
              <w:tc>
                <w:tcPr>
                  <w:tcW w:w="130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1 Nov 2018</w:t>
                  </w:r>
                </w:p>
              </w:tc>
              <w:tc>
                <w:tcPr>
                  <w:tcW w:w="645" w:type="pct"/>
                </w:tcPr>
                <w:p w:rsidR="009F37EC" w:rsidRPr="00FA46EA" w:rsidRDefault="009F37EC" w:rsidP="002677FF">
                  <w:pPr>
                    <w:spacing w:beforeLines="60" w:before="144" w:afterLines="60" w:after="144"/>
                    <w:jc w:val="center"/>
                    <w:rPr>
                      <w:rFonts w:asciiTheme="minorHAnsi" w:eastAsiaTheme="minorHAnsi" w:hAnsiTheme="minorHAnsi" w:cs="Arial"/>
                      <w:szCs w:val="22"/>
                      <w:lang w:eastAsia="en-US"/>
                    </w:rPr>
                  </w:pPr>
                  <w:r>
                    <w:rPr>
                      <w:rFonts w:asciiTheme="minorHAnsi" w:eastAsiaTheme="minorHAnsi" w:hAnsiTheme="minorHAnsi" w:cs="Arial"/>
                      <w:szCs w:val="22"/>
                      <w:lang w:eastAsia="en-US"/>
                    </w:rPr>
                    <w:t>1 Feb 2019</w:t>
                  </w:r>
                </w:p>
              </w:tc>
              <w:tc>
                <w:tcPr>
                  <w:tcW w:w="67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28 Feb 2019</w:t>
                  </w:r>
                </w:p>
              </w:tc>
              <w:tc>
                <w:tcPr>
                  <w:tcW w:w="926"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22.28%</w:t>
                  </w:r>
                </w:p>
              </w:tc>
            </w:tr>
            <w:tr w:rsidR="009F37EC" w:rsidRPr="00D64D66" w:rsidTr="009F37EC">
              <w:trPr>
                <w:jc w:val="center"/>
              </w:trPr>
              <w:tc>
                <w:tcPr>
                  <w:tcW w:w="64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5</w:t>
                  </w:r>
                </w:p>
              </w:tc>
              <w:tc>
                <w:tcPr>
                  <w:tcW w:w="811" w:type="pct"/>
                  <w:vAlign w:val="center"/>
                </w:tcPr>
                <w:p w:rsidR="009F37EC" w:rsidRPr="009F37EC" w:rsidRDefault="009F37EC" w:rsidP="002677FF">
                  <w:pPr>
                    <w:spacing w:beforeLines="60" w:before="144" w:afterLines="60" w:after="144"/>
                    <w:jc w:val="center"/>
                    <w:rPr>
                      <w:rFonts w:asciiTheme="minorHAnsi" w:eastAsiaTheme="minorHAnsi" w:hAnsiTheme="minorHAnsi" w:cs="Arial"/>
                      <w:szCs w:val="22"/>
                      <w:lang w:eastAsia="en-US"/>
                    </w:rPr>
                  </w:pPr>
                  <w:r w:rsidRPr="009F37EC">
                    <w:rPr>
                      <w:rFonts w:asciiTheme="minorHAnsi" w:eastAsiaTheme="minorHAnsi" w:hAnsiTheme="minorHAnsi" w:cs="Arial"/>
                      <w:szCs w:val="22"/>
                      <w:lang w:eastAsia="en-US"/>
                    </w:rPr>
                    <w:t xml:space="preserve">Overall </w:t>
                  </w:r>
                  <w:r w:rsidR="00DF4E37">
                    <w:rPr>
                      <w:rFonts w:asciiTheme="minorHAnsi" w:eastAsiaTheme="minorHAnsi" w:hAnsiTheme="minorHAnsi" w:cs="Arial"/>
                      <w:szCs w:val="22"/>
                      <w:lang w:eastAsia="en-US"/>
                    </w:rPr>
                    <w:t>Contract</w:t>
                  </w:r>
                  <w:r w:rsidRPr="009F37EC">
                    <w:rPr>
                      <w:rFonts w:asciiTheme="minorHAnsi" w:eastAsiaTheme="minorHAnsi" w:hAnsiTheme="minorHAnsi" w:cs="Arial"/>
                      <w:szCs w:val="22"/>
                      <w:lang w:eastAsia="en-US"/>
                    </w:rPr>
                    <w:t xml:space="preserve"> milestone</w:t>
                  </w:r>
                </w:p>
              </w:tc>
              <w:tc>
                <w:tcPr>
                  <w:tcW w:w="130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1 Mar 2019</w:t>
                  </w:r>
                </w:p>
              </w:tc>
              <w:tc>
                <w:tcPr>
                  <w:tcW w:w="645" w:type="pct"/>
                </w:tcPr>
                <w:p w:rsidR="009F37EC" w:rsidRPr="00FA46EA" w:rsidRDefault="009F37EC" w:rsidP="002677FF">
                  <w:pPr>
                    <w:spacing w:beforeLines="60" w:before="144" w:afterLines="60" w:after="144"/>
                    <w:jc w:val="center"/>
                    <w:rPr>
                      <w:rFonts w:asciiTheme="minorHAnsi" w:eastAsiaTheme="minorHAnsi" w:hAnsiTheme="minorHAnsi" w:cs="Arial"/>
                      <w:szCs w:val="22"/>
                      <w:lang w:eastAsia="en-US"/>
                    </w:rPr>
                  </w:pPr>
                  <w:r>
                    <w:rPr>
                      <w:rFonts w:asciiTheme="minorHAnsi" w:eastAsiaTheme="minorHAnsi" w:hAnsiTheme="minorHAnsi" w:cs="Arial"/>
                      <w:szCs w:val="22"/>
                      <w:lang w:eastAsia="en-US"/>
                    </w:rPr>
                    <w:t>1 July 2019</w:t>
                  </w:r>
                </w:p>
              </w:tc>
              <w:tc>
                <w:tcPr>
                  <w:tcW w:w="673"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30 Jun 2019</w:t>
                  </w:r>
                </w:p>
              </w:tc>
              <w:tc>
                <w:tcPr>
                  <w:tcW w:w="926" w:type="pct"/>
                  <w:vAlign w:val="center"/>
                </w:tcPr>
                <w:p w:rsidR="009F37EC" w:rsidRPr="00D64D66" w:rsidRDefault="009F37EC" w:rsidP="002677FF">
                  <w:pPr>
                    <w:spacing w:beforeLines="60" w:before="144" w:afterLines="60" w:after="144"/>
                    <w:jc w:val="center"/>
                    <w:rPr>
                      <w:rFonts w:asciiTheme="minorHAnsi" w:eastAsiaTheme="minorHAnsi" w:hAnsiTheme="minorHAnsi" w:cs="Arial"/>
                      <w:szCs w:val="22"/>
                      <w:lang w:eastAsia="en-US"/>
                    </w:rPr>
                  </w:pPr>
                  <w:r w:rsidRPr="00D64D66">
                    <w:rPr>
                      <w:rFonts w:asciiTheme="minorHAnsi" w:eastAsiaTheme="minorHAnsi" w:hAnsiTheme="minorHAnsi" w:cs="Arial"/>
                      <w:szCs w:val="22"/>
                      <w:lang w:eastAsia="en-US"/>
                    </w:rPr>
                    <w:t>22.27%</w:t>
                  </w:r>
                </w:p>
              </w:tc>
            </w:tr>
          </w:tbl>
          <w:p w:rsidR="005A09E8" w:rsidRDefault="005A09E8" w:rsidP="002677FF">
            <w:pPr>
              <w:spacing w:beforeLines="60" w:before="144" w:afterLines="60" w:after="144" w:line="240" w:lineRule="auto"/>
              <w:rPr>
                <w:rFonts w:cs="Arial"/>
              </w:rPr>
            </w:pPr>
          </w:p>
        </w:tc>
      </w:tr>
      <w:tr w:rsidR="00AF4562" w:rsidRPr="001C1946" w:rsidTr="002972BD">
        <w:tc>
          <w:tcPr>
            <w:tcW w:w="3112" w:type="dxa"/>
          </w:tcPr>
          <w:p w:rsidR="00AF4562" w:rsidRDefault="00F3321A" w:rsidP="002972BD">
            <w:pPr>
              <w:pStyle w:val="AASSOGSLEVEL3"/>
              <w:spacing w:before="120" w:after="120" w:line="240" w:lineRule="auto"/>
            </w:pPr>
            <w:r>
              <w:t xml:space="preserve">Provider </w:t>
            </w:r>
            <w:r w:rsidR="0078639A">
              <w:t>Reporting</w:t>
            </w:r>
            <w:r w:rsidR="002917EC">
              <w:t xml:space="preserve"> Data</w:t>
            </w:r>
          </w:p>
        </w:tc>
        <w:tc>
          <w:tcPr>
            <w:tcW w:w="7665" w:type="dxa"/>
          </w:tcPr>
          <w:p w:rsidR="00AF4562" w:rsidRDefault="0078639A" w:rsidP="002677FF">
            <w:pPr>
              <w:spacing w:beforeLines="60" w:before="144" w:afterLines="60" w:after="144" w:line="240" w:lineRule="auto"/>
              <w:rPr>
                <w:rFonts w:cs="Arial"/>
              </w:rPr>
            </w:pPr>
            <w:r>
              <w:rPr>
                <w:rFonts w:cs="Arial"/>
              </w:rPr>
              <w:t xml:space="preserve">Providers are required </w:t>
            </w:r>
            <w:r w:rsidR="002917EC">
              <w:rPr>
                <w:rFonts w:cs="Arial"/>
              </w:rPr>
              <w:t xml:space="preserve">to submit reporting data to the Department one month before the start of the next payment period or in the case of the final </w:t>
            </w:r>
            <w:r w:rsidR="00DF4E37">
              <w:rPr>
                <w:rFonts w:cs="Arial"/>
              </w:rPr>
              <w:t>Contract</w:t>
            </w:r>
            <w:r w:rsidR="002917EC">
              <w:rPr>
                <w:rFonts w:cs="Arial"/>
              </w:rPr>
              <w:t xml:space="preserve"> payment, </w:t>
            </w:r>
            <w:r w:rsidR="006C375E">
              <w:rPr>
                <w:rFonts w:cs="Arial"/>
              </w:rPr>
              <w:t>following the end of the final payment period</w:t>
            </w:r>
            <w:r w:rsidR="002917EC">
              <w:rPr>
                <w:rFonts w:cs="Arial"/>
              </w:rPr>
              <w:t>.</w:t>
            </w:r>
          </w:p>
          <w:p w:rsidR="00D9155E" w:rsidRDefault="00D9155E" w:rsidP="002677FF">
            <w:pPr>
              <w:spacing w:beforeLines="60" w:before="144" w:afterLines="60" w:after="144" w:line="240" w:lineRule="auto"/>
              <w:rPr>
                <w:rFonts w:cs="Arial"/>
              </w:rPr>
            </w:pPr>
            <w:r>
              <w:rPr>
                <w:rFonts w:cs="Arial"/>
              </w:rPr>
              <w:t xml:space="preserve">This data must be in the format </w:t>
            </w:r>
            <w:r w:rsidR="00E96970">
              <w:rPr>
                <w:rFonts w:cs="Arial"/>
              </w:rPr>
              <w:t>supplied</w:t>
            </w:r>
            <w:r>
              <w:rPr>
                <w:rFonts w:cs="Arial"/>
              </w:rPr>
              <w:t xml:space="preserve"> by the Department and must include</w:t>
            </w:r>
            <w:r w:rsidR="00E96970">
              <w:rPr>
                <w:rFonts w:cs="Arial"/>
              </w:rPr>
              <w:t>, but is not limited to</w:t>
            </w:r>
            <w:r>
              <w:rPr>
                <w:rFonts w:cs="Arial"/>
              </w:rPr>
              <w:t>:</w:t>
            </w:r>
          </w:p>
          <w:p w:rsidR="00E96970" w:rsidRDefault="00AB051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Pr>
                <w:rFonts w:ascii="Calibri" w:eastAsia="Times New Roman" w:hAnsi="Calibri" w:cs="Arial"/>
                <w:lang w:eastAsia="en-AU"/>
              </w:rPr>
              <w:t>Client</w:t>
            </w:r>
            <w:r w:rsidR="008E1A00">
              <w:rPr>
                <w:rFonts w:ascii="Calibri" w:eastAsia="Times New Roman" w:hAnsi="Calibri" w:cs="Arial"/>
                <w:lang w:eastAsia="en-AU"/>
              </w:rPr>
              <w:t xml:space="preserve"> </w:t>
            </w:r>
            <w:r w:rsidR="00920478">
              <w:rPr>
                <w:rFonts w:ascii="Calibri" w:eastAsia="Times New Roman" w:hAnsi="Calibri" w:cs="Arial"/>
                <w:lang w:eastAsia="en-AU"/>
              </w:rPr>
              <w:t>personal details</w:t>
            </w:r>
            <w:r w:rsidR="009F37EC">
              <w:rPr>
                <w:rFonts w:ascii="Calibri" w:eastAsia="Times New Roman" w:hAnsi="Calibri" w:cs="Arial"/>
                <w:lang w:eastAsia="en-AU"/>
              </w:rPr>
              <w:t>;</w:t>
            </w:r>
          </w:p>
          <w:p w:rsidR="008104C4" w:rsidRPr="00E30107" w:rsidRDefault="008E1A00"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ascii="Calibri" w:eastAsia="Times New Roman" w:hAnsi="Calibri" w:cs="Arial"/>
                <w:lang w:eastAsia="en-AU"/>
              </w:rPr>
            </w:pPr>
            <w:r w:rsidRPr="00E30107">
              <w:rPr>
                <w:rFonts w:ascii="Calibri" w:eastAsia="Times New Roman" w:hAnsi="Calibri" w:cs="Arial"/>
                <w:lang w:eastAsia="en-AU"/>
              </w:rPr>
              <w:t xml:space="preserve">mentoring </w:t>
            </w:r>
            <w:r w:rsidR="0022122D" w:rsidRPr="00E30107">
              <w:rPr>
                <w:rFonts w:ascii="Calibri" w:eastAsia="Times New Roman" w:hAnsi="Calibri" w:cs="Arial"/>
                <w:lang w:eastAsia="en-AU"/>
              </w:rPr>
              <w:t>start date</w:t>
            </w:r>
            <w:r w:rsidR="009F37EC" w:rsidRPr="00E30107">
              <w:rPr>
                <w:rFonts w:ascii="Calibri" w:eastAsia="Times New Roman" w:hAnsi="Calibri" w:cs="Arial"/>
                <w:lang w:eastAsia="en-AU"/>
              </w:rPr>
              <w:t>;</w:t>
            </w:r>
            <w:r w:rsidR="00E30107" w:rsidRPr="00E30107">
              <w:rPr>
                <w:rFonts w:ascii="Calibri" w:eastAsia="Times New Roman" w:hAnsi="Calibri" w:cs="Arial"/>
                <w:lang w:eastAsia="en-AU"/>
              </w:rPr>
              <w:t xml:space="preserve"> and</w:t>
            </w:r>
          </w:p>
          <w:p w:rsidR="00E1732D" w:rsidRPr="00C47C4D" w:rsidRDefault="009F37EC" w:rsidP="002677FF">
            <w:pPr>
              <w:pStyle w:val="ListParagraph"/>
              <w:numPr>
                <w:ilvl w:val="0"/>
                <w:numId w:val="13"/>
              </w:numPr>
              <w:overflowPunct w:val="0"/>
              <w:autoSpaceDE w:val="0"/>
              <w:autoSpaceDN w:val="0"/>
              <w:adjustRightInd w:val="0"/>
              <w:spacing w:beforeLines="60" w:before="144" w:afterLines="60" w:after="144" w:line="240" w:lineRule="auto"/>
              <w:ind w:left="324" w:hanging="283"/>
              <w:textAlignment w:val="baseline"/>
              <w:rPr>
                <w:rFonts w:cs="Arial"/>
              </w:rPr>
            </w:pPr>
            <w:r>
              <w:rPr>
                <w:rFonts w:ascii="Calibri" w:eastAsia="Times New Roman" w:hAnsi="Calibri" w:cs="Arial"/>
                <w:lang w:eastAsia="en-AU"/>
              </w:rPr>
              <w:t xml:space="preserve">Client </w:t>
            </w:r>
            <w:r w:rsidR="008E1A00">
              <w:rPr>
                <w:rFonts w:ascii="Calibri" w:eastAsia="Times New Roman" w:hAnsi="Calibri" w:cs="Arial"/>
                <w:lang w:eastAsia="en-AU"/>
              </w:rPr>
              <w:t>outcome</w:t>
            </w:r>
            <w:r w:rsidR="00E96970" w:rsidRPr="00E96970">
              <w:rPr>
                <w:rFonts w:ascii="Calibri" w:eastAsia="Times New Roman" w:hAnsi="Calibri" w:cs="Arial"/>
                <w:lang w:eastAsia="en-AU"/>
              </w:rPr>
              <w:t>.</w:t>
            </w:r>
          </w:p>
          <w:p w:rsidR="00C47C4D" w:rsidRDefault="00C47C4D" w:rsidP="002677FF">
            <w:pPr>
              <w:overflowPunct w:val="0"/>
              <w:autoSpaceDE w:val="0"/>
              <w:autoSpaceDN w:val="0"/>
              <w:adjustRightInd w:val="0"/>
              <w:spacing w:beforeLines="60" w:before="144" w:afterLines="60" w:after="144" w:line="240" w:lineRule="auto"/>
              <w:textAlignment w:val="baseline"/>
              <w:rPr>
                <w:rFonts w:cs="Arial"/>
              </w:rPr>
            </w:pPr>
            <w:r>
              <w:rPr>
                <w:rFonts w:cs="Arial"/>
              </w:rPr>
              <w:lastRenderedPageBreak/>
              <w:t xml:space="preserve">An example of the data reporting template is included in the attachments to these </w:t>
            </w:r>
            <w:r w:rsidR="00DF4E37">
              <w:rPr>
                <w:rFonts w:cs="Arial"/>
              </w:rPr>
              <w:t>Guidelines</w:t>
            </w:r>
            <w:r>
              <w:rPr>
                <w:rFonts w:cs="Arial"/>
              </w:rPr>
              <w:t>.</w:t>
            </w:r>
          </w:p>
          <w:p w:rsidR="00A77D39" w:rsidRDefault="00A77D39" w:rsidP="002677FF">
            <w:pPr>
              <w:overflowPunct w:val="0"/>
              <w:autoSpaceDE w:val="0"/>
              <w:autoSpaceDN w:val="0"/>
              <w:adjustRightInd w:val="0"/>
              <w:spacing w:beforeLines="60" w:before="144" w:afterLines="60" w:after="144" w:line="240" w:lineRule="auto"/>
              <w:textAlignment w:val="baseline"/>
              <w:rPr>
                <w:rFonts w:cs="Arial"/>
              </w:rPr>
            </w:pPr>
            <w:r>
              <w:rPr>
                <w:rFonts w:cs="Arial"/>
              </w:rPr>
              <w:t>The data provided in these reports will be used by the Department to assess progress against benchmarks and determine the value of the next payment.</w:t>
            </w:r>
          </w:p>
          <w:p w:rsidR="00A77D39" w:rsidRPr="00C47C4D" w:rsidRDefault="00A77D39" w:rsidP="002677FF">
            <w:pPr>
              <w:overflowPunct w:val="0"/>
              <w:autoSpaceDE w:val="0"/>
              <w:autoSpaceDN w:val="0"/>
              <w:adjustRightInd w:val="0"/>
              <w:spacing w:beforeLines="60" w:before="144" w:afterLines="60" w:after="144" w:line="240" w:lineRule="auto"/>
              <w:textAlignment w:val="baseline"/>
              <w:rPr>
                <w:rFonts w:cs="Arial"/>
              </w:rPr>
            </w:pPr>
            <w:r>
              <w:rPr>
                <w:rFonts w:cs="Arial"/>
              </w:rPr>
              <w:t xml:space="preserve">Providers must ensure that all </w:t>
            </w:r>
            <w:r w:rsidR="00AB0510">
              <w:rPr>
                <w:rFonts w:cs="Arial"/>
              </w:rPr>
              <w:t>Client</w:t>
            </w:r>
            <w:r>
              <w:rPr>
                <w:rFonts w:cs="Arial"/>
              </w:rPr>
              <w:t xml:space="preserve">s who meet the Eligibility for Payment criteria outlined above </w:t>
            </w:r>
            <w:r w:rsidR="004B1455">
              <w:rPr>
                <w:rFonts w:cs="Arial"/>
              </w:rPr>
              <w:t>are recorded in this data</w:t>
            </w:r>
            <w:r w:rsidR="00E57FBF">
              <w:rPr>
                <w:rFonts w:cs="Arial"/>
              </w:rPr>
              <w:t>.</w:t>
            </w:r>
            <w:r w:rsidR="004B1455">
              <w:rPr>
                <w:rFonts w:cs="Arial"/>
              </w:rPr>
              <w:t xml:space="preserve"> </w:t>
            </w:r>
          </w:p>
        </w:tc>
      </w:tr>
      <w:tr w:rsidR="001741E1" w:rsidRPr="001C1946" w:rsidTr="002972BD">
        <w:tc>
          <w:tcPr>
            <w:tcW w:w="3112" w:type="dxa"/>
          </w:tcPr>
          <w:p w:rsidR="001741E1" w:rsidRDefault="001741E1" w:rsidP="002972BD">
            <w:pPr>
              <w:pStyle w:val="AASSOGSLEVEL3"/>
              <w:spacing w:before="120" w:after="120" w:line="240" w:lineRule="auto"/>
            </w:pPr>
            <w:r>
              <w:lastRenderedPageBreak/>
              <w:t>Final reconciliation period</w:t>
            </w:r>
          </w:p>
        </w:tc>
        <w:tc>
          <w:tcPr>
            <w:tcW w:w="7665" w:type="dxa"/>
          </w:tcPr>
          <w:p w:rsidR="001741E1" w:rsidRDefault="00150E93" w:rsidP="002677FF">
            <w:pPr>
              <w:spacing w:beforeLines="60" w:before="144" w:afterLines="60" w:after="144" w:line="240" w:lineRule="auto"/>
              <w:rPr>
                <w:rFonts w:cs="Arial"/>
              </w:rPr>
            </w:pPr>
            <w:r>
              <w:rPr>
                <w:rFonts w:cs="Arial"/>
              </w:rPr>
              <w:t xml:space="preserve">A final reconciliation will be undertaken at the end of the </w:t>
            </w:r>
            <w:r w:rsidR="00DF4E37">
              <w:rPr>
                <w:rFonts w:cs="Arial"/>
              </w:rPr>
              <w:t>Contract</w:t>
            </w:r>
            <w:r>
              <w:rPr>
                <w:rFonts w:cs="Arial"/>
              </w:rPr>
              <w:t xml:space="preserve"> period. At this point in time the Department will reconcile the activity </w:t>
            </w:r>
            <w:r w:rsidR="00DF4E37">
              <w:rPr>
                <w:rFonts w:cs="Arial"/>
              </w:rPr>
              <w:t>You</w:t>
            </w:r>
            <w:r>
              <w:rPr>
                <w:rFonts w:cs="Arial"/>
              </w:rPr>
              <w:t xml:space="preserve"> have undertaken compared to the benchmarks that were set for the </w:t>
            </w:r>
            <w:r w:rsidR="00DF4E37">
              <w:rPr>
                <w:rFonts w:cs="Arial"/>
              </w:rPr>
              <w:t>Contract</w:t>
            </w:r>
            <w:r>
              <w:rPr>
                <w:rFonts w:cs="Arial"/>
              </w:rPr>
              <w:t xml:space="preserve">. Any discrepancies between these figures may result in debt recovery action being pursued by the Department against </w:t>
            </w:r>
            <w:r w:rsidR="00DF4E37">
              <w:rPr>
                <w:rFonts w:cs="Arial"/>
              </w:rPr>
              <w:t>You</w:t>
            </w:r>
            <w:r>
              <w:rPr>
                <w:rFonts w:cs="Arial"/>
              </w:rPr>
              <w:t>.</w:t>
            </w:r>
          </w:p>
        </w:tc>
      </w:tr>
      <w:tr w:rsidR="00E81F01" w:rsidRPr="001C1946" w:rsidTr="002972BD">
        <w:tc>
          <w:tcPr>
            <w:tcW w:w="3112" w:type="dxa"/>
          </w:tcPr>
          <w:p w:rsidR="00E81F01" w:rsidRDefault="00B06FA4" w:rsidP="002972BD">
            <w:pPr>
              <w:pStyle w:val="AASSOGSLEVEL3"/>
              <w:spacing w:before="120" w:after="120" w:line="240" w:lineRule="auto"/>
            </w:pPr>
            <w:r>
              <w:t>Calculation of payments</w:t>
            </w:r>
          </w:p>
        </w:tc>
        <w:tc>
          <w:tcPr>
            <w:tcW w:w="7665" w:type="dxa"/>
          </w:tcPr>
          <w:p w:rsidR="00440324" w:rsidRDefault="00B06FA4" w:rsidP="002677FF">
            <w:pPr>
              <w:spacing w:beforeLines="60" w:before="144" w:afterLines="60" w:after="144" w:line="240" w:lineRule="auto"/>
              <w:rPr>
                <w:rFonts w:cs="Arial"/>
              </w:rPr>
            </w:pPr>
            <w:r>
              <w:rPr>
                <w:rFonts w:cs="Arial"/>
              </w:rPr>
              <w:t xml:space="preserve">You are </w:t>
            </w:r>
            <w:r w:rsidR="00DF4E37">
              <w:rPr>
                <w:rFonts w:cs="Arial"/>
              </w:rPr>
              <w:t>Contract</w:t>
            </w:r>
            <w:r>
              <w:rPr>
                <w:rFonts w:cs="Arial"/>
              </w:rPr>
              <w:t xml:space="preserve">ed to deliver ISMAA </w:t>
            </w:r>
            <w:r w:rsidR="00DF4E37">
              <w:rPr>
                <w:rFonts w:cs="Arial"/>
              </w:rPr>
              <w:t>Services</w:t>
            </w:r>
            <w:r>
              <w:rPr>
                <w:rFonts w:cs="Arial"/>
              </w:rPr>
              <w:t xml:space="preserve"> to a minimum number of </w:t>
            </w:r>
            <w:r w:rsidR="00AB0510">
              <w:rPr>
                <w:rFonts w:cs="Arial"/>
              </w:rPr>
              <w:t>Client</w:t>
            </w:r>
            <w:r>
              <w:rPr>
                <w:rFonts w:cs="Arial"/>
              </w:rPr>
              <w:t>s</w:t>
            </w:r>
            <w:r w:rsidR="005B69E7">
              <w:rPr>
                <w:rFonts w:cs="Arial"/>
              </w:rPr>
              <w:t xml:space="preserve"> over the life of </w:t>
            </w:r>
            <w:r w:rsidR="001E51F4">
              <w:rPr>
                <w:rFonts w:cs="Arial"/>
              </w:rPr>
              <w:t>Your</w:t>
            </w:r>
            <w:r w:rsidR="005B69E7">
              <w:rPr>
                <w:rFonts w:cs="Arial"/>
              </w:rPr>
              <w:t xml:space="preserve"> </w:t>
            </w:r>
            <w:r w:rsidR="00DF4E37">
              <w:rPr>
                <w:rFonts w:cs="Arial"/>
              </w:rPr>
              <w:t>Contract</w:t>
            </w:r>
            <w:r w:rsidR="00DC61AC">
              <w:rPr>
                <w:rFonts w:cs="Arial"/>
              </w:rPr>
              <w:t xml:space="preserve">. This </w:t>
            </w:r>
            <w:r w:rsidR="00DF4E37">
              <w:rPr>
                <w:rFonts w:cs="Arial"/>
              </w:rPr>
              <w:t>Contract</w:t>
            </w:r>
            <w:r w:rsidR="00DC61AC">
              <w:rPr>
                <w:rFonts w:cs="Arial"/>
              </w:rPr>
              <w:t xml:space="preserve">ed figure </w:t>
            </w:r>
            <w:r w:rsidR="005B69E7">
              <w:rPr>
                <w:rFonts w:cs="Arial"/>
              </w:rPr>
              <w:t xml:space="preserve">is </w:t>
            </w:r>
            <w:r w:rsidR="00DC61AC">
              <w:rPr>
                <w:rFonts w:cs="Arial"/>
              </w:rPr>
              <w:t xml:space="preserve">separated </w:t>
            </w:r>
            <w:r w:rsidR="005B69E7">
              <w:rPr>
                <w:rFonts w:cs="Arial"/>
              </w:rPr>
              <w:t xml:space="preserve">into </w:t>
            </w:r>
            <w:r w:rsidR="004B1455">
              <w:rPr>
                <w:rFonts w:cs="Arial"/>
              </w:rPr>
              <w:t xml:space="preserve">pro rata </w:t>
            </w:r>
            <w:r w:rsidR="005B69E7">
              <w:rPr>
                <w:rFonts w:cs="Arial"/>
              </w:rPr>
              <w:t>milestones</w:t>
            </w:r>
            <w:r w:rsidR="0001182D">
              <w:rPr>
                <w:rFonts w:cs="Arial"/>
              </w:rPr>
              <w:t xml:space="preserve"> that must be achieved per payment period</w:t>
            </w:r>
            <w:r w:rsidR="005B69E7">
              <w:rPr>
                <w:rFonts w:cs="Arial"/>
              </w:rPr>
              <w:t xml:space="preserve">.  As </w:t>
            </w:r>
            <w:r w:rsidR="00DF4E37">
              <w:rPr>
                <w:rFonts w:cs="Arial"/>
              </w:rPr>
              <w:t>You</w:t>
            </w:r>
            <w:r w:rsidR="005B69E7">
              <w:rPr>
                <w:rFonts w:cs="Arial"/>
              </w:rPr>
              <w:t xml:space="preserve"> progress through </w:t>
            </w:r>
            <w:r w:rsidR="001E51F4">
              <w:rPr>
                <w:rFonts w:cs="Arial"/>
              </w:rPr>
              <w:t>Your</w:t>
            </w:r>
            <w:r w:rsidR="005B69E7">
              <w:rPr>
                <w:rFonts w:cs="Arial"/>
              </w:rPr>
              <w:t xml:space="preserve"> </w:t>
            </w:r>
            <w:r w:rsidR="00DF4E37">
              <w:rPr>
                <w:rFonts w:cs="Arial"/>
              </w:rPr>
              <w:t>Contract</w:t>
            </w:r>
            <w:r w:rsidR="005B69E7">
              <w:rPr>
                <w:rFonts w:cs="Arial"/>
              </w:rPr>
              <w:t xml:space="preserve"> the Department will assess </w:t>
            </w:r>
            <w:r w:rsidR="001E51F4">
              <w:rPr>
                <w:rFonts w:cs="Arial"/>
              </w:rPr>
              <w:t>Your</w:t>
            </w:r>
            <w:r w:rsidR="005B69E7">
              <w:rPr>
                <w:rFonts w:cs="Arial"/>
              </w:rPr>
              <w:t xml:space="preserve"> progress against </w:t>
            </w:r>
            <w:r w:rsidR="001E51F4">
              <w:rPr>
                <w:rFonts w:cs="Arial"/>
              </w:rPr>
              <w:t>Your</w:t>
            </w:r>
            <w:r w:rsidR="00FB3759">
              <w:rPr>
                <w:rFonts w:cs="Arial"/>
              </w:rPr>
              <w:t xml:space="preserve"> milestones</w:t>
            </w:r>
            <w:r w:rsidR="00CA06E0">
              <w:rPr>
                <w:rFonts w:cs="Arial"/>
              </w:rPr>
              <w:t xml:space="preserve"> via </w:t>
            </w:r>
            <w:r w:rsidR="001E51F4">
              <w:rPr>
                <w:rFonts w:cs="Arial"/>
              </w:rPr>
              <w:t>Your</w:t>
            </w:r>
            <w:r w:rsidR="00CA06E0">
              <w:rPr>
                <w:rFonts w:cs="Arial"/>
              </w:rPr>
              <w:t xml:space="preserve"> data reporting.</w:t>
            </w:r>
          </w:p>
        </w:tc>
      </w:tr>
      <w:tr w:rsidR="00CA06E0" w:rsidRPr="001C1946" w:rsidTr="002972BD">
        <w:tc>
          <w:tcPr>
            <w:tcW w:w="3112" w:type="dxa"/>
          </w:tcPr>
          <w:p w:rsidR="00CA06E0" w:rsidRDefault="00CA06E0" w:rsidP="002972BD">
            <w:pPr>
              <w:pStyle w:val="AASSOGSLEVEL3"/>
              <w:spacing w:before="120" w:after="120" w:line="240" w:lineRule="auto"/>
            </w:pPr>
            <w:r>
              <w:t>Achievement of milestones</w:t>
            </w:r>
          </w:p>
        </w:tc>
        <w:tc>
          <w:tcPr>
            <w:tcW w:w="7665" w:type="dxa"/>
          </w:tcPr>
          <w:p w:rsidR="00CA06E0" w:rsidRDefault="00CA06E0" w:rsidP="002677FF">
            <w:pPr>
              <w:spacing w:beforeLines="60" w:before="144" w:afterLines="60" w:after="144" w:line="240" w:lineRule="auto"/>
              <w:rPr>
                <w:rFonts w:cs="Arial"/>
              </w:rPr>
            </w:pPr>
            <w:r>
              <w:rPr>
                <w:rFonts w:cs="Arial"/>
              </w:rPr>
              <w:t xml:space="preserve">When </w:t>
            </w:r>
            <w:r w:rsidR="00DF4E37">
              <w:rPr>
                <w:rFonts w:cs="Arial"/>
              </w:rPr>
              <w:t>You</w:t>
            </w:r>
            <w:r>
              <w:rPr>
                <w:rFonts w:cs="Arial"/>
              </w:rPr>
              <w:t xml:space="preserve"> provide data</w:t>
            </w:r>
            <w:r w:rsidR="006176C6">
              <w:rPr>
                <w:rFonts w:cs="Arial"/>
              </w:rPr>
              <w:t>,</w:t>
            </w:r>
            <w:r>
              <w:rPr>
                <w:rFonts w:cs="Arial"/>
              </w:rPr>
              <w:t xml:space="preserve"> the Department</w:t>
            </w:r>
            <w:r w:rsidR="006176C6">
              <w:rPr>
                <w:rFonts w:cs="Arial"/>
              </w:rPr>
              <w:t xml:space="preserve"> will undertake an assessment</w:t>
            </w:r>
            <w:r>
              <w:rPr>
                <w:rFonts w:cs="Arial"/>
              </w:rPr>
              <w:t xml:space="preserve"> to determine if </w:t>
            </w:r>
            <w:r w:rsidR="00DF4E37">
              <w:rPr>
                <w:rFonts w:cs="Arial"/>
              </w:rPr>
              <w:t>You</w:t>
            </w:r>
            <w:r>
              <w:rPr>
                <w:rFonts w:cs="Arial"/>
              </w:rPr>
              <w:t xml:space="preserve"> are in line with </w:t>
            </w:r>
            <w:r w:rsidR="001E51F4">
              <w:rPr>
                <w:rFonts w:cs="Arial"/>
              </w:rPr>
              <w:t>Your</w:t>
            </w:r>
            <w:r>
              <w:rPr>
                <w:rFonts w:cs="Arial"/>
              </w:rPr>
              <w:t xml:space="preserve"> pro rata milestones. The Department will advise </w:t>
            </w:r>
            <w:r w:rsidR="00DF4E37">
              <w:rPr>
                <w:rFonts w:cs="Arial"/>
              </w:rPr>
              <w:t>You</w:t>
            </w:r>
            <w:r>
              <w:rPr>
                <w:rFonts w:cs="Arial"/>
              </w:rPr>
              <w:t xml:space="preserve"> of the result of this assessment and </w:t>
            </w:r>
            <w:r w:rsidR="00DF4E37">
              <w:rPr>
                <w:rFonts w:cs="Arial"/>
              </w:rPr>
              <w:t>You</w:t>
            </w:r>
            <w:r>
              <w:rPr>
                <w:rFonts w:cs="Arial"/>
              </w:rPr>
              <w:t xml:space="preserve"> will send the Department an invoice for </w:t>
            </w:r>
            <w:r w:rsidR="001E51F4">
              <w:rPr>
                <w:rFonts w:cs="Arial"/>
              </w:rPr>
              <w:t>Your</w:t>
            </w:r>
            <w:r>
              <w:rPr>
                <w:rFonts w:cs="Arial"/>
              </w:rPr>
              <w:t xml:space="preserve"> next payment.</w:t>
            </w:r>
          </w:p>
          <w:p w:rsidR="00CA06E0" w:rsidRDefault="00CA06E0" w:rsidP="002677FF">
            <w:pPr>
              <w:spacing w:beforeLines="60" w:before="144" w:afterLines="60" w:after="144" w:line="240" w:lineRule="auto"/>
              <w:rPr>
                <w:rFonts w:cs="Arial"/>
              </w:rPr>
            </w:pPr>
            <w:r>
              <w:rPr>
                <w:rFonts w:cs="Arial"/>
              </w:rPr>
              <w:t xml:space="preserve">If </w:t>
            </w:r>
            <w:r w:rsidR="00DF4E37">
              <w:rPr>
                <w:rFonts w:cs="Arial"/>
              </w:rPr>
              <w:t>You</w:t>
            </w:r>
            <w:r>
              <w:rPr>
                <w:rFonts w:cs="Arial"/>
              </w:rPr>
              <w:t xml:space="preserve"> are below </w:t>
            </w:r>
            <w:r w:rsidR="001E51F4">
              <w:rPr>
                <w:rFonts w:cs="Arial"/>
              </w:rPr>
              <w:t>Your</w:t>
            </w:r>
            <w:r>
              <w:rPr>
                <w:rFonts w:cs="Arial"/>
              </w:rPr>
              <w:t xml:space="preserve"> pro rata milestones the Department will only pay </w:t>
            </w:r>
            <w:r w:rsidR="00DF4E37">
              <w:rPr>
                <w:rFonts w:cs="Arial"/>
              </w:rPr>
              <w:t>You</w:t>
            </w:r>
            <w:r>
              <w:rPr>
                <w:rFonts w:cs="Arial"/>
              </w:rPr>
              <w:t xml:space="preserve"> the corresponding amount for the next period for the work </w:t>
            </w:r>
            <w:r w:rsidR="00DF4E37">
              <w:rPr>
                <w:rFonts w:cs="Arial"/>
              </w:rPr>
              <w:t>You</w:t>
            </w:r>
            <w:r>
              <w:rPr>
                <w:rFonts w:cs="Arial"/>
              </w:rPr>
              <w:t xml:space="preserve"> have completed in the current period. For example, if </w:t>
            </w:r>
            <w:r w:rsidR="00DF4E37">
              <w:rPr>
                <w:rFonts w:cs="Arial"/>
              </w:rPr>
              <w:t>You</w:t>
            </w:r>
            <w:r>
              <w:rPr>
                <w:rFonts w:cs="Arial"/>
              </w:rPr>
              <w:t xml:space="preserve"> have achieved 98% of </w:t>
            </w:r>
            <w:r w:rsidR="001E51F4">
              <w:rPr>
                <w:rFonts w:cs="Arial"/>
              </w:rPr>
              <w:t>Your</w:t>
            </w:r>
            <w:r>
              <w:rPr>
                <w:rFonts w:cs="Arial"/>
              </w:rPr>
              <w:t xml:space="preserve"> pro rata milestone, </w:t>
            </w:r>
            <w:r w:rsidR="001E51F4">
              <w:rPr>
                <w:rFonts w:cs="Arial"/>
              </w:rPr>
              <w:t>Your</w:t>
            </w:r>
            <w:r>
              <w:rPr>
                <w:rFonts w:cs="Arial"/>
              </w:rPr>
              <w:t xml:space="preserve"> next payment will be 98% of the total amount.</w:t>
            </w:r>
          </w:p>
          <w:p w:rsidR="00AA51A2" w:rsidRPr="00D1243A" w:rsidRDefault="00AA51A2" w:rsidP="002677FF">
            <w:pPr>
              <w:spacing w:beforeLines="60" w:before="144" w:afterLines="60" w:after="144" w:line="240" w:lineRule="auto"/>
              <w:rPr>
                <w:rFonts w:cs="Arial"/>
              </w:rPr>
            </w:pPr>
            <w:r w:rsidRPr="00D1243A">
              <w:t xml:space="preserve">Likewise, achieving the milestone figure will result in full payment of </w:t>
            </w:r>
            <w:r w:rsidR="001E51F4">
              <w:t>Your</w:t>
            </w:r>
            <w:r w:rsidRPr="00D1243A">
              <w:t xml:space="preserve"> next funding allocation. </w:t>
            </w:r>
            <w:r w:rsidR="00D1243A" w:rsidRPr="00D1243A">
              <w:rPr>
                <w:rFonts w:cs="Arial"/>
              </w:rPr>
              <w:t>I</w:t>
            </w:r>
            <w:r w:rsidRPr="00D1243A">
              <w:rPr>
                <w:rFonts w:cs="Arial"/>
              </w:rPr>
              <w:t xml:space="preserve">f </w:t>
            </w:r>
            <w:r w:rsidR="00DF4E37">
              <w:rPr>
                <w:rFonts w:cs="Arial"/>
              </w:rPr>
              <w:t>You</w:t>
            </w:r>
            <w:r w:rsidRPr="00D1243A">
              <w:rPr>
                <w:rFonts w:cs="Arial"/>
              </w:rPr>
              <w:t xml:space="preserve"> are exceeding or surpassing </w:t>
            </w:r>
            <w:r w:rsidR="001E51F4">
              <w:rPr>
                <w:rFonts w:cs="Arial"/>
              </w:rPr>
              <w:t>Your</w:t>
            </w:r>
            <w:r w:rsidRPr="00D1243A">
              <w:rPr>
                <w:rFonts w:cs="Arial"/>
              </w:rPr>
              <w:t xml:space="preserve"> milestones the Department will not pay any amount above the full payment expected. </w:t>
            </w:r>
            <w:r w:rsidR="009C5961">
              <w:rPr>
                <w:rFonts w:cs="Arial"/>
              </w:rPr>
              <w:t>i</w:t>
            </w:r>
            <w:r w:rsidRPr="00D1243A">
              <w:rPr>
                <w:rFonts w:cs="Arial"/>
              </w:rPr>
              <w:t xml:space="preserve">.e. achieving 105% of </w:t>
            </w:r>
            <w:r w:rsidR="001E51F4">
              <w:rPr>
                <w:rFonts w:cs="Arial"/>
              </w:rPr>
              <w:t>Your</w:t>
            </w:r>
            <w:r w:rsidRPr="00D1243A">
              <w:rPr>
                <w:rFonts w:cs="Arial"/>
              </w:rPr>
              <w:t xml:space="preserve"> milestone figure will result in 10</w:t>
            </w:r>
            <w:r w:rsidR="009F37EC">
              <w:rPr>
                <w:rFonts w:cs="Arial"/>
              </w:rPr>
              <w:t>0</w:t>
            </w:r>
            <w:r w:rsidRPr="00D1243A">
              <w:rPr>
                <w:rFonts w:cs="Arial"/>
              </w:rPr>
              <w:t>% of</w:t>
            </w:r>
            <w:r w:rsidR="009F37EC">
              <w:rPr>
                <w:rFonts w:cs="Arial"/>
              </w:rPr>
              <w:t xml:space="preserve"> the</w:t>
            </w:r>
            <w:r w:rsidRPr="00D1243A">
              <w:rPr>
                <w:rFonts w:cs="Arial"/>
              </w:rPr>
              <w:t xml:space="preserve"> payment being made.</w:t>
            </w:r>
          </w:p>
          <w:p w:rsidR="00D1243A" w:rsidRDefault="00E57FBF" w:rsidP="009C5961">
            <w:pPr>
              <w:spacing w:beforeLines="60" w:before="144" w:afterLines="60" w:after="144" w:line="240" w:lineRule="auto"/>
              <w:rPr>
                <w:rFonts w:cs="Arial"/>
              </w:rPr>
            </w:pPr>
            <w:r>
              <w:rPr>
                <w:rFonts w:cs="Arial"/>
              </w:rPr>
              <w:t xml:space="preserve">Where </w:t>
            </w:r>
            <w:r w:rsidR="00D1243A" w:rsidRPr="00D1243A">
              <w:rPr>
                <w:rFonts w:cs="Arial"/>
              </w:rPr>
              <w:t>a re</w:t>
            </w:r>
            <w:r w:rsidR="006176C6">
              <w:rPr>
                <w:rFonts w:cs="Arial"/>
              </w:rPr>
              <w:t>al</w:t>
            </w:r>
            <w:r w:rsidR="00D1243A" w:rsidRPr="00D1243A">
              <w:rPr>
                <w:rFonts w:cs="Arial"/>
              </w:rPr>
              <w:t>location of places has been made</w:t>
            </w:r>
            <w:r>
              <w:rPr>
                <w:rFonts w:cs="Arial"/>
              </w:rPr>
              <w:t>,</w:t>
            </w:r>
            <w:r w:rsidR="00D1243A" w:rsidRPr="00D1243A">
              <w:rPr>
                <w:rFonts w:cs="Arial"/>
              </w:rPr>
              <w:t xml:space="preserve"> the Department </w:t>
            </w:r>
            <w:r>
              <w:rPr>
                <w:rFonts w:cs="Arial"/>
              </w:rPr>
              <w:t xml:space="preserve">will make </w:t>
            </w:r>
            <w:r w:rsidR="00D1243A" w:rsidRPr="00D1243A">
              <w:rPr>
                <w:rFonts w:cs="Arial"/>
              </w:rPr>
              <w:t>payment</w:t>
            </w:r>
            <w:r>
              <w:rPr>
                <w:rFonts w:cs="Arial"/>
              </w:rPr>
              <w:t>s</w:t>
            </w:r>
            <w:r w:rsidR="00D1243A" w:rsidRPr="00D1243A">
              <w:rPr>
                <w:rFonts w:cs="Arial"/>
              </w:rPr>
              <w:t xml:space="preserve"> </w:t>
            </w:r>
            <w:r w:rsidR="00AA7EF9">
              <w:rPr>
                <w:rFonts w:cs="Arial"/>
              </w:rPr>
              <w:t xml:space="preserve">that </w:t>
            </w:r>
            <w:r w:rsidR="00D1243A" w:rsidRPr="00D1243A">
              <w:rPr>
                <w:rFonts w:cs="Arial"/>
              </w:rPr>
              <w:t xml:space="preserve">exceed the </w:t>
            </w:r>
            <w:r w:rsidR="009C5961">
              <w:rPr>
                <w:rFonts w:cs="Arial"/>
              </w:rPr>
              <w:t>initial</w:t>
            </w:r>
            <w:r w:rsidR="009C5961" w:rsidRPr="00D1243A">
              <w:rPr>
                <w:rFonts w:cs="Arial"/>
              </w:rPr>
              <w:t xml:space="preserve"> </w:t>
            </w:r>
            <w:r w:rsidR="00D1243A" w:rsidRPr="00D1243A">
              <w:rPr>
                <w:rFonts w:cs="Arial"/>
              </w:rPr>
              <w:t>100%.</w:t>
            </w:r>
          </w:p>
        </w:tc>
      </w:tr>
      <w:tr w:rsidR="007802D1" w:rsidRPr="001C1946" w:rsidTr="002972BD">
        <w:tc>
          <w:tcPr>
            <w:tcW w:w="3112" w:type="dxa"/>
          </w:tcPr>
          <w:p w:rsidR="007802D1" w:rsidRDefault="007802D1" w:rsidP="002972BD">
            <w:pPr>
              <w:pStyle w:val="AASSOGSLEVEL3"/>
              <w:spacing w:before="120" w:after="120" w:line="240" w:lineRule="auto"/>
            </w:pPr>
            <w:r>
              <w:t>Provision of invoices</w:t>
            </w:r>
          </w:p>
        </w:tc>
        <w:tc>
          <w:tcPr>
            <w:tcW w:w="7665" w:type="dxa"/>
          </w:tcPr>
          <w:p w:rsidR="007802D1" w:rsidRDefault="007802D1" w:rsidP="002677FF">
            <w:pPr>
              <w:spacing w:beforeLines="60" w:before="144" w:afterLines="60" w:after="144" w:line="240" w:lineRule="auto"/>
              <w:rPr>
                <w:rFonts w:cs="Arial"/>
              </w:rPr>
            </w:pPr>
            <w:r>
              <w:rPr>
                <w:rFonts w:cs="Arial"/>
              </w:rPr>
              <w:t>Payments will be made upon provision of a</w:t>
            </w:r>
            <w:r w:rsidR="00AF4562">
              <w:rPr>
                <w:rFonts w:cs="Arial"/>
              </w:rPr>
              <w:t xml:space="preserve">n invoice from </w:t>
            </w:r>
            <w:r w:rsidR="00DF4E37">
              <w:rPr>
                <w:rFonts w:cs="Arial"/>
              </w:rPr>
              <w:t>ISMAA Provider</w:t>
            </w:r>
            <w:r w:rsidR="00AF4562">
              <w:rPr>
                <w:rFonts w:cs="Arial"/>
              </w:rPr>
              <w:t>s to the Department. The Department will provide advice regarding the due date for these invoices</w:t>
            </w:r>
            <w:r w:rsidR="004969B1">
              <w:rPr>
                <w:rFonts w:cs="Arial"/>
              </w:rPr>
              <w:t>.</w:t>
            </w:r>
          </w:p>
        </w:tc>
      </w:tr>
    </w:tbl>
    <w:p w:rsidR="007C7770" w:rsidRDefault="007C7770" w:rsidP="007C7770">
      <w:pPr>
        <w:pStyle w:val="H1AASSOGS"/>
        <w:numPr>
          <w:ilvl w:val="0"/>
          <w:numId w:val="0"/>
        </w:numPr>
        <w:ind w:left="720" w:hanging="720"/>
      </w:pPr>
    </w:p>
    <w:p w:rsidR="007C7770" w:rsidRDefault="007C7770" w:rsidP="001B3F4B">
      <w:pPr>
        <w:pStyle w:val="H1AASSOGS"/>
      </w:pPr>
      <w:bookmarkStart w:id="51" w:name="_Toc490735666"/>
      <w:r>
        <w:t>Reallocation of Places</w:t>
      </w:r>
      <w:bookmarkEnd w:id="51"/>
    </w:p>
    <w:p w:rsidR="007C7770" w:rsidRDefault="007C7770" w:rsidP="007C7770">
      <w:pPr>
        <w:pStyle w:val="H1AASSOGS"/>
        <w:numPr>
          <w:ilvl w:val="0"/>
          <w:numId w:val="0"/>
        </w:numPr>
        <w:ind w:left="720" w:hanging="720"/>
      </w:pPr>
    </w:p>
    <w:tbl>
      <w:tblPr>
        <w:tblW w:w="107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7665"/>
      </w:tblGrid>
      <w:tr w:rsidR="007C7770" w:rsidRPr="00DF7E81" w:rsidTr="00936751">
        <w:tc>
          <w:tcPr>
            <w:tcW w:w="3112" w:type="dxa"/>
            <w:tcBorders>
              <w:bottom w:val="single" w:sz="4" w:space="0" w:color="auto"/>
            </w:tcBorders>
            <w:shd w:val="clear" w:color="auto" w:fill="auto"/>
          </w:tcPr>
          <w:p w:rsidR="007C7770" w:rsidRPr="0064497F" w:rsidRDefault="00AF4562" w:rsidP="00936751">
            <w:pPr>
              <w:pStyle w:val="AASSOGSLEVEL4"/>
              <w:spacing w:before="120" w:after="120" w:line="240" w:lineRule="auto"/>
              <w:ind w:firstLine="0"/>
              <w:jc w:val="left"/>
              <w:rPr>
                <w:i w:val="0"/>
                <w:sz w:val="22"/>
              </w:rPr>
            </w:pPr>
            <w:r>
              <w:rPr>
                <w:i w:val="0"/>
                <w:sz w:val="22"/>
              </w:rPr>
              <w:t>Overview</w:t>
            </w:r>
          </w:p>
        </w:tc>
        <w:tc>
          <w:tcPr>
            <w:tcW w:w="7665" w:type="dxa"/>
            <w:shd w:val="clear" w:color="auto" w:fill="auto"/>
          </w:tcPr>
          <w:p w:rsidR="0031044B" w:rsidRDefault="00AF4562" w:rsidP="004B1455">
            <w:pPr>
              <w:spacing w:before="60" w:after="60" w:line="240" w:lineRule="auto"/>
              <w:rPr>
                <w:rFonts w:cs="Arial"/>
              </w:rPr>
            </w:pPr>
            <w:r>
              <w:rPr>
                <w:rFonts w:cs="Arial"/>
              </w:rPr>
              <w:t xml:space="preserve">In order to ensure the </w:t>
            </w:r>
            <w:r w:rsidR="007450C4">
              <w:rPr>
                <w:rFonts w:cs="Arial"/>
              </w:rPr>
              <w:t>Department</w:t>
            </w:r>
            <w:r>
              <w:rPr>
                <w:rFonts w:cs="Arial"/>
              </w:rPr>
              <w:t xml:space="preserve"> receives the greatest value for money from the ISMAA program, the Department may undertake a process to vary business allocations for </w:t>
            </w:r>
            <w:r w:rsidR="00DF4E37">
              <w:rPr>
                <w:rFonts w:cs="Arial"/>
              </w:rPr>
              <w:t>Provider</w:t>
            </w:r>
            <w:r>
              <w:rPr>
                <w:rFonts w:cs="Arial"/>
              </w:rPr>
              <w:t>s as part of the calculation for each payment point.</w:t>
            </w:r>
            <w:r w:rsidR="0031044B">
              <w:rPr>
                <w:rFonts w:cs="Arial"/>
              </w:rPr>
              <w:t xml:space="preserve"> </w:t>
            </w:r>
          </w:p>
          <w:p w:rsidR="007C7770" w:rsidRPr="00DF7E81" w:rsidRDefault="0031044B" w:rsidP="007450C4">
            <w:pPr>
              <w:spacing w:before="60" w:after="60" w:line="240" w:lineRule="auto"/>
              <w:rPr>
                <w:rFonts w:cs="Arial"/>
              </w:rPr>
            </w:pPr>
            <w:r>
              <w:rPr>
                <w:rFonts w:cs="Arial"/>
              </w:rPr>
              <w:t xml:space="preserve">Providers </w:t>
            </w:r>
            <w:r w:rsidR="007450C4">
              <w:rPr>
                <w:rFonts w:cs="Arial"/>
              </w:rPr>
              <w:t>must</w:t>
            </w:r>
            <w:r>
              <w:rPr>
                <w:rFonts w:cs="Arial"/>
              </w:rPr>
              <w:t xml:space="preserve"> </w:t>
            </w:r>
            <w:r w:rsidR="00480D00">
              <w:rPr>
                <w:rFonts w:cs="Arial"/>
              </w:rPr>
              <w:t>Service</w:t>
            </w:r>
            <w:r>
              <w:rPr>
                <w:rFonts w:cs="Arial"/>
              </w:rPr>
              <w:t xml:space="preserve"> a minimum number of </w:t>
            </w:r>
            <w:r w:rsidR="00AB0510">
              <w:rPr>
                <w:rFonts w:cs="Arial"/>
              </w:rPr>
              <w:t>Client</w:t>
            </w:r>
            <w:r>
              <w:rPr>
                <w:rFonts w:cs="Arial"/>
              </w:rPr>
              <w:t xml:space="preserve">s within each payment period. Where </w:t>
            </w:r>
            <w:r w:rsidR="00DF4E37">
              <w:rPr>
                <w:rFonts w:cs="Arial"/>
              </w:rPr>
              <w:t>Provider</w:t>
            </w:r>
            <w:r>
              <w:rPr>
                <w:rFonts w:cs="Arial"/>
              </w:rPr>
              <w:t xml:space="preserve">s are unable to </w:t>
            </w:r>
            <w:r w:rsidR="00480D00">
              <w:rPr>
                <w:rFonts w:cs="Arial"/>
              </w:rPr>
              <w:t>Service</w:t>
            </w:r>
            <w:r>
              <w:rPr>
                <w:rFonts w:cs="Arial"/>
              </w:rPr>
              <w:t xml:space="preserve"> this number of </w:t>
            </w:r>
            <w:r w:rsidR="00AB0510">
              <w:rPr>
                <w:rFonts w:cs="Arial"/>
              </w:rPr>
              <w:t>Client</w:t>
            </w:r>
            <w:r>
              <w:rPr>
                <w:rFonts w:cs="Arial"/>
              </w:rPr>
              <w:t xml:space="preserve">s the Department may </w:t>
            </w:r>
            <w:r>
              <w:rPr>
                <w:rFonts w:cs="Arial"/>
              </w:rPr>
              <w:lastRenderedPageBreak/>
              <w:t xml:space="preserve">reduce </w:t>
            </w:r>
            <w:r w:rsidR="007450C4">
              <w:rPr>
                <w:rFonts w:cs="Arial"/>
              </w:rPr>
              <w:t xml:space="preserve">those </w:t>
            </w:r>
            <w:r w:rsidR="00DF4E37">
              <w:rPr>
                <w:rFonts w:cs="Arial"/>
              </w:rPr>
              <w:t>Provider</w:t>
            </w:r>
            <w:r w:rsidR="007450C4">
              <w:rPr>
                <w:rFonts w:cs="Arial"/>
              </w:rPr>
              <w:t>s</w:t>
            </w:r>
            <w:r w:rsidR="009C5961">
              <w:rPr>
                <w:rFonts w:cs="Arial"/>
              </w:rPr>
              <w:t>’</w:t>
            </w:r>
            <w:r>
              <w:rPr>
                <w:rFonts w:cs="Arial"/>
              </w:rPr>
              <w:t xml:space="preserve"> allocation</w:t>
            </w:r>
            <w:r w:rsidR="009C5961">
              <w:rPr>
                <w:rFonts w:cs="Arial"/>
              </w:rPr>
              <w:t>s</w:t>
            </w:r>
            <w:r>
              <w:rPr>
                <w:rFonts w:cs="Arial"/>
              </w:rPr>
              <w:t xml:space="preserve"> and move these places to a </w:t>
            </w:r>
            <w:r w:rsidR="00DF4E37">
              <w:rPr>
                <w:rFonts w:cs="Arial"/>
              </w:rPr>
              <w:t>Provider</w:t>
            </w:r>
            <w:r w:rsidR="007450C4">
              <w:rPr>
                <w:rFonts w:cs="Arial"/>
              </w:rPr>
              <w:t xml:space="preserve"> that is</w:t>
            </w:r>
            <w:r w:rsidR="001661C9">
              <w:rPr>
                <w:rFonts w:cs="Arial"/>
              </w:rPr>
              <w:t xml:space="preserve"> meeting or exceeding their pro rata milestone</w:t>
            </w:r>
            <w:r w:rsidR="007450C4">
              <w:rPr>
                <w:rFonts w:cs="Arial"/>
              </w:rPr>
              <w:t>s</w:t>
            </w:r>
            <w:r w:rsidR="001661C9">
              <w:rPr>
                <w:rFonts w:cs="Arial"/>
              </w:rPr>
              <w:t>.</w:t>
            </w:r>
          </w:p>
        </w:tc>
      </w:tr>
      <w:tr w:rsidR="007C7770" w:rsidRPr="00DF7E81" w:rsidTr="00936751">
        <w:tc>
          <w:tcPr>
            <w:tcW w:w="3112" w:type="dxa"/>
            <w:tcBorders>
              <w:top w:val="single" w:sz="4" w:space="0" w:color="auto"/>
              <w:left w:val="single" w:sz="4" w:space="0" w:color="auto"/>
              <w:bottom w:val="single" w:sz="4" w:space="0" w:color="auto"/>
              <w:right w:val="single" w:sz="4" w:space="0" w:color="auto"/>
            </w:tcBorders>
            <w:shd w:val="clear" w:color="auto" w:fill="auto"/>
          </w:tcPr>
          <w:p w:rsidR="007C7770" w:rsidRPr="0064497F" w:rsidRDefault="00110444" w:rsidP="00936751">
            <w:pPr>
              <w:pStyle w:val="AASSOGSLEVEL4"/>
              <w:spacing w:before="120" w:after="120" w:line="240" w:lineRule="auto"/>
              <w:ind w:firstLine="0"/>
              <w:jc w:val="left"/>
              <w:rPr>
                <w:i w:val="0"/>
                <w:sz w:val="22"/>
              </w:rPr>
            </w:pPr>
            <w:r>
              <w:rPr>
                <w:i w:val="0"/>
                <w:sz w:val="22"/>
              </w:rPr>
              <w:lastRenderedPageBreak/>
              <w:t>Reallocation process</w:t>
            </w:r>
          </w:p>
        </w:tc>
        <w:tc>
          <w:tcPr>
            <w:tcW w:w="7665" w:type="dxa"/>
            <w:tcBorders>
              <w:left w:val="single" w:sz="4" w:space="0" w:color="auto"/>
            </w:tcBorders>
            <w:shd w:val="clear" w:color="auto" w:fill="auto"/>
          </w:tcPr>
          <w:p w:rsidR="007C7770" w:rsidRDefault="004969B1" w:rsidP="004B1455">
            <w:pPr>
              <w:spacing w:before="60" w:after="60" w:line="240" w:lineRule="auto"/>
              <w:rPr>
                <w:rFonts w:cs="Arial"/>
                <w:bCs/>
              </w:rPr>
            </w:pPr>
            <w:r>
              <w:rPr>
                <w:rFonts w:cs="Arial"/>
                <w:bCs/>
              </w:rPr>
              <w:t xml:space="preserve">The Department will evaluate the need to reallocate places following the provision of data by </w:t>
            </w:r>
            <w:r w:rsidR="00DF4E37">
              <w:rPr>
                <w:rFonts w:cs="Arial"/>
                <w:bCs/>
              </w:rPr>
              <w:t>ISMAA Provider</w:t>
            </w:r>
            <w:r>
              <w:rPr>
                <w:rFonts w:cs="Arial"/>
                <w:bCs/>
              </w:rPr>
              <w:t>s, due one month before the end of every payment period, or in the</w:t>
            </w:r>
            <w:r w:rsidR="00110444">
              <w:rPr>
                <w:rFonts w:cs="Arial"/>
                <w:bCs/>
              </w:rPr>
              <w:t xml:space="preserve"> event of the final payment, at </w:t>
            </w:r>
            <w:r>
              <w:rPr>
                <w:rFonts w:cs="Arial"/>
                <w:bCs/>
              </w:rPr>
              <w:t xml:space="preserve">the </w:t>
            </w:r>
            <w:r w:rsidR="008444DC">
              <w:rPr>
                <w:rFonts w:cs="Arial"/>
                <w:bCs/>
              </w:rPr>
              <w:t xml:space="preserve">period </w:t>
            </w:r>
            <w:r w:rsidR="00110444">
              <w:rPr>
                <w:rFonts w:cs="Arial"/>
                <w:bCs/>
              </w:rPr>
              <w:t>end date.</w:t>
            </w:r>
          </w:p>
          <w:p w:rsidR="004163AB" w:rsidRPr="00EA51DE" w:rsidRDefault="00110444" w:rsidP="004163AB">
            <w:pPr>
              <w:spacing w:before="60" w:after="60" w:line="240" w:lineRule="auto"/>
              <w:rPr>
                <w:rFonts w:cs="Arial"/>
                <w:bCs/>
              </w:rPr>
            </w:pPr>
            <w:r>
              <w:rPr>
                <w:rFonts w:cs="Arial"/>
                <w:bCs/>
              </w:rPr>
              <w:t>Reallocati</w:t>
            </w:r>
            <w:r w:rsidR="002D2838">
              <w:rPr>
                <w:rFonts w:cs="Arial"/>
                <w:bCs/>
              </w:rPr>
              <w:t>on will occur at the Department</w:t>
            </w:r>
            <w:r w:rsidR="001661C9">
              <w:rPr>
                <w:rFonts w:cs="Arial"/>
                <w:bCs/>
              </w:rPr>
              <w:t>’</w:t>
            </w:r>
            <w:r w:rsidR="002D2838">
              <w:rPr>
                <w:rFonts w:cs="Arial"/>
                <w:bCs/>
              </w:rPr>
              <w:t>s discretion but not without consultation with</w:t>
            </w:r>
            <w:r w:rsidR="0090163F">
              <w:rPr>
                <w:rFonts w:cs="Arial"/>
                <w:bCs/>
              </w:rPr>
              <w:t xml:space="preserve"> the impacted</w:t>
            </w:r>
            <w:r w:rsidR="002D2838">
              <w:rPr>
                <w:rFonts w:cs="Arial"/>
                <w:bCs/>
              </w:rPr>
              <w:t xml:space="preserve"> </w:t>
            </w:r>
            <w:r w:rsidR="00DF4E37">
              <w:rPr>
                <w:rFonts w:cs="Arial"/>
                <w:bCs/>
              </w:rPr>
              <w:t>ISMAA Provider</w:t>
            </w:r>
            <w:r w:rsidR="002D2838">
              <w:rPr>
                <w:rFonts w:cs="Arial"/>
                <w:bCs/>
              </w:rPr>
              <w:t>s.</w:t>
            </w:r>
          </w:p>
        </w:tc>
      </w:tr>
    </w:tbl>
    <w:p w:rsidR="0090163F" w:rsidRDefault="0090163F" w:rsidP="0090163F">
      <w:pPr>
        <w:pStyle w:val="H1AASSOGS"/>
        <w:numPr>
          <w:ilvl w:val="0"/>
          <w:numId w:val="0"/>
        </w:numPr>
        <w:ind w:left="720" w:hanging="720"/>
      </w:pPr>
    </w:p>
    <w:p w:rsidR="00934BCD" w:rsidRDefault="00934BCD" w:rsidP="001B3F4B">
      <w:pPr>
        <w:pStyle w:val="H1AASSOGS"/>
      </w:pPr>
      <w:bookmarkStart w:id="52" w:name="_Toc490735667"/>
      <w:r>
        <w:t>Performance Management Framework</w:t>
      </w:r>
      <w:bookmarkEnd w:id="52"/>
    </w:p>
    <w:p w:rsidR="00934BCD" w:rsidRDefault="00934BCD" w:rsidP="00934BCD">
      <w:pPr>
        <w:pStyle w:val="H1AASSOGS"/>
        <w:numPr>
          <w:ilvl w:val="0"/>
          <w:numId w:val="0"/>
        </w:numPr>
        <w:ind w:left="720" w:hanging="720"/>
      </w:pPr>
    </w:p>
    <w:tbl>
      <w:tblPr>
        <w:tblW w:w="1081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3"/>
        <w:gridCol w:w="7664"/>
      </w:tblGrid>
      <w:tr w:rsidR="00934BCD" w:rsidRPr="00573375" w:rsidTr="00936751">
        <w:tc>
          <w:tcPr>
            <w:tcW w:w="3153" w:type="dxa"/>
          </w:tcPr>
          <w:p w:rsidR="00934BCD" w:rsidRPr="00EC5A57" w:rsidRDefault="00934BCD" w:rsidP="00936751">
            <w:pPr>
              <w:pStyle w:val="AASSOGSLEVEL3"/>
              <w:spacing w:before="120" w:after="120" w:line="240" w:lineRule="auto"/>
            </w:pPr>
            <w:bookmarkStart w:id="53" w:name="_Toc324950552"/>
            <w:bookmarkStart w:id="54" w:name="_Toc326676751"/>
            <w:bookmarkStart w:id="55" w:name="_Toc348001420"/>
            <w:bookmarkStart w:id="56" w:name="_Toc348002275"/>
            <w:bookmarkStart w:id="57" w:name="_Toc348002736"/>
            <w:bookmarkStart w:id="58" w:name="_Toc373838128"/>
            <w:bookmarkStart w:id="59" w:name="_Toc374709901"/>
            <w:bookmarkStart w:id="60" w:name="_Toc393442970"/>
            <w:r w:rsidRPr="00EC5A57">
              <w:t>Introduction</w:t>
            </w:r>
            <w:bookmarkEnd w:id="53"/>
            <w:bookmarkEnd w:id="54"/>
            <w:bookmarkEnd w:id="55"/>
            <w:bookmarkEnd w:id="56"/>
            <w:bookmarkEnd w:id="57"/>
            <w:bookmarkEnd w:id="58"/>
            <w:bookmarkEnd w:id="59"/>
            <w:bookmarkEnd w:id="60"/>
          </w:p>
        </w:tc>
        <w:tc>
          <w:tcPr>
            <w:tcW w:w="7664" w:type="dxa"/>
          </w:tcPr>
          <w:p w:rsidR="00934BCD" w:rsidRPr="00852550" w:rsidRDefault="00934BCD" w:rsidP="00B91355">
            <w:pPr>
              <w:spacing w:before="60" w:after="60" w:line="240" w:lineRule="auto"/>
              <w:rPr>
                <w:rFonts w:cs="Arial"/>
              </w:rPr>
            </w:pPr>
            <w:r w:rsidRPr="00852550">
              <w:rPr>
                <w:rFonts w:cs="Arial"/>
              </w:rPr>
              <w:t>The Department has developed a performance management framework consisting of two main elements:</w:t>
            </w:r>
          </w:p>
          <w:p w:rsidR="00934BCD" w:rsidRPr="00852550" w:rsidRDefault="00934BCD" w:rsidP="00846E2F">
            <w:pPr>
              <w:numPr>
                <w:ilvl w:val="0"/>
                <w:numId w:val="27"/>
              </w:numPr>
              <w:spacing w:before="60" w:after="60" w:line="240" w:lineRule="auto"/>
              <w:ind w:left="358" w:hanging="358"/>
              <w:rPr>
                <w:rFonts w:cs="Arial"/>
              </w:rPr>
            </w:pPr>
            <w:r w:rsidRPr="00852550">
              <w:rPr>
                <w:rFonts w:cs="Arial"/>
              </w:rPr>
              <w:t xml:space="preserve">building a productive and on-going business relationship with </w:t>
            </w:r>
            <w:r w:rsidR="00DF4E37">
              <w:rPr>
                <w:rFonts w:cs="Arial"/>
              </w:rPr>
              <w:t>You</w:t>
            </w:r>
            <w:r w:rsidRPr="00852550">
              <w:rPr>
                <w:rFonts w:cs="Arial"/>
              </w:rPr>
              <w:t xml:space="preserve"> that delivers quality </w:t>
            </w:r>
            <w:r w:rsidR="00DF4E37">
              <w:rPr>
                <w:rFonts w:cs="Arial"/>
              </w:rPr>
              <w:t>Services</w:t>
            </w:r>
            <w:r w:rsidRPr="00852550">
              <w:rPr>
                <w:rFonts w:cs="Arial"/>
              </w:rPr>
              <w:t xml:space="preserve"> to </w:t>
            </w:r>
            <w:r w:rsidR="00AB0510">
              <w:rPr>
                <w:rFonts w:cs="Arial"/>
              </w:rPr>
              <w:t>Client</w:t>
            </w:r>
            <w:r w:rsidRPr="00852550">
              <w:rPr>
                <w:rFonts w:cs="Arial"/>
              </w:rPr>
              <w:t>s, and</w:t>
            </w:r>
          </w:p>
          <w:p w:rsidR="00934BCD" w:rsidRPr="00852550" w:rsidRDefault="00934BCD" w:rsidP="00846E2F">
            <w:pPr>
              <w:numPr>
                <w:ilvl w:val="0"/>
                <w:numId w:val="27"/>
              </w:numPr>
              <w:spacing w:before="60" w:after="60" w:line="240" w:lineRule="auto"/>
              <w:ind w:left="358" w:hanging="358"/>
              <w:rPr>
                <w:rFonts w:cs="Arial"/>
              </w:rPr>
            </w:pPr>
            <w:r w:rsidRPr="00852550">
              <w:rPr>
                <w:rFonts w:cs="Arial"/>
              </w:rPr>
              <w:t xml:space="preserve">monitoring all aspects of the delivery of ISMAA </w:t>
            </w:r>
            <w:r w:rsidR="00DF4E37">
              <w:rPr>
                <w:rFonts w:cs="Arial"/>
              </w:rPr>
              <w:t>Services</w:t>
            </w:r>
            <w:r w:rsidRPr="00852550">
              <w:rPr>
                <w:rFonts w:cs="Arial"/>
              </w:rPr>
              <w:t xml:space="preserve"> with performance measured through a range of Key Performance Indicators and </w:t>
            </w:r>
            <w:r w:rsidR="001E51F4">
              <w:rPr>
                <w:rFonts w:cs="Arial"/>
              </w:rPr>
              <w:t>Your</w:t>
            </w:r>
            <w:r w:rsidRPr="00852550">
              <w:rPr>
                <w:rFonts w:cs="Arial"/>
              </w:rPr>
              <w:t xml:space="preserve"> </w:t>
            </w:r>
            <w:r w:rsidR="00DF4E37">
              <w:rPr>
                <w:rFonts w:cs="Arial"/>
              </w:rPr>
              <w:t>Contract</w:t>
            </w:r>
            <w:r w:rsidRPr="00852550">
              <w:rPr>
                <w:rFonts w:cs="Arial"/>
              </w:rPr>
              <w:t>ual compliance.</w:t>
            </w:r>
          </w:p>
        </w:tc>
      </w:tr>
      <w:tr w:rsidR="00934BCD" w:rsidRPr="00573375" w:rsidTr="00936751">
        <w:tc>
          <w:tcPr>
            <w:tcW w:w="3153" w:type="dxa"/>
          </w:tcPr>
          <w:p w:rsidR="00934BCD" w:rsidRPr="00EC5A57" w:rsidRDefault="00934BCD" w:rsidP="00936751">
            <w:pPr>
              <w:pStyle w:val="AASSOGSLEVEL3"/>
              <w:spacing w:before="120" w:after="120" w:line="240" w:lineRule="auto"/>
            </w:pPr>
            <w:r>
              <w:t>Objectives</w:t>
            </w:r>
          </w:p>
        </w:tc>
        <w:tc>
          <w:tcPr>
            <w:tcW w:w="7664" w:type="dxa"/>
          </w:tcPr>
          <w:p w:rsidR="00934BCD" w:rsidRPr="00852550" w:rsidRDefault="00934BCD" w:rsidP="00B91355">
            <w:pPr>
              <w:spacing w:before="60" w:after="60" w:line="240" w:lineRule="auto"/>
              <w:rPr>
                <w:rFonts w:cs="Arial"/>
              </w:rPr>
            </w:pPr>
            <w:r w:rsidRPr="00852550">
              <w:rPr>
                <w:rFonts w:cs="Arial"/>
              </w:rPr>
              <w:t>The Performance Management Framework aims to:</w:t>
            </w:r>
          </w:p>
          <w:p w:rsidR="00934BCD" w:rsidRPr="00852550" w:rsidRDefault="007C2BC9" w:rsidP="00846E2F">
            <w:pPr>
              <w:numPr>
                <w:ilvl w:val="0"/>
                <w:numId w:val="30"/>
              </w:numPr>
              <w:spacing w:before="60" w:after="60" w:line="240" w:lineRule="auto"/>
              <w:rPr>
                <w:rFonts w:cs="Arial"/>
              </w:rPr>
            </w:pPr>
            <w:r>
              <w:rPr>
                <w:rFonts w:cs="Arial"/>
              </w:rPr>
              <w:t>a</w:t>
            </w:r>
            <w:r w:rsidRPr="00852550">
              <w:rPr>
                <w:rFonts w:cs="Arial"/>
              </w:rPr>
              <w:t xml:space="preserve">ctively </w:t>
            </w:r>
            <w:r w:rsidR="00934BCD" w:rsidRPr="00852550">
              <w:rPr>
                <w:rFonts w:cs="Arial"/>
              </w:rPr>
              <w:t xml:space="preserve">monitor </w:t>
            </w:r>
            <w:r w:rsidR="001E51F4">
              <w:rPr>
                <w:rFonts w:cs="Arial"/>
              </w:rPr>
              <w:t>Your</w:t>
            </w:r>
            <w:r w:rsidR="00934BCD" w:rsidRPr="00852550">
              <w:rPr>
                <w:rFonts w:cs="Arial"/>
              </w:rPr>
              <w:t xml:space="preserve"> p</w:t>
            </w:r>
            <w:r w:rsidR="00D02E4F">
              <w:rPr>
                <w:rFonts w:cs="Arial"/>
              </w:rPr>
              <w:t xml:space="preserve">erformance and </w:t>
            </w:r>
            <w:r w:rsidR="00480D00">
              <w:rPr>
                <w:rFonts w:cs="Arial"/>
              </w:rPr>
              <w:t>Service</w:t>
            </w:r>
            <w:r w:rsidR="00D02E4F">
              <w:rPr>
                <w:rFonts w:cs="Arial"/>
              </w:rPr>
              <w:t xml:space="preserve"> quality</w:t>
            </w:r>
          </w:p>
          <w:p w:rsidR="00934BCD" w:rsidRPr="00852550" w:rsidRDefault="007C2BC9" w:rsidP="00846E2F">
            <w:pPr>
              <w:numPr>
                <w:ilvl w:val="0"/>
                <w:numId w:val="30"/>
              </w:numPr>
              <w:spacing w:before="60" w:after="60" w:line="240" w:lineRule="auto"/>
              <w:rPr>
                <w:rFonts w:cs="Arial"/>
              </w:rPr>
            </w:pPr>
            <w:r>
              <w:rPr>
                <w:rFonts w:cs="Arial"/>
              </w:rPr>
              <w:t>i</w:t>
            </w:r>
            <w:r w:rsidRPr="00852550">
              <w:rPr>
                <w:rFonts w:cs="Arial"/>
              </w:rPr>
              <w:t xml:space="preserve">dentify </w:t>
            </w:r>
            <w:r w:rsidR="00934BCD" w:rsidRPr="00852550">
              <w:rPr>
                <w:rFonts w:cs="Arial"/>
              </w:rPr>
              <w:t>and promptly address any underperfo</w:t>
            </w:r>
            <w:r w:rsidR="00D02E4F">
              <w:rPr>
                <w:rFonts w:cs="Arial"/>
              </w:rPr>
              <w:t>rmance</w:t>
            </w:r>
          </w:p>
          <w:p w:rsidR="00934BCD" w:rsidRPr="00852550" w:rsidRDefault="007C2BC9" w:rsidP="00846E2F">
            <w:pPr>
              <w:numPr>
                <w:ilvl w:val="0"/>
                <w:numId w:val="30"/>
              </w:numPr>
              <w:spacing w:before="60" w:after="60" w:line="240" w:lineRule="auto"/>
              <w:rPr>
                <w:rFonts w:cs="Arial"/>
              </w:rPr>
            </w:pPr>
            <w:r>
              <w:rPr>
                <w:rFonts w:cs="Arial"/>
              </w:rPr>
              <w:t>d</w:t>
            </w:r>
            <w:r w:rsidRPr="00852550">
              <w:rPr>
                <w:rFonts w:cs="Arial"/>
              </w:rPr>
              <w:t xml:space="preserve">rive </w:t>
            </w:r>
            <w:r w:rsidR="00934BCD" w:rsidRPr="00852550">
              <w:rPr>
                <w:rFonts w:cs="Arial"/>
              </w:rPr>
              <w:t>continuous improvement and ide</w:t>
            </w:r>
            <w:r w:rsidR="00D02E4F">
              <w:rPr>
                <w:rFonts w:cs="Arial"/>
              </w:rPr>
              <w:t>ntification of leading practice</w:t>
            </w:r>
          </w:p>
          <w:p w:rsidR="00934BCD" w:rsidRPr="00852550" w:rsidRDefault="007C2BC9" w:rsidP="00846E2F">
            <w:pPr>
              <w:numPr>
                <w:ilvl w:val="0"/>
                <w:numId w:val="30"/>
              </w:numPr>
              <w:spacing w:before="60" w:after="60" w:line="240" w:lineRule="auto"/>
              <w:rPr>
                <w:rFonts w:cs="Arial"/>
              </w:rPr>
            </w:pPr>
            <w:r>
              <w:rPr>
                <w:rFonts w:cs="Arial"/>
              </w:rPr>
              <w:t>e</w:t>
            </w:r>
            <w:r w:rsidRPr="00852550">
              <w:rPr>
                <w:rFonts w:cs="Arial"/>
              </w:rPr>
              <w:t xml:space="preserve">xamine </w:t>
            </w:r>
            <w:r w:rsidR="00934BCD" w:rsidRPr="00852550">
              <w:rPr>
                <w:rFonts w:cs="Arial"/>
              </w:rPr>
              <w:t xml:space="preserve">and assess the relevance and effectiveness of </w:t>
            </w:r>
            <w:r w:rsidR="00DF4E37">
              <w:rPr>
                <w:rFonts w:cs="Arial"/>
              </w:rPr>
              <w:t>Services</w:t>
            </w:r>
            <w:r w:rsidR="00D02E4F">
              <w:rPr>
                <w:rFonts w:cs="Arial"/>
              </w:rPr>
              <w:t xml:space="preserve"> provided</w:t>
            </w:r>
          </w:p>
          <w:p w:rsidR="00934BCD" w:rsidRPr="00852550" w:rsidRDefault="007C2BC9" w:rsidP="00846E2F">
            <w:pPr>
              <w:numPr>
                <w:ilvl w:val="0"/>
                <w:numId w:val="30"/>
              </w:numPr>
              <w:spacing w:before="60" w:after="60" w:line="240" w:lineRule="auto"/>
              <w:rPr>
                <w:rFonts w:cs="Arial"/>
              </w:rPr>
            </w:pPr>
            <w:r>
              <w:rPr>
                <w:rFonts w:cs="Arial"/>
              </w:rPr>
              <w:t>e</w:t>
            </w:r>
            <w:r w:rsidRPr="00852550">
              <w:rPr>
                <w:rFonts w:cs="Arial"/>
              </w:rPr>
              <w:t xml:space="preserve">nsure </w:t>
            </w:r>
            <w:r w:rsidR="00934BCD" w:rsidRPr="00852550">
              <w:rPr>
                <w:rFonts w:cs="Arial"/>
              </w:rPr>
              <w:t>value for money from Australian Government investment in the ISMAA program.</w:t>
            </w:r>
          </w:p>
        </w:tc>
      </w:tr>
      <w:tr w:rsidR="00933CD5" w:rsidRPr="00573375" w:rsidTr="00936751">
        <w:tc>
          <w:tcPr>
            <w:tcW w:w="3153" w:type="dxa"/>
          </w:tcPr>
          <w:p w:rsidR="00933CD5" w:rsidRDefault="00933CD5" w:rsidP="00936751">
            <w:pPr>
              <w:pStyle w:val="AASSOGSLEVEL3"/>
              <w:spacing w:before="120" w:after="120" w:line="240" w:lineRule="auto"/>
            </w:pPr>
            <w:bookmarkStart w:id="61" w:name="_Toc324950560"/>
            <w:bookmarkStart w:id="62" w:name="_Toc326676759"/>
            <w:bookmarkStart w:id="63" w:name="_Toc348001428"/>
            <w:bookmarkStart w:id="64" w:name="_Toc348002283"/>
            <w:bookmarkStart w:id="65" w:name="_Toc348002744"/>
            <w:bookmarkStart w:id="66" w:name="_Toc373838136"/>
            <w:bookmarkStart w:id="67" w:name="_Toc374709909"/>
            <w:bookmarkStart w:id="68" w:name="_Toc393442978"/>
            <w:r w:rsidRPr="00EC5A57">
              <w:t>Key Performance Indicators</w:t>
            </w:r>
            <w:bookmarkEnd w:id="61"/>
            <w:bookmarkEnd w:id="62"/>
            <w:bookmarkEnd w:id="63"/>
            <w:bookmarkEnd w:id="64"/>
            <w:bookmarkEnd w:id="65"/>
            <w:bookmarkEnd w:id="66"/>
            <w:bookmarkEnd w:id="67"/>
            <w:bookmarkEnd w:id="68"/>
          </w:p>
        </w:tc>
        <w:tc>
          <w:tcPr>
            <w:tcW w:w="7664" w:type="dxa"/>
          </w:tcPr>
          <w:p w:rsidR="00933CD5" w:rsidRPr="00852550" w:rsidRDefault="00933CD5" w:rsidP="00B91355">
            <w:pPr>
              <w:spacing w:before="60" w:after="60" w:line="240" w:lineRule="auto"/>
              <w:rPr>
                <w:rFonts w:cs="Arial"/>
              </w:rPr>
            </w:pPr>
            <w:r w:rsidRPr="00852550">
              <w:rPr>
                <w:rFonts w:cs="Arial"/>
              </w:rPr>
              <w:t xml:space="preserve">The Key Performance Indicators (KPIs) have been developed to measure the delivery of ISMAA </w:t>
            </w:r>
            <w:r w:rsidR="00DF4E37">
              <w:rPr>
                <w:rFonts w:cs="Arial"/>
              </w:rPr>
              <w:t>Services</w:t>
            </w:r>
            <w:r w:rsidRPr="00852550">
              <w:rPr>
                <w:rFonts w:cs="Arial"/>
              </w:rPr>
              <w:t xml:space="preserve"> against benchmarks and </w:t>
            </w:r>
            <w:r w:rsidR="00480D00">
              <w:rPr>
                <w:rFonts w:cs="Arial"/>
              </w:rPr>
              <w:t>Service</w:t>
            </w:r>
            <w:r w:rsidRPr="00852550">
              <w:rPr>
                <w:rFonts w:cs="Arial"/>
              </w:rPr>
              <w:t xml:space="preserve"> quality.</w:t>
            </w:r>
          </w:p>
          <w:p w:rsidR="00933CD5" w:rsidRPr="00852550" w:rsidRDefault="00933CD5" w:rsidP="00B91355">
            <w:pPr>
              <w:spacing w:before="60" w:after="60" w:line="240" w:lineRule="auto"/>
              <w:rPr>
                <w:rFonts w:cs="Arial"/>
              </w:rPr>
            </w:pPr>
            <w:r w:rsidRPr="00852550">
              <w:rPr>
                <w:rFonts w:cs="Arial"/>
              </w:rPr>
              <w:t xml:space="preserve">KPIs will form the basis for measuring </w:t>
            </w:r>
            <w:r w:rsidR="001E51F4">
              <w:rPr>
                <w:rFonts w:cs="Arial"/>
              </w:rPr>
              <w:t>Your</w:t>
            </w:r>
            <w:r w:rsidRPr="00852550">
              <w:rPr>
                <w:rFonts w:cs="Arial"/>
              </w:rPr>
              <w:t xml:space="preserve"> performance in conjunction with other terms and conditions in the Contract and the Guidelines. </w:t>
            </w:r>
            <w:r w:rsidR="008104C4">
              <w:rPr>
                <w:rFonts w:cs="Arial"/>
              </w:rPr>
              <w:t>Y</w:t>
            </w:r>
            <w:r w:rsidR="00E47D93">
              <w:rPr>
                <w:rFonts w:cs="Arial"/>
              </w:rPr>
              <w:t>ou</w:t>
            </w:r>
            <w:r w:rsidRPr="00852550">
              <w:rPr>
                <w:rFonts w:cs="Arial"/>
              </w:rPr>
              <w:t xml:space="preserve"> will be expected to deliver </w:t>
            </w:r>
            <w:r w:rsidR="00DF4E37">
              <w:rPr>
                <w:rFonts w:cs="Arial"/>
              </w:rPr>
              <w:t>Services</w:t>
            </w:r>
            <w:r w:rsidRPr="00852550">
              <w:rPr>
                <w:rFonts w:cs="Arial"/>
              </w:rPr>
              <w:t xml:space="preserve"> in a manner which achieves optimum performance when measured against the KPIs. </w:t>
            </w:r>
          </w:p>
          <w:p w:rsidR="00933CD5" w:rsidRDefault="001E51F4" w:rsidP="00B91355">
            <w:pPr>
              <w:spacing w:before="60" w:after="60" w:line="240" w:lineRule="auto"/>
              <w:rPr>
                <w:rFonts w:cs="Arial"/>
              </w:rPr>
            </w:pPr>
            <w:r>
              <w:rPr>
                <w:rFonts w:cs="Arial"/>
              </w:rPr>
              <w:t>Your</w:t>
            </w:r>
            <w:r w:rsidR="00933CD5" w:rsidRPr="00852550">
              <w:rPr>
                <w:rFonts w:cs="Arial"/>
              </w:rPr>
              <w:t xml:space="preserve"> performance in delivering ISMAA </w:t>
            </w:r>
            <w:r w:rsidR="00DF4E37">
              <w:rPr>
                <w:rFonts w:cs="Arial"/>
              </w:rPr>
              <w:t>Services</w:t>
            </w:r>
            <w:r w:rsidR="00933CD5" w:rsidRPr="00852550">
              <w:rPr>
                <w:rFonts w:cs="Arial"/>
              </w:rPr>
              <w:t xml:space="preserve"> will be measured through</w:t>
            </w:r>
            <w:r w:rsidR="008014AF" w:rsidRPr="00852550">
              <w:rPr>
                <w:rFonts w:cs="Arial"/>
              </w:rPr>
              <w:t xml:space="preserve"> </w:t>
            </w:r>
            <w:r w:rsidR="001F4FDC">
              <w:rPr>
                <w:rFonts w:cs="Arial"/>
              </w:rPr>
              <w:t xml:space="preserve">five </w:t>
            </w:r>
            <w:r w:rsidR="00933CD5" w:rsidRPr="00852550">
              <w:rPr>
                <w:rFonts w:cs="Arial"/>
              </w:rPr>
              <w:t>KPIs. Th</w:t>
            </w:r>
            <w:r w:rsidR="001F4FDC">
              <w:rPr>
                <w:rFonts w:cs="Arial"/>
              </w:rPr>
              <w:t>ese</w:t>
            </w:r>
            <w:r w:rsidR="00933CD5" w:rsidRPr="00852550">
              <w:rPr>
                <w:rFonts w:cs="Arial"/>
              </w:rPr>
              <w:t xml:space="preserve"> will include both quantitative and qualitative measures.</w:t>
            </w:r>
          </w:p>
          <w:p w:rsidR="00DB434B" w:rsidRPr="00852550" w:rsidRDefault="00DB434B" w:rsidP="00B91355">
            <w:pPr>
              <w:spacing w:before="60" w:after="60" w:line="240" w:lineRule="auto"/>
              <w:rPr>
                <w:rFonts w:cs="Arial"/>
              </w:rPr>
            </w:pPr>
          </w:p>
          <w:tbl>
            <w:tblPr>
              <w:tblW w:w="726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2470"/>
              <w:gridCol w:w="2907"/>
            </w:tblGrid>
            <w:tr w:rsidR="00933CD5" w:rsidRPr="004E55ED" w:rsidTr="00906032">
              <w:tc>
                <w:tcPr>
                  <w:tcW w:w="1301" w:type="pct"/>
                  <w:shd w:val="clear" w:color="auto" w:fill="D9D9D9"/>
                  <w:vAlign w:val="center"/>
                </w:tcPr>
                <w:p w:rsidR="00933CD5" w:rsidRPr="004E55ED" w:rsidRDefault="00933CD5" w:rsidP="00B91355">
                  <w:pPr>
                    <w:tabs>
                      <w:tab w:val="left" w:pos="5812"/>
                    </w:tabs>
                    <w:spacing w:before="60" w:after="60" w:line="240" w:lineRule="auto"/>
                    <w:ind w:left="33" w:right="351"/>
                    <w:jc w:val="center"/>
                    <w:outlineLvl w:val="2"/>
                    <w:rPr>
                      <w:rFonts w:cs="Arial"/>
                      <w:b/>
                    </w:rPr>
                  </w:pPr>
                  <w:r w:rsidRPr="004E55ED">
                    <w:rPr>
                      <w:rFonts w:cs="Arial"/>
                      <w:b/>
                    </w:rPr>
                    <w:t>Measurement Type</w:t>
                  </w:r>
                </w:p>
              </w:tc>
              <w:tc>
                <w:tcPr>
                  <w:tcW w:w="1699" w:type="pct"/>
                  <w:shd w:val="clear" w:color="auto" w:fill="D9D9D9"/>
                  <w:vAlign w:val="center"/>
                </w:tcPr>
                <w:p w:rsidR="00933CD5" w:rsidRPr="004E55ED" w:rsidRDefault="00933CD5" w:rsidP="00B91355">
                  <w:pPr>
                    <w:tabs>
                      <w:tab w:val="left" w:pos="5812"/>
                    </w:tabs>
                    <w:spacing w:before="60" w:after="60" w:line="240" w:lineRule="auto"/>
                    <w:ind w:right="351"/>
                    <w:jc w:val="center"/>
                    <w:outlineLvl w:val="2"/>
                    <w:rPr>
                      <w:rFonts w:cs="Arial"/>
                      <w:b/>
                    </w:rPr>
                  </w:pPr>
                  <w:r w:rsidRPr="004E55ED">
                    <w:rPr>
                      <w:rFonts w:cs="Arial"/>
                      <w:b/>
                    </w:rPr>
                    <w:t>Key Performance Indicator</w:t>
                  </w:r>
                </w:p>
              </w:tc>
              <w:tc>
                <w:tcPr>
                  <w:tcW w:w="2000" w:type="pct"/>
                  <w:shd w:val="clear" w:color="auto" w:fill="D9D9D9"/>
                </w:tcPr>
                <w:p w:rsidR="00933CD5" w:rsidRPr="004E55ED" w:rsidRDefault="00933CD5" w:rsidP="00B91355">
                  <w:pPr>
                    <w:tabs>
                      <w:tab w:val="left" w:pos="5812"/>
                    </w:tabs>
                    <w:spacing w:before="60" w:after="60" w:line="240" w:lineRule="auto"/>
                    <w:ind w:right="351"/>
                    <w:jc w:val="center"/>
                    <w:outlineLvl w:val="2"/>
                    <w:rPr>
                      <w:rFonts w:cs="Arial"/>
                      <w:b/>
                    </w:rPr>
                  </w:pPr>
                  <w:r w:rsidRPr="004E55ED">
                    <w:rPr>
                      <w:rFonts w:cs="Arial"/>
                      <w:b/>
                    </w:rPr>
                    <w:t>Key Performance Indicator requirement</w:t>
                  </w:r>
                </w:p>
              </w:tc>
            </w:tr>
            <w:tr w:rsidR="004D279E" w:rsidRPr="00852550" w:rsidTr="00906032">
              <w:tc>
                <w:tcPr>
                  <w:tcW w:w="1301" w:type="pct"/>
                  <w:vMerge w:val="restart"/>
                  <w:shd w:val="clear" w:color="auto" w:fill="auto"/>
                </w:tcPr>
                <w:p w:rsidR="004D279E" w:rsidRPr="004E55ED" w:rsidRDefault="004D279E" w:rsidP="00B91355">
                  <w:pPr>
                    <w:tabs>
                      <w:tab w:val="left" w:pos="426"/>
                    </w:tabs>
                    <w:spacing w:before="60" w:after="60" w:line="240" w:lineRule="auto"/>
                    <w:rPr>
                      <w:rFonts w:cs="Arial"/>
                      <w:b/>
                    </w:rPr>
                  </w:pPr>
                  <w:r w:rsidRPr="004E55ED">
                    <w:rPr>
                      <w:rFonts w:cs="Arial"/>
                      <w:b/>
                    </w:rPr>
                    <w:t>Quantitative</w:t>
                  </w:r>
                </w:p>
              </w:tc>
              <w:tc>
                <w:tcPr>
                  <w:tcW w:w="1699" w:type="pct"/>
                  <w:shd w:val="clear" w:color="auto" w:fill="auto"/>
                </w:tcPr>
                <w:p w:rsidR="004D279E" w:rsidRPr="00852550" w:rsidRDefault="004D279E" w:rsidP="00B91355">
                  <w:pPr>
                    <w:keepNext/>
                    <w:numPr>
                      <w:ilvl w:val="1"/>
                      <w:numId w:val="0"/>
                    </w:numPr>
                    <w:spacing w:before="60" w:after="60" w:line="240" w:lineRule="auto"/>
                    <w:ind w:left="378" w:hanging="378"/>
                    <w:outlineLvl w:val="1"/>
                    <w:rPr>
                      <w:rFonts w:cs="Arial"/>
                    </w:rPr>
                  </w:pPr>
                  <w:r w:rsidRPr="00852550">
                    <w:rPr>
                      <w:rFonts w:cs="Arial"/>
                    </w:rPr>
                    <w:t xml:space="preserve">1    ISMAA Benchmark </w:t>
                  </w:r>
                </w:p>
                <w:p w:rsidR="004D279E" w:rsidRPr="00852550" w:rsidRDefault="004D279E" w:rsidP="00B91355">
                  <w:pPr>
                    <w:keepNext/>
                    <w:numPr>
                      <w:ilvl w:val="1"/>
                      <w:numId w:val="0"/>
                    </w:numPr>
                    <w:spacing w:before="60" w:after="60" w:line="240" w:lineRule="auto"/>
                    <w:ind w:left="378" w:hanging="378"/>
                    <w:outlineLvl w:val="1"/>
                    <w:rPr>
                      <w:rFonts w:cs="Arial"/>
                    </w:rPr>
                  </w:pPr>
                </w:p>
                <w:p w:rsidR="004D279E" w:rsidRPr="00852550" w:rsidRDefault="004D279E" w:rsidP="00B91355">
                  <w:pPr>
                    <w:keepNext/>
                    <w:numPr>
                      <w:ilvl w:val="1"/>
                      <w:numId w:val="0"/>
                    </w:numPr>
                    <w:spacing w:before="60" w:after="60" w:line="240" w:lineRule="auto"/>
                    <w:ind w:left="378" w:hanging="378"/>
                    <w:outlineLvl w:val="1"/>
                    <w:rPr>
                      <w:rFonts w:cs="Arial"/>
                    </w:rPr>
                  </w:pPr>
                </w:p>
              </w:tc>
              <w:tc>
                <w:tcPr>
                  <w:tcW w:w="2000" w:type="pct"/>
                </w:tcPr>
                <w:p w:rsidR="004D279E" w:rsidRPr="00852550" w:rsidRDefault="004D279E" w:rsidP="007C2BC9">
                  <w:pPr>
                    <w:keepNext/>
                    <w:numPr>
                      <w:ilvl w:val="1"/>
                      <w:numId w:val="0"/>
                    </w:numPr>
                    <w:spacing w:before="60" w:after="60" w:line="240" w:lineRule="auto"/>
                    <w:outlineLvl w:val="1"/>
                    <w:rPr>
                      <w:rFonts w:cs="Arial"/>
                    </w:rPr>
                  </w:pPr>
                  <w:r w:rsidRPr="00852550">
                    <w:rPr>
                      <w:rFonts w:cs="Arial"/>
                    </w:rPr>
                    <w:t xml:space="preserve">The number of </w:t>
                  </w:r>
                  <w:r w:rsidR="00AB0510">
                    <w:rPr>
                      <w:rFonts w:cs="Arial"/>
                    </w:rPr>
                    <w:t>Client</w:t>
                  </w:r>
                  <w:r w:rsidRPr="00852550">
                    <w:rPr>
                      <w:rFonts w:cs="Arial"/>
                    </w:rPr>
                    <w:t xml:space="preserve">s serviced meets or exceeds </w:t>
                  </w:r>
                  <w:r w:rsidR="001E51F4">
                    <w:rPr>
                      <w:rFonts w:cs="Arial"/>
                    </w:rPr>
                    <w:t>Your</w:t>
                  </w:r>
                  <w:r w:rsidRPr="00852550">
                    <w:rPr>
                      <w:rFonts w:cs="Arial"/>
                    </w:rPr>
                    <w:t xml:space="preserve"> ISMAA Benchmark as specified in </w:t>
                  </w:r>
                  <w:r w:rsidR="001E51F4">
                    <w:rPr>
                      <w:rFonts w:cs="Arial"/>
                    </w:rPr>
                    <w:t>Your</w:t>
                  </w:r>
                  <w:r w:rsidR="007C2BC9" w:rsidRPr="00852550">
                    <w:rPr>
                      <w:rFonts w:cs="Arial"/>
                    </w:rPr>
                    <w:t xml:space="preserve"> </w:t>
                  </w:r>
                  <w:r w:rsidRPr="00852550">
                    <w:rPr>
                      <w:rFonts w:cs="Arial"/>
                    </w:rPr>
                    <w:t>Contract.</w:t>
                  </w:r>
                </w:p>
              </w:tc>
            </w:tr>
            <w:tr w:rsidR="004D279E" w:rsidRPr="00852550" w:rsidTr="00906032">
              <w:tc>
                <w:tcPr>
                  <w:tcW w:w="1301" w:type="pct"/>
                  <w:vMerge/>
                  <w:shd w:val="clear" w:color="auto" w:fill="auto"/>
                </w:tcPr>
                <w:p w:rsidR="004D279E" w:rsidRPr="004E55ED" w:rsidRDefault="004D279E" w:rsidP="00B91355">
                  <w:pPr>
                    <w:tabs>
                      <w:tab w:val="left" w:pos="426"/>
                    </w:tabs>
                    <w:spacing w:before="60" w:after="60" w:line="240" w:lineRule="auto"/>
                    <w:rPr>
                      <w:rFonts w:cs="Arial"/>
                      <w:b/>
                    </w:rPr>
                  </w:pPr>
                </w:p>
              </w:tc>
              <w:tc>
                <w:tcPr>
                  <w:tcW w:w="1699" w:type="pct"/>
                  <w:shd w:val="clear" w:color="auto" w:fill="auto"/>
                </w:tcPr>
                <w:p w:rsidR="004D279E" w:rsidRPr="00852550" w:rsidRDefault="004D279E" w:rsidP="00B91355">
                  <w:pPr>
                    <w:keepNext/>
                    <w:numPr>
                      <w:ilvl w:val="1"/>
                      <w:numId w:val="0"/>
                    </w:numPr>
                    <w:spacing w:before="60" w:after="60" w:line="240" w:lineRule="auto"/>
                    <w:ind w:left="378" w:hanging="378"/>
                    <w:outlineLvl w:val="1"/>
                    <w:rPr>
                      <w:rFonts w:cs="Arial"/>
                    </w:rPr>
                  </w:pPr>
                  <w:r w:rsidRPr="00852550">
                    <w:rPr>
                      <w:rFonts w:cs="Arial"/>
                    </w:rPr>
                    <w:t>2    IMP Monitoring </w:t>
                  </w:r>
                </w:p>
              </w:tc>
              <w:tc>
                <w:tcPr>
                  <w:tcW w:w="2000" w:type="pct"/>
                </w:tcPr>
                <w:p w:rsidR="004D279E" w:rsidRPr="00852550" w:rsidRDefault="001E51F4" w:rsidP="00B91355">
                  <w:pPr>
                    <w:keepNext/>
                    <w:numPr>
                      <w:ilvl w:val="1"/>
                      <w:numId w:val="0"/>
                    </w:numPr>
                    <w:spacing w:before="60" w:after="60" w:line="240" w:lineRule="auto"/>
                    <w:outlineLvl w:val="1"/>
                    <w:rPr>
                      <w:rFonts w:cs="Arial"/>
                    </w:rPr>
                  </w:pPr>
                  <w:r>
                    <w:rPr>
                      <w:rFonts w:cs="Arial"/>
                    </w:rPr>
                    <w:t>Your</w:t>
                  </w:r>
                  <w:r w:rsidR="004D279E" w:rsidRPr="00852550">
                    <w:rPr>
                      <w:rFonts w:cs="Arial"/>
                    </w:rPr>
                    <w:t xml:space="preserve"> administration and provision of Individual Mentoring Plans must be in accordance with the </w:t>
                  </w:r>
                  <w:r w:rsidR="004D279E" w:rsidRPr="00852550">
                    <w:rPr>
                      <w:rFonts w:cs="Arial"/>
                    </w:rPr>
                    <w:lastRenderedPageBreak/>
                    <w:t>Guidelines and program expectations.</w:t>
                  </w:r>
                </w:p>
              </w:tc>
            </w:tr>
            <w:tr w:rsidR="004D279E" w:rsidRPr="00852550" w:rsidTr="00906032">
              <w:tc>
                <w:tcPr>
                  <w:tcW w:w="1301" w:type="pct"/>
                  <w:vMerge/>
                  <w:shd w:val="clear" w:color="auto" w:fill="auto"/>
                </w:tcPr>
                <w:p w:rsidR="004D279E" w:rsidRPr="004E55ED" w:rsidRDefault="004D279E" w:rsidP="00B91355">
                  <w:pPr>
                    <w:tabs>
                      <w:tab w:val="left" w:pos="426"/>
                    </w:tabs>
                    <w:spacing w:before="60" w:after="60" w:line="240" w:lineRule="auto"/>
                    <w:rPr>
                      <w:rFonts w:cs="Arial"/>
                      <w:b/>
                    </w:rPr>
                  </w:pPr>
                </w:p>
              </w:tc>
              <w:tc>
                <w:tcPr>
                  <w:tcW w:w="1699" w:type="pct"/>
                  <w:shd w:val="clear" w:color="auto" w:fill="auto"/>
                </w:tcPr>
                <w:p w:rsidR="004D279E" w:rsidRPr="00852550" w:rsidRDefault="004D279E" w:rsidP="00B91355">
                  <w:pPr>
                    <w:keepNext/>
                    <w:numPr>
                      <w:ilvl w:val="1"/>
                      <w:numId w:val="0"/>
                    </w:numPr>
                    <w:spacing w:before="60" w:after="60" w:line="240" w:lineRule="auto"/>
                    <w:ind w:left="378" w:hanging="378"/>
                    <w:outlineLvl w:val="1"/>
                    <w:rPr>
                      <w:rFonts w:cs="Arial"/>
                    </w:rPr>
                  </w:pPr>
                  <w:r w:rsidRPr="00852550">
                    <w:rPr>
                      <w:rFonts w:cs="Arial"/>
                    </w:rPr>
                    <w:t>3</w:t>
                  </w:r>
                  <w:r w:rsidRPr="00852550">
                    <w:rPr>
                      <w:rFonts w:cs="Arial"/>
                    </w:rPr>
                    <w:tab/>
                    <w:t>Data Reporting</w:t>
                  </w:r>
                </w:p>
              </w:tc>
              <w:tc>
                <w:tcPr>
                  <w:tcW w:w="2000" w:type="pct"/>
                </w:tcPr>
                <w:p w:rsidR="004D279E" w:rsidRPr="00852550" w:rsidRDefault="001E51F4" w:rsidP="00B91355">
                  <w:pPr>
                    <w:keepNext/>
                    <w:numPr>
                      <w:ilvl w:val="1"/>
                      <w:numId w:val="0"/>
                    </w:numPr>
                    <w:spacing w:before="60" w:after="60" w:line="240" w:lineRule="auto"/>
                    <w:outlineLvl w:val="1"/>
                    <w:rPr>
                      <w:rFonts w:cs="Arial"/>
                    </w:rPr>
                  </w:pPr>
                  <w:r>
                    <w:rPr>
                      <w:rFonts w:cs="Arial"/>
                    </w:rPr>
                    <w:t>Your</w:t>
                  </w:r>
                  <w:r w:rsidR="004D279E" w:rsidRPr="00852550">
                    <w:rPr>
                      <w:rFonts w:cs="Arial"/>
                    </w:rPr>
                    <w:t xml:space="preserve"> administration and provision of ISMAA Reporting Data must be in accordance with the Guidelines and program expectations.</w:t>
                  </w:r>
                </w:p>
              </w:tc>
            </w:tr>
            <w:tr w:rsidR="004D279E" w:rsidRPr="00852550" w:rsidTr="00906032">
              <w:tc>
                <w:tcPr>
                  <w:tcW w:w="1301" w:type="pct"/>
                  <w:vMerge/>
                  <w:shd w:val="clear" w:color="auto" w:fill="auto"/>
                </w:tcPr>
                <w:p w:rsidR="004D279E" w:rsidRPr="004E55ED" w:rsidRDefault="004D279E" w:rsidP="00B91355">
                  <w:pPr>
                    <w:tabs>
                      <w:tab w:val="left" w:pos="426"/>
                    </w:tabs>
                    <w:spacing w:before="60" w:after="60" w:line="240" w:lineRule="auto"/>
                    <w:rPr>
                      <w:rFonts w:cs="Arial"/>
                      <w:b/>
                    </w:rPr>
                  </w:pPr>
                </w:p>
              </w:tc>
              <w:tc>
                <w:tcPr>
                  <w:tcW w:w="1699" w:type="pct"/>
                  <w:shd w:val="clear" w:color="auto" w:fill="auto"/>
                </w:tcPr>
                <w:p w:rsidR="004D279E" w:rsidRPr="00852550" w:rsidRDefault="004D279E" w:rsidP="00B91355">
                  <w:pPr>
                    <w:keepNext/>
                    <w:numPr>
                      <w:ilvl w:val="1"/>
                      <w:numId w:val="0"/>
                    </w:numPr>
                    <w:spacing w:before="60" w:after="60" w:line="240" w:lineRule="auto"/>
                    <w:ind w:left="378" w:hanging="378"/>
                    <w:outlineLvl w:val="1"/>
                    <w:rPr>
                      <w:rFonts w:cs="Arial"/>
                    </w:rPr>
                  </w:pPr>
                  <w:r w:rsidRPr="00852550">
                    <w:rPr>
                      <w:rFonts w:cs="Arial"/>
                    </w:rPr>
                    <w:t>4</w:t>
                  </w:r>
                  <w:r w:rsidRPr="00852550">
                    <w:rPr>
                      <w:rFonts w:cs="Arial"/>
                    </w:rPr>
                    <w:tab/>
                    <w:t>Retention Targets</w:t>
                  </w:r>
                </w:p>
              </w:tc>
              <w:tc>
                <w:tcPr>
                  <w:tcW w:w="2000" w:type="pct"/>
                </w:tcPr>
                <w:p w:rsidR="004D279E" w:rsidRPr="00852550" w:rsidRDefault="001E51F4" w:rsidP="00B91355">
                  <w:pPr>
                    <w:keepNext/>
                    <w:numPr>
                      <w:ilvl w:val="1"/>
                      <w:numId w:val="0"/>
                    </w:numPr>
                    <w:spacing w:before="60" w:after="60" w:line="240" w:lineRule="auto"/>
                    <w:outlineLvl w:val="1"/>
                    <w:rPr>
                      <w:rFonts w:cs="Arial"/>
                    </w:rPr>
                  </w:pPr>
                  <w:r>
                    <w:rPr>
                      <w:rFonts w:cs="Arial"/>
                    </w:rPr>
                    <w:t>Your</w:t>
                  </w:r>
                  <w:r w:rsidR="004D279E" w:rsidRPr="00852550">
                    <w:rPr>
                      <w:rFonts w:cs="Arial"/>
                    </w:rPr>
                    <w:t xml:space="preserve"> performance against Retention Targets that are specified in </w:t>
                  </w:r>
                  <w:r>
                    <w:rPr>
                      <w:rFonts w:cs="Arial"/>
                    </w:rPr>
                    <w:t>Your</w:t>
                  </w:r>
                  <w:r w:rsidR="004D279E" w:rsidRPr="00852550">
                    <w:rPr>
                      <w:rFonts w:cs="Arial"/>
                    </w:rPr>
                    <w:t xml:space="preserve"> </w:t>
                  </w:r>
                  <w:r w:rsidR="00DF4E37">
                    <w:rPr>
                      <w:rFonts w:cs="Arial"/>
                    </w:rPr>
                    <w:t>Contract</w:t>
                  </w:r>
                  <w:r w:rsidR="004D279E" w:rsidRPr="00852550">
                    <w:rPr>
                      <w:rFonts w:cs="Arial"/>
                    </w:rPr>
                    <w:t>.</w:t>
                  </w:r>
                </w:p>
              </w:tc>
            </w:tr>
            <w:tr w:rsidR="004D279E" w:rsidRPr="00852550" w:rsidTr="00906032">
              <w:tc>
                <w:tcPr>
                  <w:tcW w:w="1301" w:type="pct"/>
                  <w:shd w:val="clear" w:color="auto" w:fill="auto"/>
                </w:tcPr>
                <w:p w:rsidR="004D279E" w:rsidRPr="004E55ED" w:rsidRDefault="004D279E" w:rsidP="00B91355">
                  <w:pPr>
                    <w:tabs>
                      <w:tab w:val="left" w:pos="426"/>
                    </w:tabs>
                    <w:spacing w:before="60" w:after="60" w:line="240" w:lineRule="auto"/>
                    <w:rPr>
                      <w:rFonts w:cs="Arial"/>
                      <w:b/>
                    </w:rPr>
                  </w:pPr>
                  <w:r w:rsidRPr="004E55ED">
                    <w:rPr>
                      <w:rFonts w:cs="Arial"/>
                      <w:b/>
                    </w:rPr>
                    <w:t xml:space="preserve">Qualitative </w:t>
                  </w:r>
                </w:p>
                <w:p w:rsidR="004D279E" w:rsidRPr="004E55ED" w:rsidRDefault="004D279E" w:rsidP="00B91355">
                  <w:pPr>
                    <w:tabs>
                      <w:tab w:val="left" w:pos="426"/>
                    </w:tabs>
                    <w:spacing w:before="60" w:after="60" w:line="240" w:lineRule="auto"/>
                    <w:rPr>
                      <w:rFonts w:cs="Arial"/>
                      <w:b/>
                    </w:rPr>
                  </w:pPr>
                </w:p>
              </w:tc>
              <w:tc>
                <w:tcPr>
                  <w:tcW w:w="1699" w:type="pct"/>
                  <w:shd w:val="clear" w:color="auto" w:fill="auto"/>
                </w:tcPr>
                <w:p w:rsidR="004D279E" w:rsidRPr="00852550" w:rsidRDefault="004D279E" w:rsidP="00B91355">
                  <w:pPr>
                    <w:keepNext/>
                    <w:numPr>
                      <w:ilvl w:val="1"/>
                      <w:numId w:val="0"/>
                    </w:numPr>
                    <w:spacing w:before="60" w:after="60" w:line="240" w:lineRule="auto"/>
                    <w:ind w:left="378" w:hanging="378"/>
                    <w:outlineLvl w:val="1"/>
                    <w:rPr>
                      <w:rFonts w:cs="Arial"/>
                    </w:rPr>
                  </w:pPr>
                  <w:r w:rsidRPr="00852550">
                    <w:rPr>
                      <w:rFonts w:cs="Arial"/>
                    </w:rPr>
                    <w:t>5</w:t>
                  </w:r>
                  <w:r w:rsidRPr="00852550">
                    <w:rPr>
                      <w:rFonts w:cs="Arial"/>
                    </w:rPr>
                    <w:tab/>
                    <w:t>ISMAA Service Reports</w:t>
                  </w:r>
                </w:p>
              </w:tc>
              <w:tc>
                <w:tcPr>
                  <w:tcW w:w="2000" w:type="pct"/>
                </w:tcPr>
                <w:p w:rsidR="004D279E" w:rsidRPr="00852550" w:rsidRDefault="004D279E" w:rsidP="00906032">
                  <w:pPr>
                    <w:keepNext/>
                    <w:numPr>
                      <w:ilvl w:val="1"/>
                      <w:numId w:val="0"/>
                    </w:numPr>
                    <w:spacing w:before="60" w:after="60" w:line="240" w:lineRule="auto"/>
                    <w:outlineLvl w:val="1"/>
                    <w:rPr>
                      <w:rFonts w:cs="Arial"/>
                    </w:rPr>
                  </w:pPr>
                  <w:r w:rsidRPr="00852550">
                    <w:rPr>
                      <w:rFonts w:cs="Arial"/>
                    </w:rPr>
                    <w:t>Submission of ISMAA</w:t>
                  </w:r>
                  <w:r w:rsidR="00D02E4F">
                    <w:rPr>
                      <w:rFonts w:cs="Arial"/>
                    </w:rPr>
                    <w:t xml:space="preserve"> </w:t>
                  </w:r>
                  <w:r w:rsidRPr="00852550">
                    <w:rPr>
                      <w:rFonts w:cs="Arial"/>
                    </w:rPr>
                    <w:t xml:space="preserve">Service Reports meets requirements </w:t>
                  </w:r>
                  <w:r w:rsidR="00906032">
                    <w:rPr>
                      <w:rFonts w:cs="Arial"/>
                    </w:rPr>
                    <w:t>of the Guidelines and meets the Departments expectations</w:t>
                  </w:r>
                  <w:r w:rsidRPr="00852550">
                    <w:rPr>
                      <w:rFonts w:cs="Arial"/>
                    </w:rPr>
                    <w:t>.</w:t>
                  </w:r>
                </w:p>
              </w:tc>
            </w:tr>
          </w:tbl>
          <w:p w:rsidR="00933CD5" w:rsidRPr="00852550" w:rsidRDefault="00933CD5" w:rsidP="00B91355">
            <w:pPr>
              <w:spacing w:before="60" w:after="60" w:line="240" w:lineRule="auto"/>
              <w:rPr>
                <w:rFonts w:cs="Arial"/>
              </w:rPr>
            </w:pPr>
          </w:p>
        </w:tc>
      </w:tr>
      <w:tr w:rsidR="00933CD5" w:rsidRPr="00573375" w:rsidTr="00936751">
        <w:tc>
          <w:tcPr>
            <w:tcW w:w="3153" w:type="dxa"/>
          </w:tcPr>
          <w:p w:rsidR="00933CD5" w:rsidRPr="00EC5A57" w:rsidRDefault="00933CD5" w:rsidP="00936751">
            <w:pPr>
              <w:pStyle w:val="AASSOGSLEVEL3"/>
              <w:spacing w:before="120" w:after="120" w:line="240" w:lineRule="auto"/>
            </w:pPr>
            <w:r>
              <w:lastRenderedPageBreak/>
              <w:t>Alternative performance measures</w:t>
            </w:r>
          </w:p>
        </w:tc>
        <w:tc>
          <w:tcPr>
            <w:tcW w:w="7664" w:type="dxa"/>
          </w:tcPr>
          <w:p w:rsidR="00933CD5" w:rsidRPr="00852550" w:rsidRDefault="00933CD5" w:rsidP="00B91355">
            <w:pPr>
              <w:spacing w:before="60" w:after="60" w:line="240" w:lineRule="auto"/>
              <w:rPr>
                <w:rFonts w:cs="Arial"/>
              </w:rPr>
            </w:pPr>
            <w:r w:rsidRPr="00852550">
              <w:rPr>
                <w:rFonts w:cs="Arial"/>
              </w:rPr>
              <w:t xml:space="preserve">As a measure of </w:t>
            </w:r>
            <w:r w:rsidR="000C62A9" w:rsidRPr="00852550">
              <w:rPr>
                <w:rFonts w:cs="Arial"/>
              </w:rPr>
              <w:t xml:space="preserve">the </w:t>
            </w:r>
            <w:r w:rsidRPr="00852550">
              <w:rPr>
                <w:rFonts w:cs="Arial"/>
              </w:rPr>
              <w:t xml:space="preserve">success of the program the Department will undertake a range of reporting. These measures will not impact on a </w:t>
            </w:r>
            <w:r w:rsidR="00DF4E37">
              <w:rPr>
                <w:rFonts w:cs="Arial"/>
              </w:rPr>
              <w:t>Provider</w:t>
            </w:r>
            <w:r w:rsidR="00D02E4F">
              <w:rPr>
                <w:rFonts w:cs="Arial"/>
              </w:rPr>
              <w:t>’</w:t>
            </w:r>
            <w:r w:rsidRPr="00852550">
              <w:rPr>
                <w:rFonts w:cs="Arial"/>
              </w:rPr>
              <w:t>s recorded performance but the Department may give feedback as part of ensuring quality program delivery.</w:t>
            </w:r>
          </w:p>
          <w:p w:rsidR="00933CD5" w:rsidRDefault="00933CD5" w:rsidP="00B91355">
            <w:pPr>
              <w:spacing w:before="60" w:after="60" w:line="240" w:lineRule="auto"/>
              <w:rPr>
                <w:rFonts w:cs="Arial"/>
              </w:rPr>
            </w:pPr>
            <w:r w:rsidRPr="00852550">
              <w:rPr>
                <w:rFonts w:cs="Arial"/>
              </w:rPr>
              <w:t>The areas of the program that are likely to be targeted by this reporting include:</w:t>
            </w:r>
          </w:p>
          <w:p w:rsidR="007450C4" w:rsidRDefault="007450C4" w:rsidP="00B91355">
            <w:pPr>
              <w:spacing w:before="60" w:after="60" w:line="240" w:lineRule="auto"/>
              <w:rPr>
                <w:rFonts w:cs="Arial"/>
              </w:rPr>
            </w:pPr>
          </w:p>
          <w:tbl>
            <w:tblPr>
              <w:tblW w:w="7196"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5306"/>
            </w:tblGrid>
            <w:tr w:rsidR="00933CD5" w:rsidRPr="004E55ED" w:rsidTr="000C62A9">
              <w:tc>
                <w:tcPr>
                  <w:tcW w:w="1313" w:type="pct"/>
                  <w:shd w:val="clear" w:color="auto" w:fill="D9D9D9"/>
                  <w:vAlign w:val="center"/>
                </w:tcPr>
                <w:p w:rsidR="00933CD5" w:rsidRPr="004E55ED" w:rsidRDefault="00933CD5" w:rsidP="00B91355">
                  <w:pPr>
                    <w:tabs>
                      <w:tab w:val="left" w:pos="5812"/>
                    </w:tabs>
                    <w:spacing w:before="60" w:after="60" w:line="240" w:lineRule="auto"/>
                    <w:ind w:left="33" w:right="351"/>
                    <w:outlineLvl w:val="2"/>
                    <w:rPr>
                      <w:rFonts w:cs="Arial"/>
                      <w:b/>
                    </w:rPr>
                  </w:pPr>
                  <w:r w:rsidRPr="004E55ED">
                    <w:rPr>
                      <w:rFonts w:cs="Arial"/>
                      <w:b/>
                    </w:rPr>
                    <w:t>Measure</w:t>
                  </w:r>
                </w:p>
              </w:tc>
              <w:tc>
                <w:tcPr>
                  <w:tcW w:w="3687" w:type="pct"/>
                  <w:shd w:val="clear" w:color="auto" w:fill="D9D9D9"/>
                </w:tcPr>
                <w:p w:rsidR="00933CD5" w:rsidRPr="004E55ED" w:rsidRDefault="00933CD5" w:rsidP="00B91355">
                  <w:pPr>
                    <w:tabs>
                      <w:tab w:val="left" w:pos="5812"/>
                    </w:tabs>
                    <w:spacing w:before="60" w:after="60" w:line="240" w:lineRule="auto"/>
                    <w:ind w:right="351"/>
                    <w:jc w:val="center"/>
                    <w:outlineLvl w:val="2"/>
                    <w:rPr>
                      <w:rFonts w:cs="Arial"/>
                      <w:b/>
                    </w:rPr>
                  </w:pPr>
                  <w:r w:rsidRPr="004E55ED">
                    <w:rPr>
                      <w:rFonts w:cs="Arial"/>
                      <w:b/>
                    </w:rPr>
                    <w:t>Measure Description</w:t>
                  </w:r>
                </w:p>
              </w:tc>
            </w:tr>
            <w:tr w:rsidR="00933CD5" w:rsidRPr="00852550" w:rsidTr="000C62A9">
              <w:tc>
                <w:tcPr>
                  <w:tcW w:w="1313" w:type="pct"/>
                  <w:shd w:val="clear" w:color="auto" w:fill="auto"/>
                </w:tcPr>
                <w:p w:rsidR="00933CD5" w:rsidRPr="00852550" w:rsidRDefault="00933CD5" w:rsidP="00B91355">
                  <w:pPr>
                    <w:tabs>
                      <w:tab w:val="left" w:pos="426"/>
                    </w:tabs>
                    <w:spacing w:before="60" w:after="60" w:line="240" w:lineRule="auto"/>
                    <w:rPr>
                      <w:rFonts w:cs="Arial"/>
                    </w:rPr>
                  </w:pPr>
                  <w:r w:rsidRPr="00852550">
                    <w:rPr>
                      <w:rFonts w:cs="Arial"/>
                    </w:rPr>
                    <w:t xml:space="preserve">Client cohort </w:t>
                  </w:r>
                  <w:r w:rsidR="004E55ED">
                    <w:rPr>
                      <w:rFonts w:cs="Arial"/>
                    </w:rPr>
                    <w:t>analysis</w:t>
                  </w:r>
                </w:p>
                <w:p w:rsidR="00933CD5" w:rsidRPr="00852550" w:rsidRDefault="00933CD5" w:rsidP="00B91355">
                  <w:pPr>
                    <w:tabs>
                      <w:tab w:val="left" w:pos="426"/>
                    </w:tabs>
                    <w:spacing w:before="60" w:after="60" w:line="240" w:lineRule="auto"/>
                    <w:rPr>
                      <w:rFonts w:cs="Arial"/>
                    </w:rPr>
                  </w:pPr>
                </w:p>
              </w:tc>
              <w:tc>
                <w:tcPr>
                  <w:tcW w:w="3687" w:type="pct"/>
                </w:tcPr>
                <w:p w:rsidR="00933CD5" w:rsidRDefault="00933CD5" w:rsidP="008104C4">
                  <w:pPr>
                    <w:keepNext/>
                    <w:numPr>
                      <w:ilvl w:val="1"/>
                      <w:numId w:val="0"/>
                    </w:numPr>
                    <w:spacing w:before="60" w:after="60" w:line="240" w:lineRule="auto"/>
                    <w:outlineLvl w:val="1"/>
                    <w:rPr>
                      <w:rFonts w:cs="Arial"/>
                    </w:rPr>
                  </w:pPr>
                  <w:r w:rsidRPr="00852550">
                    <w:rPr>
                      <w:rFonts w:cs="Arial"/>
                    </w:rPr>
                    <w:t xml:space="preserve">The number of </w:t>
                  </w:r>
                  <w:r w:rsidR="00AB0510">
                    <w:rPr>
                      <w:rFonts w:cs="Arial"/>
                    </w:rPr>
                    <w:t>Client</w:t>
                  </w:r>
                  <w:r w:rsidRPr="00852550">
                    <w:rPr>
                      <w:rFonts w:cs="Arial"/>
                    </w:rPr>
                    <w:t>s service</w:t>
                  </w:r>
                  <w:r w:rsidR="004E55ED">
                    <w:rPr>
                      <w:rFonts w:cs="Arial"/>
                    </w:rPr>
                    <w:t>d</w:t>
                  </w:r>
                  <w:r w:rsidRPr="00852550">
                    <w:rPr>
                      <w:rFonts w:cs="Arial"/>
                    </w:rPr>
                    <w:t xml:space="preserve"> by </w:t>
                  </w:r>
                  <w:r w:rsidR="001E51F4">
                    <w:rPr>
                      <w:rFonts w:cs="Arial"/>
                    </w:rPr>
                    <w:t>Your</w:t>
                  </w:r>
                  <w:r w:rsidRPr="00852550">
                    <w:rPr>
                      <w:rFonts w:cs="Arial"/>
                    </w:rPr>
                    <w:t xml:space="preserve"> organisation identified by particular trait.</w:t>
                  </w:r>
                  <w:r w:rsidR="008104C4">
                    <w:rPr>
                      <w:rFonts w:cs="Arial"/>
                    </w:rPr>
                    <w:t xml:space="preserve"> Some of these measures include</w:t>
                  </w:r>
                  <w:r w:rsidR="001F4FDC">
                    <w:rPr>
                      <w:rFonts w:cs="Arial"/>
                    </w:rPr>
                    <w:t xml:space="preserve"> Australian Apprentices who</w:t>
                  </w:r>
                  <w:r w:rsidR="008104C4">
                    <w:rPr>
                      <w:rFonts w:cs="Arial"/>
                    </w:rPr>
                    <w:t>:</w:t>
                  </w:r>
                </w:p>
                <w:p w:rsidR="008104C4" w:rsidRDefault="008104C4" w:rsidP="00846E2F">
                  <w:pPr>
                    <w:pStyle w:val="ListParagraph"/>
                    <w:keepNext/>
                    <w:numPr>
                      <w:ilvl w:val="0"/>
                      <w:numId w:val="33"/>
                    </w:numPr>
                    <w:spacing w:before="60" w:after="60" w:line="240" w:lineRule="auto"/>
                    <w:ind w:left="378" w:hanging="378"/>
                    <w:outlineLvl w:val="1"/>
                    <w:rPr>
                      <w:rFonts w:cs="Arial"/>
                    </w:rPr>
                  </w:pPr>
                  <w:r>
                    <w:rPr>
                      <w:rFonts w:cs="Arial"/>
                    </w:rPr>
                    <w:t>were previously retrenched worker</w:t>
                  </w:r>
                  <w:r w:rsidR="001F4FDC">
                    <w:rPr>
                      <w:rFonts w:cs="Arial"/>
                    </w:rPr>
                    <w:t>s</w:t>
                  </w:r>
                </w:p>
                <w:p w:rsidR="008104C4" w:rsidRDefault="008104C4" w:rsidP="00846E2F">
                  <w:pPr>
                    <w:pStyle w:val="ListParagraph"/>
                    <w:keepNext/>
                    <w:numPr>
                      <w:ilvl w:val="0"/>
                      <w:numId w:val="33"/>
                    </w:numPr>
                    <w:spacing w:before="60" w:after="60" w:line="240" w:lineRule="auto"/>
                    <w:ind w:left="378" w:hanging="378"/>
                    <w:outlineLvl w:val="1"/>
                    <w:rPr>
                      <w:rFonts w:cs="Arial"/>
                    </w:rPr>
                  </w:pPr>
                  <w:r>
                    <w:rPr>
                      <w:rFonts w:cs="Arial"/>
                    </w:rPr>
                    <w:t>have experienced long term unemp</w:t>
                  </w:r>
                  <w:r w:rsidR="00587E30">
                    <w:rPr>
                      <w:rFonts w:cs="Arial"/>
                    </w:rPr>
                    <w:t>loyment</w:t>
                  </w:r>
                </w:p>
                <w:p w:rsidR="008104C4" w:rsidRDefault="008104C4" w:rsidP="00846E2F">
                  <w:pPr>
                    <w:pStyle w:val="ListParagraph"/>
                    <w:keepNext/>
                    <w:numPr>
                      <w:ilvl w:val="0"/>
                      <w:numId w:val="33"/>
                    </w:numPr>
                    <w:spacing w:before="60" w:after="60" w:line="240" w:lineRule="auto"/>
                    <w:ind w:left="378" w:hanging="378"/>
                    <w:outlineLvl w:val="1"/>
                    <w:rPr>
                      <w:rFonts w:cs="Arial"/>
                    </w:rPr>
                  </w:pPr>
                  <w:r>
                    <w:rPr>
                      <w:rFonts w:cs="Arial"/>
                    </w:rPr>
                    <w:t>were previously not in em</w:t>
                  </w:r>
                  <w:r w:rsidR="00587E30">
                    <w:rPr>
                      <w:rFonts w:cs="Arial"/>
                    </w:rPr>
                    <w:t>ployment, education or training</w:t>
                  </w:r>
                </w:p>
                <w:p w:rsidR="008104C4" w:rsidRDefault="00587E30" w:rsidP="00846E2F">
                  <w:pPr>
                    <w:pStyle w:val="ListParagraph"/>
                    <w:keepNext/>
                    <w:numPr>
                      <w:ilvl w:val="0"/>
                      <w:numId w:val="33"/>
                    </w:numPr>
                    <w:spacing w:before="60" w:after="60" w:line="240" w:lineRule="auto"/>
                    <w:ind w:left="378" w:hanging="378"/>
                    <w:outlineLvl w:val="1"/>
                    <w:rPr>
                      <w:rFonts w:cs="Arial"/>
                    </w:rPr>
                  </w:pPr>
                  <w:r>
                    <w:rPr>
                      <w:rFonts w:cs="Arial"/>
                    </w:rPr>
                    <w:t xml:space="preserve">are </w:t>
                  </w:r>
                  <w:r w:rsidR="001F4FDC">
                    <w:rPr>
                      <w:rFonts w:cs="Arial"/>
                    </w:rPr>
                    <w:t>m</w:t>
                  </w:r>
                  <w:r w:rsidR="008104C4">
                    <w:rPr>
                      <w:rFonts w:cs="Arial"/>
                    </w:rPr>
                    <w:t>ature aged Australian Apprentices</w:t>
                  </w:r>
                </w:p>
                <w:p w:rsidR="008104C4" w:rsidRPr="00852550" w:rsidRDefault="00587E30" w:rsidP="00846E2F">
                  <w:pPr>
                    <w:pStyle w:val="ListParagraph"/>
                    <w:keepNext/>
                    <w:numPr>
                      <w:ilvl w:val="0"/>
                      <w:numId w:val="33"/>
                    </w:numPr>
                    <w:spacing w:before="60" w:after="60" w:line="240" w:lineRule="auto"/>
                    <w:ind w:left="378" w:hanging="378"/>
                    <w:outlineLvl w:val="1"/>
                    <w:rPr>
                      <w:rFonts w:cs="Arial"/>
                    </w:rPr>
                  </w:pPr>
                  <w:r>
                    <w:rPr>
                      <w:rFonts w:cs="Arial"/>
                    </w:rPr>
                    <w:t xml:space="preserve">are </w:t>
                  </w:r>
                  <w:r w:rsidR="008104C4" w:rsidRPr="008104C4">
                    <w:rPr>
                      <w:rFonts w:cs="Arial"/>
                    </w:rPr>
                    <w:t>from regional areas.</w:t>
                  </w:r>
                </w:p>
              </w:tc>
            </w:tr>
            <w:tr w:rsidR="004E55ED" w:rsidRPr="00852550" w:rsidTr="000C62A9">
              <w:tc>
                <w:tcPr>
                  <w:tcW w:w="1313" w:type="pct"/>
                  <w:shd w:val="clear" w:color="auto" w:fill="auto"/>
                </w:tcPr>
                <w:p w:rsidR="004E55ED" w:rsidRPr="00852550" w:rsidRDefault="004E55ED" w:rsidP="00B91355">
                  <w:pPr>
                    <w:tabs>
                      <w:tab w:val="left" w:pos="426"/>
                    </w:tabs>
                    <w:spacing w:before="60" w:after="60" w:line="240" w:lineRule="auto"/>
                    <w:rPr>
                      <w:rFonts w:cs="Arial"/>
                    </w:rPr>
                  </w:pPr>
                  <w:r>
                    <w:rPr>
                      <w:rFonts w:cs="Arial"/>
                    </w:rPr>
                    <w:t>Contact method frequency</w:t>
                  </w:r>
                </w:p>
              </w:tc>
              <w:tc>
                <w:tcPr>
                  <w:tcW w:w="3687" w:type="pct"/>
                </w:tcPr>
                <w:p w:rsidR="00FF0F64" w:rsidRPr="00852550" w:rsidRDefault="004E55ED" w:rsidP="001F4FDC">
                  <w:pPr>
                    <w:keepNext/>
                    <w:numPr>
                      <w:ilvl w:val="1"/>
                      <w:numId w:val="0"/>
                    </w:numPr>
                    <w:spacing w:before="60" w:after="60" w:line="240" w:lineRule="auto"/>
                    <w:outlineLvl w:val="1"/>
                    <w:rPr>
                      <w:rFonts w:cs="Arial"/>
                    </w:rPr>
                  </w:pPr>
                  <w:r>
                    <w:rPr>
                      <w:rFonts w:cs="Arial"/>
                    </w:rPr>
                    <w:t xml:space="preserve">The number of </w:t>
                  </w:r>
                  <w:r w:rsidR="00AB0510">
                    <w:rPr>
                      <w:rFonts w:cs="Arial"/>
                    </w:rPr>
                    <w:t>Client</w:t>
                  </w:r>
                  <w:r>
                    <w:rPr>
                      <w:rFonts w:cs="Arial"/>
                    </w:rPr>
                    <w:t xml:space="preserve">s who received </w:t>
                  </w:r>
                  <w:r w:rsidR="00DF4E37">
                    <w:rPr>
                      <w:rFonts w:cs="Arial"/>
                    </w:rPr>
                    <w:t>Services</w:t>
                  </w:r>
                  <w:r>
                    <w:rPr>
                      <w:rFonts w:cs="Arial"/>
                    </w:rPr>
                    <w:t xml:space="preserve"> via a particular method</w:t>
                  </w:r>
                  <w:r w:rsidR="001F4FDC">
                    <w:rPr>
                      <w:rFonts w:cs="Arial"/>
                    </w:rPr>
                    <w:t>, in particular</w:t>
                  </w:r>
                  <w:r>
                    <w:rPr>
                      <w:rFonts w:cs="Arial"/>
                    </w:rPr>
                    <w:t xml:space="preserve"> alternative methods to </w:t>
                  </w:r>
                  <w:r w:rsidR="00FD1056">
                    <w:rPr>
                      <w:rFonts w:cs="Arial"/>
                    </w:rPr>
                    <w:t>face-to-face</w:t>
                  </w:r>
                  <w:r>
                    <w:rPr>
                      <w:rFonts w:cs="Arial"/>
                    </w:rPr>
                    <w:t>.</w:t>
                  </w:r>
                </w:p>
              </w:tc>
            </w:tr>
          </w:tbl>
          <w:p w:rsidR="00933CD5" w:rsidRPr="00852550" w:rsidRDefault="00933CD5" w:rsidP="00B91355">
            <w:pPr>
              <w:spacing w:before="60" w:after="60" w:line="240" w:lineRule="auto"/>
              <w:rPr>
                <w:rFonts w:cs="Arial"/>
              </w:rPr>
            </w:pPr>
          </w:p>
        </w:tc>
      </w:tr>
      <w:tr w:rsidR="00DB434B" w:rsidRPr="00573375" w:rsidTr="00936751">
        <w:tc>
          <w:tcPr>
            <w:tcW w:w="3153" w:type="dxa"/>
          </w:tcPr>
          <w:p w:rsidR="00DB434B" w:rsidRDefault="00DB434B" w:rsidP="00936751">
            <w:pPr>
              <w:pStyle w:val="AASSOGSLEVEL3"/>
              <w:spacing w:before="120" w:after="120" w:line="240" w:lineRule="auto"/>
            </w:pPr>
            <w:r>
              <w:t>KPI 1 – ISMAA Benchmark</w:t>
            </w:r>
          </w:p>
        </w:tc>
        <w:tc>
          <w:tcPr>
            <w:tcW w:w="7664" w:type="dxa"/>
          </w:tcPr>
          <w:p w:rsidR="00DB434B" w:rsidRPr="00852550" w:rsidRDefault="00DB434B" w:rsidP="00B91355">
            <w:pPr>
              <w:spacing w:before="60" w:after="60" w:line="240" w:lineRule="auto"/>
              <w:rPr>
                <w:rFonts w:cs="Arial"/>
              </w:rPr>
            </w:pPr>
            <w:r w:rsidRPr="00852550">
              <w:rPr>
                <w:rFonts w:cs="Arial"/>
              </w:rPr>
              <w:t xml:space="preserve">In order to achieve their benchmark, </w:t>
            </w:r>
            <w:r w:rsidR="00DF4E37">
              <w:rPr>
                <w:rFonts w:cs="Arial"/>
              </w:rPr>
              <w:t>Provider</w:t>
            </w:r>
            <w:r w:rsidRPr="00852550">
              <w:rPr>
                <w:rFonts w:cs="Arial"/>
              </w:rPr>
              <w:t xml:space="preserve">s must achieve their final </w:t>
            </w:r>
            <w:r w:rsidR="00DF4E37">
              <w:rPr>
                <w:rFonts w:cs="Arial"/>
              </w:rPr>
              <w:t>Contract</w:t>
            </w:r>
            <w:r w:rsidRPr="00852550">
              <w:rPr>
                <w:rFonts w:cs="Arial"/>
              </w:rPr>
              <w:t xml:space="preserve">ed benchmark as well as progress milestones identified in </w:t>
            </w:r>
            <w:r w:rsidR="007C2BC9">
              <w:rPr>
                <w:rFonts w:cs="Arial"/>
              </w:rPr>
              <w:t>their</w:t>
            </w:r>
            <w:r w:rsidR="007C2BC9" w:rsidRPr="00852550">
              <w:rPr>
                <w:rFonts w:cs="Arial"/>
              </w:rPr>
              <w:t xml:space="preserve"> </w:t>
            </w:r>
            <w:r w:rsidR="00DF4E37">
              <w:rPr>
                <w:rFonts w:cs="Arial"/>
              </w:rPr>
              <w:t>Contract</w:t>
            </w:r>
            <w:r w:rsidRPr="00852550">
              <w:rPr>
                <w:rFonts w:cs="Arial"/>
              </w:rPr>
              <w:t xml:space="preserve">. </w:t>
            </w:r>
            <w:r w:rsidR="00FF0F64">
              <w:rPr>
                <w:rFonts w:cs="Arial"/>
              </w:rPr>
              <w:t>T</w:t>
            </w:r>
            <w:r w:rsidRPr="00852550">
              <w:rPr>
                <w:rFonts w:cs="Arial"/>
              </w:rPr>
              <w:t>his KPI will be recorded as a Met/Not Met measure.</w:t>
            </w:r>
          </w:p>
          <w:p w:rsidR="00DB434B" w:rsidRPr="00852550" w:rsidRDefault="001F4FDC" w:rsidP="001F4FDC">
            <w:pPr>
              <w:spacing w:before="60" w:after="60" w:line="240" w:lineRule="auto"/>
              <w:rPr>
                <w:rFonts w:cs="Arial"/>
              </w:rPr>
            </w:pPr>
            <w:r>
              <w:rPr>
                <w:rFonts w:cs="Arial"/>
              </w:rPr>
              <w:t>T</w:t>
            </w:r>
            <w:r w:rsidRPr="00852550">
              <w:rPr>
                <w:rFonts w:cs="Arial"/>
              </w:rPr>
              <w:t xml:space="preserve">he Department will consider the evidence </w:t>
            </w:r>
            <w:r>
              <w:rPr>
                <w:rFonts w:cs="Arial"/>
              </w:rPr>
              <w:t>w</w:t>
            </w:r>
            <w:r w:rsidR="00DB434B" w:rsidRPr="00852550">
              <w:rPr>
                <w:rFonts w:cs="Arial"/>
              </w:rPr>
              <w:t xml:space="preserve">here </w:t>
            </w:r>
            <w:r w:rsidR="00DF4E37">
              <w:rPr>
                <w:rFonts w:cs="Arial"/>
              </w:rPr>
              <w:t>Provider</w:t>
            </w:r>
            <w:r w:rsidR="00DB434B" w:rsidRPr="00852550">
              <w:rPr>
                <w:rFonts w:cs="Arial"/>
              </w:rPr>
              <w:t xml:space="preserve">s </w:t>
            </w:r>
            <w:r>
              <w:rPr>
                <w:rFonts w:cs="Arial"/>
              </w:rPr>
              <w:t xml:space="preserve">have </w:t>
            </w:r>
            <w:r w:rsidRPr="00852550">
              <w:rPr>
                <w:rFonts w:cs="Arial"/>
              </w:rPr>
              <w:t>n</w:t>
            </w:r>
            <w:r>
              <w:rPr>
                <w:rFonts w:cs="Arial"/>
              </w:rPr>
              <w:t>o</w:t>
            </w:r>
            <w:r w:rsidRPr="00852550">
              <w:rPr>
                <w:rFonts w:cs="Arial"/>
              </w:rPr>
              <w:t>t achieved</w:t>
            </w:r>
            <w:r>
              <w:rPr>
                <w:rFonts w:cs="Arial"/>
              </w:rPr>
              <w:t xml:space="preserve"> </w:t>
            </w:r>
            <w:r w:rsidR="00DB434B" w:rsidRPr="00852550">
              <w:rPr>
                <w:rFonts w:cs="Arial"/>
              </w:rPr>
              <w:t>milestone</w:t>
            </w:r>
            <w:r>
              <w:rPr>
                <w:rFonts w:cs="Arial"/>
              </w:rPr>
              <w:t>s</w:t>
            </w:r>
            <w:r w:rsidR="00DB434B" w:rsidRPr="00852550">
              <w:rPr>
                <w:rFonts w:cs="Arial"/>
              </w:rPr>
              <w:t xml:space="preserve"> or benchmark</w:t>
            </w:r>
            <w:r>
              <w:rPr>
                <w:rFonts w:cs="Arial"/>
              </w:rPr>
              <w:t>s</w:t>
            </w:r>
            <w:r w:rsidR="00DB434B" w:rsidRPr="00852550">
              <w:rPr>
                <w:rFonts w:cs="Arial"/>
              </w:rPr>
              <w:t xml:space="preserve">. If it is considered acceptable the Department will record a Met result for the particular </w:t>
            </w:r>
            <w:r w:rsidR="00FF0F64">
              <w:rPr>
                <w:rFonts w:cs="Arial"/>
              </w:rPr>
              <w:t>milestone</w:t>
            </w:r>
            <w:r w:rsidR="00DB434B" w:rsidRPr="00852550">
              <w:rPr>
                <w:rFonts w:cs="Arial"/>
              </w:rPr>
              <w:t>.</w:t>
            </w:r>
          </w:p>
        </w:tc>
      </w:tr>
      <w:tr w:rsidR="00934BCD" w:rsidRPr="00573375" w:rsidTr="00936751">
        <w:tc>
          <w:tcPr>
            <w:tcW w:w="3153" w:type="dxa"/>
          </w:tcPr>
          <w:p w:rsidR="00934BCD" w:rsidRPr="00EC5A57" w:rsidRDefault="008014AF" w:rsidP="00936751">
            <w:pPr>
              <w:pStyle w:val="AASSOGSLEVEL3"/>
              <w:spacing w:before="120" w:after="120" w:line="240" w:lineRule="auto"/>
            </w:pPr>
            <w:bookmarkStart w:id="69" w:name="_Toc324950554"/>
            <w:bookmarkStart w:id="70" w:name="_Toc326676753"/>
            <w:bookmarkStart w:id="71" w:name="_Toc348001422"/>
            <w:bookmarkStart w:id="72" w:name="_Toc348002277"/>
            <w:bookmarkStart w:id="73" w:name="_Toc348002738"/>
            <w:bookmarkStart w:id="74" w:name="_Toc373838130"/>
            <w:bookmarkStart w:id="75" w:name="_Toc374709903"/>
            <w:bookmarkStart w:id="76" w:name="_Toc393442972"/>
            <w:r>
              <w:t xml:space="preserve">KPI 2 - </w:t>
            </w:r>
            <w:r w:rsidR="00933CD5">
              <w:t xml:space="preserve">IMP </w:t>
            </w:r>
            <w:r w:rsidR="00934BCD" w:rsidRPr="00EC5A57">
              <w:t>Monitoring</w:t>
            </w:r>
            <w:bookmarkEnd w:id="69"/>
            <w:bookmarkEnd w:id="70"/>
            <w:bookmarkEnd w:id="71"/>
            <w:bookmarkEnd w:id="72"/>
            <w:bookmarkEnd w:id="73"/>
            <w:bookmarkEnd w:id="74"/>
            <w:bookmarkEnd w:id="75"/>
            <w:bookmarkEnd w:id="76"/>
          </w:p>
        </w:tc>
        <w:tc>
          <w:tcPr>
            <w:tcW w:w="7664" w:type="dxa"/>
          </w:tcPr>
          <w:p w:rsidR="00934BCD" w:rsidRPr="00852550" w:rsidRDefault="00934BCD" w:rsidP="00B91355">
            <w:pPr>
              <w:spacing w:before="60" w:after="60" w:line="240" w:lineRule="auto"/>
              <w:rPr>
                <w:rFonts w:cs="Arial"/>
              </w:rPr>
            </w:pPr>
            <w:r w:rsidRPr="00852550">
              <w:rPr>
                <w:rFonts w:cs="Arial"/>
              </w:rPr>
              <w:t>Monitoring</w:t>
            </w:r>
            <w:r w:rsidR="00094AD6" w:rsidRPr="00852550">
              <w:rPr>
                <w:rFonts w:cs="Arial"/>
              </w:rPr>
              <w:t xml:space="preserve"> of </w:t>
            </w:r>
            <w:r w:rsidR="007C2BC9">
              <w:rPr>
                <w:rFonts w:cs="Arial"/>
              </w:rPr>
              <w:t>IMPs</w:t>
            </w:r>
            <w:r w:rsidR="00094AD6" w:rsidRPr="00852550">
              <w:rPr>
                <w:rFonts w:cs="Arial"/>
              </w:rPr>
              <w:t xml:space="preserve"> will be undertaken ev</w:t>
            </w:r>
            <w:r w:rsidRPr="00852550">
              <w:rPr>
                <w:rFonts w:cs="Arial"/>
              </w:rPr>
              <w:t>ery six months</w:t>
            </w:r>
            <w:r w:rsidR="00094AD6" w:rsidRPr="00852550">
              <w:rPr>
                <w:rFonts w:cs="Arial"/>
              </w:rPr>
              <w:t xml:space="preserve">, with an initial monitoring exercise occurring following the first three months of the </w:t>
            </w:r>
            <w:r w:rsidR="00DF4E37">
              <w:rPr>
                <w:rFonts w:cs="Arial"/>
              </w:rPr>
              <w:t>Contract</w:t>
            </w:r>
            <w:r w:rsidR="00094AD6" w:rsidRPr="00852550">
              <w:rPr>
                <w:rFonts w:cs="Arial"/>
              </w:rPr>
              <w:t>.</w:t>
            </w:r>
          </w:p>
          <w:p w:rsidR="00934BCD" w:rsidRPr="00852550" w:rsidRDefault="00094AD6" w:rsidP="00B91355">
            <w:pPr>
              <w:spacing w:before="60" w:after="60" w:line="240" w:lineRule="auto"/>
              <w:rPr>
                <w:rFonts w:cs="Arial"/>
              </w:rPr>
            </w:pPr>
            <w:r w:rsidRPr="00852550">
              <w:rPr>
                <w:rFonts w:cs="Arial"/>
              </w:rPr>
              <w:t xml:space="preserve">Monitoring undertaken at the three month point of the </w:t>
            </w:r>
            <w:r w:rsidR="00DF4E37">
              <w:rPr>
                <w:rFonts w:cs="Arial"/>
              </w:rPr>
              <w:t>Contract</w:t>
            </w:r>
            <w:r w:rsidRPr="00852550">
              <w:rPr>
                <w:rFonts w:cs="Arial"/>
              </w:rPr>
              <w:t xml:space="preserve"> will aim to identify any issues that are present following the commencement of a new </w:t>
            </w:r>
            <w:r w:rsidRPr="00852550">
              <w:rPr>
                <w:rFonts w:cs="Arial"/>
              </w:rPr>
              <w:lastRenderedPageBreak/>
              <w:t xml:space="preserve">program. Six monthly monitoring undertaken following this initial monitoring will focus on </w:t>
            </w:r>
            <w:r w:rsidR="00FF0F64">
              <w:rPr>
                <w:rFonts w:cs="Arial"/>
              </w:rPr>
              <w:t xml:space="preserve">continued </w:t>
            </w:r>
            <w:r w:rsidRPr="00852550">
              <w:rPr>
                <w:rFonts w:cs="Arial"/>
              </w:rPr>
              <w:t>program compliance and administrative quality.</w:t>
            </w:r>
          </w:p>
          <w:p w:rsidR="00934BCD" w:rsidRDefault="00094AD6" w:rsidP="00B91355">
            <w:pPr>
              <w:spacing w:before="60" w:after="60" w:line="240" w:lineRule="auto"/>
              <w:rPr>
                <w:rFonts w:cs="Arial"/>
              </w:rPr>
            </w:pPr>
            <w:r w:rsidRPr="00852550">
              <w:rPr>
                <w:rFonts w:cs="Arial"/>
              </w:rPr>
              <w:t xml:space="preserve">IMP Monitoring will require </w:t>
            </w:r>
            <w:r w:rsidR="00DF4E37">
              <w:rPr>
                <w:rFonts w:cs="Arial"/>
              </w:rPr>
              <w:t>Provider</w:t>
            </w:r>
            <w:r w:rsidRPr="00852550">
              <w:rPr>
                <w:rFonts w:cs="Arial"/>
              </w:rPr>
              <w:t>s to produce a sample of IMPs for the Department’s assessment. The Department will assess each IMP for administrative quality to ensure all information is accurate, complete and appropriate.</w:t>
            </w:r>
          </w:p>
          <w:p w:rsidR="00FF0F64" w:rsidRPr="00852550" w:rsidRDefault="00FF0F64" w:rsidP="00B91355">
            <w:pPr>
              <w:spacing w:before="60" w:after="60" w:line="240" w:lineRule="auto"/>
              <w:rPr>
                <w:rFonts w:cs="Arial"/>
              </w:rPr>
            </w:pPr>
            <w:r>
              <w:rPr>
                <w:rFonts w:cs="Arial"/>
              </w:rPr>
              <w:t xml:space="preserve">The Department will give </w:t>
            </w:r>
            <w:r w:rsidR="00DF4E37">
              <w:rPr>
                <w:rFonts w:cs="Arial"/>
              </w:rPr>
              <w:t>Provider</w:t>
            </w:r>
            <w:r>
              <w:rPr>
                <w:rFonts w:cs="Arial"/>
              </w:rPr>
              <w:t xml:space="preserve">s a list of </w:t>
            </w:r>
            <w:r w:rsidR="00587E30">
              <w:rPr>
                <w:rFonts w:cs="Arial"/>
              </w:rPr>
              <w:t>records</w:t>
            </w:r>
            <w:r>
              <w:rPr>
                <w:rFonts w:cs="Arial"/>
              </w:rPr>
              <w:t xml:space="preserve"> that must be produced for monitoring. </w:t>
            </w:r>
          </w:p>
          <w:p w:rsidR="00094AD6" w:rsidRPr="00852550" w:rsidRDefault="00094AD6" w:rsidP="00B91355">
            <w:pPr>
              <w:spacing w:before="60" w:after="60" w:line="240" w:lineRule="auto"/>
              <w:rPr>
                <w:rFonts w:cs="Arial"/>
              </w:rPr>
            </w:pPr>
            <w:r w:rsidRPr="00852550">
              <w:rPr>
                <w:rFonts w:cs="Arial"/>
              </w:rPr>
              <w:t xml:space="preserve">This monitoring may be undertaken at other times throughout the life of the </w:t>
            </w:r>
            <w:r w:rsidR="00DF4E37">
              <w:rPr>
                <w:rFonts w:cs="Arial"/>
              </w:rPr>
              <w:t>Contract</w:t>
            </w:r>
            <w:r w:rsidRPr="00852550">
              <w:rPr>
                <w:rFonts w:cs="Arial"/>
              </w:rPr>
              <w:t xml:space="preserve"> as required by the Department. Providers must also be aware that the Department may wish to review a specific sample of IMPs as part of ongoing </w:t>
            </w:r>
            <w:r w:rsidR="00DF4E37">
              <w:rPr>
                <w:rFonts w:cs="Arial"/>
              </w:rPr>
              <w:t>Contract</w:t>
            </w:r>
            <w:r w:rsidRPr="00852550">
              <w:rPr>
                <w:rFonts w:cs="Arial"/>
              </w:rPr>
              <w:t xml:space="preserve"> management.</w:t>
            </w:r>
          </w:p>
          <w:p w:rsidR="00934BCD" w:rsidRPr="00852550" w:rsidRDefault="00DB434B" w:rsidP="00B91355">
            <w:pPr>
              <w:spacing w:before="60" w:after="60" w:line="240" w:lineRule="auto"/>
              <w:rPr>
                <w:rFonts w:cs="Arial"/>
              </w:rPr>
            </w:pPr>
            <w:r w:rsidRPr="00852550">
              <w:rPr>
                <w:rFonts w:cs="Arial"/>
              </w:rPr>
              <w:t xml:space="preserve">The Department will liaise with </w:t>
            </w:r>
            <w:r w:rsidR="00DF4E37">
              <w:rPr>
                <w:rFonts w:cs="Arial"/>
              </w:rPr>
              <w:t>ISMAA Provider</w:t>
            </w:r>
            <w:r w:rsidRPr="00852550">
              <w:rPr>
                <w:rFonts w:cs="Arial"/>
              </w:rPr>
              <w:t>s regarding the production of the IMPs that are to be monitored.</w:t>
            </w:r>
          </w:p>
        </w:tc>
      </w:tr>
      <w:tr w:rsidR="008014AF" w:rsidRPr="00573375" w:rsidTr="00936751">
        <w:tc>
          <w:tcPr>
            <w:tcW w:w="3153" w:type="dxa"/>
          </w:tcPr>
          <w:p w:rsidR="008014AF" w:rsidRDefault="008014AF" w:rsidP="00936751">
            <w:pPr>
              <w:pStyle w:val="AASSOGSLEVEL3"/>
              <w:spacing w:before="120" w:after="120" w:line="240" w:lineRule="auto"/>
            </w:pPr>
            <w:r w:rsidRPr="00FE42DE">
              <w:lastRenderedPageBreak/>
              <w:t>KPI 3 – Data Reporting</w:t>
            </w:r>
          </w:p>
        </w:tc>
        <w:tc>
          <w:tcPr>
            <w:tcW w:w="7664" w:type="dxa"/>
          </w:tcPr>
          <w:p w:rsidR="000C62A9" w:rsidRDefault="000C62A9" w:rsidP="00B91355">
            <w:pPr>
              <w:spacing w:before="60" w:after="60" w:line="240" w:lineRule="auto"/>
              <w:rPr>
                <w:rFonts w:cs="Arial"/>
              </w:rPr>
            </w:pPr>
            <w:r>
              <w:rPr>
                <w:rFonts w:cs="Arial"/>
              </w:rPr>
              <w:t xml:space="preserve">Providers are required to submit reporting data to the Department one month before the start of the next payment period or in the case of the final </w:t>
            </w:r>
            <w:r w:rsidR="00DF4E37">
              <w:rPr>
                <w:rFonts w:cs="Arial"/>
              </w:rPr>
              <w:t>Contract</w:t>
            </w:r>
            <w:r>
              <w:rPr>
                <w:rFonts w:cs="Arial"/>
              </w:rPr>
              <w:t xml:space="preserve"> payment, </w:t>
            </w:r>
            <w:r w:rsidR="00F4314E">
              <w:rPr>
                <w:rFonts w:cs="Arial"/>
              </w:rPr>
              <w:t>following the end of the payment period</w:t>
            </w:r>
            <w:r>
              <w:rPr>
                <w:rFonts w:cs="Arial"/>
              </w:rPr>
              <w:t>.</w:t>
            </w:r>
          </w:p>
          <w:p w:rsidR="000C62A9" w:rsidRDefault="00587E30" w:rsidP="00B91355">
            <w:pPr>
              <w:spacing w:before="60" w:after="60" w:line="240" w:lineRule="auto"/>
              <w:rPr>
                <w:rFonts w:cs="Arial"/>
              </w:rPr>
            </w:pPr>
            <w:r>
              <w:rPr>
                <w:rFonts w:cs="Arial"/>
              </w:rPr>
              <w:t>D</w:t>
            </w:r>
            <w:r w:rsidR="000C62A9">
              <w:rPr>
                <w:rFonts w:cs="Arial"/>
              </w:rPr>
              <w:t>ata must be in the format supplied by the Department and must include, but not limited to:</w:t>
            </w:r>
          </w:p>
          <w:p w:rsidR="000C62A9" w:rsidRPr="00852550" w:rsidRDefault="00AB0510" w:rsidP="00846E2F">
            <w:pPr>
              <w:pStyle w:val="ListParagraph"/>
              <w:numPr>
                <w:ilvl w:val="0"/>
                <w:numId w:val="13"/>
              </w:numPr>
              <w:overflowPunct w:val="0"/>
              <w:autoSpaceDE w:val="0"/>
              <w:autoSpaceDN w:val="0"/>
              <w:adjustRightInd w:val="0"/>
              <w:spacing w:before="60" w:after="60" w:line="240" w:lineRule="auto"/>
              <w:ind w:left="324" w:hanging="283"/>
              <w:textAlignment w:val="baseline"/>
              <w:rPr>
                <w:rFonts w:cs="Arial"/>
              </w:rPr>
            </w:pPr>
            <w:r>
              <w:rPr>
                <w:rFonts w:cs="Arial"/>
              </w:rPr>
              <w:t>Client</w:t>
            </w:r>
            <w:r w:rsidR="007C2BC9" w:rsidRPr="00852550">
              <w:rPr>
                <w:rFonts w:cs="Arial"/>
              </w:rPr>
              <w:t xml:space="preserve"> </w:t>
            </w:r>
            <w:r w:rsidR="00587E30">
              <w:rPr>
                <w:rFonts w:cs="Arial"/>
              </w:rPr>
              <w:t>personal details</w:t>
            </w:r>
          </w:p>
          <w:p w:rsidR="0046744C" w:rsidRDefault="00906032" w:rsidP="00846E2F">
            <w:pPr>
              <w:pStyle w:val="ListParagraph"/>
              <w:numPr>
                <w:ilvl w:val="0"/>
                <w:numId w:val="13"/>
              </w:numPr>
              <w:overflowPunct w:val="0"/>
              <w:autoSpaceDE w:val="0"/>
              <w:autoSpaceDN w:val="0"/>
              <w:adjustRightInd w:val="0"/>
              <w:spacing w:before="60" w:after="60" w:line="240" w:lineRule="auto"/>
              <w:ind w:left="324" w:hanging="283"/>
              <w:textAlignment w:val="baseline"/>
              <w:rPr>
                <w:rFonts w:cs="Arial"/>
              </w:rPr>
            </w:pPr>
            <w:r>
              <w:rPr>
                <w:rFonts w:cs="Arial"/>
              </w:rPr>
              <w:t>M</w:t>
            </w:r>
            <w:r w:rsidR="007C2BC9" w:rsidRPr="00852550">
              <w:rPr>
                <w:rFonts w:cs="Arial"/>
              </w:rPr>
              <w:t xml:space="preserve">entoring </w:t>
            </w:r>
            <w:r w:rsidR="000C62A9" w:rsidRPr="00852550">
              <w:rPr>
                <w:rFonts w:cs="Arial"/>
              </w:rPr>
              <w:t>start date</w:t>
            </w:r>
          </w:p>
          <w:p w:rsidR="000C62A9" w:rsidRPr="00852550" w:rsidRDefault="00B33961" w:rsidP="00846E2F">
            <w:pPr>
              <w:pStyle w:val="ListParagraph"/>
              <w:numPr>
                <w:ilvl w:val="0"/>
                <w:numId w:val="13"/>
              </w:numPr>
              <w:overflowPunct w:val="0"/>
              <w:autoSpaceDE w:val="0"/>
              <w:autoSpaceDN w:val="0"/>
              <w:adjustRightInd w:val="0"/>
              <w:spacing w:before="60" w:after="60" w:line="240" w:lineRule="auto"/>
              <w:ind w:left="324" w:hanging="283"/>
              <w:textAlignment w:val="baseline"/>
              <w:rPr>
                <w:rFonts w:cs="Arial"/>
              </w:rPr>
            </w:pPr>
            <w:r>
              <w:rPr>
                <w:rFonts w:cs="Arial"/>
              </w:rPr>
              <w:t>Outcome</w:t>
            </w:r>
          </w:p>
          <w:p w:rsidR="00FF0F64" w:rsidRDefault="00587E30" w:rsidP="00B91355">
            <w:pPr>
              <w:spacing w:before="60" w:after="60" w:line="240" w:lineRule="auto"/>
              <w:rPr>
                <w:rFonts w:cs="Arial"/>
              </w:rPr>
            </w:pPr>
            <w:r>
              <w:rPr>
                <w:rFonts w:cs="Arial"/>
              </w:rPr>
              <w:t>The d</w:t>
            </w:r>
            <w:r w:rsidR="00FF0F64">
              <w:rPr>
                <w:rFonts w:cs="Arial"/>
              </w:rPr>
              <w:t xml:space="preserve">ata must identify </w:t>
            </w:r>
            <w:r w:rsidR="00AB0510">
              <w:rPr>
                <w:rFonts w:cs="Arial"/>
              </w:rPr>
              <w:t>Client</w:t>
            </w:r>
            <w:r w:rsidR="00FF0F64">
              <w:rPr>
                <w:rFonts w:cs="Arial"/>
              </w:rPr>
              <w:t xml:space="preserve">s who have received </w:t>
            </w:r>
            <w:r w:rsidR="00DF4E37">
              <w:rPr>
                <w:rFonts w:cs="Arial"/>
              </w:rPr>
              <w:t>Services</w:t>
            </w:r>
            <w:r w:rsidR="00FF0F64">
              <w:rPr>
                <w:rFonts w:cs="Arial"/>
              </w:rPr>
              <w:t xml:space="preserve"> and will be used to assess performance against milestones. Providers should note that failure to provide suitable, accurate data reporting may result in upcoming payment amounts being reduced or </w:t>
            </w:r>
            <w:r w:rsidR="00107072">
              <w:rPr>
                <w:rFonts w:cs="Arial"/>
              </w:rPr>
              <w:t>places being reallocated.</w:t>
            </w:r>
          </w:p>
          <w:p w:rsidR="008014AF" w:rsidRPr="00852550" w:rsidRDefault="000C62A9" w:rsidP="00B91355">
            <w:pPr>
              <w:spacing w:before="60" w:after="60" w:line="240" w:lineRule="auto"/>
              <w:rPr>
                <w:rFonts w:cs="Arial"/>
              </w:rPr>
            </w:pPr>
            <w:r w:rsidRPr="00852550">
              <w:rPr>
                <w:rFonts w:cs="Arial"/>
              </w:rPr>
              <w:t>Providers may be required to submit data reporting at other times as required by the Department.</w:t>
            </w:r>
          </w:p>
        </w:tc>
      </w:tr>
      <w:tr w:rsidR="004D279E" w:rsidRPr="00573375" w:rsidTr="00936751">
        <w:tc>
          <w:tcPr>
            <w:tcW w:w="3153" w:type="dxa"/>
          </w:tcPr>
          <w:p w:rsidR="004D279E" w:rsidRPr="00FE42DE" w:rsidRDefault="004D279E" w:rsidP="00936751">
            <w:pPr>
              <w:pStyle w:val="AASSOGSLEVEL3"/>
              <w:spacing w:before="120" w:after="120" w:line="240" w:lineRule="auto"/>
            </w:pPr>
            <w:r w:rsidRPr="00FE42DE">
              <w:t xml:space="preserve">KPI </w:t>
            </w:r>
            <w:r>
              <w:t>4</w:t>
            </w:r>
            <w:r w:rsidRPr="00FE42DE">
              <w:t xml:space="preserve"> – </w:t>
            </w:r>
            <w:r>
              <w:t>Retention Targets</w:t>
            </w:r>
          </w:p>
        </w:tc>
        <w:tc>
          <w:tcPr>
            <w:tcW w:w="7664" w:type="dxa"/>
          </w:tcPr>
          <w:p w:rsidR="004D279E" w:rsidRDefault="004D279E" w:rsidP="00B91355">
            <w:pPr>
              <w:spacing w:before="60" w:after="60" w:line="240" w:lineRule="auto"/>
              <w:rPr>
                <w:rFonts w:cs="Arial"/>
              </w:rPr>
            </w:pPr>
            <w:r>
              <w:rPr>
                <w:rFonts w:cs="Arial"/>
              </w:rPr>
              <w:t>A measure of success under this program will be the retention of apprentices</w:t>
            </w:r>
            <w:r w:rsidR="001F4FDC">
              <w:rPr>
                <w:rFonts w:cs="Arial"/>
              </w:rPr>
              <w:t xml:space="preserve"> </w:t>
            </w:r>
            <w:r w:rsidR="00587E30">
              <w:rPr>
                <w:rFonts w:cs="Arial"/>
              </w:rPr>
              <w:t xml:space="preserve">against the target </w:t>
            </w:r>
            <w:r w:rsidR="001F4FDC">
              <w:rPr>
                <w:rFonts w:cs="Arial"/>
              </w:rPr>
              <w:t xml:space="preserve">that </w:t>
            </w:r>
            <w:r w:rsidR="007450C4">
              <w:rPr>
                <w:rFonts w:cs="Arial"/>
              </w:rPr>
              <w:t xml:space="preserve">are </w:t>
            </w:r>
            <w:r>
              <w:rPr>
                <w:rFonts w:cs="Arial"/>
              </w:rPr>
              <w:t>identified</w:t>
            </w:r>
            <w:r w:rsidR="001F4FDC">
              <w:rPr>
                <w:rFonts w:cs="Arial"/>
              </w:rPr>
              <w:t xml:space="preserve"> </w:t>
            </w:r>
            <w:r w:rsidR="007450C4">
              <w:rPr>
                <w:rFonts w:cs="Arial"/>
              </w:rPr>
              <w:t xml:space="preserve">in </w:t>
            </w:r>
            <w:r w:rsidR="00DF4E37">
              <w:rPr>
                <w:rFonts w:cs="Arial"/>
              </w:rPr>
              <w:t>You</w:t>
            </w:r>
            <w:r w:rsidR="007450C4">
              <w:rPr>
                <w:rFonts w:cs="Arial"/>
              </w:rPr>
              <w:t xml:space="preserve">r </w:t>
            </w:r>
            <w:r w:rsidR="00DF4E37">
              <w:rPr>
                <w:rFonts w:cs="Arial"/>
              </w:rPr>
              <w:t>Contract</w:t>
            </w:r>
            <w:r w:rsidR="007450C4">
              <w:rPr>
                <w:rFonts w:cs="Arial"/>
              </w:rPr>
              <w:t xml:space="preserve"> </w:t>
            </w:r>
            <w:r w:rsidR="001F4FDC">
              <w:rPr>
                <w:rFonts w:cs="Arial"/>
              </w:rPr>
              <w:t>for delivery of</w:t>
            </w:r>
            <w:r>
              <w:rPr>
                <w:rFonts w:cs="Arial"/>
              </w:rPr>
              <w:t xml:space="preserve"> </w:t>
            </w:r>
            <w:r w:rsidR="00DF4E37">
              <w:rPr>
                <w:rFonts w:cs="Arial"/>
              </w:rPr>
              <w:t>Services</w:t>
            </w:r>
            <w:r>
              <w:rPr>
                <w:rFonts w:cs="Arial"/>
              </w:rPr>
              <w:t xml:space="preserve"> under the ISMAA program. </w:t>
            </w:r>
          </w:p>
          <w:p w:rsidR="004D279E" w:rsidRDefault="00107072" w:rsidP="009C5961">
            <w:pPr>
              <w:spacing w:before="60" w:after="60" w:line="240" w:lineRule="auto"/>
              <w:rPr>
                <w:rFonts w:cs="Arial"/>
              </w:rPr>
            </w:pPr>
            <w:r>
              <w:rPr>
                <w:rFonts w:cs="Arial"/>
              </w:rPr>
              <w:t xml:space="preserve">These targets will be measured </w:t>
            </w:r>
            <w:r w:rsidR="00587E30">
              <w:rPr>
                <w:rFonts w:cs="Arial"/>
              </w:rPr>
              <w:t xml:space="preserve">at least </w:t>
            </w:r>
            <w:r>
              <w:rPr>
                <w:rFonts w:cs="Arial"/>
              </w:rPr>
              <w:t>t</w:t>
            </w:r>
            <w:r w:rsidR="002E7B8C">
              <w:rPr>
                <w:rFonts w:cs="Arial"/>
              </w:rPr>
              <w:t xml:space="preserve">wice through the program, at </w:t>
            </w:r>
            <w:r w:rsidR="009C5961">
              <w:rPr>
                <w:rFonts w:cs="Arial"/>
              </w:rPr>
              <w:t>30 June </w:t>
            </w:r>
            <w:r w:rsidR="002E7B8C">
              <w:rPr>
                <w:rFonts w:cs="Arial"/>
              </w:rPr>
              <w:t>2018 and 30 June 2019</w:t>
            </w:r>
            <w:r>
              <w:rPr>
                <w:rFonts w:cs="Arial"/>
              </w:rPr>
              <w:t>.</w:t>
            </w:r>
          </w:p>
        </w:tc>
      </w:tr>
      <w:tr w:rsidR="008014AF" w:rsidRPr="00573375" w:rsidTr="00906032">
        <w:trPr>
          <w:trHeight w:val="558"/>
        </w:trPr>
        <w:tc>
          <w:tcPr>
            <w:tcW w:w="3153" w:type="dxa"/>
          </w:tcPr>
          <w:p w:rsidR="008014AF" w:rsidRDefault="008014AF" w:rsidP="0024139C">
            <w:pPr>
              <w:pStyle w:val="AASSOGSLEVEL3"/>
              <w:spacing w:before="120" w:after="120" w:line="240" w:lineRule="auto"/>
            </w:pPr>
            <w:r>
              <w:t xml:space="preserve">KPI </w:t>
            </w:r>
            <w:r w:rsidR="004D279E">
              <w:t>5</w:t>
            </w:r>
            <w:r>
              <w:t xml:space="preserve"> – ISMAA Service Report</w:t>
            </w:r>
          </w:p>
        </w:tc>
        <w:tc>
          <w:tcPr>
            <w:tcW w:w="7664" w:type="dxa"/>
          </w:tcPr>
          <w:p w:rsidR="000747E0" w:rsidRPr="00852550" w:rsidRDefault="00587E30" w:rsidP="00B91355">
            <w:pPr>
              <w:spacing w:before="60" w:after="60" w:line="240" w:lineRule="auto"/>
              <w:rPr>
                <w:rFonts w:cs="Arial"/>
              </w:rPr>
            </w:pPr>
            <w:r>
              <w:rPr>
                <w:rFonts w:cs="Arial"/>
              </w:rPr>
              <w:t>The Department requires t</w:t>
            </w:r>
            <w:r w:rsidR="000747E0" w:rsidRPr="00852550">
              <w:rPr>
                <w:rFonts w:cs="Arial"/>
              </w:rPr>
              <w:t xml:space="preserve">he ISMAA Provider Reports to be submitted one month prior to </w:t>
            </w:r>
            <w:r w:rsidR="001E51F4">
              <w:rPr>
                <w:rFonts w:cs="Arial"/>
              </w:rPr>
              <w:t>Your</w:t>
            </w:r>
            <w:r w:rsidR="000747E0" w:rsidRPr="00852550">
              <w:rPr>
                <w:rFonts w:cs="Arial"/>
              </w:rPr>
              <w:t xml:space="preserve"> next payment point for the duration of the Contract and must be completed in the template provided by the Department. </w:t>
            </w:r>
          </w:p>
          <w:p w:rsidR="000747E0" w:rsidRPr="00852550" w:rsidRDefault="000747E0" w:rsidP="00B91355">
            <w:pPr>
              <w:spacing w:before="60" w:after="60" w:line="240" w:lineRule="auto"/>
              <w:rPr>
                <w:rFonts w:cs="Arial"/>
              </w:rPr>
            </w:pPr>
            <w:r w:rsidRPr="00852550">
              <w:rPr>
                <w:rFonts w:cs="Arial"/>
              </w:rPr>
              <w:t xml:space="preserve">ISMAA Provider reporting must contain both quantitative data and a qualitative component to reflect </w:t>
            </w:r>
            <w:r w:rsidR="001E51F4">
              <w:rPr>
                <w:rFonts w:cs="Arial"/>
              </w:rPr>
              <w:t>Your</w:t>
            </w:r>
            <w:r w:rsidRPr="00852550">
              <w:rPr>
                <w:rFonts w:cs="Arial"/>
              </w:rPr>
              <w:t xml:space="preserve"> servicing methodology. </w:t>
            </w:r>
          </w:p>
          <w:p w:rsidR="000747E0" w:rsidRPr="00107072" w:rsidRDefault="000747E0" w:rsidP="00B91355">
            <w:pPr>
              <w:spacing w:before="60" w:after="60" w:line="240" w:lineRule="auto"/>
              <w:rPr>
                <w:rFonts w:cs="Arial"/>
                <w:b/>
              </w:rPr>
            </w:pPr>
            <w:r w:rsidRPr="00107072">
              <w:rPr>
                <w:rFonts w:cs="Arial"/>
                <w:b/>
              </w:rPr>
              <w:t xml:space="preserve">Quantitative component </w:t>
            </w:r>
          </w:p>
          <w:p w:rsidR="000747E0" w:rsidRPr="00852550" w:rsidRDefault="000747E0" w:rsidP="00B91355">
            <w:pPr>
              <w:spacing w:before="60" w:after="60" w:line="240" w:lineRule="auto"/>
              <w:rPr>
                <w:rFonts w:cs="Arial"/>
              </w:rPr>
            </w:pPr>
            <w:r w:rsidRPr="00852550">
              <w:rPr>
                <w:rFonts w:cs="Arial"/>
              </w:rPr>
              <w:t xml:space="preserve">The quantitative component of the ISMAA Provider Report will be based on </w:t>
            </w:r>
            <w:r w:rsidR="001E51F4">
              <w:rPr>
                <w:rFonts w:cs="Arial"/>
              </w:rPr>
              <w:t>Your</w:t>
            </w:r>
            <w:r w:rsidRPr="00852550">
              <w:rPr>
                <w:rFonts w:cs="Arial"/>
              </w:rPr>
              <w:t xml:space="preserve"> data. </w:t>
            </w:r>
            <w:r w:rsidR="00107072">
              <w:rPr>
                <w:rFonts w:cs="Arial"/>
              </w:rPr>
              <w:t xml:space="preserve">You will input </w:t>
            </w:r>
            <w:r w:rsidRPr="00852550">
              <w:rPr>
                <w:rFonts w:cs="Arial"/>
              </w:rPr>
              <w:t xml:space="preserve">high level statistics regarding performance against </w:t>
            </w:r>
            <w:r w:rsidR="001E51F4">
              <w:rPr>
                <w:rFonts w:cs="Arial"/>
              </w:rPr>
              <w:t>Your</w:t>
            </w:r>
            <w:r w:rsidRPr="00852550">
              <w:rPr>
                <w:rFonts w:cs="Arial"/>
              </w:rPr>
              <w:t xml:space="preserve"> benchmark</w:t>
            </w:r>
            <w:r w:rsidR="00107072">
              <w:rPr>
                <w:rFonts w:cs="Arial"/>
              </w:rPr>
              <w:t xml:space="preserve"> and milestones</w:t>
            </w:r>
            <w:r w:rsidRPr="00852550">
              <w:rPr>
                <w:rFonts w:cs="Arial"/>
              </w:rPr>
              <w:t xml:space="preserve"> as well as aggregated outcomes to date.</w:t>
            </w:r>
          </w:p>
          <w:p w:rsidR="000747E0" w:rsidRPr="00107072" w:rsidRDefault="000747E0" w:rsidP="00B91355">
            <w:pPr>
              <w:spacing w:before="60" w:after="60" w:line="240" w:lineRule="auto"/>
              <w:rPr>
                <w:rFonts w:cs="Arial"/>
                <w:b/>
              </w:rPr>
            </w:pPr>
            <w:r w:rsidRPr="00107072">
              <w:rPr>
                <w:rFonts w:cs="Arial"/>
                <w:b/>
              </w:rPr>
              <w:t xml:space="preserve">Qualitative component </w:t>
            </w:r>
          </w:p>
          <w:p w:rsidR="000C62A9" w:rsidRDefault="000747E0" w:rsidP="00B91355">
            <w:pPr>
              <w:spacing w:before="60" w:after="60" w:line="240" w:lineRule="auto"/>
              <w:rPr>
                <w:rFonts w:cs="Arial"/>
              </w:rPr>
            </w:pPr>
            <w:r w:rsidRPr="00852550">
              <w:rPr>
                <w:rFonts w:cs="Arial"/>
              </w:rPr>
              <w:t>The qualitative componen</w:t>
            </w:r>
            <w:r w:rsidR="00107072">
              <w:rPr>
                <w:rFonts w:cs="Arial"/>
              </w:rPr>
              <w:t>t of the ISMAA Provider Report must</w:t>
            </w:r>
            <w:r w:rsidRPr="00852550">
              <w:rPr>
                <w:rFonts w:cs="Arial"/>
              </w:rPr>
              <w:t xml:space="preserve"> identify and analyse the operating environment and its impacts (both positive and negative) on </w:t>
            </w:r>
            <w:r w:rsidR="001E51F4">
              <w:rPr>
                <w:rFonts w:cs="Arial"/>
              </w:rPr>
              <w:t>Your</w:t>
            </w:r>
            <w:r w:rsidR="00107072">
              <w:rPr>
                <w:rFonts w:cs="Arial"/>
              </w:rPr>
              <w:t xml:space="preserve"> ability to successfully deliver the program. </w:t>
            </w:r>
          </w:p>
          <w:p w:rsidR="0024139C" w:rsidRDefault="0024139C" w:rsidP="00B91355">
            <w:pPr>
              <w:spacing w:before="60" w:after="60" w:line="240" w:lineRule="auto"/>
              <w:rPr>
                <w:rFonts w:cs="Arial"/>
              </w:rPr>
            </w:pPr>
            <w:r>
              <w:rPr>
                <w:rFonts w:cs="Arial"/>
                <w:b/>
              </w:rPr>
              <w:t>Contract manager questions</w:t>
            </w:r>
          </w:p>
          <w:p w:rsidR="0024139C" w:rsidRPr="00852550" w:rsidRDefault="0024139C" w:rsidP="00B91355">
            <w:pPr>
              <w:spacing w:before="60" w:after="60" w:line="240" w:lineRule="auto"/>
              <w:rPr>
                <w:rFonts w:cs="Arial"/>
              </w:rPr>
            </w:pPr>
            <w:r>
              <w:rPr>
                <w:rFonts w:cs="Arial"/>
              </w:rPr>
              <w:lastRenderedPageBreak/>
              <w:t xml:space="preserve">Part of the </w:t>
            </w:r>
            <w:r w:rsidRPr="00852550">
              <w:rPr>
                <w:rFonts w:cs="Arial"/>
              </w:rPr>
              <w:t xml:space="preserve">ISMAA Service report will be a requirement to respond to any specific questions </w:t>
            </w:r>
            <w:r w:rsidR="001E51F4">
              <w:rPr>
                <w:rFonts w:cs="Arial"/>
              </w:rPr>
              <w:t>Your</w:t>
            </w:r>
            <w:r w:rsidRPr="00852550">
              <w:rPr>
                <w:rFonts w:cs="Arial"/>
              </w:rPr>
              <w:t xml:space="preserve"> </w:t>
            </w:r>
            <w:r w:rsidR="00DF4E37">
              <w:rPr>
                <w:rFonts w:cs="Arial"/>
              </w:rPr>
              <w:t>Contract</w:t>
            </w:r>
            <w:r w:rsidRPr="00852550">
              <w:rPr>
                <w:rFonts w:cs="Arial"/>
              </w:rPr>
              <w:t xml:space="preserve"> manager may have after their analysis of the data and ongoing discussions with </w:t>
            </w:r>
            <w:r w:rsidR="00DF4E37">
              <w:rPr>
                <w:rFonts w:cs="Arial"/>
              </w:rPr>
              <w:t>You</w:t>
            </w:r>
            <w:r w:rsidRPr="00852550">
              <w:rPr>
                <w:rFonts w:cs="Arial"/>
              </w:rPr>
              <w:t xml:space="preserve"> during the reporting period. These questions will not count towards the assessment of specific KPIs but will support continuous improvement.</w:t>
            </w:r>
          </w:p>
        </w:tc>
      </w:tr>
      <w:tr w:rsidR="00934BCD" w:rsidRPr="00573375" w:rsidTr="00936751">
        <w:tc>
          <w:tcPr>
            <w:tcW w:w="3153" w:type="dxa"/>
          </w:tcPr>
          <w:p w:rsidR="00934BCD" w:rsidRDefault="00934BCD" w:rsidP="00936751">
            <w:pPr>
              <w:spacing w:before="120" w:after="120" w:line="240" w:lineRule="auto"/>
              <w:rPr>
                <w:b/>
              </w:rPr>
            </w:pPr>
            <w:r w:rsidRPr="00075CB9">
              <w:rPr>
                <w:b/>
              </w:rPr>
              <w:lastRenderedPageBreak/>
              <w:t>Surveys</w:t>
            </w:r>
          </w:p>
          <w:p w:rsidR="00934BCD" w:rsidRPr="00EC5A57" w:rsidRDefault="00934BCD" w:rsidP="00936751">
            <w:pPr>
              <w:pStyle w:val="AASSOGSLEVEL3"/>
              <w:spacing w:before="120" w:after="120" w:line="240" w:lineRule="auto"/>
            </w:pPr>
          </w:p>
        </w:tc>
        <w:tc>
          <w:tcPr>
            <w:tcW w:w="7664" w:type="dxa"/>
          </w:tcPr>
          <w:p w:rsidR="00934BCD" w:rsidRPr="00852550" w:rsidRDefault="008014AF" w:rsidP="00E12F2A">
            <w:pPr>
              <w:spacing w:before="60" w:after="60" w:line="240" w:lineRule="auto"/>
              <w:rPr>
                <w:rFonts w:cs="Arial"/>
              </w:rPr>
            </w:pPr>
            <w:r w:rsidRPr="00852550">
              <w:rPr>
                <w:rFonts w:cs="Arial"/>
              </w:rPr>
              <w:t>The Department may choose to undertake</w:t>
            </w:r>
            <w:r w:rsidR="00E12F2A">
              <w:rPr>
                <w:rFonts w:cs="Arial"/>
              </w:rPr>
              <w:t xml:space="preserve">, </w:t>
            </w:r>
            <w:r w:rsidRPr="00852550">
              <w:rPr>
                <w:rFonts w:cs="Arial"/>
              </w:rPr>
              <w:t xml:space="preserve">or engage an external party to </w:t>
            </w:r>
            <w:r w:rsidR="00E12F2A">
              <w:rPr>
                <w:rFonts w:cs="Arial"/>
              </w:rPr>
              <w:t>conduct</w:t>
            </w:r>
            <w:r w:rsidR="00587E30">
              <w:rPr>
                <w:rFonts w:cs="Arial"/>
              </w:rPr>
              <w:t>,</w:t>
            </w:r>
            <w:r w:rsidR="00E12F2A" w:rsidRPr="00852550">
              <w:rPr>
                <w:rFonts w:cs="Arial"/>
              </w:rPr>
              <w:t xml:space="preserve"> </w:t>
            </w:r>
            <w:r w:rsidRPr="00852550">
              <w:rPr>
                <w:rFonts w:cs="Arial"/>
              </w:rPr>
              <w:t xml:space="preserve">a program satisfaction survey either during or following the ISMAA program. Where this occurs during the life of the program, </w:t>
            </w:r>
            <w:r w:rsidR="00DF4E37">
              <w:rPr>
                <w:rFonts w:cs="Arial"/>
              </w:rPr>
              <w:t>Provider</w:t>
            </w:r>
            <w:r w:rsidRPr="00852550">
              <w:rPr>
                <w:rFonts w:cs="Arial"/>
              </w:rPr>
              <w:t>s will be advised.</w:t>
            </w:r>
          </w:p>
        </w:tc>
      </w:tr>
      <w:tr w:rsidR="00934BCD" w:rsidRPr="00573375" w:rsidTr="00936751">
        <w:tc>
          <w:tcPr>
            <w:tcW w:w="3153" w:type="dxa"/>
          </w:tcPr>
          <w:p w:rsidR="00934BCD" w:rsidDel="007C11DF" w:rsidRDefault="00934BCD" w:rsidP="00936751">
            <w:pPr>
              <w:pStyle w:val="AASSOGSLEVEL3"/>
              <w:spacing w:before="120" w:after="120" w:line="240" w:lineRule="auto"/>
            </w:pPr>
            <w:r>
              <w:t>Business Plan</w:t>
            </w:r>
          </w:p>
        </w:tc>
        <w:tc>
          <w:tcPr>
            <w:tcW w:w="7664" w:type="dxa"/>
          </w:tcPr>
          <w:p w:rsidR="00934BCD" w:rsidRPr="00852550" w:rsidRDefault="002D6F68" w:rsidP="002D6F68">
            <w:pPr>
              <w:spacing w:before="60" w:after="60" w:line="240" w:lineRule="auto"/>
              <w:rPr>
                <w:rFonts w:cs="Arial"/>
              </w:rPr>
            </w:pPr>
            <w:r>
              <w:rPr>
                <w:rFonts w:cs="Arial"/>
              </w:rPr>
              <w:t xml:space="preserve">A business plan will form a schedule to Your contract. This business plan will be developed from the information provided in Your tender response and will include the key aspects of Your service delivery. </w:t>
            </w:r>
          </w:p>
        </w:tc>
      </w:tr>
      <w:tr w:rsidR="00934BCD" w:rsidRPr="00573375" w:rsidTr="00936751">
        <w:tc>
          <w:tcPr>
            <w:tcW w:w="3153" w:type="dxa"/>
          </w:tcPr>
          <w:p w:rsidR="00934BCD" w:rsidRPr="009F281C" w:rsidRDefault="00934BCD" w:rsidP="00936751">
            <w:pPr>
              <w:pStyle w:val="AASSOGSLEVEL3"/>
              <w:spacing w:before="120" w:after="120" w:line="240" w:lineRule="auto"/>
            </w:pPr>
            <w:r w:rsidRPr="009F281C">
              <w:t>Reporting templates</w:t>
            </w:r>
          </w:p>
        </w:tc>
        <w:tc>
          <w:tcPr>
            <w:tcW w:w="7664" w:type="dxa"/>
          </w:tcPr>
          <w:p w:rsidR="00934BCD" w:rsidRPr="00852550" w:rsidRDefault="00934BCD" w:rsidP="00B91355">
            <w:pPr>
              <w:spacing w:before="60" w:after="60" w:line="240" w:lineRule="auto"/>
              <w:rPr>
                <w:rFonts w:cs="Arial"/>
              </w:rPr>
            </w:pPr>
            <w:r w:rsidRPr="00852550">
              <w:rPr>
                <w:rFonts w:cs="Arial"/>
              </w:rPr>
              <w:t>Reporting templates are available in the attachments</w:t>
            </w:r>
            <w:r w:rsidR="00441DAA" w:rsidRPr="00852550">
              <w:rPr>
                <w:rFonts w:cs="Arial"/>
              </w:rPr>
              <w:t xml:space="preserve"> to these </w:t>
            </w:r>
            <w:r w:rsidR="00DF4E37">
              <w:rPr>
                <w:rFonts w:cs="Arial"/>
              </w:rPr>
              <w:t>Guidelines</w:t>
            </w:r>
            <w:r w:rsidRPr="00852550">
              <w:rPr>
                <w:rFonts w:cs="Arial"/>
              </w:rPr>
              <w:t xml:space="preserve">. </w:t>
            </w:r>
          </w:p>
        </w:tc>
      </w:tr>
      <w:tr w:rsidR="00934BCD" w:rsidRPr="00573375" w:rsidTr="00936751">
        <w:tc>
          <w:tcPr>
            <w:tcW w:w="3153" w:type="dxa"/>
          </w:tcPr>
          <w:p w:rsidR="00934BCD" w:rsidRPr="0060420A" w:rsidRDefault="00934BCD" w:rsidP="00936751">
            <w:pPr>
              <w:pStyle w:val="AASSOGSLEVEL3"/>
              <w:spacing w:before="120" w:after="120" w:line="240" w:lineRule="auto"/>
              <w:rPr>
                <w:rFonts w:cstheme="minorHAnsi"/>
              </w:rPr>
            </w:pPr>
            <w:r w:rsidRPr="0060420A">
              <w:rPr>
                <w:rFonts w:eastAsia="Times New Roman" w:cstheme="minorHAnsi"/>
                <w:lang w:eastAsia="en-AU"/>
              </w:rPr>
              <w:t>Minimum Performance Standard</w:t>
            </w:r>
          </w:p>
        </w:tc>
        <w:tc>
          <w:tcPr>
            <w:tcW w:w="7664" w:type="dxa"/>
          </w:tcPr>
          <w:p w:rsidR="00934BCD" w:rsidRPr="00852550" w:rsidRDefault="00934BCD" w:rsidP="00E12F2A">
            <w:pPr>
              <w:spacing w:before="60" w:after="60" w:line="240" w:lineRule="auto"/>
              <w:rPr>
                <w:rFonts w:cs="Arial"/>
              </w:rPr>
            </w:pPr>
            <w:r w:rsidRPr="00852550">
              <w:rPr>
                <w:rFonts w:cs="Arial"/>
              </w:rPr>
              <w:t xml:space="preserve">The KPIs and benchmarks represent a minimum performance standard and </w:t>
            </w:r>
            <w:r w:rsidR="00E12F2A">
              <w:rPr>
                <w:rFonts w:cs="Arial"/>
              </w:rPr>
              <w:t xml:space="preserve">every effort must be made </w:t>
            </w:r>
            <w:r w:rsidRPr="00852550">
              <w:rPr>
                <w:rFonts w:cs="Arial"/>
              </w:rPr>
              <w:t xml:space="preserve">to deliver above these standards. </w:t>
            </w:r>
          </w:p>
        </w:tc>
      </w:tr>
      <w:tr w:rsidR="007B529E" w:rsidRPr="00573375" w:rsidTr="00936751">
        <w:tc>
          <w:tcPr>
            <w:tcW w:w="3153" w:type="dxa"/>
          </w:tcPr>
          <w:p w:rsidR="007B529E" w:rsidRPr="00EB298A" w:rsidRDefault="007B529E" w:rsidP="00936751">
            <w:pPr>
              <w:pStyle w:val="AASSOGSLEVEL3"/>
              <w:spacing w:before="120" w:after="120" w:line="240" w:lineRule="auto"/>
              <w:rPr>
                <w:rFonts w:cstheme="minorHAnsi"/>
              </w:rPr>
            </w:pPr>
            <w:r w:rsidRPr="00EB298A">
              <w:rPr>
                <w:rFonts w:cstheme="minorHAnsi"/>
              </w:rPr>
              <w:t>Monitoring Timeline</w:t>
            </w:r>
          </w:p>
        </w:tc>
        <w:tc>
          <w:tcPr>
            <w:tcW w:w="7664" w:type="dxa"/>
          </w:tcPr>
          <w:p w:rsidR="003B6F09" w:rsidRDefault="007B529E" w:rsidP="00B91355">
            <w:pPr>
              <w:spacing w:before="60" w:after="60" w:line="240" w:lineRule="auto"/>
              <w:rPr>
                <w:rFonts w:cs="Arial"/>
              </w:rPr>
            </w:pPr>
            <w:r w:rsidRPr="00852550">
              <w:rPr>
                <w:rFonts w:cs="Arial"/>
              </w:rPr>
              <w:t xml:space="preserve">The table below outlines the monitoring and reporting timeframes for </w:t>
            </w:r>
            <w:r w:rsidR="00DF4E37">
              <w:rPr>
                <w:rFonts w:cs="Arial"/>
              </w:rPr>
              <w:t>Provider</w:t>
            </w:r>
            <w:r w:rsidRPr="00852550">
              <w:rPr>
                <w:rFonts w:cs="Arial"/>
              </w:rPr>
              <w:t xml:space="preserve">s to adhere to under these </w:t>
            </w:r>
            <w:r w:rsidR="00DF4E37">
              <w:rPr>
                <w:rFonts w:cs="Arial"/>
              </w:rPr>
              <w:t>Guidelines</w:t>
            </w:r>
            <w:r w:rsidRPr="00852550">
              <w:rPr>
                <w:rFonts w:cs="Arial"/>
              </w:rPr>
              <w:t>.</w:t>
            </w:r>
            <w:r w:rsidR="002163D2">
              <w:rPr>
                <w:rFonts w:cs="Arial"/>
              </w:rPr>
              <w:t xml:space="preserve"> </w:t>
            </w:r>
            <w:r w:rsidR="006E7408">
              <w:rPr>
                <w:rFonts w:cs="Arial"/>
              </w:rPr>
              <w:t xml:space="preserve">Dates may vary based on </w:t>
            </w:r>
            <w:r w:rsidR="00DF4E37">
              <w:rPr>
                <w:rFonts w:cs="Arial"/>
              </w:rPr>
              <w:t>Contract</w:t>
            </w:r>
            <w:r w:rsidR="006E7408">
              <w:rPr>
                <w:rFonts w:cs="Arial"/>
              </w:rPr>
              <w:t xml:space="preserve"> commencement date.</w:t>
            </w:r>
          </w:p>
          <w:p w:rsidR="004D279E" w:rsidRPr="00852550" w:rsidRDefault="004D279E" w:rsidP="00B91355">
            <w:pPr>
              <w:spacing w:before="60" w:after="60" w:line="240" w:lineRule="auto"/>
              <w:rPr>
                <w:rFonts w:cs="Arial"/>
              </w:rPr>
            </w:pPr>
          </w:p>
          <w:tbl>
            <w:tblPr>
              <w:tblW w:w="726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994"/>
              <w:gridCol w:w="4465"/>
            </w:tblGrid>
            <w:tr w:rsidR="007B529E" w:rsidRPr="003B6F09" w:rsidTr="0032435F">
              <w:tc>
                <w:tcPr>
                  <w:tcW w:w="1244" w:type="pct"/>
                  <w:shd w:val="clear" w:color="auto" w:fill="D9D9D9"/>
                  <w:vAlign w:val="center"/>
                </w:tcPr>
                <w:p w:rsidR="007B529E" w:rsidRPr="003B6F09" w:rsidRDefault="007B529E" w:rsidP="00B91355">
                  <w:pPr>
                    <w:tabs>
                      <w:tab w:val="left" w:pos="5812"/>
                    </w:tabs>
                    <w:spacing w:before="60" w:after="60" w:line="240" w:lineRule="auto"/>
                    <w:ind w:left="33" w:right="351"/>
                    <w:outlineLvl w:val="2"/>
                    <w:rPr>
                      <w:rFonts w:cs="Arial"/>
                      <w:b/>
                    </w:rPr>
                  </w:pPr>
                  <w:r w:rsidRPr="003B6F09">
                    <w:rPr>
                      <w:rFonts w:cs="Arial"/>
                      <w:b/>
                    </w:rPr>
                    <w:t>Date</w:t>
                  </w:r>
                </w:p>
              </w:tc>
              <w:tc>
                <w:tcPr>
                  <w:tcW w:w="684" w:type="pct"/>
                  <w:shd w:val="clear" w:color="auto" w:fill="D9D9D9"/>
                  <w:vAlign w:val="center"/>
                </w:tcPr>
                <w:p w:rsidR="007B529E" w:rsidRPr="003B6F09" w:rsidRDefault="00964AC3" w:rsidP="00B91355">
                  <w:pPr>
                    <w:tabs>
                      <w:tab w:val="left" w:pos="5812"/>
                    </w:tabs>
                    <w:spacing w:before="60" w:after="60" w:line="240" w:lineRule="auto"/>
                    <w:ind w:right="351"/>
                    <w:jc w:val="center"/>
                    <w:outlineLvl w:val="2"/>
                    <w:rPr>
                      <w:rFonts w:cs="Arial"/>
                      <w:b/>
                    </w:rPr>
                  </w:pPr>
                  <w:r w:rsidRPr="003B6F09">
                    <w:rPr>
                      <w:rFonts w:cs="Arial"/>
                      <w:b/>
                    </w:rPr>
                    <w:t xml:space="preserve"> </w:t>
                  </w:r>
                  <w:r w:rsidR="007B529E" w:rsidRPr="003B6F09">
                    <w:rPr>
                      <w:rFonts w:cs="Arial"/>
                      <w:b/>
                    </w:rPr>
                    <w:t>KPI</w:t>
                  </w:r>
                </w:p>
              </w:tc>
              <w:tc>
                <w:tcPr>
                  <w:tcW w:w="3072" w:type="pct"/>
                  <w:shd w:val="clear" w:color="auto" w:fill="D9D9D9"/>
                  <w:vAlign w:val="center"/>
                </w:tcPr>
                <w:p w:rsidR="007B529E" w:rsidRPr="003B6F09" w:rsidRDefault="007B529E" w:rsidP="00B91355">
                  <w:pPr>
                    <w:tabs>
                      <w:tab w:val="left" w:pos="5812"/>
                    </w:tabs>
                    <w:spacing w:before="60" w:after="60" w:line="240" w:lineRule="auto"/>
                    <w:ind w:right="351"/>
                    <w:outlineLvl w:val="2"/>
                    <w:rPr>
                      <w:rFonts w:cs="Arial"/>
                      <w:b/>
                    </w:rPr>
                  </w:pPr>
                  <w:r w:rsidRPr="003B6F09">
                    <w:rPr>
                      <w:rFonts w:cs="Arial"/>
                      <w:b/>
                    </w:rPr>
                    <w:t>Performance Requirement</w:t>
                  </w:r>
                </w:p>
              </w:tc>
            </w:tr>
            <w:tr w:rsidR="007B529E" w:rsidRPr="00852550" w:rsidTr="0032435F">
              <w:tc>
                <w:tcPr>
                  <w:tcW w:w="1244" w:type="pct"/>
                  <w:shd w:val="clear" w:color="auto" w:fill="auto"/>
                  <w:vAlign w:val="center"/>
                </w:tcPr>
                <w:p w:rsidR="007B529E" w:rsidRPr="00852550" w:rsidRDefault="00E10726" w:rsidP="00B91355">
                  <w:pPr>
                    <w:tabs>
                      <w:tab w:val="left" w:pos="426"/>
                    </w:tabs>
                    <w:spacing w:before="60" w:after="60" w:line="240" w:lineRule="auto"/>
                    <w:rPr>
                      <w:rFonts w:cs="Arial"/>
                    </w:rPr>
                  </w:pPr>
                  <w:r>
                    <w:rPr>
                      <w:rFonts w:cs="Arial"/>
                    </w:rPr>
                    <w:t>Start of month 4</w:t>
                  </w:r>
                </w:p>
              </w:tc>
              <w:tc>
                <w:tcPr>
                  <w:tcW w:w="684" w:type="pct"/>
                  <w:shd w:val="clear" w:color="auto" w:fill="auto"/>
                  <w:vAlign w:val="center"/>
                </w:tcPr>
                <w:p w:rsidR="007B529E" w:rsidRPr="00852550" w:rsidRDefault="007B529E" w:rsidP="00B91355">
                  <w:pPr>
                    <w:keepNext/>
                    <w:numPr>
                      <w:ilvl w:val="1"/>
                      <w:numId w:val="0"/>
                    </w:numPr>
                    <w:spacing w:before="60" w:after="60" w:line="240" w:lineRule="auto"/>
                    <w:ind w:left="378" w:hanging="378"/>
                    <w:jc w:val="center"/>
                    <w:outlineLvl w:val="1"/>
                    <w:rPr>
                      <w:rFonts w:cs="Arial"/>
                    </w:rPr>
                  </w:pPr>
                  <w:r w:rsidRPr="00852550">
                    <w:rPr>
                      <w:rFonts w:cs="Arial"/>
                    </w:rPr>
                    <w:t xml:space="preserve">1, </w:t>
                  </w:r>
                  <w:r w:rsidR="003B6F09">
                    <w:rPr>
                      <w:rFonts w:cs="Arial"/>
                    </w:rPr>
                    <w:t>2, 3, 5</w:t>
                  </w:r>
                </w:p>
              </w:tc>
              <w:tc>
                <w:tcPr>
                  <w:tcW w:w="3072" w:type="pct"/>
                  <w:vAlign w:val="center"/>
                </w:tcPr>
                <w:p w:rsidR="003B6F09" w:rsidRDefault="003B6F09" w:rsidP="00846E2F">
                  <w:pPr>
                    <w:pStyle w:val="ListParagraph"/>
                    <w:keepNext/>
                    <w:numPr>
                      <w:ilvl w:val="0"/>
                      <w:numId w:val="32"/>
                    </w:numPr>
                    <w:spacing w:before="60" w:after="60" w:line="240" w:lineRule="auto"/>
                    <w:ind w:left="174" w:hanging="174"/>
                    <w:outlineLvl w:val="1"/>
                    <w:rPr>
                      <w:rFonts w:cs="Arial"/>
                    </w:rPr>
                  </w:pPr>
                  <w:r w:rsidRPr="003B6F09">
                    <w:rPr>
                      <w:rFonts w:cs="Arial"/>
                    </w:rPr>
                    <w:t>Provider report</w:t>
                  </w:r>
                  <w:r>
                    <w:rPr>
                      <w:rFonts w:cs="Arial"/>
                    </w:rPr>
                    <w:t xml:space="preserve"> due</w:t>
                  </w:r>
                </w:p>
                <w:p w:rsidR="003B6F09" w:rsidRDefault="003B6F09" w:rsidP="00846E2F">
                  <w:pPr>
                    <w:pStyle w:val="ListParagraph"/>
                    <w:keepNext/>
                    <w:numPr>
                      <w:ilvl w:val="0"/>
                      <w:numId w:val="32"/>
                    </w:numPr>
                    <w:spacing w:before="60" w:after="60" w:line="240" w:lineRule="auto"/>
                    <w:ind w:left="174" w:hanging="174"/>
                    <w:outlineLvl w:val="1"/>
                    <w:rPr>
                      <w:rFonts w:cs="Arial"/>
                    </w:rPr>
                  </w:pPr>
                  <w:r>
                    <w:rPr>
                      <w:rFonts w:cs="Arial"/>
                    </w:rPr>
                    <w:t>D</w:t>
                  </w:r>
                  <w:r w:rsidRPr="003B6F09">
                    <w:rPr>
                      <w:rFonts w:cs="Arial"/>
                    </w:rPr>
                    <w:t>ata reporting due</w:t>
                  </w:r>
                </w:p>
                <w:p w:rsidR="007B529E" w:rsidRPr="003B6F09" w:rsidRDefault="003B6F09" w:rsidP="00846E2F">
                  <w:pPr>
                    <w:pStyle w:val="ListParagraph"/>
                    <w:keepNext/>
                    <w:numPr>
                      <w:ilvl w:val="0"/>
                      <w:numId w:val="32"/>
                    </w:numPr>
                    <w:spacing w:before="60" w:after="60" w:line="240" w:lineRule="auto"/>
                    <w:ind w:left="174" w:hanging="174"/>
                    <w:outlineLvl w:val="1"/>
                    <w:rPr>
                      <w:rFonts w:cs="Arial"/>
                    </w:rPr>
                  </w:pPr>
                  <w:r w:rsidRPr="003B6F09">
                    <w:rPr>
                      <w:rFonts w:cs="Arial"/>
                    </w:rPr>
                    <w:t>Monitoring undertaken</w:t>
                  </w:r>
                </w:p>
              </w:tc>
            </w:tr>
            <w:tr w:rsidR="007B529E" w:rsidRPr="00852550" w:rsidTr="0032435F">
              <w:tc>
                <w:tcPr>
                  <w:tcW w:w="1244" w:type="pct"/>
                  <w:shd w:val="clear" w:color="auto" w:fill="auto"/>
                  <w:vAlign w:val="center"/>
                </w:tcPr>
                <w:p w:rsidR="007B529E" w:rsidRPr="00852550" w:rsidRDefault="003B6F09" w:rsidP="00B91355">
                  <w:pPr>
                    <w:tabs>
                      <w:tab w:val="left" w:pos="426"/>
                    </w:tabs>
                    <w:spacing w:before="60" w:after="60" w:line="240" w:lineRule="auto"/>
                    <w:rPr>
                      <w:rFonts w:cs="Arial"/>
                    </w:rPr>
                  </w:pPr>
                  <w:r>
                    <w:rPr>
                      <w:rFonts w:cs="Arial"/>
                    </w:rPr>
                    <w:t>Start of month 7</w:t>
                  </w:r>
                </w:p>
              </w:tc>
              <w:tc>
                <w:tcPr>
                  <w:tcW w:w="684" w:type="pct"/>
                  <w:shd w:val="clear" w:color="auto" w:fill="auto"/>
                  <w:vAlign w:val="center"/>
                </w:tcPr>
                <w:p w:rsidR="007B529E" w:rsidRPr="00852550" w:rsidRDefault="003B6F09" w:rsidP="00B91355">
                  <w:pPr>
                    <w:keepNext/>
                    <w:numPr>
                      <w:ilvl w:val="1"/>
                      <w:numId w:val="0"/>
                    </w:numPr>
                    <w:spacing w:before="60" w:after="60" w:line="240" w:lineRule="auto"/>
                    <w:ind w:left="378" w:hanging="378"/>
                    <w:jc w:val="center"/>
                    <w:outlineLvl w:val="1"/>
                    <w:rPr>
                      <w:rFonts w:cs="Arial"/>
                    </w:rPr>
                  </w:pPr>
                  <w:r>
                    <w:rPr>
                      <w:rFonts w:cs="Arial"/>
                    </w:rPr>
                    <w:t>2</w:t>
                  </w:r>
                </w:p>
              </w:tc>
              <w:tc>
                <w:tcPr>
                  <w:tcW w:w="3072" w:type="pct"/>
                  <w:vAlign w:val="center"/>
                </w:tcPr>
                <w:p w:rsidR="007B529E" w:rsidRPr="00852550" w:rsidRDefault="007B529E" w:rsidP="00B91355">
                  <w:pPr>
                    <w:keepNext/>
                    <w:numPr>
                      <w:ilvl w:val="1"/>
                      <w:numId w:val="0"/>
                    </w:numPr>
                    <w:spacing w:before="60" w:after="60" w:line="240" w:lineRule="auto"/>
                    <w:outlineLvl w:val="1"/>
                    <w:rPr>
                      <w:rFonts w:cs="Arial"/>
                    </w:rPr>
                  </w:pPr>
                  <w:r w:rsidRPr="00852550">
                    <w:rPr>
                      <w:rFonts w:cs="Arial"/>
                    </w:rPr>
                    <w:t>Monitoring undertaken</w:t>
                  </w:r>
                </w:p>
              </w:tc>
            </w:tr>
            <w:tr w:rsidR="007B529E" w:rsidRPr="00852550" w:rsidTr="0032435F">
              <w:tc>
                <w:tcPr>
                  <w:tcW w:w="1244" w:type="pct"/>
                  <w:shd w:val="clear" w:color="auto" w:fill="auto"/>
                  <w:vAlign w:val="center"/>
                </w:tcPr>
                <w:p w:rsidR="007B529E" w:rsidRPr="00852550" w:rsidRDefault="003B6F09" w:rsidP="00B91355">
                  <w:pPr>
                    <w:tabs>
                      <w:tab w:val="left" w:pos="426"/>
                    </w:tabs>
                    <w:spacing w:before="60" w:after="60" w:line="240" w:lineRule="auto"/>
                    <w:rPr>
                      <w:rFonts w:cs="Arial"/>
                    </w:rPr>
                  </w:pPr>
                  <w:r>
                    <w:rPr>
                      <w:rFonts w:cs="Arial"/>
                    </w:rPr>
                    <w:t>Start of month 8</w:t>
                  </w:r>
                </w:p>
              </w:tc>
              <w:tc>
                <w:tcPr>
                  <w:tcW w:w="684" w:type="pct"/>
                  <w:shd w:val="clear" w:color="auto" w:fill="auto"/>
                  <w:vAlign w:val="center"/>
                </w:tcPr>
                <w:p w:rsidR="007B529E" w:rsidRPr="00852550" w:rsidRDefault="003B6F09" w:rsidP="00B91355">
                  <w:pPr>
                    <w:keepNext/>
                    <w:numPr>
                      <w:ilvl w:val="1"/>
                      <w:numId w:val="0"/>
                    </w:numPr>
                    <w:spacing w:before="60" w:after="60" w:line="240" w:lineRule="auto"/>
                    <w:ind w:left="378" w:hanging="378"/>
                    <w:jc w:val="center"/>
                    <w:outlineLvl w:val="1"/>
                    <w:rPr>
                      <w:rFonts w:cs="Arial"/>
                    </w:rPr>
                  </w:pPr>
                  <w:r>
                    <w:rPr>
                      <w:rFonts w:cs="Arial"/>
                    </w:rPr>
                    <w:t>1, 3, 5</w:t>
                  </w:r>
                </w:p>
              </w:tc>
              <w:tc>
                <w:tcPr>
                  <w:tcW w:w="3072" w:type="pct"/>
                  <w:vAlign w:val="center"/>
                </w:tcPr>
                <w:p w:rsidR="003B6F09" w:rsidRDefault="003B6F09" w:rsidP="00846E2F">
                  <w:pPr>
                    <w:pStyle w:val="ListParagraph"/>
                    <w:keepNext/>
                    <w:numPr>
                      <w:ilvl w:val="0"/>
                      <w:numId w:val="32"/>
                    </w:numPr>
                    <w:spacing w:before="60" w:after="60" w:line="240" w:lineRule="auto"/>
                    <w:ind w:left="174" w:hanging="174"/>
                    <w:outlineLvl w:val="1"/>
                    <w:rPr>
                      <w:rFonts w:cs="Arial"/>
                    </w:rPr>
                  </w:pPr>
                  <w:r w:rsidRPr="003B6F09">
                    <w:rPr>
                      <w:rFonts w:cs="Arial"/>
                    </w:rPr>
                    <w:t>Provider report</w:t>
                  </w:r>
                  <w:r>
                    <w:rPr>
                      <w:rFonts w:cs="Arial"/>
                    </w:rPr>
                    <w:t xml:space="preserve"> due</w:t>
                  </w:r>
                </w:p>
                <w:p w:rsidR="007B529E" w:rsidRPr="00852550" w:rsidRDefault="003B6F09" w:rsidP="00846E2F">
                  <w:pPr>
                    <w:pStyle w:val="ListParagraph"/>
                    <w:keepNext/>
                    <w:numPr>
                      <w:ilvl w:val="0"/>
                      <w:numId w:val="32"/>
                    </w:numPr>
                    <w:spacing w:before="60" w:after="60" w:line="240" w:lineRule="auto"/>
                    <w:ind w:left="174" w:hanging="174"/>
                    <w:outlineLvl w:val="1"/>
                    <w:rPr>
                      <w:rFonts w:cs="Arial"/>
                    </w:rPr>
                  </w:pPr>
                  <w:r>
                    <w:rPr>
                      <w:rFonts w:cs="Arial"/>
                    </w:rPr>
                    <w:t>D</w:t>
                  </w:r>
                  <w:r w:rsidRPr="003B6F09">
                    <w:rPr>
                      <w:rFonts w:cs="Arial"/>
                    </w:rPr>
                    <w:t>ata reporting due</w:t>
                  </w:r>
                </w:p>
              </w:tc>
            </w:tr>
            <w:tr w:rsidR="002E7B8C" w:rsidRPr="00852550" w:rsidTr="0032435F">
              <w:tc>
                <w:tcPr>
                  <w:tcW w:w="1244" w:type="pct"/>
                  <w:shd w:val="clear" w:color="auto" w:fill="auto"/>
                  <w:vAlign w:val="center"/>
                </w:tcPr>
                <w:p w:rsidR="002E7B8C" w:rsidRDefault="002E7B8C" w:rsidP="00B91355">
                  <w:pPr>
                    <w:tabs>
                      <w:tab w:val="left" w:pos="426"/>
                    </w:tabs>
                    <w:spacing w:before="60" w:after="60" w:line="240" w:lineRule="auto"/>
                    <w:rPr>
                      <w:rFonts w:cs="Arial"/>
                    </w:rPr>
                  </w:pPr>
                  <w:r>
                    <w:rPr>
                      <w:rFonts w:cs="Arial"/>
                    </w:rPr>
                    <w:t>30 June 2018</w:t>
                  </w:r>
                </w:p>
              </w:tc>
              <w:tc>
                <w:tcPr>
                  <w:tcW w:w="684" w:type="pct"/>
                  <w:shd w:val="clear" w:color="auto" w:fill="auto"/>
                  <w:vAlign w:val="center"/>
                </w:tcPr>
                <w:p w:rsidR="002E7B8C" w:rsidRDefault="002E7B8C" w:rsidP="00B91355">
                  <w:pPr>
                    <w:keepNext/>
                    <w:numPr>
                      <w:ilvl w:val="1"/>
                      <w:numId w:val="0"/>
                    </w:numPr>
                    <w:spacing w:before="60" w:after="60" w:line="240" w:lineRule="auto"/>
                    <w:ind w:left="378" w:hanging="378"/>
                    <w:jc w:val="center"/>
                    <w:outlineLvl w:val="1"/>
                    <w:rPr>
                      <w:rFonts w:cs="Arial"/>
                    </w:rPr>
                  </w:pPr>
                  <w:r>
                    <w:rPr>
                      <w:rFonts w:cs="Arial"/>
                    </w:rPr>
                    <w:t>4</w:t>
                  </w:r>
                </w:p>
              </w:tc>
              <w:tc>
                <w:tcPr>
                  <w:tcW w:w="3072" w:type="pct"/>
                  <w:vAlign w:val="center"/>
                </w:tcPr>
                <w:p w:rsidR="002E7B8C" w:rsidRPr="002E7B8C" w:rsidRDefault="002E7B8C" w:rsidP="002E7B8C">
                  <w:pPr>
                    <w:keepNext/>
                    <w:spacing w:before="60" w:after="60" w:line="240" w:lineRule="auto"/>
                    <w:outlineLvl w:val="1"/>
                    <w:rPr>
                      <w:rFonts w:cs="Arial"/>
                    </w:rPr>
                  </w:pPr>
                  <w:r>
                    <w:rPr>
                      <w:rFonts w:cs="Arial"/>
                    </w:rPr>
                    <w:t>Retention rate measured</w:t>
                  </w:r>
                </w:p>
              </w:tc>
            </w:tr>
            <w:tr w:rsidR="00A3380C" w:rsidRPr="00852550" w:rsidTr="0032435F">
              <w:tc>
                <w:tcPr>
                  <w:tcW w:w="1244" w:type="pct"/>
                  <w:shd w:val="clear" w:color="auto" w:fill="auto"/>
                  <w:vAlign w:val="center"/>
                </w:tcPr>
                <w:p w:rsidR="00A3380C" w:rsidRPr="00852550" w:rsidRDefault="00A3380C" w:rsidP="00B91355">
                  <w:pPr>
                    <w:tabs>
                      <w:tab w:val="left" w:pos="426"/>
                    </w:tabs>
                    <w:spacing w:before="60" w:after="60" w:line="240" w:lineRule="auto"/>
                    <w:rPr>
                      <w:rFonts w:cs="Arial"/>
                    </w:rPr>
                  </w:pPr>
                  <w:r>
                    <w:rPr>
                      <w:rFonts w:cs="Arial"/>
                    </w:rPr>
                    <w:t>Start of month 12</w:t>
                  </w:r>
                </w:p>
              </w:tc>
              <w:tc>
                <w:tcPr>
                  <w:tcW w:w="684" w:type="pct"/>
                  <w:shd w:val="clear" w:color="auto" w:fill="auto"/>
                  <w:vAlign w:val="center"/>
                </w:tcPr>
                <w:p w:rsidR="00A3380C" w:rsidRPr="00852550" w:rsidRDefault="00A3380C" w:rsidP="005149AA">
                  <w:pPr>
                    <w:keepNext/>
                    <w:numPr>
                      <w:ilvl w:val="1"/>
                      <w:numId w:val="0"/>
                    </w:numPr>
                    <w:spacing w:before="60" w:after="60" w:line="240" w:lineRule="auto"/>
                    <w:ind w:left="378" w:hanging="378"/>
                    <w:jc w:val="center"/>
                    <w:outlineLvl w:val="1"/>
                    <w:rPr>
                      <w:rFonts w:cs="Arial"/>
                    </w:rPr>
                  </w:pPr>
                  <w:r>
                    <w:rPr>
                      <w:rFonts w:cs="Arial"/>
                    </w:rPr>
                    <w:t>1, 3, 5</w:t>
                  </w:r>
                </w:p>
              </w:tc>
              <w:tc>
                <w:tcPr>
                  <w:tcW w:w="3072" w:type="pct"/>
                  <w:vAlign w:val="center"/>
                </w:tcPr>
                <w:p w:rsidR="00A3380C" w:rsidRDefault="00A3380C" w:rsidP="00846E2F">
                  <w:pPr>
                    <w:pStyle w:val="ListParagraph"/>
                    <w:keepNext/>
                    <w:numPr>
                      <w:ilvl w:val="0"/>
                      <w:numId w:val="32"/>
                    </w:numPr>
                    <w:spacing w:before="60" w:after="60" w:line="240" w:lineRule="auto"/>
                    <w:ind w:left="174" w:hanging="174"/>
                    <w:outlineLvl w:val="1"/>
                    <w:rPr>
                      <w:rFonts w:cs="Arial"/>
                    </w:rPr>
                  </w:pPr>
                  <w:r w:rsidRPr="003B6F09">
                    <w:rPr>
                      <w:rFonts w:cs="Arial"/>
                    </w:rPr>
                    <w:t>Provider report</w:t>
                  </w:r>
                  <w:r>
                    <w:rPr>
                      <w:rFonts w:cs="Arial"/>
                    </w:rPr>
                    <w:t xml:space="preserve"> due</w:t>
                  </w:r>
                </w:p>
                <w:p w:rsidR="00A3380C" w:rsidRPr="00852550" w:rsidRDefault="00A3380C" w:rsidP="00846E2F">
                  <w:pPr>
                    <w:pStyle w:val="ListParagraph"/>
                    <w:keepNext/>
                    <w:numPr>
                      <w:ilvl w:val="0"/>
                      <w:numId w:val="32"/>
                    </w:numPr>
                    <w:spacing w:before="60" w:after="60" w:line="240" w:lineRule="auto"/>
                    <w:ind w:left="174" w:hanging="174"/>
                    <w:outlineLvl w:val="1"/>
                    <w:rPr>
                      <w:rFonts w:cs="Arial"/>
                    </w:rPr>
                  </w:pPr>
                  <w:r>
                    <w:rPr>
                      <w:rFonts w:cs="Arial"/>
                    </w:rPr>
                    <w:t>D</w:t>
                  </w:r>
                  <w:r w:rsidRPr="003B6F09">
                    <w:rPr>
                      <w:rFonts w:cs="Arial"/>
                    </w:rPr>
                    <w:t>ata reporting due</w:t>
                  </w:r>
                </w:p>
              </w:tc>
            </w:tr>
            <w:tr w:rsidR="00A3380C" w:rsidRPr="00852550" w:rsidTr="0032435F">
              <w:tc>
                <w:tcPr>
                  <w:tcW w:w="1244" w:type="pct"/>
                  <w:shd w:val="clear" w:color="auto" w:fill="auto"/>
                  <w:vAlign w:val="center"/>
                </w:tcPr>
                <w:p w:rsidR="00A3380C" w:rsidRPr="00852550" w:rsidRDefault="00A3380C" w:rsidP="00B91355">
                  <w:pPr>
                    <w:tabs>
                      <w:tab w:val="left" w:pos="426"/>
                    </w:tabs>
                    <w:spacing w:before="60" w:after="60" w:line="240" w:lineRule="auto"/>
                    <w:rPr>
                      <w:rFonts w:cs="Arial"/>
                    </w:rPr>
                  </w:pPr>
                  <w:r>
                    <w:rPr>
                      <w:rFonts w:cs="Arial"/>
                    </w:rPr>
                    <w:t>Start of month 13</w:t>
                  </w:r>
                </w:p>
              </w:tc>
              <w:tc>
                <w:tcPr>
                  <w:tcW w:w="684" w:type="pct"/>
                  <w:shd w:val="clear" w:color="auto" w:fill="auto"/>
                  <w:vAlign w:val="center"/>
                </w:tcPr>
                <w:p w:rsidR="00A3380C" w:rsidRPr="00852550" w:rsidRDefault="00A3380C" w:rsidP="005149AA">
                  <w:pPr>
                    <w:keepNext/>
                    <w:numPr>
                      <w:ilvl w:val="1"/>
                      <w:numId w:val="0"/>
                    </w:numPr>
                    <w:spacing w:before="60" w:after="60" w:line="240" w:lineRule="auto"/>
                    <w:ind w:left="378" w:hanging="378"/>
                    <w:jc w:val="center"/>
                    <w:outlineLvl w:val="1"/>
                    <w:rPr>
                      <w:rFonts w:cs="Arial"/>
                    </w:rPr>
                  </w:pPr>
                  <w:r>
                    <w:rPr>
                      <w:rFonts w:cs="Arial"/>
                    </w:rPr>
                    <w:t>2</w:t>
                  </w:r>
                </w:p>
              </w:tc>
              <w:tc>
                <w:tcPr>
                  <w:tcW w:w="3072" w:type="pct"/>
                  <w:vAlign w:val="center"/>
                </w:tcPr>
                <w:p w:rsidR="00A3380C" w:rsidRPr="00852550" w:rsidRDefault="00A3380C" w:rsidP="005149AA">
                  <w:pPr>
                    <w:keepNext/>
                    <w:numPr>
                      <w:ilvl w:val="1"/>
                      <w:numId w:val="0"/>
                    </w:numPr>
                    <w:spacing w:before="60" w:after="60" w:line="240" w:lineRule="auto"/>
                    <w:outlineLvl w:val="1"/>
                    <w:rPr>
                      <w:rFonts w:cs="Arial"/>
                    </w:rPr>
                  </w:pPr>
                  <w:r w:rsidRPr="00852550">
                    <w:rPr>
                      <w:rFonts w:cs="Arial"/>
                    </w:rPr>
                    <w:t>Monitoring undertaken</w:t>
                  </w:r>
                </w:p>
              </w:tc>
            </w:tr>
            <w:tr w:rsidR="00A3380C" w:rsidRPr="00852550" w:rsidTr="0032435F">
              <w:tc>
                <w:tcPr>
                  <w:tcW w:w="1244" w:type="pct"/>
                  <w:shd w:val="clear" w:color="auto" w:fill="auto"/>
                  <w:vAlign w:val="center"/>
                </w:tcPr>
                <w:p w:rsidR="00A3380C" w:rsidRPr="00852550" w:rsidRDefault="00A3380C" w:rsidP="00A3380C">
                  <w:pPr>
                    <w:tabs>
                      <w:tab w:val="left" w:pos="426"/>
                    </w:tabs>
                    <w:spacing w:before="60" w:after="60" w:line="240" w:lineRule="auto"/>
                    <w:rPr>
                      <w:rFonts w:cs="Arial"/>
                    </w:rPr>
                  </w:pPr>
                  <w:r>
                    <w:rPr>
                      <w:rFonts w:cs="Arial"/>
                    </w:rPr>
                    <w:t>Start of month 16</w:t>
                  </w:r>
                </w:p>
              </w:tc>
              <w:tc>
                <w:tcPr>
                  <w:tcW w:w="684" w:type="pct"/>
                  <w:shd w:val="clear" w:color="auto" w:fill="auto"/>
                  <w:vAlign w:val="center"/>
                </w:tcPr>
                <w:p w:rsidR="00A3380C" w:rsidRPr="00852550" w:rsidRDefault="00A3380C" w:rsidP="005149AA">
                  <w:pPr>
                    <w:keepNext/>
                    <w:numPr>
                      <w:ilvl w:val="1"/>
                      <w:numId w:val="0"/>
                    </w:numPr>
                    <w:spacing w:before="60" w:after="60" w:line="240" w:lineRule="auto"/>
                    <w:ind w:left="378" w:hanging="378"/>
                    <w:jc w:val="center"/>
                    <w:outlineLvl w:val="1"/>
                    <w:rPr>
                      <w:rFonts w:cs="Arial"/>
                    </w:rPr>
                  </w:pPr>
                  <w:r>
                    <w:rPr>
                      <w:rFonts w:cs="Arial"/>
                    </w:rPr>
                    <w:t>1, 3, 5</w:t>
                  </w:r>
                </w:p>
              </w:tc>
              <w:tc>
                <w:tcPr>
                  <w:tcW w:w="3072" w:type="pct"/>
                  <w:vAlign w:val="center"/>
                </w:tcPr>
                <w:p w:rsidR="00A3380C" w:rsidRDefault="00A3380C" w:rsidP="00846E2F">
                  <w:pPr>
                    <w:pStyle w:val="ListParagraph"/>
                    <w:keepNext/>
                    <w:numPr>
                      <w:ilvl w:val="0"/>
                      <w:numId w:val="32"/>
                    </w:numPr>
                    <w:spacing w:before="60" w:after="60" w:line="240" w:lineRule="auto"/>
                    <w:ind w:left="174" w:hanging="174"/>
                    <w:outlineLvl w:val="1"/>
                    <w:rPr>
                      <w:rFonts w:cs="Arial"/>
                    </w:rPr>
                  </w:pPr>
                  <w:r w:rsidRPr="003B6F09">
                    <w:rPr>
                      <w:rFonts w:cs="Arial"/>
                    </w:rPr>
                    <w:t>Provider report</w:t>
                  </w:r>
                  <w:r>
                    <w:rPr>
                      <w:rFonts w:cs="Arial"/>
                    </w:rPr>
                    <w:t xml:space="preserve"> due</w:t>
                  </w:r>
                </w:p>
                <w:p w:rsidR="00A3380C" w:rsidRPr="00852550" w:rsidRDefault="00A3380C" w:rsidP="00846E2F">
                  <w:pPr>
                    <w:pStyle w:val="ListParagraph"/>
                    <w:keepNext/>
                    <w:numPr>
                      <w:ilvl w:val="0"/>
                      <w:numId w:val="32"/>
                    </w:numPr>
                    <w:spacing w:before="60" w:after="60" w:line="240" w:lineRule="auto"/>
                    <w:ind w:left="174" w:hanging="174"/>
                    <w:outlineLvl w:val="1"/>
                    <w:rPr>
                      <w:rFonts w:cs="Arial"/>
                    </w:rPr>
                  </w:pPr>
                  <w:r>
                    <w:rPr>
                      <w:rFonts w:cs="Arial"/>
                    </w:rPr>
                    <w:t>D</w:t>
                  </w:r>
                  <w:r w:rsidRPr="003B6F09">
                    <w:rPr>
                      <w:rFonts w:cs="Arial"/>
                    </w:rPr>
                    <w:t>ata reporting due</w:t>
                  </w:r>
                </w:p>
              </w:tc>
            </w:tr>
            <w:tr w:rsidR="00A3380C" w:rsidRPr="00852550" w:rsidTr="0032435F">
              <w:tc>
                <w:tcPr>
                  <w:tcW w:w="1244" w:type="pct"/>
                  <w:shd w:val="clear" w:color="auto" w:fill="auto"/>
                  <w:vAlign w:val="center"/>
                </w:tcPr>
                <w:p w:rsidR="00A3380C" w:rsidRPr="00852550" w:rsidRDefault="00A3380C" w:rsidP="00A3380C">
                  <w:pPr>
                    <w:tabs>
                      <w:tab w:val="left" w:pos="426"/>
                    </w:tabs>
                    <w:spacing w:before="60" w:after="60" w:line="240" w:lineRule="auto"/>
                    <w:rPr>
                      <w:rFonts w:cs="Arial"/>
                    </w:rPr>
                  </w:pPr>
                  <w:r>
                    <w:rPr>
                      <w:rFonts w:cs="Arial"/>
                    </w:rPr>
                    <w:t>Start of month 19</w:t>
                  </w:r>
                </w:p>
              </w:tc>
              <w:tc>
                <w:tcPr>
                  <w:tcW w:w="684" w:type="pct"/>
                  <w:shd w:val="clear" w:color="auto" w:fill="auto"/>
                  <w:vAlign w:val="center"/>
                </w:tcPr>
                <w:p w:rsidR="00A3380C" w:rsidRPr="00852550" w:rsidRDefault="00A3380C" w:rsidP="005149AA">
                  <w:pPr>
                    <w:keepNext/>
                    <w:numPr>
                      <w:ilvl w:val="1"/>
                      <w:numId w:val="0"/>
                    </w:numPr>
                    <w:spacing w:before="60" w:after="60" w:line="240" w:lineRule="auto"/>
                    <w:ind w:left="378" w:hanging="378"/>
                    <w:jc w:val="center"/>
                    <w:outlineLvl w:val="1"/>
                    <w:rPr>
                      <w:rFonts w:cs="Arial"/>
                    </w:rPr>
                  </w:pPr>
                  <w:r>
                    <w:rPr>
                      <w:rFonts w:cs="Arial"/>
                    </w:rPr>
                    <w:t>2</w:t>
                  </w:r>
                </w:p>
              </w:tc>
              <w:tc>
                <w:tcPr>
                  <w:tcW w:w="3072" w:type="pct"/>
                  <w:vAlign w:val="center"/>
                </w:tcPr>
                <w:p w:rsidR="00A3380C" w:rsidRPr="00852550" w:rsidRDefault="00A3380C" w:rsidP="005149AA">
                  <w:pPr>
                    <w:keepNext/>
                    <w:numPr>
                      <w:ilvl w:val="1"/>
                      <w:numId w:val="0"/>
                    </w:numPr>
                    <w:spacing w:before="60" w:after="60" w:line="240" w:lineRule="auto"/>
                    <w:outlineLvl w:val="1"/>
                    <w:rPr>
                      <w:rFonts w:cs="Arial"/>
                    </w:rPr>
                  </w:pPr>
                  <w:r w:rsidRPr="00852550">
                    <w:rPr>
                      <w:rFonts w:cs="Arial"/>
                    </w:rPr>
                    <w:t>Monitoring undertaken</w:t>
                  </w:r>
                </w:p>
              </w:tc>
            </w:tr>
            <w:tr w:rsidR="00D1243A" w:rsidRPr="00852550" w:rsidTr="0032435F">
              <w:tc>
                <w:tcPr>
                  <w:tcW w:w="1244" w:type="pct"/>
                  <w:shd w:val="clear" w:color="auto" w:fill="auto"/>
                  <w:vAlign w:val="center"/>
                </w:tcPr>
                <w:p w:rsidR="00D1243A" w:rsidRDefault="00D1243A" w:rsidP="00477728">
                  <w:pPr>
                    <w:tabs>
                      <w:tab w:val="left" w:pos="426"/>
                    </w:tabs>
                    <w:spacing w:before="60" w:after="60" w:line="240" w:lineRule="auto"/>
                    <w:rPr>
                      <w:rFonts w:cs="Arial"/>
                    </w:rPr>
                  </w:pPr>
                  <w:r>
                    <w:rPr>
                      <w:rFonts w:cs="Arial"/>
                    </w:rPr>
                    <w:t>30 June 2019</w:t>
                  </w:r>
                </w:p>
              </w:tc>
              <w:tc>
                <w:tcPr>
                  <w:tcW w:w="684" w:type="pct"/>
                  <w:shd w:val="clear" w:color="auto" w:fill="auto"/>
                  <w:vAlign w:val="center"/>
                </w:tcPr>
                <w:p w:rsidR="00D1243A" w:rsidRDefault="00D1243A" w:rsidP="00477728">
                  <w:pPr>
                    <w:keepNext/>
                    <w:numPr>
                      <w:ilvl w:val="1"/>
                      <w:numId w:val="0"/>
                    </w:numPr>
                    <w:spacing w:before="60" w:after="60" w:line="240" w:lineRule="auto"/>
                    <w:ind w:left="378" w:hanging="378"/>
                    <w:jc w:val="center"/>
                    <w:outlineLvl w:val="1"/>
                    <w:rPr>
                      <w:rFonts w:cs="Arial"/>
                    </w:rPr>
                  </w:pPr>
                  <w:r>
                    <w:rPr>
                      <w:rFonts w:cs="Arial"/>
                    </w:rPr>
                    <w:t>4</w:t>
                  </w:r>
                </w:p>
              </w:tc>
              <w:tc>
                <w:tcPr>
                  <w:tcW w:w="3072" w:type="pct"/>
                  <w:vAlign w:val="center"/>
                </w:tcPr>
                <w:p w:rsidR="00D1243A" w:rsidRPr="002E7B8C" w:rsidRDefault="00D1243A" w:rsidP="00477728">
                  <w:pPr>
                    <w:keepNext/>
                    <w:spacing w:before="60" w:after="60" w:line="240" w:lineRule="auto"/>
                    <w:outlineLvl w:val="1"/>
                    <w:rPr>
                      <w:rFonts w:cs="Arial"/>
                    </w:rPr>
                  </w:pPr>
                  <w:r>
                    <w:rPr>
                      <w:rFonts w:cs="Arial"/>
                    </w:rPr>
                    <w:t>Retention rate measured</w:t>
                  </w:r>
                </w:p>
              </w:tc>
            </w:tr>
            <w:tr w:rsidR="00D1243A" w:rsidRPr="00852550" w:rsidTr="0032435F">
              <w:tc>
                <w:tcPr>
                  <w:tcW w:w="1244" w:type="pct"/>
                  <w:shd w:val="clear" w:color="auto" w:fill="auto"/>
                  <w:vAlign w:val="center"/>
                </w:tcPr>
                <w:p w:rsidR="00D1243A" w:rsidRPr="00852550" w:rsidRDefault="00D1243A" w:rsidP="00F4314E">
                  <w:pPr>
                    <w:tabs>
                      <w:tab w:val="left" w:pos="426"/>
                    </w:tabs>
                    <w:spacing w:before="60" w:after="60" w:line="240" w:lineRule="auto"/>
                    <w:rPr>
                      <w:rFonts w:cs="Arial"/>
                    </w:rPr>
                  </w:pPr>
                  <w:r>
                    <w:rPr>
                      <w:rFonts w:cs="Arial"/>
                    </w:rPr>
                    <w:t>Start of month 21</w:t>
                  </w:r>
                </w:p>
              </w:tc>
              <w:tc>
                <w:tcPr>
                  <w:tcW w:w="684" w:type="pct"/>
                  <w:shd w:val="clear" w:color="auto" w:fill="auto"/>
                  <w:vAlign w:val="center"/>
                </w:tcPr>
                <w:p w:rsidR="00D1243A" w:rsidRPr="00852550" w:rsidRDefault="00D1243A" w:rsidP="005149AA">
                  <w:pPr>
                    <w:keepNext/>
                    <w:numPr>
                      <w:ilvl w:val="1"/>
                      <w:numId w:val="0"/>
                    </w:numPr>
                    <w:spacing w:before="60" w:after="60" w:line="240" w:lineRule="auto"/>
                    <w:ind w:left="378" w:hanging="378"/>
                    <w:jc w:val="center"/>
                    <w:outlineLvl w:val="1"/>
                    <w:rPr>
                      <w:rFonts w:cs="Arial"/>
                    </w:rPr>
                  </w:pPr>
                  <w:r>
                    <w:rPr>
                      <w:rFonts w:cs="Arial"/>
                    </w:rPr>
                    <w:t>1, 3, 5</w:t>
                  </w:r>
                </w:p>
              </w:tc>
              <w:tc>
                <w:tcPr>
                  <w:tcW w:w="3072" w:type="pct"/>
                  <w:vAlign w:val="center"/>
                </w:tcPr>
                <w:p w:rsidR="00D1243A" w:rsidRDefault="00D1243A" w:rsidP="00846E2F">
                  <w:pPr>
                    <w:pStyle w:val="ListParagraph"/>
                    <w:keepNext/>
                    <w:numPr>
                      <w:ilvl w:val="0"/>
                      <w:numId w:val="32"/>
                    </w:numPr>
                    <w:spacing w:before="60" w:after="60" w:line="240" w:lineRule="auto"/>
                    <w:ind w:left="174" w:hanging="174"/>
                    <w:outlineLvl w:val="1"/>
                    <w:rPr>
                      <w:rFonts w:cs="Arial"/>
                    </w:rPr>
                  </w:pPr>
                  <w:r w:rsidRPr="003B6F09">
                    <w:rPr>
                      <w:rFonts w:cs="Arial"/>
                    </w:rPr>
                    <w:t>Provider report</w:t>
                  </w:r>
                  <w:r>
                    <w:rPr>
                      <w:rFonts w:cs="Arial"/>
                    </w:rPr>
                    <w:t xml:space="preserve"> due</w:t>
                  </w:r>
                </w:p>
                <w:p w:rsidR="00D1243A" w:rsidRPr="00852550" w:rsidRDefault="00D1243A" w:rsidP="00846E2F">
                  <w:pPr>
                    <w:pStyle w:val="ListParagraph"/>
                    <w:keepNext/>
                    <w:numPr>
                      <w:ilvl w:val="0"/>
                      <w:numId w:val="32"/>
                    </w:numPr>
                    <w:spacing w:before="60" w:after="60" w:line="240" w:lineRule="auto"/>
                    <w:ind w:left="174" w:hanging="174"/>
                    <w:outlineLvl w:val="1"/>
                    <w:rPr>
                      <w:rFonts w:cs="Arial"/>
                    </w:rPr>
                  </w:pPr>
                  <w:r>
                    <w:rPr>
                      <w:rFonts w:cs="Arial"/>
                    </w:rPr>
                    <w:t>D</w:t>
                  </w:r>
                  <w:r w:rsidRPr="003B6F09">
                    <w:rPr>
                      <w:rFonts w:cs="Arial"/>
                    </w:rPr>
                    <w:t>ata reporting due</w:t>
                  </w:r>
                </w:p>
              </w:tc>
            </w:tr>
            <w:tr w:rsidR="00D1243A" w:rsidRPr="00852550" w:rsidTr="0032435F">
              <w:tc>
                <w:tcPr>
                  <w:tcW w:w="1244" w:type="pct"/>
                  <w:shd w:val="clear" w:color="auto" w:fill="auto"/>
                  <w:vAlign w:val="center"/>
                </w:tcPr>
                <w:p w:rsidR="00D1243A" w:rsidRPr="00852550" w:rsidRDefault="00D1243A" w:rsidP="00A3380C">
                  <w:pPr>
                    <w:tabs>
                      <w:tab w:val="left" w:pos="426"/>
                    </w:tabs>
                    <w:spacing w:before="60" w:after="60" w:line="240" w:lineRule="auto"/>
                    <w:rPr>
                      <w:rFonts w:cs="Arial"/>
                    </w:rPr>
                  </w:pPr>
                  <w:r>
                    <w:rPr>
                      <w:rFonts w:cs="Arial"/>
                    </w:rPr>
                    <w:t>Start of month 25</w:t>
                  </w:r>
                </w:p>
              </w:tc>
              <w:tc>
                <w:tcPr>
                  <w:tcW w:w="684" w:type="pct"/>
                  <w:shd w:val="clear" w:color="auto" w:fill="auto"/>
                  <w:vAlign w:val="center"/>
                </w:tcPr>
                <w:p w:rsidR="00D1243A" w:rsidRPr="00852550" w:rsidRDefault="00D1243A" w:rsidP="005149AA">
                  <w:pPr>
                    <w:keepNext/>
                    <w:numPr>
                      <w:ilvl w:val="1"/>
                      <w:numId w:val="0"/>
                    </w:numPr>
                    <w:spacing w:before="60" w:after="60" w:line="240" w:lineRule="auto"/>
                    <w:ind w:left="378" w:hanging="378"/>
                    <w:jc w:val="center"/>
                    <w:outlineLvl w:val="1"/>
                    <w:rPr>
                      <w:rFonts w:cs="Arial"/>
                    </w:rPr>
                  </w:pPr>
                  <w:r>
                    <w:rPr>
                      <w:rFonts w:cs="Arial"/>
                    </w:rPr>
                    <w:t>2</w:t>
                  </w:r>
                </w:p>
              </w:tc>
              <w:tc>
                <w:tcPr>
                  <w:tcW w:w="3072" w:type="pct"/>
                  <w:vAlign w:val="center"/>
                </w:tcPr>
                <w:p w:rsidR="00D1243A" w:rsidRPr="00852550" w:rsidRDefault="00D1243A" w:rsidP="005149AA">
                  <w:pPr>
                    <w:keepNext/>
                    <w:numPr>
                      <w:ilvl w:val="1"/>
                      <w:numId w:val="0"/>
                    </w:numPr>
                    <w:spacing w:before="60" w:after="60" w:line="240" w:lineRule="auto"/>
                    <w:outlineLvl w:val="1"/>
                    <w:rPr>
                      <w:rFonts w:cs="Arial"/>
                    </w:rPr>
                  </w:pPr>
                  <w:r w:rsidRPr="00852550">
                    <w:rPr>
                      <w:rFonts w:cs="Arial"/>
                    </w:rPr>
                    <w:t>Monitoring undertaken</w:t>
                  </w:r>
                </w:p>
              </w:tc>
            </w:tr>
          </w:tbl>
          <w:p w:rsidR="007B529E" w:rsidRPr="00852550" w:rsidRDefault="007B529E" w:rsidP="00B91355">
            <w:pPr>
              <w:spacing w:before="60" w:after="60" w:line="240" w:lineRule="auto"/>
              <w:rPr>
                <w:rFonts w:cs="Arial"/>
              </w:rPr>
            </w:pPr>
          </w:p>
        </w:tc>
      </w:tr>
      <w:tr w:rsidR="002E5E97" w:rsidRPr="00573375" w:rsidTr="00936751">
        <w:tc>
          <w:tcPr>
            <w:tcW w:w="3153" w:type="dxa"/>
          </w:tcPr>
          <w:p w:rsidR="002E5E97" w:rsidRPr="00EB298A" w:rsidRDefault="00683761" w:rsidP="00936751">
            <w:pPr>
              <w:pStyle w:val="AASSOGSLEVEL3"/>
              <w:spacing w:before="120" w:after="120" w:line="240" w:lineRule="auto"/>
              <w:rPr>
                <w:rFonts w:cstheme="minorHAnsi"/>
              </w:rPr>
            </w:pPr>
            <w:r>
              <w:rPr>
                <w:rFonts w:cstheme="minorHAnsi"/>
              </w:rPr>
              <w:t>P</w:t>
            </w:r>
            <w:r w:rsidR="00471CF3">
              <w:rPr>
                <w:rFonts w:cstheme="minorHAnsi"/>
              </w:rPr>
              <w:t>rogram</w:t>
            </w:r>
            <w:r w:rsidR="00945C41">
              <w:rPr>
                <w:rFonts w:cstheme="minorHAnsi"/>
              </w:rPr>
              <w:t xml:space="preserve"> Timeline</w:t>
            </w:r>
          </w:p>
        </w:tc>
        <w:tc>
          <w:tcPr>
            <w:tcW w:w="7664" w:type="dxa"/>
          </w:tcPr>
          <w:p w:rsidR="002E5E97" w:rsidRDefault="00945C41" w:rsidP="00B91355">
            <w:pPr>
              <w:spacing w:before="60" w:after="60" w:line="240" w:lineRule="auto"/>
              <w:rPr>
                <w:rFonts w:cs="Arial"/>
              </w:rPr>
            </w:pPr>
            <w:r>
              <w:rPr>
                <w:rFonts w:cs="Arial"/>
              </w:rPr>
              <w:t>The table below outlines the key activities relating to the performance management framework and when they fall due across the lifespan of the program.</w:t>
            </w:r>
          </w:p>
          <w:p w:rsidR="00F20C4E" w:rsidRDefault="00F20C4E" w:rsidP="00B91355">
            <w:pPr>
              <w:spacing w:before="60" w:after="60" w:line="240" w:lineRule="auto"/>
              <w:rPr>
                <w:rFonts w:cs="Arial"/>
              </w:rPr>
            </w:pPr>
          </w:p>
          <w:p w:rsidR="00F20C4E" w:rsidRDefault="00F20C4E" w:rsidP="00B91355">
            <w:pPr>
              <w:spacing w:before="60" w:after="60" w:line="240" w:lineRule="auto"/>
              <w:rPr>
                <w:rFonts w:cs="Arial"/>
              </w:rPr>
            </w:pPr>
          </w:p>
          <w:p w:rsidR="00F20C4E" w:rsidRDefault="00F20C4E" w:rsidP="00B91355">
            <w:pPr>
              <w:spacing w:before="60" w:after="60" w:line="240" w:lineRule="auto"/>
              <w:rPr>
                <w:rFonts w:cs="Arial"/>
              </w:rPr>
            </w:pPr>
          </w:p>
          <w:p w:rsidR="00945C41" w:rsidRDefault="00945C41" w:rsidP="00B91355">
            <w:pPr>
              <w:spacing w:before="60" w:after="60" w:line="240" w:lineRule="auto"/>
              <w:rPr>
                <w:rFonts w:cs="Arial"/>
              </w:rPr>
            </w:pPr>
          </w:p>
          <w:tbl>
            <w:tblPr>
              <w:tblStyle w:val="TableGrid"/>
              <w:tblW w:w="0" w:type="auto"/>
              <w:jc w:val="center"/>
              <w:tblLook w:val="04A0" w:firstRow="1" w:lastRow="0" w:firstColumn="1" w:lastColumn="0" w:noHBand="0" w:noVBand="1"/>
            </w:tblPr>
            <w:tblGrid>
              <w:gridCol w:w="839"/>
              <w:gridCol w:w="1368"/>
              <w:gridCol w:w="1533"/>
              <w:gridCol w:w="1223"/>
              <w:gridCol w:w="1248"/>
              <w:gridCol w:w="1227"/>
            </w:tblGrid>
            <w:tr w:rsidR="002E5E97" w:rsidTr="00F4314E">
              <w:trPr>
                <w:jc w:val="center"/>
              </w:trPr>
              <w:tc>
                <w:tcPr>
                  <w:tcW w:w="839" w:type="dxa"/>
                  <w:shd w:val="clear" w:color="auto" w:fill="C6D9F1" w:themeFill="text2" w:themeFillTint="33"/>
                </w:tcPr>
                <w:p w:rsidR="002E5E97" w:rsidRPr="005149AA" w:rsidRDefault="002E5E97" w:rsidP="00945C41">
                  <w:pPr>
                    <w:spacing w:before="60" w:after="60"/>
                    <w:jc w:val="center"/>
                    <w:rPr>
                      <w:rFonts w:asciiTheme="minorHAnsi" w:eastAsiaTheme="minorHAnsi" w:hAnsiTheme="minorHAnsi" w:cs="Arial"/>
                      <w:b/>
                      <w:sz w:val="22"/>
                      <w:szCs w:val="22"/>
                      <w:lang w:eastAsia="en-US"/>
                    </w:rPr>
                  </w:pPr>
                  <w:r w:rsidRPr="005149AA">
                    <w:rPr>
                      <w:rFonts w:asciiTheme="minorHAnsi" w:eastAsiaTheme="minorHAnsi" w:hAnsiTheme="minorHAnsi" w:cs="Arial"/>
                      <w:b/>
                      <w:sz w:val="22"/>
                      <w:szCs w:val="22"/>
                      <w:lang w:eastAsia="en-US"/>
                    </w:rPr>
                    <w:t>Month</w:t>
                  </w:r>
                </w:p>
              </w:tc>
              <w:tc>
                <w:tcPr>
                  <w:tcW w:w="1368" w:type="dxa"/>
                  <w:shd w:val="clear" w:color="auto" w:fill="C6D9F1" w:themeFill="text2" w:themeFillTint="33"/>
                </w:tcPr>
                <w:p w:rsidR="002E5E97" w:rsidRPr="005149AA" w:rsidRDefault="002E5E97" w:rsidP="00945C41">
                  <w:pPr>
                    <w:spacing w:before="60" w:after="60"/>
                    <w:jc w:val="center"/>
                    <w:rPr>
                      <w:rFonts w:asciiTheme="minorHAnsi" w:eastAsiaTheme="minorHAnsi" w:hAnsiTheme="minorHAnsi" w:cs="Arial"/>
                      <w:b/>
                      <w:sz w:val="22"/>
                      <w:szCs w:val="22"/>
                      <w:lang w:eastAsia="en-US"/>
                    </w:rPr>
                  </w:pPr>
                  <w:r w:rsidRPr="005149AA">
                    <w:rPr>
                      <w:rFonts w:asciiTheme="minorHAnsi" w:eastAsiaTheme="minorHAnsi" w:hAnsiTheme="minorHAnsi" w:cs="Arial"/>
                      <w:b/>
                      <w:sz w:val="22"/>
                      <w:szCs w:val="22"/>
                      <w:lang w:eastAsia="en-US"/>
                    </w:rPr>
                    <w:t>Payment</w:t>
                  </w:r>
                </w:p>
                <w:p w:rsidR="002E5E97" w:rsidRPr="005149AA" w:rsidRDefault="002E5E97" w:rsidP="00945C41">
                  <w:pPr>
                    <w:spacing w:before="60" w:after="60"/>
                    <w:jc w:val="center"/>
                    <w:rPr>
                      <w:rFonts w:asciiTheme="minorHAnsi" w:eastAsiaTheme="minorHAnsi" w:hAnsiTheme="minorHAnsi" w:cs="Arial"/>
                      <w:b/>
                      <w:sz w:val="22"/>
                      <w:szCs w:val="22"/>
                      <w:lang w:eastAsia="en-US"/>
                    </w:rPr>
                  </w:pPr>
                  <w:r w:rsidRPr="005149AA">
                    <w:rPr>
                      <w:rFonts w:asciiTheme="minorHAnsi" w:eastAsiaTheme="minorHAnsi" w:hAnsiTheme="minorHAnsi" w:cs="Arial"/>
                      <w:b/>
                      <w:sz w:val="22"/>
                      <w:szCs w:val="22"/>
                      <w:lang w:eastAsia="en-US"/>
                    </w:rPr>
                    <w:t>Period</w:t>
                  </w:r>
                </w:p>
              </w:tc>
              <w:tc>
                <w:tcPr>
                  <w:tcW w:w="1533" w:type="dxa"/>
                  <w:shd w:val="clear" w:color="auto" w:fill="C6D9F1" w:themeFill="text2" w:themeFillTint="33"/>
                </w:tcPr>
                <w:p w:rsidR="002E5E97" w:rsidRPr="009A1A3F" w:rsidRDefault="002E5E97" w:rsidP="009A1A3F">
                  <w:pPr>
                    <w:spacing w:before="60" w:after="60"/>
                    <w:jc w:val="center"/>
                    <w:rPr>
                      <w:rFonts w:asciiTheme="minorHAnsi" w:eastAsiaTheme="minorHAnsi" w:hAnsiTheme="minorHAnsi" w:cs="Arial"/>
                      <w:b/>
                      <w:sz w:val="22"/>
                      <w:szCs w:val="22"/>
                      <w:lang w:eastAsia="en-US"/>
                    </w:rPr>
                  </w:pPr>
                  <w:r w:rsidRPr="009A1A3F">
                    <w:rPr>
                      <w:rFonts w:asciiTheme="minorHAnsi" w:eastAsiaTheme="minorHAnsi" w:hAnsiTheme="minorHAnsi" w:cs="Arial"/>
                      <w:b/>
                      <w:sz w:val="22"/>
                      <w:szCs w:val="22"/>
                      <w:lang w:eastAsia="en-US"/>
                    </w:rPr>
                    <w:t>Reporting</w:t>
                  </w:r>
                </w:p>
                <w:p w:rsidR="002E5E97" w:rsidRPr="009A1A3F" w:rsidRDefault="002E5E97" w:rsidP="009A1A3F">
                  <w:pPr>
                    <w:spacing w:before="60" w:after="60"/>
                    <w:jc w:val="center"/>
                    <w:rPr>
                      <w:rFonts w:asciiTheme="minorHAnsi" w:eastAsiaTheme="minorHAnsi" w:hAnsiTheme="minorHAnsi" w:cs="Arial"/>
                      <w:b/>
                      <w:sz w:val="22"/>
                      <w:szCs w:val="22"/>
                      <w:lang w:eastAsia="en-US"/>
                    </w:rPr>
                  </w:pPr>
                  <w:r w:rsidRPr="009A1A3F">
                    <w:rPr>
                      <w:rFonts w:asciiTheme="minorHAnsi" w:eastAsiaTheme="minorHAnsi" w:hAnsiTheme="minorHAnsi" w:cs="Arial"/>
                      <w:b/>
                      <w:sz w:val="22"/>
                      <w:szCs w:val="22"/>
                      <w:lang w:eastAsia="en-US"/>
                    </w:rPr>
                    <w:t>Due</w:t>
                  </w:r>
                </w:p>
              </w:tc>
              <w:tc>
                <w:tcPr>
                  <w:tcW w:w="1223" w:type="dxa"/>
                  <w:shd w:val="clear" w:color="auto" w:fill="C6D9F1" w:themeFill="text2" w:themeFillTint="33"/>
                </w:tcPr>
                <w:p w:rsidR="002E5E97" w:rsidRPr="009A1A3F" w:rsidRDefault="002E5E97" w:rsidP="009A1A3F">
                  <w:pPr>
                    <w:spacing w:before="60" w:after="60"/>
                    <w:jc w:val="center"/>
                    <w:rPr>
                      <w:rFonts w:asciiTheme="minorHAnsi" w:eastAsiaTheme="minorHAnsi" w:hAnsiTheme="minorHAnsi" w:cs="Arial"/>
                      <w:b/>
                      <w:sz w:val="22"/>
                      <w:szCs w:val="22"/>
                      <w:lang w:eastAsia="en-US"/>
                    </w:rPr>
                  </w:pPr>
                  <w:r w:rsidRPr="009A1A3F">
                    <w:rPr>
                      <w:rFonts w:asciiTheme="minorHAnsi" w:eastAsiaTheme="minorHAnsi" w:hAnsiTheme="minorHAnsi" w:cs="Arial"/>
                      <w:b/>
                      <w:sz w:val="22"/>
                      <w:szCs w:val="22"/>
                      <w:lang w:eastAsia="en-US"/>
                    </w:rPr>
                    <w:t>Data</w:t>
                  </w:r>
                </w:p>
                <w:p w:rsidR="002E5E97" w:rsidRPr="009A1A3F" w:rsidRDefault="002E5E97" w:rsidP="009A1A3F">
                  <w:pPr>
                    <w:spacing w:before="60" w:after="60"/>
                    <w:jc w:val="center"/>
                    <w:rPr>
                      <w:rFonts w:asciiTheme="minorHAnsi" w:eastAsiaTheme="minorHAnsi" w:hAnsiTheme="minorHAnsi" w:cs="Arial"/>
                      <w:b/>
                      <w:sz w:val="22"/>
                      <w:szCs w:val="22"/>
                      <w:lang w:eastAsia="en-US"/>
                    </w:rPr>
                  </w:pPr>
                  <w:r w:rsidRPr="009A1A3F">
                    <w:rPr>
                      <w:rFonts w:asciiTheme="minorHAnsi" w:eastAsiaTheme="minorHAnsi" w:hAnsiTheme="minorHAnsi" w:cs="Arial"/>
                      <w:b/>
                      <w:sz w:val="22"/>
                      <w:szCs w:val="22"/>
                      <w:lang w:eastAsia="en-US"/>
                    </w:rPr>
                    <w:t>Reporting</w:t>
                  </w:r>
                </w:p>
              </w:tc>
              <w:tc>
                <w:tcPr>
                  <w:tcW w:w="1248" w:type="dxa"/>
                  <w:shd w:val="clear" w:color="auto" w:fill="C6D9F1" w:themeFill="text2" w:themeFillTint="33"/>
                </w:tcPr>
                <w:p w:rsidR="002E5E97" w:rsidRPr="009A1A3F" w:rsidRDefault="002E5E97" w:rsidP="009A1A3F">
                  <w:pPr>
                    <w:spacing w:before="60" w:after="60"/>
                    <w:jc w:val="center"/>
                    <w:rPr>
                      <w:rFonts w:asciiTheme="minorHAnsi" w:eastAsiaTheme="minorHAnsi" w:hAnsiTheme="minorHAnsi" w:cs="Arial"/>
                      <w:b/>
                      <w:sz w:val="22"/>
                      <w:szCs w:val="22"/>
                      <w:lang w:eastAsia="en-US"/>
                    </w:rPr>
                  </w:pPr>
                  <w:r w:rsidRPr="009A1A3F">
                    <w:rPr>
                      <w:rFonts w:asciiTheme="minorHAnsi" w:eastAsiaTheme="minorHAnsi" w:hAnsiTheme="minorHAnsi" w:cs="Arial"/>
                      <w:b/>
                      <w:sz w:val="22"/>
                      <w:szCs w:val="22"/>
                      <w:lang w:eastAsia="en-US"/>
                    </w:rPr>
                    <w:t>Monitoring</w:t>
                  </w:r>
                </w:p>
              </w:tc>
              <w:tc>
                <w:tcPr>
                  <w:tcW w:w="1227" w:type="dxa"/>
                  <w:shd w:val="clear" w:color="auto" w:fill="C6D9F1" w:themeFill="text2" w:themeFillTint="33"/>
                </w:tcPr>
                <w:p w:rsidR="002E5E97" w:rsidRPr="009A1A3F" w:rsidRDefault="002E5E97" w:rsidP="009A1A3F">
                  <w:pPr>
                    <w:spacing w:before="60" w:after="60"/>
                    <w:jc w:val="center"/>
                    <w:rPr>
                      <w:rFonts w:asciiTheme="minorHAnsi" w:eastAsiaTheme="minorHAnsi" w:hAnsiTheme="minorHAnsi" w:cs="Arial"/>
                      <w:b/>
                      <w:sz w:val="22"/>
                      <w:szCs w:val="22"/>
                      <w:lang w:eastAsia="en-US"/>
                    </w:rPr>
                  </w:pPr>
                  <w:r w:rsidRPr="009A1A3F">
                    <w:rPr>
                      <w:rFonts w:asciiTheme="minorHAnsi" w:eastAsiaTheme="minorHAnsi" w:hAnsiTheme="minorHAnsi" w:cs="Arial"/>
                      <w:b/>
                      <w:sz w:val="22"/>
                      <w:szCs w:val="22"/>
                      <w:lang w:eastAsia="en-US"/>
                    </w:rPr>
                    <w:t>Retention</w:t>
                  </w:r>
                </w:p>
                <w:p w:rsidR="002E5E97" w:rsidRPr="009A1A3F" w:rsidRDefault="002E5E97" w:rsidP="009A1A3F">
                  <w:pPr>
                    <w:spacing w:before="60" w:after="60"/>
                    <w:jc w:val="center"/>
                    <w:rPr>
                      <w:rFonts w:asciiTheme="minorHAnsi" w:eastAsiaTheme="minorHAnsi" w:hAnsiTheme="minorHAnsi" w:cs="Arial"/>
                      <w:b/>
                      <w:sz w:val="22"/>
                      <w:szCs w:val="22"/>
                      <w:lang w:eastAsia="en-US"/>
                    </w:rPr>
                  </w:pPr>
                  <w:r w:rsidRPr="009A1A3F">
                    <w:rPr>
                      <w:rFonts w:asciiTheme="minorHAnsi" w:eastAsiaTheme="minorHAnsi" w:hAnsiTheme="minorHAnsi" w:cs="Arial"/>
                      <w:b/>
                      <w:sz w:val="22"/>
                      <w:szCs w:val="22"/>
                      <w:lang w:eastAsia="en-US"/>
                    </w:rPr>
                    <w:t>Measured</w:t>
                  </w:r>
                </w:p>
              </w:tc>
            </w:tr>
            <w:tr w:rsidR="002E5E97" w:rsidTr="00F4314E">
              <w:trPr>
                <w:jc w:val="center"/>
              </w:trPr>
              <w:tc>
                <w:tcPr>
                  <w:tcW w:w="839" w:type="dxa"/>
                </w:tcPr>
                <w:p w:rsidR="002E5E97" w:rsidRPr="002E5E97"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1</w:t>
                  </w:r>
                </w:p>
              </w:tc>
              <w:tc>
                <w:tcPr>
                  <w:tcW w:w="1368" w:type="dxa"/>
                </w:tcPr>
                <w:p w:rsidR="002E5E97" w:rsidRPr="002E5E97"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1 – 25%</w:t>
                  </w:r>
                </w:p>
              </w:tc>
              <w:tc>
                <w:tcPr>
                  <w:tcW w:w="1533"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23"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48"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27"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r>
            <w:tr w:rsidR="002E5E97" w:rsidTr="00F4314E">
              <w:trPr>
                <w:jc w:val="center"/>
              </w:trPr>
              <w:tc>
                <w:tcPr>
                  <w:tcW w:w="839" w:type="dxa"/>
                </w:tcPr>
                <w:p w:rsidR="002E5E97" w:rsidRPr="002E5E97"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2</w:t>
                  </w:r>
                </w:p>
              </w:tc>
              <w:tc>
                <w:tcPr>
                  <w:tcW w:w="1368" w:type="dxa"/>
                </w:tcPr>
                <w:p w:rsidR="002E5E97" w:rsidRPr="002E5E97"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1 – 25%</w:t>
                  </w:r>
                </w:p>
              </w:tc>
              <w:tc>
                <w:tcPr>
                  <w:tcW w:w="1533"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23"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48"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27"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r>
            <w:tr w:rsidR="002E5E97" w:rsidTr="00F4314E">
              <w:trPr>
                <w:jc w:val="center"/>
              </w:trPr>
              <w:tc>
                <w:tcPr>
                  <w:tcW w:w="839" w:type="dxa"/>
                </w:tcPr>
                <w:p w:rsidR="002E5E97" w:rsidRPr="002E5E97"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3</w:t>
                  </w:r>
                </w:p>
              </w:tc>
              <w:tc>
                <w:tcPr>
                  <w:tcW w:w="1368" w:type="dxa"/>
                </w:tcPr>
                <w:p w:rsidR="002E5E97" w:rsidRPr="002E5E97"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1 – 25%</w:t>
                  </w:r>
                </w:p>
              </w:tc>
              <w:tc>
                <w:tcPr>
                  <w:tcW w:w="1533"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23"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48"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c>
                <w:tcPr>
                  <w:tcW w:w="1227"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r>
            <w:tr w:rsidR="002E5E97" w:rsidTr="00F4314E">
              <w:trPr>
                <w:jc w:val="center"/>
              </w:trPr>
              <w:tc>
                <w:tcPr>
                  <w:tcW w:w="839" w:type="dxa"/>
                </w:tcPr>
                <w:p w:rsidR="002E5E97" w:rsidRPr="002E5E97"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4</w:t>
                  </w:r>
                </w:p>
              </w:tc>
              <w:tc>
                <w:tcPr>
                  <w:tcW w:w="1368" w:type="dxa"/>
                </w:tcPr>
                <w:p w:rsidR="002E5E97" w:rsidRPr="002E5E97"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1 – 25%</w:t>
                  </w:r>
                </w:p>
              </w:tc>
              <w:tc>
                <w:tcPr>
                  <w:tcW w:w="1533" w:type="dxa"/>
                </w:tcPr>
                <w:p w:rsidR="002E5E97" w:rsidRPr="009A1A3F" w:rsidRDefault="00117E5E"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3" w:type="dxa"/>
                </w:tcPr>
                <w:p w:rsidR="002E5E97" w:rsidRPr="009A1A3F" w:rsidRDefault="00117E5E"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48" w:type="dxa"/>
                </w:tcPr>
                <w:p w:rsidR="002E5E97" w:rsidRPr="009A1A3F" w:rsidRDefault="00117E5E"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7" w:type="dxa"/>
                </w:tcPr>
                <w:p w:rsidR="002E5E97" w:rsidRPr="009A1A3F" w:rsidRDefault="002E5E97"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5</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2 – 8.17%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6</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2 – 8.17%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7</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2 – 8.17%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117E5E"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8</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2 – 8.17%</w:t>
                  </w:r>
                </w:p>
              </w:tc>
              <w:tc>
                <w:tcPr>
                  <w:tcW w:w="1533"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3"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117E5E"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9</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3 – 22.28%</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10</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3 – 22.28%</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11</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3 – 22.28%</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12</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3 – 22.28%</w:t>
                  </w:r>
                </w:p>
              </w:tc>
              <w:tc>
                <w:tcPr>
                  <w:tcW w:w="1533"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3"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13</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4 – 22.27%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14</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4 – 22.27%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15</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4 – 22.27%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16</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4 – 22.27%</w:t>
                  </w:r>
                </w:p>
              </w:tc>
              <w:tc>
                <w:tcPr>
                  <w:tcW w:w="1533"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3"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17</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5 – 22.27%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18</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5 – 22.27%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19</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5 – 22.27%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7"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r>
            <w:tr w:rsidR="005149AA" w:rsidTr="00F4314E">
              <w:trPr>
                <w:jc w:val="center"/>
              </w:trPr>
              <w:tc>
                <w:tcPr>
                  <w:tcW w:w="839"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20</w:t>
                  </w:r>
                </w:p>
              </w:tc>
              <w:tc>
                <w:tcPr>
                  <w:tcW w:w="1368" w:type="dxa"/>
                </w:tcPr>
                <w:p w:rsidR="005149AA" w:rsidRPr="005149AA" w:rsidRDefault="005149AA"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5 – 22.27%</w:t>
                  </w:r>
                </w:p>
              </w:tc>
              <w:tc>
                <w:tcPr>
                  <w:tcW w:w="153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3"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48" w:type="dxa"/>
                </w:tcPr>
                <w:p w:rsidR="005149AA" w:rsidRPr="009A1A3F" w:rsidRDefault="005149AA" w:rsidP="009A1A3F">
                  <w:pPr>
                    <w:spacing w:before="60" w:after="60"/>
                    <w:jc w:val="center"/>
                    <w:rPr>
                      <w:rFonts w:asciiTheme="minorHAnsi" w:eastAsiaTheme="minorHAnsi" w:hAnsiTheme="minorHAnsi" w:cs="Arial"/>
                      <w:sz w:val="22"/>
                      <w:szCs w:val="22"/>
                      <w:lang w:eastAsia="en-US"/>
                    </w:rPr>
                  </w:pPr>
                </w:p>
              </w:tc>
              <w:tc>
                <w:tcPr>
                  <w:tcW w:w="1227" w:type="dxa"/>
                </w:tcPr>
                <w:p w:rsidR="005149AA" w:rsidRPr="009A1A3F" w:rsidRDefault="002F1821"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r>
            <w:tr w:rsidR="00F4314E" w:rsidTr="00F4314E">
              <w:trPr>
                <w:jc w:val="center"/>
              </w:trPr>
              <w:tc>
                <w:tcPr>
                  <w:tcW w:w="839"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21</w:t>
                  </w:r>
                </w:p>
              </w:tc>
              <w:tc>
                <w:tcPr>
                  <w:tcW w:w="1368"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N/A</w:t>
                  </w:r>
                </w:p>
              </w:tc>
              <w:tc>
                <w:tcPr>
                  <w:tcW w:w="153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48"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7"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r>
            <w:tr w:rsidR="00F4314E" w:rsidTr="00F4314E">
              <w:trPr>
                <w:jc w:val="center"/>
              </w:trPr>
              <w:tc>
                <w:tcPr>
                  <w:tcW w:w="839"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22</w:t>
                  </w:r>
                </w:p>
              </w:tc>
              <w:tc>
                <w:tcPr>
                  <w:tcW w:w="1368"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N/A</w:t>
                  </w:r>
                </w:p>
              </w:tc>
              <w:tc>
                <w:tcPr>
                  <w:tcW w:w="153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48"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7"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r>
            <w:tr w:rsidR="00F4314E" w:rsidTr="00F4314E">
              <w:trPr>
                <w:jc w:val="center"/>
              </w:trPr>
              <w:tc>
                <w:tcPr>
                  <w:tcW w:w="839"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23</w:t>
                  </w:r>
                </w:p>
              </w:tc>
              <w:tc>
                <w:tcPr>
                  <w:tcW w:w="1368"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N/A</w:t>
                  </w:r>
                </w:p>
              </w:tc>
              <w:tc>
                <w:tcPr>
                  <w:tcW w:w="153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48"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7"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r>
            <w:tr w:rsidR="00F4314E" w:rsidTr="00F4314E">
              <w:trPr>
                <w:jc w:val="center"/>
              </w:trPr>
              <w:tc>
                <w:tcPr>
                  <w:tcW w:w="839"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24</w:t>
                  </w:r>
                </w:p>
              </w:tc>
              <w:tc>
                <w:tcPr>
                  <w:tcW w:w="1368"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N/A</w:t>
                  </w:r>
                </w:p>
              </w:tc>
              <w:tc>
                <w:tcPr>
                  <w:tcW w:w="153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48"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7"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r>
            <w:tr w:rsidR="00F4314E" w:rsidTr="00F4314E">
              <w:trPr>
                <w:jc w:val="center"/>
              </w:trPr>
              <w:tc>
                <w:tcPr>
                  <w:tcW w:w="839"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25</w:t>
                  </w:r>
                </w:p>
              </w:tc>
              <w:tc>
                <w:tcPr>
                  <w:tcW w:w="1368"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N/A</w:t>
                  </w:r>
                </w:p>
              </w:tc>
              <w:tc>
                <w:tcPr>
                  <w:tcW w:w="153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48"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r w:rsidRPr="009A1A3F">
                    <w:rPr>
                      <w:rFonts w:ascii="Agency FB" w:eastAsiaTheme="minorHAnsi" w:hAnsi="Agency FB" w:cs="Arial"/>
                      <w:sz w:val="22"/>
                      <w:szCs w:val="22"/>
                      <w:lang w:eastAsia="en-US"/>
                    </w:rPr>
                    <w:t>√</w:t>
                  </w:r>
                </w:p>
              </w:tc>
              <w:tc>
                <w:tcPr>
                  <w:tcW w:w="1227"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r>
            <w:tr w:rsidR="00F4314E" w:rsidTr="00F4314E">
              <w:trPr>
                <w:jc w:val="center"/>
              </w:trPr>
              <w:tc>
                <w:tcPr>
                  <w:tcW w:w="839"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sidRPr="005149AA">
                    <w:rPr>
                      <w:rFonts w:asciiTheme="minorHAnsi" w:eastAsiaTheme="minorHAnsi" w:hAnsiTheme="minorHAnsi" w:cs="Arial"/>
                      <w:sz w:val="22"/>
                      <w:szCs w:val="22"/>
                      <w:lang w:eastAsia="en-US"/>
                    </w:rPr>
                    <w:t>26</w:t>
                  </w:r>
                </w:p>
              </w:tc>
              <w:tc>
                <w:tcPr>
                  <w:tcW w:w="1368" w:type="dxa"/>
                </w:tcPr>
                <w:p w:rsidR="00F4314E" w:rsidRPr="005149AA" w:rsidRDefault="00F4314E" w:rsidP="00945C41">
                  <w:pPr>
                    <w:spacing w:before="60" w:after="60"/>
                    <w:jc w:val="center"/>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N/A</w:t>
                  </w:r>
                </w:p>
              </w:tc>
              <w:tc>
                <w:tcPr>
                  <w:tcW w:w="153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3"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48"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c>
                <w:tcPr>
                  <w:tcW w:w="1227" w:type="dxa"/>
                </w:tcPr>
                <w:p w:rsidR="00F4314E" w:rsidRPr="009A1A3F" w:rsidRDefault="00F4314E" w:rsidP="009A1A3F">
                  <w:pPr>
                    <w:spacing w:before="60" w:after="60"/>
                    <w:jc w:val="center"/>
                    <w:rPr>
                      <w:rFonts w:asciiTheme="minorHAnsi" w:eastAsiaTheme="minorHAnsi" w:hAnsiTheme="minorHAnsi" w:cs="Arial"/>
                      <w:sz w:val="22"/>
                      <w:szCs w:val="22"/>
                      <w:lang w:eastAsia="en-US"/>
                    </w:rPr>
                  </w:pPr>
                </w:p>
              </w:tc>
            </w:tr>
          </w:tbl>
          <w:p w:rsidR="002E5E97" w:rsidRPr="00852550" w:rsidRDefault="002E5E97" w:rsidP="00B91355">
            <w:pPr>
              <w:spacing w:before="60" w:after="60" w:line="240" w:lineRule="auto"/>
              <w:rPr>
                <w:rFonts w:cs="Arial"/>
              </w:rPr>
            </w:pPr>
          </w:p>
        </w:tc>
      </w:tr>
    </w:tbl>
    <w:p w:rsidR="00934BCD" w:rsidRDefault="00934BCD" w:rsidP="00934BCD">
      <w:pPr>
        <w:pStyle w:val="H1AASSOGS"/>
        <w:numPr>
          <w:ilvl w:val="0"/>
          <w:numId w:val="0"/>
        </w:numPr>
        <w:ind w:left="720" w:hanging="720"/>
      </w:pPr>
    </w:p>
    <w:p w:rsidR="002E5B89" w:rsidRDefault="002E5B89" w:rsidP="002E5B89">
      <w:pPr>
        <w:pStyle w:val="H1AASSOGS"/>
      </w:pPr>
      <w:bookmarkStart w:id="77" w:name="_Toc160607791"/>
      <w:bookmarkStart w:id="78" w:name="_Toc160611462"/>
      <w:bookmarkStart w:id="79" w:name="Section19"/>
      <w:bookmarkStart w:id="80" w:name="Section20"/>
      <w:bookmarkStart w:id="81" w:name="Section26"/>
      <w:bookmarkStart w:id="82" w:name="_Toc393442958"/>
      <w:bookmarkStart w:id="83" w:name="_Toc490735668"/>
      <w:bookmarkStart w:id="84" w:name="_Toc393442806"/>
      <w:bookmarkEnd w:id="48"/>
      <w:bookmarkEnd w:id="49"/>
      <w:bookmarkEnd w:id="77"/>
      <w:bookmarkEnd w:id="78"/>
      <w:bookmarkEnd w:id="79"/>
      <w:bookmarkEnd w:id="80"/>
      <w:bookmarkEnd w:id="81"/>
      <w:r w:rsidRPr="00DF7E81">
        <w:t>Stakeholder Engagement /</w:t>
      </w:r>
      <w:r w:rsidR="00725BAE">
        <w:t xml:space="preserve"> </w:t>
      </w:r>
      <w:r w:rsidRPr="00DF7E81">
        <w:t>Communications Strategy</w:t>
      </w:r>
      <w:bookmarkEnd w:id="82"/>
      <w:bookmarkEnd w:id="83"/>
    </w:p>
    <w:p w:rsidR="002E5B89" w:rsidRPr="00DA4037" w:rsidRDefault="002E5B89" w:rsidP="002E5B89">
      <w:pPr>
        <w:pStyle w:val="H1AASSOGS"/>
        <w:numPr>
          <w:ilvl w:val="0"/>
          <w:numId w:val="0"/>
        </w:numPr>
        <w:ind w:left="720"/>
        <w:rPr>
          <w:sz w:val="20"/>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7655"/>
      </w:tblGrid>
      <w:tr w:rsidR="002E5B89" w:rsidRPr="00DF7E81" w:rsidTr="00375D21">
        <w:tc>
          <w:tcPr>
            <w:tcW w:w="3119" w:type="dxa"/>
            <w:shd w:val="clear" w:color="auto" w:fill="auto"/>
          </w:tcPr>
          <w:p w:rsidR="002E5B89" w:rsidRPr="00DF7E81" w:rsidRDefault="002E5B89" w:rsidP="00C63ACE">
            <w:pPr>
              <w:pStyle w:val="AASSOGSLEVEL3"/>
              <w:spacing w:before="120" w:after="120" w:line="240" w:lineRule="auto"/>
              <w:rPr>
                <w:lang w:eastAsia="en-AU"/>
              </w:rPr>
            </w:pPr>
            <w:bookmarkStart w:id="85" w:name="_Toc270927138"/>
            <w:bookmarkStart w:id="86" w:name="_Toc298832616"/>
            <w:bookmarkStart w:id="87" w:name="_Toc299091169"/>
            <w:bookmarkStart w:id="88" w:name="_Toc299094486"/>
            <w:bookmarkStart w:id="89" w:name="_Toc300588956"/>
            <w:bookmarkStart w:id="90" w:name="_Toc300654428"/>
            <w:bookmarkStart w:id="91" w:name="_Toc300655143"/>
            <w:bookmarkStart w:id="92" w:name="_Toc300656127"/>
            <w:bookmarkStart w:id="93" w:name="_Toc300735780"/>
            <w:bookmarkStart w:id="94" w:name="_Toc301773428"/>
            <w:bookmarkStart w:id="95" w:name="_Toc301774519"/>
            <w:bookmarkStart w:id="96" w:name="_Toc301774942"/>
            <w:bookmarkStart w:id="97" w:name="_Toc304559736"/>
            <w:bookmarkStart w:id="98" w:name="_Toc305661145"/>
            <w:bookmarkStart w:id="99" w:name="_Toc307408109"/>
            <w:bookmarkStart w:id="100" w:name="_Toc321822280"/>
            <w:bookmarkStart w:id="101" w:name="_Toc321822791"/>
            <w:bookmarkStart w:id="102" w:name="_Toc321829737"/>
            <w:bookmarkStart w:id="103" w:name="_Toc324950541"/>
            <w:bookmarkStart w:id="104" w:name="_Toc326676740"/>
            <w:bookmarkStart w:id="105" w:name="_Toc348001409"/>
            <w:bookmarkStart w:id="106" w:name="_Toc348002264"/>
            <w:bookmarkStart w:id="107" w:name="_Toc348002725"/>
            <w:bookmarkStart w:id="108" w:name="_Toc373838117"/>
            <w:bookmarkStart w:id="109" w:name="_Toc374709889"/>
            <w:bookmarkStart w:id="110" w:name="_Toc393442959"/>
            <w:r w:rsidRPr="00DF7E81">
              <w:rPr>
                <w:lang w:eastAsia="en-AU"/>
              </w:rPr>
              <w:t>Aim</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2E5B89" w:rsidRPr="00DF7E81" w:rsidRDefault="002E5B89" w:rsidP="00C63ACE">
            <w:pPr>
              <w:pStyle w:val="AASSOGSLEVEL3"/>
              <w:spacing w:before="120" w:after="120" w:line="240" w:lineRule="auto"/>
            </w:pPr>
          </w:p>
        </w:tc>
        <w:tc>
          <w:tcPr>
            <w:tcW w:w="7655" w:type="dxa"/>
            <w:shd w:val="clear" w:color="auto" w:fill="auto"/>
          </w:tcPr>
          <w:p w:rsidR="002E5B89" w:rsidRPr="00DF7E81" w:rsidRDefault="002E5B89" w:rsidP="00725BAE">
            <w:pPr>
              <w:spacing w:before="60" w:after="60" w:line="240" w:lineRule="auto"/>
              <w:rPr>
                <w:rFonts w:cs="Arial"/>
              </w:rPr>
            </w:pPr>
            <w:r w:rsidRPr="00DF7E81">
              <w:rPr>
                <w:rFonts w:cs="Arial"/>
              </w:rPr>
              <w:lastRenderedPageBreak/>
              <w:t>The Stakeholder Engagement Strategy aims to provide clarity in regards to:</w:t>
            </w:r>
          </w:p>
          <w:p w:rsidR="002E5B89" w:rsidRPr="00AD3BEC" w:rsidRDefault="00567527" w:rsidP="00846E2F">
            <w:pPr>
              <w:pStyle w:val="ListParagraph"/>
              <w:numPr>
                <w:ilvl w:val="0"/>
                <w:numId w:val="17"/>
              </w:numPr>
              <w:overflowPunct w:val="0"/>
              <w:autoSpaceDE w:val="0"/>
              <w:autoSpaceDN w:val="0"/>
              <w:adjustRightInd w:val="0"/>
              <w:spacing w:before="60" w:after="60" w:line="240" w:lineRule="auto"/>
              <w:ind w:left="459" w:hanging="459"/>
              <w:textAlignment w:val="baseline"/>
              <w:rPr>
                <w:rFonts w:ascii="Calibri" w:eastAsia="Times New Roman" w:hAnsi="Calibri" w:cs="Arial"/>
                <w:lang w:eastAsia="en-AU"/>
              </w:rPr>
            </w:pPr>
            <w:r>
              <w:rPr>
                <w:rFonts w:ascii="Calibri" w:eastAsia="Times New Roman" w:hAnsi="Calibri" w:cs="Arial"/>
                <w:lang w:eastAsia="en-AU"/>
              </w:rPr>
              <w:lastRenderedPageBreak/>
              <w:t>t</w:t>
            </w:r>
            <w:r w:rsidR="002E5B89" w:rsidRPr="00AD3BEC">
              <w:rPr>
                <w:rFonts w:ascii="Calibri" w:eastAsia="Times New Roman" w:hAnsi="Calibri" w:cs="Arial"/>
                <w:lang w:eastAsia="en-AU"/>
              </w:rPr>
              <w:t xml:space="preserve">he Department and </w:t>
            </w:r>
            <w:r w:rsidR="00DF4E37">
              <w:rPr>
                <w:rFonts w:cs="Arial"/>
              </w:rPr>
              <w:t>ISMAA Provider</w:t>
            </w:r>
            <w:r w:rsidR="002E5B89" w:rsidRPr="00AD3BEC">
              <w:rPr>
                <w:rFonts w:ascii="Calibri" w:eastAsia="Times New Roman" w:hAnsi="Calibri" w:cs="Arial"/>
                <w:lang w:eastAsia="en-AU"/>
              </w:rPr>
              <w:t>s</w:t>
            </w:r>
            <w:r w:rsidR="002E5B89">
              <w:rPr>
                <w:rFonts w:ascii="Calibri" w:eastAsia="Times New Roman" w:hAnsi="Calibri" w:cs="Arial"/>
                <w:lang w:eastAsia="en-AU"/>
              </w:rPr>
              <w:t>’</w:t>
            </w:r>
            <w:r w:rsidR="002E5B89" w:rsidRPr="00AD3BEC">
              <w:rPr>
                <w:rFonts w:ascii="Calibri" w:eastAsia="Times New Roman" w:hAnsi="Calibri" w:cs="Arial"/>
                <w:lang w:eastAsia="en-AU"/>
              </w:rPr>
              <w:t xml:space="preserve"> engagement activities anticipated for the </w:t>
            </w:r>
            <w:r w:rsidR="00DF4E37">
              <w:rPr>
                <w:rFonts w:ascii="Calibri" w:eastAsia="Times New Roman" w:hAnsi="Calibri" w:cs="Arial"/>
                <w:lang w:eastAsia="en-AU"/>
              </w:rPr>
              <w:t>Contract</w:t>
            </w:r>
            <w:r w:rsidR="002E5B89" w:rsidRPr="00AD3BEC">
              <w:rPr>
                <w:rFonts w:ascii="Calibri" w:eastAsia="Times New Roman" w:hAnsi="Calibri" w:cs="Arial"/>
                <w:lang w:eastAsia="en-AU"/>
              </w:rPr>
              <w:t xml:space="preserve"> </w:t>
            </w:r>
            <w:r w:rsidR="002E5B89">
              <w:rPr>
                <w:rFonts w:ascii="Calibri" w:eastAsia="Times New Roman" w:hAnsi="Calibri" w:cs="Arial"/>
                <w:lang w:eastAsia="en-AU"/>
              </w:rPr>
              <w:t>p</w:t>
            </w:r>
            <w:r w:rsidR="002E5B89" w:rsidRPr="00AD3BEC">
              <w:rPr>
                <w:rFonts w:ascii="Calibri" w:eastAsia="Times New Roman" w:hAnsi="Calibri" w:cs="Arial"/>
                <w:lang w:eastAsia="en-AU"/>
              </w:rPr>
              <w:t>eriod;</w:t>
            </w:r>
          </w:p>
          <w:p w:rsidR="002E5B89" w:rsidRPr="00AD3BEC" w:rsidRDefault="00567527" w:rsidP="00846E2F">
            <w:pPr>
              <w:pStyle w:val="ListParagraph"/>
              <w:numPr>
                <w:ilvl w:val="0"/>
                <w:numId w:val="17"/>
              </w:numPr>
              <w:overflowPunct w:val="0"/>
              <w:autoSpaceDE w:val="0"/>
              <w:autoSpaceDN w:val="0"/>
              <w:adjustRightInd w:val="0"/>
              <w:spacing w:before="60" w:after="60" w:line="240" w:lineRule="auto"/>
              <w:ind w:left="459" w:hanging="459"/>
              <w:textAlignment w:val="baseline"/>
              <w:rPr>
                <w:rFonts w:ascii="Calibri" w:eastAsia="Times New Roman" w:hAnsi="Calibri" w:cs="Arial"/>
                <w:lang w:eastAsia="en-AU"/>
              </w:rPr>
            </w:pPr>
            <w:r>
              <w:rPr>
                <w:rFonts w:ascii="Calibri" w:eastAsia="Times New Roman" w:hAnsi="Calibri" w:cs="Arial"/>
                <w:lang w:eastAsia="en-AU"/>
              </w:rPr>
              <w:t>t</w:t>
            </w:r>
            <w:r w:rsidR="002E5B89" w:rsidRPr="00AD3BEC">
              <w:rPr>
                <w:rFonts w:ascii="Calibri" w:eastAsia="Times New Roman" w:hAnsi="Calibri" w:cs="Arial"/>
                <w:lang w:eastAsia="en-AU"/>
              </w:rPr>
              <w:t xml:space="preserve">he Department’s expectations of </w:t>
            </w:r>
            <w:r w:rsidR="00DF4E37">
              <w:rPr>
                <w:rFonts w:cs="Arial"/>
              </w:rPr>
              <w:t>Provider</w:t>
            </w:r>
            <w:r w:rsidR="002E5B89" w:rsidRPr="00AD3BEC">
              <w:rPr>
                <w:rFonts w:ascii="Calibri" w:eastAsia="Times New Roman" w:hAnsi="Calibri" w:cs="Arial"/>
                <w:lang w:eastAsia="en-AU"/>
              </w:rPr>
              <w:t>s in relation to these activities;</w:t>
            </w:r>
          </w:p>
          <w:p w:rsidR="002E5B89" w:rsidRPr="00AD3BEC" w:rsidRDefault="002E5B89" w:rsidP="00846E2F">
            <w:pPr>
              <w:pStyle w:val="ListParagraph"/>
              <w:numPr>
                <w:ilvl w:val="0"/>
                <w:numId w:val="17"/>
              </w:numPr>
              <w:overflowPunct w:val="0"/>
              <w:autoSpaceDE w:val="0"/>
              <w:autoSpaceDN w:val="0"/>
              <w:adjustRightInd w:val="0"/>
              <w:spacing w:before="60" w:after="60" w:line="240" w:lineRule="auto"/>
              <w:ind w:left="459" w:hanging="459"/>
              <w:textAlignment w:val="baseline"/>
              <w:rPr>
                <w:rFonts w:ascii="Calibri" w:eastAsia="Times New Roman" w:hAnsi="Calibri" w:cs="Arial"/>
                <w:lang w:eastAsia="en-AU"/>
              </w:rPr>
            </w:pPr>
            <w:r w:rsidRPr="00AD3BEC">
              <w:rPr>
                <w:rFonts w:ascii="Calibri" w:eastAsia="Times New Roman" w:hAnsi="Calibri" w:cs="Arial"/>
                <w:lang w:eastAsia="en-AU"/>
              </w:rPr>
              <w:t>the communication methods and protocols that the Department will use throughout the Contract Period; and</w:t>
            </w:r>
          </w:p>
          <w:p w:rsidR="002E5B89" w:rsidRPr="00AD3BEC" w:rsidRDefault="00567527" w:rsidP="00846E2F">
            <w:pPr>
              <w:pStyle w:val="ListParagraph"/>
              <w:numPr>
                <w:ilvl w:val="0"/>
                <w:numId w:val="17"/>
              </w:numPr>
              <w:overflowPunct w:val="0"/>
              <w:autoSpaceDE w:val="0"/>
              <w:autoSpaceDN w:val="0"/>
              <w:adjustRightInd w:val="0"/>
              <w:spacing w:before="60" w:after="60" w:line="240" w:lineRule="auto"/>
              <w:ind w:left="459" w:hanging="459"/>
              <w:textAlignment w:val="baseline"/>
              <w:rPr>
                <w:rFonts w:ascii="Calibri" w:eastAsia="Times New Roman" w:hAnsi="Calibri" w:cs="Arial"/>
                <w:lang w:eastAsia="en-AU"/>
              </w:rPr>
            </w:pPr>
            <w:r>
              <w:rPr>
                <w:rFonts w:ascii="Calibri" w:eastAsia="Times New Roman" w:hAnsi="Calibri" w:cs="Arial"/>
                <w:lang w:eastAsia="en-AU"/>
              </w:rPr>
              <w:t>t</w:t>
            </w:r>
            <w:r w:rsidR="002E5B89" w:rsidRPr="00AD3BEC">
              <w:rPr>
                <w:rFonts w:ascii="Calibri" w:eastAsia="Times New Roman" w:hAnsi="Calibri" w:cs="Arial"/>
                <w:lang w:eastAsia="en-AU"/>
              </w:rPr>
              <w:t xml:space="preserve">he Department’s expectations of </w:t>
            </w:r>
            <w:r w:rsidR="00725BAE">
              <w:rPr>
                <w:rFonts w:cs="Arial"/>
              </w:rPr>
              <w:t>ISMAA</w:t>
            </w:r>
            <w:r w:rsidR="002E5B89">
              <w:rPr>
                <w:rFonts w:cs="Arial"/>
              </w:rPr>
              <w:t xml:space="preserve"> Provider</w:t>
            </w:r>
            <w:r w:rsidR="002E5B89" w:rsidRPr="00AD3BEC">
              <w:rPr>
                <w:rFonts w:ascii="Calibri" w:eastAsia="Times New Roman" w:hAnsi="Calibri" w:cs="Arial"/>
                <w:lang w:eastAsia="en-AU"/>
              </w:rPr>
              <w:t>s in relation to these communication methods and protocols.</w:t>
            </w:r>
          </w:p>
        </w:tc>
      </w:tr>
      <w:tr w:rsidR="002E5B89" w:rsidRPr="00DF7E81" w:rsidTr="00375D21">
        <w:tc>
          <w:tcPr>
            <w:tcW w:w="3119" w:type="dxa"/>
            <w:shd w:val="clear" w:color="auto" w:fill="auto"/>
          </w:tcPr>
          <w:p w:rsidR="002E5B89" w:rsidRPr="00DF7E81" w:rsidRDefault="002E5B89" w:rsidP="00C63ACE">
            <w:pPr>
              <w:pStyle w:val="AASSOGSLEVEL3"/>
              <w:spacing w:before="120" w:after="120" w:line="240" w:lineRule="auto"/>
              <w:rPr>
                <w:lang w:eastAsia="en-AU"/>
              </w:rPr>
            </w:pPr>
            <w:bookmarkStart w:id="111" w:name="_Toc270927139"/>
            <w:bookmarkStart w:id="112" w:name="_Toc298832617"/>
            <w:bookmarkStart w:id="113" w:name="_Toc299091170"/>
            <w:bookmarkStart w:id="114" w:name="_Toc299094487"/>
            <w:bookmarkStart w:id="115" w:name="_Toc300588957"/>
            <w:bookmarkStart w:id="116" w:name="_Toc300654429"/>
            <w:bookmarkStart w:id="117" w:name="_Toc300655144"/>
            <w:bookmarkStart w:id="118" w:name="_Toc300656128"/>
            <w:bookmarkStart w:id="119" w:name="_Toc300735781"/>
            <w:bookmarkStart w:id="120" w:name="_Toc301773429"/>
            <w:bookmarkStart w:id="121" w:name="_Toc301774520"/>
            <w:bookmarkStart w:id="122" w:name="_Toc301774943"/>
            <w:bookmarkStart w:id="123" w:name="_Toc304559737"/>
            <w:bookmarkStart w:id="124" w:name="_Toc305661146"/>
            <w:bookmarkStart w:id="125" w:name="_Toc307408110"/>
            <w:bookmarkStart w:id="126" w:name="_Toc321822281"/>
            <w:bookmarkStart w:id="127" w:name="_Toc321822792"/>
            <w:bookmarkStart w:id="128" w:name="_Toc321829738"/>
            <w:bookmarkStart w:id="129" w:name="_Toc324950542"/>
            <w:bookmarkStart w:id="130" w:name="_Toc326676741"/>
            <w:bookmarkStart w:id="131" w:name="_Toc348001410"/>
            <w:bookmarkStart w:id="132" w:name="_Toc348002265"/>
            <w:bookmarkStart w:id="133" w:name="_Toc348002726"/>
            <w:bookmarkStart w:id="134" w:name="_Toc373838118"/>
            <w:bookmarkStart w:id="135" w:name="_Toc374709890"/>
            <w:bookmarkStart w:id="136" w:name="_Toc393442960"/>
            <w:r w:rsidRPr="00DF7E81">
              <w:rPr>
                <w:lang w:eastAsia="en-AU"/>
              </w:rPr>
              <w:lastRenderedPageBreak/>
              <w:t>Purpose</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tc>
        <w:tc>
          <w:tcPr>
            <w:tcW w:w="7655" w:type="dxa"/>
            <w:shd w:val="clear" w:color="auto" w:fill="auto"/>
          </w:tcPr>
          <w:p w:rsidR="002E5B89" w:rsidRPr="00DF7E81" w:rsidRDefault="002E5B89" w:rsidP="00725BAE">
            <w:pPr>
              <w:spacing w:before="60" w:after="60" w:line="240" w:lineRule="auto"/>
              <w:rPr>
                <w:rFonts w:cs="Arial"/>
              </w:rPr>
            </w:pPr>
            <w:r w:rsidRPr="00DF7E81">
              <w:rPr>
                <w:rFonts w:cs="Arial"/>
              </w:rPr>
              <w:t>The aim of the</w:t>
            </w:r>
            <w:r>
              <w:rPr>
                <w:rFonts w:cs="Arial"/>
              </w:rPr>
              <w:t xml:space="preserve"> </w:t>
            </w:r>
            <w:r w:rsidRPr="00DF7E81">
              <w:rPr>
                <w:rFonts w:cs="Arial"/>
              </w:rPr>
              <w:t xml:space="preserve">Department and </w:t>
            </w:r>
            <w:r w:rsidR="00DF4E37">
              <w:rPr>
                <w:rFonts w:cs="Arial"/>
              </w:rPr>
              <w:t>ISMAA Provider</w:t>
            </w:r>
            <w:r w:rsidRPr="00DF7E81">
              <w:rPr>
                <w:rFonts w:cs="Arial"/>
              </w:rPr>
              <w:t xml:space="preserve"> engagement activities detailed below is to:</w:t>
            </w:r>
          </w:p>
          <w:p w:rsidR="002E5B89" w:rsidRPr="00AD3BEC" w:rsidRDefault="002E5B89" w:rsidP="00846E2F">
            <w:pPr>
              <w:pStyle w:val="ListParagraph"/>
              <w:numPr>
                <w:ilvl w:val="0"/>
                <w:numId w:val="18"/>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share knowledge;</w:t>
            </w:r>
          </w:p>
          <w:p w:rsidR="002E5B89" w:rsidRPr="00AD3BEC" w:rsidRDefault="002E5B89" w:rsidP="00846E2F">
            <w:pPr>
              <w:pStyle w:val="ListParagraph"/>
              <w:numPr>
                <w:ilvl w:val="0"/>
                <w:numId w:val="18"/>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gather industry and market intelligence;</w:t>
            </w:r>
          </w:p>
          <w:p w:rsidR="002E5B89" w:rsidRPr="00AD3BEC" w:rsidRDefault="002E5B89" w:rsidP="00846E2F">
            <w:pPr>
              <w:pStyle w:val="ListParagraph"/>
              <w:numPr>
                <w:ilvl w:val="0"/>
                <w:numId w:val="18"/>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create partnerships and relationships; and</w:t>
            </w:r>
          </w:p>
          <w:p w:rsidR="002E5B89" w:rsidRPr="00AD3BEC" w:rsidRDefault="002E5B89" w:rsidP="00846E2F">
            <w:pPr>
              <w:pStyle w:val="ListParagraph"/>
              <w:numPr>
                <w:ilvl w:val="0"/>
                <w:numId w:val="18"/>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 xml:space="preserve">contribute to the overall effectiveness of the delivery of </w:t>
            </w:r>
            <w:r w:rsidR="00725BAE">
              <w:rPr>
                <w:rFonts w:ascii="Calibri" w:eastAsia="Times New Roman" w:hAnsi="Calibri" w:cs="Arial"/>
                <w:lang w:eastAsia="en-AU"/>
              </w:rPr>
              <w:t>ISMAA</w:t>
            </w:r>
            <w:r>
              <w:rPr>
                <w:rFonts w:ascii="Calibri" w:eastAsia="Times New Roman" w:hAnsi="Calibri" w:cs="Arial"/>
                <w:lang w:eastAsia="en-AU"/>
              </w:rPr>
              <w:t xml:space="preserve"> </w:t>
            </w:r>
            <w:r w:rsidR="00DF4E37">
              <w:rPr>
                <w:rFonts w:ascii="Calibri" w:eastAsia="Times New Roman" w:hAnsi="Calibri" w:cs="Arial"/>
                <w:lang w:eastAsia="en-AU"/>
              </w:rPr>
              <w:t>Services</w:t>
            </w:r>
            <w:r w:rsidRPr="00AD3BEC">
              <w:rPr>
                <w:rFonts w:ascii="Calibri" w:eastAsia="Times New Roman" w:hAnsi="Calibri" w:cs="Arial"/>
                <w:lang w:eastAsia="en-AU"/>
              </w:rPr>
              <w:t>.</w:t>
            </w:r>
          </w:p>
        </w:tc>
      </w:tr>
      <w:tr w:rsidR="002E5B89" w:rsidRPr="00DF7E81" w:rsidTr="00375D21">
        <w:tc>
          <w:tcPr>
            <w:tcW w:w="3119" w:type="dxa"/>
            <w:shd w:val="clear" w:color="auto" w:fill="auto"/>
          </w:tcPr>
          <w:p w:rsidR="002E5B89" w:rsidRPr="00DF7E81" w:rsidRDefault="002E5B89" w:rsidP="00C63ACE">
            <w:pPr>
              <w:pStyle w:val="AASSOGSLEVEL3"/>
              <w:spacing w:before="120" w:after="120" w:line="240" w:lineRule="auto"/>
              <w:rPr>
                <w:szCs w:val="24"/>
              </w:rPr>
            </w:pPr>
            <w:bookmarkStart w:id="137" w:name="_Toc270927146"/>
            <w:bookmarkStart w:id="138" w:name="_Toc298832622"/>
            <w:bookmarkStart w:id="139" w:name="_Toc299091175"/>
            <w:bookmarkStart w:id="140" w:name="_Toc299094492"/>
            <w:bookmarkStart w:id="141" w:name="_Toc300588961"/>
            <w:bookmarkStart w:id="142" w:name="_Toc300654433"/>
            <w:bookmarkStart w:id="143" w:name="_Toc300655148"/>
            <w:bookmarkStart w:id="144" w:name="_Toc300656132"/>
            <w:bookmarkStart w:id="145" w:name="_Toc300735785"/>
            <w:bookmarkStart w:id="146" w:name="_Toc301773433"/>
            <w:bookmarkStart w:id="147" w:name="_Toc301774524"/>
            <w:bookmarkStart w:id="148" w:name="_Toc301774947"/>
            <w:bookmarkStart w:id="149" w:name="_Toc304559741"/>
            <w:bookmarkStart w:id="150" w:name="_Toc305661150"/>
            <w:bookmarkStart w:id="151" w:name="_Toc307408114"/>
            <w:bookmarkStart w:id="152" w:name="_Toc321822285"/>
            <w:bookmarkStart w:id="153" w:name="_Toc321822796"/>
            <w:bookmarkStart w:id="154" w:name="_Toc321829742"/>
            <w:bookmarkStart w:id="155" w:name="_Toc324950546"/>
            <w:bookmarkStart w:id="156" w:name="_Toc326676745"/>
            <w:bookmarkStart w:id="157" w:name="_Toc348001414"/>
            <w:bookmarkStart w:id="158" w:name="_Toc348002269"/>
            <w:bookmarkStart w:id="159" w:name="_Toc348002730"/>
            <w:bookmarkStart w:id="160" w:name="_Toc373838122"/>
            <w:bookmarkStart w:id="161" w:name="_Toc374709894"/>
            <w:bookmarkStart w:id="162" w:name="_Toc393442961"/>
            <w:r w:rsidRPr="00DF7E81">
              <w:rPr>
                <w:szCs w:val="24"/>
              </w:rPr>
              <w:t>Communication Channels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2E5B89" w:rsidRPr="00DF7E81" w:rsidRDefault="002E5B89" w:rsidP="00C63ACE">
            <w:pPr>
              <w:pStyle w:val="AASSOGSLEVEL3"/>
              <w:spacing w:before="120" w:after="120" w:line="240" w:lineRule="auto"/>
            </w:pPr>
          </w:p>
        </w:tc>
        <w:tc>
          <w:tcPr>
            <w:tcW w:w="7655" w:type="dxa"/>
            <w:shd w:val="clear" w:color="auto" w:fill="auto"/>
          </w:tcPr>
          <w:p w:rsidR="002E5B89" w:rsidRPr="00DF7E81" w:rsidRDefault="001E51F4" w:rsidP="00725BAE">
            <w:pPr>
              <w:spacing w:before="60" w:after="60" w:line="240" w:lineRule="auto"/>
              <w:rPr>
                <w:rFonts w:cs="Arial"/>
              </w:rPr>
            </w:pPr>
            <w:r>
              <w:rPr>
                <w:rFonts w:cs="Arial"/>
              </w:rPr>
              <w:t>Your</w:t>
            </w:r>
            <w:r w:rsidR="002E5B89" w:rsidRPr="00DF7E81">
              <w:rPr>
                <w:rFonts w:cs="Arial"/>
              </w:rPr>
              <w:t xml:space="preserve"> Contract Manager is responsible for day-to-day matters concerning the </w:t>
            </w:r>
            <w:r w:rsidR="002E5B89">
              <w:rPr>
                <w:rFonts w:cs="Arial"/>
              </w:rPr>
              <w:t>C</w:t>
            </w:r>
            <w:r w:rsidR="002E5B89" w:rsidRPr="00DF7E81">
              <w:rPr>
                <w:rFonts w:cs="Arial"/>
              </w:rPr>
              <w:t xml:space="preserve">ontract and is </w:t>
            </w:r>
            <w:r>
              <w:rPr>
                <w:rFonts w:cs="Arial"/>
              </w:rPr>
              <w:t>Your</w:t>
            </w:r>
            <w:r w:rsidR="002E5B89" w:rsidRPr="00DF7E81">
              <w:rPr>
                <w:rFonts w:cs="Arial"/>
              </w:rPr>
              <w:t xml:space="preserve"> first point of contact with the Department. Other activities they undertake </w:t>
            </w:r>
            <w:r w:rsidR="002E5B89">
              <w:rPr>
                <w:rFonts w:cs="Arial"/>
              </w:rPr>
              <w:t>include</w:t>
            </w:r>
            <w:r w:rsidR="002E5B89" w:rsidRPr="00DF7E81">
              <w:rPr>
                <w:rFonts w:cs="Arial"/>
              </w:rPr>
              <w:t>:</w:t>
            </w:r>
          </w:p>
          <w:p w:rsidR="002E5B89" w:rsidRPr="00AD3BEC" w:rsidRDefault="002F7DD6" w:rsidP="00846E2F">
            <w:pPr>
              <w:pStyle w:val="ListParagraph"/>
              <w:numPr>
                <w:ilvl w:val="0"/>
                <w:numId w:val="19"/>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correspond</w:t>
            </w:r>
            <w:r>
              <w:rPr>
                <w:rFonts w:ascii="Calibri" w:eastAsia="Times New Roman" w:hAnsi="Calibri" w:cs="Arial"/>
                <w:lang w:eastAsia="en-AU"/>
              </w:rPr>
              <w:t>ing with</w:t>
            </w:r>
            <w:r w:rsidR="002E5B89" w:rsidRPr="00AD3BEC">
              <w:rPr>
                <w:rFonts w:ascii="Calibri" w:eastAsia="Times New Roman" w:hAnsi="Calibri" w:cs="Arial"/>
                <w:lang w:eastAsia="en-AU"/>
              </w:rPr>
              <w:t xml:space="preserve"> </w:t>
            </w:r>
            <w:r w:rsidR="00DF4E37">
              <w:rPr>
                <w:rFonts w:ascii="Calibri" w:eastAsia="Times New Roman" w:hAnsi="Calibri" w:cs="Arial"/>
                <w:lang w:eastAsia="en-AU"/>
              </w:rPr>
              <w:t>ISMAA Provider</w:t>
            </w:r>
            <w:r w:rsidR="002E5B89">
              <w:rPr>
                <w:rFonts w:ascii="Calibri" w:eastAsia="Times New Roman" w:hAnsi="Calibri" w:cs="Arial"/>
                <w:lang w:eastAsia="en-AU"/>
              </w:rPr>
              <w:t>s</w:t>
            </w:r>
            <w:r w:rsidR="002E5B89" w:rsidRPr="00AD3BEC">
              <w:rPr>
                <w:rFonts w:ascii="Calibri" w:eastAsia="Times New Roman" w:hAnsi="Calibri" w:cs="Arial"/>
                <w:lang w:eastAsia="en-AU"/>
              </w:rPr>
              <w:t>, particularly correspondence relating to issues of non-compliance or requests for remedial action;</w:t>
            </w:r>
          </w:p>
          <w:p w:rsidR="002E5B89" w:rsidRPr="00AD3BEC" w:rsidRDefault="002E5B89" w:rsidP="00846E2F">
            <w:pPr>
              <w:pStyle w:val="ListParagraph"/>
              <w:numPr>
                <w:ilvl w:val="0"/>
                <w:numId w:val="19"/>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establishing and maintaining communication;</w:t>
            </w:r>
          </w:p>
          <w:p w:rsidR="002E5B89" w:rsidRPr="00AD3BEC" w:rsidRDefault="002E5B89" w:rsidP="00846E2F">
            <w:pPr>
              <w:pStyle w:val="ListParagraph"/>
              <w:numPr>
                <w:ilvl w:val="0"/>
                <w:numId w:val="19"/>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 xml:space="preserve">coordinating or undertaking performance and </w:t>
            </w:r>
            <w:r w:rsidR="00DF4E37">
              <w:rPr>
                <w:rFonts w:ascii="Calibri" w:eastAsia="Times New Roman" w:hAnsi="Calibri" w:cs="Arial"/>
                <w:lang w:eastAsia="en-AU"/>
              </w:rPr>
              <w:t>Contract</w:t>
            </w:r>
            <w:r w:rsidRPr="00AD3BEC">
              <w:rPr>
                <w:rFonts w:ascii="Calibri" w:eastAsia="Times New Roman" w:hAnsi="Calibri" w:cs="Arial"/>
                <w:lang w:eastAsia="en-AU"/>
              </w:rPr>
              <w:t xml:space="preserve"> compliance monitoring activities;</w:t>
            </w:r>
          </w:p>
          <w:p w:rsidR="002E5B89" w:rsidRPr="00AD3BEC" w:rsidRDefault="002E5B89" w:rsidP="00846E2F">
            <w:pPr>
              <w:pStyle w:val="ListParagraph"/>
              <w:numPr>
                <w:ilvl w:val="0"/>
                <w:numId w:val="19"/>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investigating any complaints, facilitating problem resolution and undertaking remedial action;</w:t>
            </w:r>
          </w:p>
          <w:p w:rsidR="002E5B89" w:rsidRPr="00AD3BEC" w:rsidRDefault="002E5B89" w:rsidP="00846E2F">
            <w:pPr>
              <w:pStyle w:val="ListParagraph"/>
              <w:numPr>
                <w:ilvl w:val="0"/>
                <w:numId w:val="19"/>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identifying and reporting trends from performance monitoring activities;</w:t>
            </w:r>
          </w:p>
          <w:p w:rsidR="002E5B89" w:rsidRPr="00AD3BEC" w:rsidRDefault="002E5B89" w:rsidP="00846E2F">
            <w:pPr>
              <w:pStyle w:val="ListParagraph"/>
              <w:numPr>
                <w:ilvl w:val="0"/>
                <w:numId w:val="19"/>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 xml:space="preserve">informing  the Department’s National Office of any emerging operational or policy issues that may affect the success of the </w:t>
            </w:r>
            <w:r w:rsidR="00725BAE">
              <w:rPr>
                <w:rFonts w:ascii="Calibri" w:eastAsia="Times New Roman" w:hAnsi="Calibri" w:cs="Arial"/>
                <w:lang w:eastAsia="en-AU"/>
              </w:rPr>
              <w:t>ISMAA program</w:t>
            </w:r>
            <w:r w:rsidRPr="00AD3BEC">
              <w:rPr>
                <w:rFonts w:ascii="Calibri" w:eastAsia="Times New Roman" w:hAnsi="Calibri" w:cs="Arial"/>
                <w:lang w:eastAsia="en-AU"/>
              </w:rPr>
              <w:t>;</w:t>
            </w:r>
          </w:p>
          <w:p w:rsidR="002E5B89" w:rsidRPr="00AD3BEC" w:rsidRDefault="002E5B89" w:rsidP="00846E2F">
            <w:pPr>
              <w:pStyle w:val="ListParagraph"/>
              <w:numPr>
                <w:ilvl w:val="0"/>
                <w:numId w:val="19"/>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 xml:space="preserve">helping to coordinate activities of other areas of the Department or the Government that involve contact with </w:t>
            </w:r>
            <w:r w:rsidR="00DF4E37">
              <w:rPr>
                <w:rFonts w:ascii="Calibri" w:eastAsia="Times New Roman" w:hAnsi="Calibri" w:cs="Arial"/>
                <w:lang w:eastAsia="en-AU"/>
              </w:rPr>
              <w:t>ISMAA Provider</w:t>
            </w:r>
            <w:r>
              <w:rPr>
                <w:rFonts w:ascii="Calibri" w:eastAsia="Times New Roman" w:hAnsi="Calibri" w:cs="Arial"/>
                <w:lang w:eastAsia="en-AU"/>
              </w:rPr>
              <w:t>s</w:t>
            </w:r>
            <w:r w:rsidRPr="00AD3BEC">
              <w:rPr>
                <w:rFonts w:ascii="Calibri" w:eastAsia="Times New Roman" w:hAnsi="Calibri" w:cs="Arial"/>
                <w:lang w:eastAsia="en-AU"/>
              </w:rPr>
              <w:t xml:space="preserve">; </w:t>
            </w:r>
            <w:r w:rsidR="00467466">
              <w:rPr>
                <w:rFonts w:ascii="Calibri" w:eastAsia="Times New Roman" w:hAnsi="Calibri" w:cs="Arial"/>
                <w:lang w:eastAsia="en-AU"/>
              </w:rPr>
              <w:t>and</w:t>
            </w:r>
          </w:p>
          <w:p w:rsidR="002E5B89" w:rsidRPr="00AD3BEC" w:rsidRDefault="002E5B89" w:rsidP="00846E2F">
            <w:pPr>
              <w:pStyle w:val="ListParagraph"/>
              <w:numPr>
                <w:ilvl w:val="0"/>
                <w:numId w:val="19"/>
              </w:numPr>
              <w:overflowPunct w:val="0"/>
              <w:autoSpaceDE w:val="0"/>
              <w:autoSpaceDN w:val="0"/>
              <w:adjustRightInd w:val="0"/>
              <w:spacing w:before="60" w:after="60" w:line="240" w:lineRule="auto"/>
              <w:ind w:left="459" w:hanging="425"/>
              <w:textAlignment w:val="baseline"/>
              <w:rPr>
                <w:rFonts w:ascii="Calibri" w:eastAsia="Times New Roman" w:hAnsi="Calibri" w:cs="Arial"/>
                <w:lang w:eastAsia="en-AU"/>
              </w:rPr>
            </w:pPr>
            <w:r w:rsidRPr="00AD3BEC">
              <w:rPr>
                <w:rFonts w:ascii="Calibri" w:eastAsia="Times New Roman" w:hAnsi="Calibri" w:cs="Arial"/>
                <w:lang w:eastAsia="en-AU"/>
              </w:rPr>
              <w:t>debt recovery</w:t>
            </w:r>
          </w:p>
          <w:p w:rsidR="002E5B89" w:rsidRPr="00DF7E81" w:rsidRDefault="001E51F4" w:rsidP="00725BAE">
            <w:pPr>
              <w:spacing w:before="60" w:after="60" w:line="240" w:lineRule="auto"/>
              <w:rPr>
                <w:rFonts w:cs="Arial"/>
              </w:rPr>
            </w:pPr>
            <w:r>
              <w:rPr>
                <w:rFonts w:cs="Arial"/>
              </w:rPr>
              <w:t>Your</w:t>
            </w:r>
            <w:r w:rsidR="002E5B89" w:rsidRPr="00DF7E81">
              <w:rPr>
                <w:rFonts w:cs="Arial"/>
              </w:rPr>
              <w:t xml:space="preserve"> Contract Managers may delegate some of these tasks to other Departmental officers (their Delegates).  </w:t>
            </w:r>
          </w:p>
          <w:p w:rsidR="002E5B89" w:rsidRPr="00DF7E81" w:rsidRDefault="002E5B89" w:rsidP="00725BAE">
            <w:pPr>
              <w:spacing w:before="60" w:after="60" w:line="240" w:lineRule="auto"/>
              <w:rPr>
                <w:rFonts w:cs="Arial"/>
              </w:rPr>
            </w:pPr>
            <w:r w:rsidRPr="00DF7E81">
              <w:rPr>
                <w:rFonts w:cs="Arial"/>
              </w:rPr>
              <w:t>Departmental officers may:</w:t>
            </w:r>
          </w:p>
          <w:p w:rsidR="002E5B89" w:rsidRPr="00DF7E81" w:rsidRDefault="002E5B89" w:rsidP="00846E2F">
            <w:pPr>
              <w:numPr>
                <w:ilvl w:val="0"/>
                <w:numId w:val="12"/>
              </w:numPr>
              <w:spacing w:before="60" w:after="60" w:line="240" w:lineRule="auto"/>
              <w:ind w:left="459" w:hanging="425"/>
              <w:contextualSpacing/>
              <w:rPr>
                <w:rFonts w:cs="Arial"/>
              </w:rPr>
            </w:pPr>
            <w:r w:rsidRPr="00DF7E81">
              <w:rPr>
                <w:rFonts w:cs="Arial"/>
              </w:rPr>
              <w:t xml:space="preserve">represent the Contract Manager at </w:t>
            </w:r>
            <w:r w:rsidR="00467466">
              <w:rPr>
                <w:rFonts w:cs="Arial"/>
              </w:rPr>
              <w:t>events</w:t>
            </w:r>
            <w:r>
              <w:rPr>
                <w:rFonts w:cs="Arial"/>
              </w:rPr>
              <w:t>;</w:t>
            </w:r>
            <w:r w:rsidRPr="00DF7E81">
              <w:rPr>
                <w:rFonts w:cs="Arial"/>
              </w:rPr>
              <w:t xml:space="preserve"> </w:t>
            </w:r>
          </w:p>
          <w:p w:rsidR="002E5B89" w:rsidRPr="00DF7E81" w:rsidRDefault="002E5B89" w:rsidP="00846E2F">
            <w:pPr>
              <w:numPr>
                <w:ilvl w:val="0"/>
                <w:numId w:val="12"/>
              </w:numPr>
              <w:spacing w:before="60" w:after="60" w:line="240" w:lineRule="auto"/>
              <w:ind w:left="459" w:hanging="425"/>
              <w:contextualSpacing/>
              <w:rPr>
                <w:rFonts w:cs="Arial"/>
              </w:rPr>
            </w:pPr>
            <w:r w:rsidRPr="00DF7E81">
              <w:rPr>
                <w:rFonts w:cs="Arial"/>
              </w:rPr>
              <w:t>provide responses</w:t>
            </w:r>
            <w:r w:rsidR="00467466">
              <w:rPr>
                <w:rFonts w:cs="Arial"/>
              </w:rPr>
              <w:t xml:space="preserve"> to enquiries in relation to </w:t>
            </w:r>
            <w:r w:rsidRPr="00DF7E81">
              <w:rPr>
                <w:rFonts w:cs="Arial"/>
              </w:rPr>
              <w:t>these operating Guidelines</w:t>
            </w:r>
            <w:r>
              <w:rPr>
                <w:rFonts w:cs="Arial"/>
              </w:rPr>
              <w:t>;</w:t>
            </w:r>
          </w:p>
          <w:p w:rsidR="002E5B89" w:rsidRPr="00DF7E81" w:rsidRDefault="002E5B89" w:rsidP="00846E2F">
            <w:pPr>
              <w:numPr>
                <w:ilvl w:val="0"/>
                <w:numId w:val="12"/>
              </w:numPr>
              <w:spacing w:before="60" w:after="60" w:line="240" w:lineRule="auto"/>
              <w:ind w:left="459" w:hanging="425"/>
              <w:contextualSpacing/>
              <w:rPr>
                <w:rFonts w:cs="Arial"/>
              </w:rPr>
            </w:pPr>
            <w:r w:rsidRPr="00DF7E81">
              <w:rPr>
                <w:rFonts w:cs="Arial"/>
              </w:rPr>
              <w:t xml:space="preserve">sign formal correspondence and issue emails to </w:t>
            </w:r>
            <w:r w:rsidR="00DF4E37">
              <w:rPr>
                <w:rFonts w:cs="Arial"/>
              </w:rPr>
              <w:t>You</w:t>
            </w:r>
            <w:r>
              <w:rPr>
                <w:rFonts w:cs="Arial"/>
              </w:rPr>
              <w:t>;</w:t>
            </w:r>
          </w:p>
          <w:p w:rsidR="002E5B89" w:rsidRPr="00DF7E81" w:rsidRDefault="002E5B89" w:rsidP="00846E2F">
            <w:pPr>
              <w:numPr>
                <w:ilvl w:val="0"/>
                <w:numId w:val="12"/>
              </w:numPr>
              <w:spacing w:before="60" w:after="60" w:line="240" w:lineRule="auto"/>
              <w:ind w:left="459" w:hanging="425"/>
              <w:contextualSpacing/>
              <w:rPr>
                <w:rFonts w:cs="Arial"/>
              </w:rPr>
            </w:pPr>
            <w:r w:rsidRPr="00DF7E81">
              <w:rPr>
                <w:rFonts w:cs="Arial"/>
              </w:rPr>
              <w:t>sign correspondence or send emails to their equivalents on administrative matters</w:t>
            </w:r>
            <w:r>
              <w:rPr>
                <w:rFonts w:cs="Arial"/>
              </w:rPr>
              <w:t>;</w:t>
            </w:r>
            <w:r w:rsidR="00E03593">
              <w:rPr>
                <w:rFonts w:cs="Arial"/>
              </w:rPr>
              <w:t xml:space="preserve"> and</w:t>
            </w:r>
          </w:p>
          <w:p w:rsidR="002E5B89" w:rsidRPr="00DF7E81" w:rsidRDefault="002E5B89" w:rsidP="00846E2F">
            <w:pPr>
              <w:numPr>
                <w:ilvl w:val="0"/>
                <w:numId w:val="12"/>
              </w:numPr>
              <w:spacing w:before="60" w:after="60" w:line="240" w:lineRule="auto"/>
              <w:ind w:left="459" w:hanging="425"/>
              <w:contextualSpacing/>
              <w:rPr>
                <w:rFonts w:cs="Arial"/>
              </w:rPr>
            </w:pPr>
            <w:r w:rsidRPr="005449A0">
              <w:rPr>
                <w:rFonts w:cs="Arial"/>
              </w:rPr>
              <w:t xml:space="preserve">manage </w:t>
            </w:r>
            <w:r w:rsidR="00DF4E37">
              <w:rPr>
                <w:rFonts w:cs="Arial"/>
              </w:rPr>
              <w:t>Contract</w:t>
            </w:r>
            <w:r w:rsidRPr="005449A0">
              <w:rPr>
                <w:rFonts w:cs="Arial"/>
              </w:rPr>
              <w:t xml:space="preserve"> and </w:t>
            </w:r>
            <w:r w:rsidR="00467466">
              <w:rPr>
                <w:rFonts w:cs="Arial"/>
              </w:rPr>
              <w:t>g</w:t>
            </w:r>
            <w:r w:rsidRPr="005449A0">
              <w:rPr>
                <w:rFonts w:cs="Arial"/>
              </w:rPr>
              <w:t>uideline interpretations and advice prior to referral to or from the Department’s National Office</w:t>
            </w:r>
            <w:r w:rsidR="00E03593">
              <w:rPr>
                <w:rFonts w:cs="Arial"/>
              </w:rPr>
              <w:t>.</w:t>
            </w:r>
          </w:p>
        </w:tc>
      </w:tr>
      <w:tr w:rsidR="002E5B89" w:rsidRPr="00DF7E81" w:rsidTr="00375D21">
        <w:tc>
          <w:tcPr>
            <w:tcW w:w="3119" w:type="dxa"/>
            <w:shd w:val="clear" w:color="auto" w:fill="auto"/>
          </w:tcPr>
          <w:p w:rsidR="002E5B89" w:rsidRPr="00DF7E81" w:rsidRDefault="00E12F2A" w:rsidP="00C63ACE">
            <w:pPr>
              <w:pStyle w:val="AASSOGSLEVEL3"/>
              <w:spacing w:before="120" w:after="120" w:line="240" w:lineRule="auto"/>
              <w:rPr>
                <w:szCs w:val="24"/>
              </w:rPr>
            </w:pPr>
            <w:r>
              <w:rPr>
                <w:szCs w:val="24"/>
              </w:rPr>
              <w:t>Provision of electronic correspondence</w:t>
            </w:r>
          </w:p>
        </w:tc>
        <w:tc>
          <w:tcPr>
            <w:tcW w:w="7655" w:type="dxa"/>
            <w:shd w:val="clear" w:color="auto" w:fill="auto"/>
          </w:tcPr>
          <w:p w:rsidR="002E5B89" w:rsidRPr="00DF7E81" w:rsidRDefault="002E5B89" w:rsidP="00725BAE">
            <w:pPr>
              <w:spacing w:before="60" w:after="60" w:line="240" w:lineRule="auto"/>
              <w:rPr>
                <w:rFonts w:cs="Arial"/>
              </w:rPr>
            </w:pPr>
            <w:r w:rsidRPr="00DF7E81">
              <w:rPr>
                <w:rFonts w:cs="Calibri"/>
              </w:rPr>
              <w:t xml:space="preserve">The </w:t>
            </w:r>
            <w:r w:rsidR="00DF4E37">
              <w:rPr>
                <w:rFonts w:cs="Calibri"/>
              </w:rPr>
              <w:t>Department</w:t>
            </w:r>
            <w:r w:rsidRPr="00DF7E81">
              <w:rPr>
                <w:rFonts w:cs="Calibri"/>
              </w:rPr>
              <w:t xml:space="preserve"> </w:t>
            </w:r>
            <w:r w:rsidRPr="00DF7E81">
              <w:rPr>
                <w:rFonts w:cs="Arial"/>
              </w:rPr>
              <w:t>undertakes to provide electronic versions (via email) of all hard copied correspondence.</w:t>
            </w:r>
          </w:p>
        </w:tc>
      </w:tr>
      <w:tr w:rsidR="002E5B89" w:rsidRPr="00DF7E81" w:rsidTr="00375D21">
        <w:tc>
          <w:tcPr>
            <w:tcW w:w="3119" w:type="dxa"/>
            <w:shd w:val="clear" w:color="auto" w:fill="auto"/>
          </w:tcPr>
          <w:p w:rsidR="002E5B89" w:rsidRPr="00DF7E81" w:rsidRDefault="002E5B89" w:rsidP="00C63ACE">
            <w:pPr>
              <w:pStyle w:val="AASSOGSLEVEL3"/>
              <w:spacing w:before="120" w:line="240" w:lineRule="auto"/>
              <w:rPr>
                <w:szCs w:val="24"/>
              </w:rPr>
            </w:pPr>
            <w:bookmarkStart w:id="163" w:name="_Toc270927148"/>
            <w:bookmarkStart w:id="164" w:name="_Toc298832624"/>
            <w:bookmarkStart w:id="165" w:name="_Toc299091177"/>
            <w:bookmarkStart w:id="166" w:name="_Toc299094494"/>
            <w:bookmarkStart w:id="167" w:name="_Toc300588963"/>
            <w:bookmarkStart w:id="168" w:name="_Toc300654435"/>
            <w:bookmarkStart w:id="169" w:name="_Toc300655150"/>
            <w:bookmarkStart w:id="170" w:name="_Toc300656134"/>
            <w:bookmarkStart w:id="171" w:name="_Toc300735787"/>
            <w:bookmarkStart w:id="172" w:name="_Toc301773435"/>
            <w:bookmarkStart w:id="173" w:name="_Toc301774526"/>
            <w:bookmarkStart w:id="174" w:name="_Toc301774949"/>
            <w:bookmarkStart w:id="175" w:name="_Toc304559743"/>
            <w:bookmarkStart w:id="176" w:name="_Toc305661152"/>
            <w:bookmarkStart w:id="177" w:name="_Toc307408116"/>
            <w:bookmarkStart w:id="178" w:name="_Toc321822287"/>
            <w:bookmarkStart w:id="179" w:name="_Toc321822798"/>
            <w:bookmarkStart w:id="180" w:name="_Toc321829744"/>
            <w:bookmarkStart w:id="181" w:name="_Toc324950548"/>
            <w:bookmarkStart w:id="182" w:name="_Toc326676747"/>
            <w:bookmarkStart w:id="183" w:name="_Toc348001416"/>
            <w:bookmarkStart w:id="184" w:name="_Toc348002271"/>
            <w:bookmarkStart w:id="185" w:name="_Toc348002732"/>
            <w:bookmarkStart w:id="186" w:name="_Toc373838124"/>
            <w:bookmarkStart w:id="187" w:name="_Toc374709897"/>
            <w:bookmarkStart w:id="188" w:name="_Toc393442963"/>
            <w:r w:rsidRPr="00DF7E81">
              <w:rPr>
                <w:szCs w:val="24"/>
              </w:rPr>
              <w:t>Communication Turnaround</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2E5B89" w:rsidRPr="00DF7E81" w:rsidRDefault="002E5B89" w:rsidP="00C63ACE">
            <w:pPr>
              <w:pStyle w:val="AASSOGSLEVEL3"/>
              <w:spacing w:before="120" w:after="120" w:line="240" w:lineRule="auto"/>
              <w:rPr>
                <w:szCs w:val="24"/>
              </w:rPr>
            </w:pPr>
          </w:p>
        </w:tc>
        <w:tc>
          <w:tcPr>
            <w:tcW w:w="7655" w:type="dxa"/>
            <w:shd w:val="clear" w:color="auto" w:fill="auto"/>
          </w:tcPr>
          <w:p w:rsidR="002E5B89" w:rsidRPr="00DF7E81" w:rsidRDefault="00D97604" w:rsidP="00725BAE">
            <w:pPr>
              <w:spacing w:before="60" w:after="60" w:line="240" w:lineRule="auto"/>
              <w:rPr>
                <w:rFonts w:cs="Arial"/>
                <w:i/>
              </w:rPr>
            </w:pPr>
            <w:r>
              <w:rPr>
                <w:rFonts w:cs="Arial"/>
              </w:rPr>
              <w:t xml:space="preserve">The </w:t>
            </w:r>
            <w:r w:rsidR="00DF4E37">
              <w:rPr>
                <w:rFonts w:cs="Arial"/>
              </w:rPr>
              <w:t>Department</w:t>
            </w:r>
            <w:r w:rsidR="002E5B89" w:rsidRPr="00DF7E81">
              <w:rPr>
                <w:rFonts w:cs="Arial"/>
              </w:rPr>
              <w:t xml:space="preserve"> undertakes to respond to all correspondence received from </w:t>
            </w:r>
            <w:r w:rsidR="00DF4E37">
              <w:rPr>
                <w:rFonts w:cs="Arial"/>
              </w:rPr>
              <w:t>You</w:t>
            </w:r>
            <w:r w:rsidR="002E5B89" w:rsidRPr="00DF7E81">
              <w:rPr>
                <w:rFonts w:cs="Arial"/>
              </w:rPr>
              <w:t>.</w:t>
            </w:r>
          </w:p>
          <w:p w:rsidR="002E5B89" w:rsidRPr="00DF7E81" w:rsidRDefault="002E5B89" w:rsidP="00175194">
            <w:pPr>
              <w:spacing w:before="60" w:after="60" w:line="240" w:lineRule="auto"/>
              <w:rPr>
                <w:rFonts w:cs="Arial"/>
              </w:rPr>
            </w:pPr>
            <w:r w:rsidRPr="00DF7E81">
              <w:rPr>
                <w:rFonts w:cs="Arial"/>
              </w:rPr>
              <w:t xml:space="preserve">It is expected that </w:t>
            </w:r>
            <w:r w:rsidR="00DF4E37">
              <w:rPr>
                <w:rFonts w:cs="Arial"/>
              </w:rPr>
              <w:t>You</w:t>
            </w:r>
            <w:r w:rsidRPr="00DF7E81">
              <w:rPr>
                <w:rFonts w:cs="Arial"/>
              </w:rPr>
              <w:t xml:space="preserve"> will respond to all correspondence received from the </w:t>
            </w:r>
            <w:r w:rsidR="00175194">
              <w:rPr>
                <w:rFonts w:cs="Arial"/>
              </w:rPr>
              <w:t>D</w:t>
            </w:r>
            <w:r w:rsidRPr="00DF7E81">
              <w:rPr>
                <w:rFonts w:cs="Arial"/>
              </w:rPr>
              <w:t>epartment within their specified timeframes.</w:t>
            </w:r>
          </w:p>
        </w:tc>
      </w:tr>
      <w:tr w:rsidR="002E5B89" w:rsidRPr="00DF7E81" w:rsidTr="00375D21">
        <w:tc>
          <w:tcPr>
            <w:tcW w:w="3119" w:type="dxa"/>
            <w:shd w:val="clear" w:color="auto" w:fill="auto"/>
          </w:tcPr>
          <w:p w:rsidR="002E5B89" w:rsidRPr="00DF7E81" w:rsidRDefault="002E5B89" w:rsidP="00185271">
            <w:pPr>
              <w:pStyle w:val="AASSOGSLEVEL3"/>
              <w:spacing w:before="120" w:after="120" w:line="240" w:lineRule="auto"/>
              <w:rPr>
                <w:szCs w:val="24"/>
              </w:rPr>
            </w:pPr>
            <w:bookmarkStart w:id="189" w:name="_Toc270927149"/>
            <w:bookmarkStart w:id="190" w:name="_Toc298832625"/>
            <w:bookmarkStart w:id="191" w:name="_Toc299091178"/>
            <w:bookmarkStart w:id="192" w:name="_Toc299094495"/>
            <w:bookmarkStart w:id="193" w:name="_Toc300588964"/>
            <w:bookmarkStart w:id="194" w:name="_Toc300654436"/>
            <w:bookmarkStart w:id="195" w:name="_Toc300655151"/>
            <w:bookmarkStart w:id="196" w:name="_Toc300656135"/>
            <w:bookmarkStart w:id="197" w:name="_Toc300735788"/>
            <w:bookmarkStart w:id="198" w:name="_Toc301773436"/>
            <w:bookmarkStart w:id="199" w:name="_Toc301774527"/>
            <w:bookmarkStart w:id="200" w:name="_Toc301774950"/>
            <w:bookmarkStart w:id="201" w:name="_Toc304559744"/>
            <w:bookmarkStart w:id="202" w:name="_Toc305661153"/>
            <w:bookmarkStart w:id="203" w:name="_Toc307408117"/>
            <w:bookmarkStart w:id="204" w:name="_Toc321822288"/>
            <w:bookmarkStart w:id="205" w:name="_Toc321822799"/>
            <w:bookmarkStart w:id="206" w:name="_Toc321829745"/>
            <w:bookmarkStart w:id="207" w:name="_Toc324950549"/>
            <w:bookmarkStart w:id="208" w:name="_Toc326676748"/>
            <w:bookmarkStart w:id="209" w:name="_Toc348001417"/>
            <w:bookmarkStart w:id="210" w:name="_Toc348002272"/>
            <w:bookmarkStart w:id="211" w:name="_Toc348002733"/>
            <w:bookmarkStart w:id="212" w:name="_Toc373838125"/>
            <w:bookmarkStart w:id="213" w:name="_Toc374709898"/>
            <w:bookmarkStart w:id="214" w:name="_Toc393442964"/>
            <w:r w:rsidRPr="00DF7E81">
              <w:rPr>
                <w:szCs w:val="24"/>
              </w:rPr>
              <w:lastRenderedPageBreak/>
              <w:t xml:space="preserve">Engagement with </w:t>
            </w:r>
            <w:r>
              <w:rPr>
                <w:rFonts w:cs="Arial"/>
              </w:rPr>
              <w:t>Australian Apprenticeship Support Network Providers</w:t>
            </w:r>
            <w:r w:rsidRPr="00DF7E81">
              <w:rPr>
                <w:rFonts w:cs="Arial"/>
              </w:rPr>
              <w:t xml:space="preserve"> </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tc>
        <w:tc>
          <w:tcPr>
            <w:tcW w:w="7655" w:type="dxa"/>
            <w:shd w:val="clear" w:color="auto" w:fill="auto"/>
          </w:tcPr>
          <w:p w:rsidR="002E5B89" w:rsidRPr="00DF7E81" w:rsidRDefault="002E5B89" w:rsidP="00AC59E5">
            <w:pPr>
              <w:spacing w:before="60" w:after="60" w:line="240" w:lineRule="auto"/>
              <w:rPr>
                <w:rFonts w:cs="Arial"/>
              </w:rPr>
            </w:pPr>
            <w:r w:rsidRPr="00DF7E81">
              <w:rPr>
                <w:rFonts w:cs="Arial"/>
              </w:rPr>
              <w:t xml:space="preserve">The </w:t>
            </w:r>
            <w:r w:rsidR="004E1564">
              <w:rPr>
                <w:rFonts w:cs="Arial"/>
              </w:rPr>
              <w:t>D</w:t>
            </w:r>
            <w:r>
              <w:rPr>
                <w:rFonts w:cs="Arial"/>
              </w:rPr>
              <w:t xml:space="preserve">epartment </w:t>
            </w:r>
            <w:r w:rsidRPr="00DF7E81">
              <w:rPr>
                <w:rFonts w:cs="Arial"/>
              </w:rPr>
              <w:t xml:space="preserve">encourages liaison with </w:t>
            </w:r>
            <w:r w:rsidR="00467466">
              <w:rPr>
                <w:rFonts w:cs="Arial"/>
              </w:rPr>
              <w:t xml:space="preserve">Apprenticeship Network </w:t>
            </w:r>
            <w:r w:rsidR="00DF4E37">
              <w:rPr>
                <w:rFonts w:cs="Arial"/>
              </w:rPr>
              <w:t>Provider</w:t>
            </w:r>
            <w:r w:rsidR="00467466">
              <w:rPr>
                <w:rFonts w:cs="Arial"/>
              </w:rPr>
              <w:t xml:space="preserve">s </w:t>
            </w:r>
            <w:r w:rsidRPr="00DF7E81">
              <w:rPr>
                <w:rFonts w:cs="Arial"/>
              </w:rPr>
              <w:t xml:space="preserve">on issues relating </w:t>
            </w:r>
            <w:r w:rsidR="00AC59E5">
              <w:rPr>
                <w:rFonts w:cs="Arial"/>
              </w:rPr>
              <w:t>to Australian A</w:t>
            </w:r>
            <w:r w:rsidRPr="00DF7E81">
              <w:rPr>
                <w:rFonts w:cs="Arial"/>
              </w:rPr>
              <w:t xml:space="preserve">pprenticeships. In this context the Department will afford the same opportunity to all stakeholders to liaise with the Department on issues relating to Australian Apprenticeships.  </w:t>
            </w:r>
          </w:p>
        </w:tc>
      </w:tr>
    </w:tbl>
    <w:p w:rsidR="007D5907" w:rsidRDefault="007D5907" w:rsidP="007D5907">
      <w:pPr>
        <w:pStyle w:val="H1AASSOGS"/>
        <w:numPr>
          <w:ilvl w:val="0"/>
          <w:numId w:val="0"/>
        </w:numPr>
        <w:ind w:left="720"/>
      </w:pPr>
    </w:p>
    <w:p w:rsidR="00683761" w:rsidRDefault="00683761" w:rsidP="007D5907">
      <w:pPr>
        <w:pStyle w:val="H1AASSOGS"/>
        <w:numPr>
          <w:ilvl w:val="0"/>
          <w:numId w:val="0"/>
        </w:numPr>
        <w:ind w:left="720"/>
      </w:pPr>
    </w:p>
    <w:p w:rsidR="002E5B89" w:rsidRDefault="002E5B89" w:rsidP="002E5B89">
      <w:pPr>
        <w:pStyle w:val="H1AASSOGS"/>
      </w:pPr>
      <w:bookmarkStart w:id="215" w:name="_Toc490735669"/>
      <w:r w:rsidRPr="0090770A">
        <w:t>Marketing</w:t>
      </w:r>
      <w:bookmarkEnd w:id="215"/>
    </w:p>
    <w:p w:rsidR="002E5B89" w:rsidRPr="00DA4037" w:rsidRDefault="002E5B89" w:rsidP="002E5B89">
      <w:pPr>
        <w:pStyle w:val="H1AASSOGS"/>
        <w:numPr>
          <w:ilvl w:val="0"/>
          <w:numId w:val="0"/>
        </w:numPr>
        <w:ind w:left="720"/>
        <w:rPr>
          <w:sz w:val="20"/>
        </w:rPr>
      </w:pPr>
    </w:p>
    <w:tbl>
      <w:tblPr>
        <w:tblW w:w="107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7516"/>
      </w:tblGrid>
      <w:tr w:rsidR="002E5B89" w:rsidRPr="00DF7E81" w:rsidTr="00375D21">
        <w:tc>
          <w:tcPr>
            <w:tcW w:w="3261" w:type="dxa"/>
            <w:shd w:val="clear" w:color="auto" w:fill="auto"/>
          </w:tcPr>
          <w:p w:rsidR="002E5B89" w:rsidRPr="004177FF" w:rsidRDefault="002E5B89" w:rsidP="00C63ACE">
            <w:pPr>
              <w:pStyle w:val="AASSOGSLEVEL3"/>
              <w:spacing w:before="120" w:after="120" w:line="240" w:lineRule="auto"/>
              <w:rPr>
                <w:szCs w:val="24"/>
              </w:rPr>
            </w:pPr>
            <w:r w:rsidRPr="004177FF">
              <w:rPr>
                <w:szCs w:val="24"/>
              </w:rPr>
              <w:t>Marketing and Promotion</w:t>
            </w:r>
          </w:p>
          <w:p w:rsidR="002E5B89" w:rsidRPr="004177FF" w:rsidRDefault="002E5B89" w:rsidP="00C63ACE">
            <w:pPr>
              <w:pStyle w:val="AASSOGSLEVEL3"/>
              <w:spacing w:before="120" w:after="120" w:line="240" w:lineRule="auto"/>
              <w:rPr>
                <w:szCs w:val="24"/>
              </w:rPr>
            </w:pPr>
          </w:p>
        </w:tc>
        <w:tc>
          <w:tcPr>
            <w:tcW w:w="7516" w:type="dxa"/>
            <w:shd w:val="clear" w:color="auto" w:fill="auto"/>
          </w:tcPr>
          <w:p w:rsidR="002E5B89" w:rsidRPr="00640211" w:rsidRDefault="00DF4E37" w:rsidP="002677FF">
            <w:pPr>
              <w:overflowPunct w:val="0"/>
              <w:autoSpaceDE w:val="0"/>
              <w:autoSpaceDN w:val="0"/>
              <w:adjustRightInd w:val="0"/>
              <w:spacing w:beforeLines="60" w:before="144" w:afterLines="60" w:after="144" w:line="240" w:lineRule="auto"/>
              <w:textAlignment w:val="baseline"/>
              <w:rPr>
                <w:rFonts w:ascii="Calibri" w:eastAsia="Times New Roman" w:hAnsi="Calibri" w:cs="Arial"/>
              </w:rPr>
            </w:pPr>
            <w:r>
              <w:rPr>
                <w:rFonts w:ascii="Calibri" w:eastAsia="Times New Roman" w:hAnsi="Calibri" w:cs="Arial"/>
              </w:rPr>
              <w:t>ISMAA Provider</w:t>
            </w:r>
            <w:r w:rsidR="002E5B89" w:rsidRPr="00640211">
              <w:rPr>
                <w:rFonts w:ascii="Calibri" w:eastAsia="Times New Roman" w:hAnsi="Calibri" w:cs="Arial"/>
              </w:rPr>
              <w:t xml:space="preserve">s are required to market and promote </w:t>
            </w:r>
            <w:r w:rsidR="00FE1E52">
              <w:rPr>
                <w:rFonts w:ascii="Calibri" w:eastAsia="Times New Roman" w:hAnsi="Calibri" w:cs="Arial"/>
              </w:rPr>
              <w:t xml:space="preserve">their </w:t>
            </w:r>
            <w:r>
              <w:rPr>
                <w:rFonts w:ascii="Calibri" w:eastAsia="Times New Roman" w:hAnsi="Calibri" w:cs="Arial"/>
              </w:rPr>
              <w:t>Services</w:t>
            </w:r>
            <w:r w:rsidR="00FE1E52">
              <w:rPr>
                <w:rFonts w:ascii="Calibri" w:eastAsia="Times New Roman" w:hAnsi="Calibri" w:cs="Arial"/>
              </w:rPr>
              <w:t xml:space="preserve">. </w:t>
            </w:r>
            <w:r w:rsidR="002E5B89">
              <w:rPr>
                <w:rFonts w:ascii="Calibri" w:eastAsia="Times New Roman" w:hAnsi="Calibri" w:cs="Arial"/>
              </w:rPr>
              <w:t>P</w:t>
            </w:r>
            <w:r w:rsidR="002E5B89" w:rsidRPr="00640211">
              <w:rPr>
                <w:rFonts w:ascii="Calibri" w:eastAsia="Times New Roman" w:hAnsi="Calibri" w:cs="Arial"/>
              </w:rPr>
              <w:t>romotion will include the comprehensive range of options available to key stakeholders.</w:t>
            </w:r>
          </w:p>
          <w:p w:rsidR="002E5B89" w:rsidRPr="00640211" w:rsidRDefault="002E5B89" w:rsidP="002677FF">
            <w:pPr>
              <w:overflowPunct w:val="0"/>
              <w:autoSpaceDE w:val="0"/>
              <w:autoSpaceDN w:val="0"/>
              <w:adjustRightInd w:val="0"/>
              <w:spacing w:beforeLines="60" w:before="144" w:afterLines="60" w:after="144" w:line="240" w:lineRule="auto"/>
              <w:textAlignment w:val="baseline"/>
              <w:rPr>
                <w:rFonts w:ascii="Calibri" w:eastAsia="Times New Roman" w:hAnsi="Calibri" w:cs="Arial"/>
              </w:rPr>
            </w:pPr>
            <w:r w:rsidRPr="00640211">
              <w:rPr>
                <w:rFonts w:ascii="Calibri" w:eastAsia="Times New Roman" w:hAnsi="Calibri" w:cs="Arial"/>
              </w:rPr>
              <w:t>Marketing and promotional activity includes:</w:t>
            </w:r>
          </w:p>
          <w:p w:rsidR="002E5B89" w:rsidRPr="00D13DBD" w:rsidRDefault="002E5B89" w:rsidP="002677FF">
            <w:pPr>
              <w:pStyle w:val="ListParagraph"/>
              <w:numPr>
                <w:ilvl w:val="0"/>
                <w:numId w:val="21"/>
              </w:numPr>
              <w:overflowPunct w:val="0"/>
              <w:autoSpaceDE w:val="0"/>
              <w:autoSpaceDN w:val="0"/>
              <w:adjustRightInd w:val="0"/>
              <w:spacing w:beforeLines="60" w:before="144" w:afterLines="60" w:after="144" w:line="240" w:lineRule="auto"/>
              <w:ind w:left="459" w:hanging="425"/>
              <w:textAlignment w:val="baseline"/>
              <w:rPr>
                <w:rFonts w:ascii="Calibri" w:eastAsia="Times New Roman" w:hAnsi="Calibri" w:cs="Arial"/>
                <w:lang w:eastAsia="en-AU"/>
              </w:rPr>
            </w:pPr>
            <w:r w:rsidRPr="00D13DBD">
              <w:rPr>
                <w:rFonts w:ascii="Calibri" w:eastAsia="Times New Roman" w:hAnsi="Calibri" w:cs="Arial"/>
                <w:lang w:eastAsia="en-AU"/>
              </w:rPr>
              <w:t xml:space="preserve">promoting the benefits and full range </w:t>
            </w:r>
            <w:r w:rsidR="00FE1E52">
              <w:rPr>
                <w:rFonts w:ascii="Calibri" w:eastAsia="Times New Roman" w:hAnsi="Calibri" w:cs="Arial"/>
                <w:lang w:eastAsia="en-AU"/>
              </w:rPr>
              <w:t xml:space="preserve">of ISMAA </w:t>
            </w:r>
            <w:r w:rsidR="00DF4E37">
              <w:rPr>
                <w:rFonts w:ascii="Calibri" w:eastAsia="Times New Roman" w:hAnsi="Calibri" w:cs="Arial"/>
                <w:lang w:eastAsia="en-AU"/>
              </w:rPr>
              <w:t>Services</w:t>
            </w:r>
            <w:r w:rsidR="00FE1E52">
              <w:rPr>
                <w:rFonts w:ascii="Calibri" w:eastAsia="Times New Roman" w:hAnsi="Calibri" w:cs="Arial"/>
                <w:lang w:eastAsia="en-AU"/>
              </w:rPr>
              <w:t xml:space="preserve"> </w:t>
            </w:r>
            <w:r w:rsidRPr="00D13DBD">
              <w:rPr>
                <w:rFonts w:ascii="Calibri" w:eastAsia="Times New Roman" w:hAnsi="Calibri" w:cs="Arial"/>
                <w:lang w:eastAsia="en-AU"/>
              </w:rPr>
              <w:t>to all stakeholders, including employers, Aust</w:t>
            </w:r>
            <w:r w:rsidR="00373D53">
              <w:rPr>
                <w:rFonts w:ascii="Calibri" w:eastAsia="Times New Roman" w:hAnsi="Calibri" w:cs="Arial"/>
                <w:lang w:eastAsia="en-AU"/>
              </w:rPr>
              <w:t>ralian Apprentices and industry</w:t>
            </w:r>
          </w:p>
          <w:p w:rsidR="002E5B89" w:rsidRPr="00D13DBD" w:rsidRDefault="002E5B89" w:rsidP="002677FF">
            <w:pPr>
              <w:pStyle w:val="ListParagraph"/>
              <w:numPr>
                <w:ilvl w:val="0"/>
                <w:numId w:val="21"/>
              </w:numPr>
              <w:overflowPunct w:val="0"/>
              <w:autoSpaceDE w:val="0"/>
              <w:autoSpaceDN w:val="0"/>
              <w:adjustRightInd w:val="0"/>
              <w:spacing w:beforeLines="60" w:before="144" w:afterLines="60" w:after="144" w:line="240" w:lineRule="auto"/>
              <w:ind w:left="459" w:hanging="425"/>
              <w:textAlignment w:val="baseline"/>
              <w:rPr>
                <w:rFonts w:ascii="Calibri" w:eastAsia="Times New Roman" w:hAnsi="Calibri" w:cs="Arial"/>
                <w:lang w:eastAsia="en-AU"/>
              </w:rPr>
            </w:pPr>
            <w:r w:rsidRPr="00D13DBD">
              <w:rPr>
                <w:rFonts w:ascii="Calibri" w:eastAsia="Times New Roman" w:hAnsi="Calibri" w:cs="Arial"/>
                <w:lang w:eastAsia="en-AU"/>
              </w:rPr>
              <w:t xml:space="preserve">making available </w:t>
            </w:r>
            <w:r w:rsidR="00FE1E52">
              <w:rPr>
                <w:rFonts w:ascii="Calibri" w:eastAsia="Times New Roman" w:hAnsi="Calibri" w:cs="Arial"/>
                <w:lang w:eastAsia="en-AU"/>
              </w:rPr>
              <w:t xml:space="preserve">ISMAA </w:t>
            </w:r>
            <w:r w:rsidR="00005DB2">
              <w:rPr>
                <w:rFonts w:ascii="Calibri" w:eastAsia="Times New Roman" w:hAnsi="Calibri" w:cs="Arial"/>
                <w:lang w:eastAsia="en-AU"/>
              </w:rPr>
              <w:t>promotional material</w:t>
            </w:r>
            <w:r w:rsidRPr="00D13DBD">
              <w:rPr>
                <w:rFonts w:ascii="Calibri" w:eastAsia="Times New Roman" w:hAnsi="Calibri" w:cs="Arial"/>
                <w:lang w:eastAsia="en-AU"/>
              </w:rPr>
              <w:t xml:space="preserve"> provided </w:t>
            </w:r>
            <w:r w:rsidR="00005DB2">
              <w:rPr>
                <w:rFonts w:ascii="Calibri" w:eastAsia="Times New Roman" w:hAnsi="Calibri" w:cs="Arial"/>
                <w:lang w:eastAsia="en-AU"/>
              </w:rPr>
              <w:t xml:space="preserve">electronically </w:t>
            </w:r>
            <w:r w:rsidR="00373D53">
              <w:rPr>
                <w:rFonts w:ascii="Calibri" w:eastAsia="Times New Roman" w:hAnsi="Calibri" w:cs="Arial"/>
                <w:lang w:eastAsia="en-AU"/>
              </w:rPr>
              <w:t>by the Department</w:t>
            </w:r>
          </w:p>
          <w:p w:rsidR="002E5B89" w:rsidRPr="00D13DBD" w:rsidRDefault="002E5B89" w:rsidP="002677FF">
            <w:pPr>
              <w:pStyle w:val="ListParagraph"/>
              <w:numPr>
                <w:ilvl w:val="0"/>
                <w:numId w:val="21"/>
              </w:numPr>
              <w:overflowPunct w:val="0"/>
              <w:autoSpaceDE w:val="0"/>
              <w:autoSpaceDN w:val="0"/>
              <w:adjustRightInd w:val="0"/>
              <w:spacing w:beforeLines="60" w:before="144" w:afterLines="60" w:after="144" w:line="240" w:lineRule="auto"/>
              <w:ind w:left="459" w:hanging="425"/>
              <w:textAlignment w:val="baseline"/>
              <w:rPr>
                <w:rFonts w:ascii="Calibri" w:eastAsia="Times New Roman" w:hAnsi="Calibri" w:cs="Arial"/>
                <w:lang w:eastAsia="en-AU"/>
              </w:rPr>
            </w:pPr>
            <w:r w:rsidRPr="00D13DBD">
              <w:rPr>
                <w:rFonts w:ascii="Calibri" w:eastAsia="Times New Roman" w:hAnsi="Calibri" w:cs="Arial"/>
                <w:lang w:eastAsia="en-AU"/>
              </w:rPr>
              <w:t>promoting the career pathways of Australian Apprentices</w:t>
            </w:r>
            <w:r w:rsidR="00AC59E5">
              <w:rPr>
                <w:rFonts w:ascii="Calibri" w:eastAsia="Times New Roman" w:hAnsi="Calibri" w:cs="Arial"/>
                <w:lang w:eastAsia="en-AU"/>
              </w:rPr>
              <w:t xml:space="preserve"> in Your industry</w:t>
            </w:r>
          </w:p>
          <w:p w:rsidR="002E5B89" w:rsidRPr="00D13DBD" w:rsidRDefault="002E5B89" w:rsidP="002677FF">
            <w:pPr>
              <w:pStyle w:val="ListParagraph"/>
              <w:numPr>
                <w:ilvl w:val="0"/>
                <w:numId w:val="21"/>
              </w:numPr>
              <w:overflowPunct w:val="0"/>
              <w:autoSpaceDE w:val="0"/>
              <w:autoSpaceDN w:val="0"/>
              <w:adjustRightInd w:val="0"/>
              <w:spacing w:beforeLines="60" w:before="144" w:afterLines="60" w:after="144" w:line="240" w:lineRule="auto"/>
              <w:ind w:left="459" w:hanging="425"/>
              <w:textAlignment w:val="baseline"/>
              <w:rPr>
                <w:rFonts w:ascii="Calibri" w:eastAsia="Times New Roman" w:hAnsi="Calibri" w:cs="Arial"/>
                <w:lang w:eastAsia="en-AU"/>
              </w:rPr>
            </w:pPr>
            <w:r w:rsidRPr="00D13DBD">
              <w:rPr>
                <w:rFonts w:ascii="Calibri" w:eastAsia="Times New Roman" w:hAnsi="Calibri" w:cs="Arial"/>
                <w:lang w:eastAsia="en-AU"/>
              </w:rPr>
              <w:t xml:space="preserve">identifying themselves as </w:t>
            </w:r>
            <w:r w:rsidR="00DF4E37">
              <w:rPr>
                <w:rFonts w:ascii="Calibri" w:eastAsia="Times New Roman" w:hAnsi="Calibri" w:cs="Arial"/>
                <w:lang w:eastAsia="en-AU"/>
              </w:rPr>
              <w:t>ISMAA Provider</w:t>
            </w:r>
            <w:r w:rsidRPr="00D13DBD">
              <w:rPr>
                <w:rFonts w:ascii="Calibri" w:eastAsia="Times New Roman" w:hAnsi="Calibri" w:cs="Arial"/>
                <w:lang w:eastAsia="en-AU"/>
              </w:rPr>
              <w:t>s</w:t>
            </w:r>
            <w:r>
              <w:rPr>
                <w:rFonts w:ascii="Calibri" w:eastAsia="Times New Roman" w:hAnsi="Calibri" w:cs="Arial"/>
                <w:lang w:eastAsia="en-AU"/>
              </w:rPr>
              <w:t xml:space="preserve"> who</w:t>
            </w:r>
            <w:r w:rsidRPr="00D13DBD">
              <w:rPr>
                <w:rFonts w:ascii="Calibri" w:eastAsia="Times New Roman" w:hAnsi="Calibri" w:cs="Arial"/>
                <w:lang w:eastAsia="en-AU"/>
              </w:rPr>
              <w:t xml:space="preserve"> provid</w:t>
            </w:r>
            <w:r>
              <w:rPr>
                <w:rFonts w:ascii="Calibri" w:eastAsia="Times New Roman" w:hAnsi="Calibri" w:cs="Arial"/>
                <w:lang w:eastAsia="en-AU"/>
              </w:rPr>
              <w:t>e</w:t>
            </w:r>
            <w:r w:rsidRPr="00D13DBD">
              <w:rPr>
                <w:rFonts w:ascii="Calibri" w:eastAsia="Times New Roman" w:hAnsi="Calibri" w:cs="Arial"/>
                <w:lang w:eastAsia="en-AU"/>
              </w:rPr>
              <w:t xml:space="preserve"> a comprehensive support </w:t>
            </w:r>
            <w:r w:rsidR="00480D00">
              <w:rPr>
                <w:rFonts w:ascii="Calibri" w:eastAsia="Times New Roman" w:hAnsi="Calibri" w:cs="Arial"/>
                <w:lang w:eastAsia="en-AU"/>
              </w:rPr>
              <w:t>Service</w:t>
            </w:r>
            <w:r w:rsidRPr="00D13DBD">
              <w:rPr>
                <w:rFonts w:ascii="Calibri" w:eastAsia="Times New Roman" w:hAnsi="Calibri" w:cs="Arial"/>
                <w:lang w:eastAsia="en-AU"/>
              </w:rPr>
              <w:t xml:space="preserve"> in their </w:t>
            </w:r>
            <w:r w:rsidR="00DF4E37">
              <w:rPr>
                <w:rFonts w:ascii="Calibri" w:eastAsia="Times New Roman" w:hAnsi="Calibri" w:cs="Arial"/>
                <w:lang w:eastAsia="en-AU"/>
              </w:rPr>
              <w:t>Contract</w:t>
            </w:r>
            <w:r w:rsidRPr="00D13DBD">
              <w:rPr>
                <w:rFonts w:ascii="Calibri" w:eastAsia="Times New Roman" w:hAnsi="Calibri" w:cs="Arial"/>
                <w:lang w:eastAsia="en-AU"/>
              </w:rPr>
              <w:t xml:space="preserve">ed </w:t>
            </w:r>
            <w:r w:rsidR="005A7BB0">
              <w:rPr>
                <w:rFonts w:ascii="Calibri" w:eastAsia="Times New Roman" w:hAnsi="Calibri" w:cs="Arial"/>
                <w:lang w:eastAsia="en-AU"/>
              </w:rPr>
              <w:t xml:space="preserve">industry / </w:t>
            </w:r>
            <w:r>
              <w:rPr>
                <w:rFonts w:ascii="Calibri" w:eastAsia="Times New Roman" w:hAnsi="Calibri" w:cs="Arial"/>
                <w:lang w:eastAsia="en-AU"/>
              </w:rPr>
              <w:t>region</w:t>
            </w:r>
          </w:p>
          <w:p w:rsidR="002E5B89" w:rsidRPr="00DF7E81" w:rsidRDefault="002E5B89" w:rsidP="002677FF">
            <w:pPr>
              <w:pStyle w:val="ListParagraph"/>
              <w:numPr>
                <w:ilvl w:val="0"/>
                <w:numId w:val="21"/>
              </w:numPr>
              <w:overflowPunct w:val="0"/>
              <w:autoSpaceDE w:val="0"/>
              <w:autoSpaceDN w:val="0"/>
              <w:adjustRightInd w:val="0"/>
              <w:spacing w:beforeLines="60" w:before="144" w:afterLines="60" w:after="144" w:line="240" w:lineRule="auto"/>
              <w:ind w:left="459" w:hanging="425"/>
              <w:textAlignment w:val="baseline"/>
              <w:rPr>
                <w:rFonts w:ascii="Calibri" w:eastAsia="Times New Roman" w:hAnsi="Calibri" w:cs="Arial"/>
                <w:lang w:val="en-US"/>
              </w:rPr>
            </w:pPr>
            <w:r w:rsidRPr="00C47E24">
              <w:rPr>
                <w:rFonts w:ascii="Calibri" w:eastAsia="Times New Roman" w:hAnsi="Calibri" w:cs="Arial"/>
                <w:lang w:eastAsia="en-AU"/>
              </w:rPr>
              <w:t xml:space="preserve">carrying out targeted local marketing of </w:t>
            </w:r>
            <w:r w:rsidR="0021571E">
              <w:rPr>
                <w:rFonts w:ascii="Calibri" w:eastAsia="Times New Roman" w:hAnsi="Calibri" w:cs="Arial"/>
                <w:lang w:eastAsia="en-AU"/>
              </w:rPr>
              <w:t>the ISMAA program</w:t>
            </w:r>
            <w:r w:rsidRPr="00C47E24">
              <w:rPr>
                <w:rFonts w:ascii="Calibri" w:eastAsia="Times New Roman" w:hAnsi="Calibri" w:cs="Arial"/>
                <w:lang w:eastAsia="en-AU"/>
              </w:rPr>
              <w:t xml:space="preserve"> consi</w:t>
            </w:r>
            <w:r w:rsidR="006245E5">
              <w:rPr>
                <w:rFonts w:ascii="Calibri" w:eastAsia="Times New Roman" w:hAnsi="Calibri" w:cs="Arial"/>
                <w:lang w:eastAsia="en-AU"/>
              </w:rPr>
              <w:t>stent with the</w:t>
            </w:r>
            <w:r w:rsidRPr="00C47E24">
              <w:rPr>
                <w:rFonts w:ascii="Calibri" w:eastAsia="Times New Roman" w:hAnsi="Calibri" w:cs="Arial"/>
                <w:lang w:eastAsia="en-AU"/>
              </w:rPr>
              <w:t xml:space="preserve"> Contract</w:t>
            </w:r>
            <w:r w:rsidR="00373D53">
              <w:rPr>
                <w:rFonts w:ascii="Calibri" w:eastAsia="Times New Roman" w:hAnsi="Calibri" w:cs="Arial"/>
                <w:lang w:eastAsia="en-AU"/>
              </w:rPr>
              <w:t>.</w:t>
            </w:r>
            <w:r w:rsidR="00F57FE2">
              <w:rPr>
                <w:rFonts w:ascii="Calibri" w:eastAsia="Times New Roman" w:hAnsi="Calibri" w:cs="Arial"/>
                <w:lang w:eastAsia="en-AU"/>
              </w:rPr>
              <w:t xml:space="preserve"> </w:t>
            </w:r>
          </w:p>
        </w:tc>
      </w:tr>
      <w:tr w:rsidR="002E5B89" w:rsidRPr="00DF7E81" w:rsidTr="00375D21">
        <w:tc>
          <w:tcPr>
            <w:tcW w:w="3261" w:type="dxa"/>
            <w:shd w:val="clear" w:color="auto" w:fill="auto"/>
          </w:tcPr>
          <w:p w:rsidR="002E5B89" w:rsidRPr="004177FF" w:rsidRDefault="002E5B89" w:rsidP="004177FF">
            <w:pPr>
              <w:pStyle w:val="AASSOGSLEVEL3"/>
              <w:spacing w:before="120" w:after="120" w:line="240" w:lineRule="auto"/>
              <w:rPr>
                <w:szCs w:val="24"/>
              </w:rPr>
            </w:pPr>
            <w:bookmarkStart w:id="216" w:name="_Toc270927119"/>
            <w:bookmarkStart w:id="217" w:name="_Toc298832592"/>
            <w:bookmarkStart w:id="218" w:name="_Toc299091117"/>
            <w:bookmarkStart w:id="219" w:name="_Toc299094434"/>
            <w:bookmarkStart w:id="220" w:name="_Toc300588910"/>
            <w:bookmarkStart w:id="221" w:name="_Toc300654382"/>
            <w:bookmarkStart w:id="222" w:name="_Toc300655097"/>
            <w:bookmarkStart w:id="223" w:name="_Toc300656081"/>
            <w:bookmarkStart w:id="224" w:name="_Toc300735734"/>
            <w:bookmarkStart w:id="225" w:name="_Toc301773382"/>
            <w:bookmarkStart w:id="226" w:name="_Toc301774473"/>
            <w:bookmarkStart w:id="227" w:name="_Toc301774895"/>
            <w:bookmarkStart w:id="228" w:name="_Toc304559689"/>
            <w:bookmarkStart w:id="229" w:name="_Toc307408088"/>
            <w:bookmarkStart w:id="230" w:name="_Toc321822260"/>
            <w:bookmarkStart w:id="231" w:name="_Toc321822771"/>
            <w:bookmarkStart w:id="232" w:name="_Toc321829717"/>
            <w:bookmarkStart w:id="233" w:name="_Toc324950520"/>
            <w:bookmarkStart w:id="234" w:name="_Toc326676719"/>
            <w:bookmarkStart w:id="235" w:name="_Toc348001388"/>
            <w:bookmarkStart w:id="236" w:name="_Toc348002243"/>
            <w:bookmarkStart w:id="237" w:name="_Toc348002704"/>
            <w:bookmarkStart w:id="238" w:name="_Toc373838096"/>
            <w:bookmarkStart w:id="239" w:name="_Toc374709868"/>
            <w:bookmarkStart w:id="240" w:name="_Toc393441931"/>
            <w:bookmarkStart w:id="241" w:name="_Toc393442831"/>
            <w:r w:rsidRPr="004177FF">
              <w:rPr>
                <w:szCs w:val="24"/>
              </w:rPr>
              <w:t>Branding</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tc>
        <w:tc>
          <w:tcPr>
            <w:tcW w:w="7516" w:type="dxa"/>
            <w:shd w:val="clear" w:color="auto" w:fill="auto"/>
          </w:tcPr>
          <w:p w:rsidR="002E5B89" w:rsidRPr="00DF7E81" w:rsidRDefault="002E5B89" w:rsidP="002677FF">
            <w:pPr>
              <w:spacing w:beforeLines="60" w:before="144" w:afterLines="60" w:after="144" w:line="240" w:lineRule="auto"/>
              <w:rPr>
                <w:rFonts w:cs="Arial"/>
                <w:bCs/>
              </w:rPr>
            </w:pPr>
            <w:r w:rsidRPr="00DF7E81">
              <w:rPr>
                <w:rFonts w:cs="Arial"/>
                <w:bCs/>
              </w:rPr>
              <w:t>You must</w:t>
            </w:r>
            <w:r>
              <w:rPr>
                <w:rFonts w:cs="Arial"/>
                <w:bCs/>
              </w:rPr>
              <w:t xml:space="preserve"> market </w:t>
            </w:r>
            <w:r w:rsidR="001E51F4">
              <w:rPr>
                <w:rFonts w:cs="Arial"/>
                <w:bCs/>
              </w:rPr>
              <w:t>Your</w:t>
            </w:r>
            <w:r>
              <w:rPr>
                <w:rFonts w:cs="Arial"/>
                <w:bCs/>
              </w:rPr>
              <w:t>self as a</w:t>
            </w:r>
            <w:r w:rsidR="00F57FE2">
              <w:rPr>
                <w:rFonts w:cs="Arial"/>
                <w:bCs/>
              </w:rPr>
              <w:t xml:space="preserve">n </w:t>
            </w:r>
            <w:r w:rsidR="00DF4E37">
              <w:rPr>
                <w:rFonts w:cs="Arial"/>
                <w:bCs/>
              </w:rPr>
              <w:t>ISMAA Provider</w:t>
            </w:r>
            <w:r w:rsidR="00F57FE2">
              <w:rPr>
                <w:rFonts w:cs="Arial"/>
                <w:bCs/>
              </w:rPr>
              <w:t>. T</w:t>
            </w:r>
            <w:r w:rsidRPr="00DF7E81">
              <w:rPr>
                <w:rFonts w:cs="Arial"/>
              </w:rPr>
              <w:t xml:space="preserve">he Department </w:t>
            </w:r>
            <w:r w:rsidRPr="00DF7E81">
              <w:rPr>
                <w:rFonts w:cs="Arial"/>
                <w:bCs/>
              </w:rPr>
              <w:t xml:space="preserve">will provide </w:t>
            </w:r>
            <w:r w:rsidR="00DF4E37">
              <w:rPr>
                <w:rFonts w:cs="Arial"/>
                <w:bCs/>
              </w:rPr>
              <w:t>You</w:t>
            </w:r>
            <w:r w:rsidRPr="00DF7E81">
              <w:rPr>
                <w:rFonts w:cs="Arial"/>
                <w:bCs/>
              </w:rPr>
              <w:t xml:space="preserve"> with an Australian Government logo for use in all publications, informational, promotional and advertising material, products, signage and inventions developed as a result of the</w:t>
            </w:r>
            <w:r w:rsidR="00F57FE2">
              <w:rPr>
                <w:rFonts w:cs="Arial"/>
                <w:bCs/>
              </w:rPr>
              <w:t xml:space="preserve"> ISMAA </w:t>
            </w:r>
            <w:r w:rsidR="00DF4E37">
              <w:rPr>
                <w:rFonts w:cs="Arial"/>
                <w:bCs/>
              </w:rPr>
              <w:t>Services</w:t>
            </w:r>
            <w:r w:rsidRPr="00DF7E81">
              <w:rPr>
                <w:rFonts w:cs="Arial"/>
                <w:bCs/>
              </w:rPr>
              <w:t xml:space="preserve">, including correspondence and business cards. This includes any graphical or digital, web-based, television or visual advertising. Marketing, and the use of Australian Government logos, must be consistent with the </w:t>
            </w:r>
            <w:r w:rsidR="00965E6A" w:rsidRPr="00F20C4E">
              <w:rPr>
                <w:rFonts w:cs="Arial"/>
                <w:bCs/>
              </w:rPr>
              <w:t>ISMAA</w:t>
            </w:r>
            <w:r w:rsidR="00965E6A">
              <w:rPr>
                <w:rFonts w:cs="Arial"/>
                <w:bCs/>
              </w:rPr>
              <w:t xml:space="preserve"> program style guide.</w:t>
            </w:r>
            <w:r w:rsidRPr="00DF7E81">
              <w:rPr>
                <w:rFonts w:cs="Arial"/>
                <w:bCs/>
              </w:rPr>
              <w:t xml:space="preserve"> </w:t>
            </w:r>
          </w:p>
        </w:tc>
      </w:tr>
      <w:tr w:rsidR="003F6BE2" w:rsidRPr="00DF7E81" w:rsidTr="00375D21">
        <w:tc>
          <w:tcPr>
            <w:tcW w:w="3261" w:type="dxa"/>
            <w:shd w:val="clear" w:color="auto" w:fill="auto"/>
          </w:tcPr>
          <w:p w:rsidR="003F6BE2" w:rsidRPr="004177FF" w:rsidRDefault="003F6BE2" w:rsidP="004177FF">
            <w:pPr>
              <w:pStyle w:val="AASSOGSLEVEL3"/>
              <w:spacing w:before="120" w:after="120" w:line="240" w:lineRule="auto"/>
              <w:rPr>
                <w:szCs w:val="24"/>
              </w:rPr>
            </w:pPr>
            <w:r w:rsidRPr="004177FF">
              <w:rPr>
                <w:szCs w:val="24"/>
              </w:rPr>
              <w:t>Co-branded marketing materials</w:t>
            </w:r>
          </w:p>
        </w:tc>
        <w:tc>
          <w:tcPr>
            <w:tcW w:w="7516" w:type="dxa"/>
            <w:shd w:val="clear" w:color="auto" w:fill="auto"/>
          </w:tcPr>
          <w:p w:rsidR="003F6BE2" w:rsidRPr="007C710D" w:rsidRDefault="00DF4E37" w:rsidP="002677FF">
            <w:pPr>
              <w:spacing w:beforeLines="60" w:before="144" w:afterLines="60" w:after="144" w:line="240" w:lineRule="auto"/>
            </w:pPr>
            <w:r>
              <w:t>ISMAA Provider</w:t>
            </w:r>
            <w:r w:rsidR="00770303">
              <w:t>s</w:t>
            </w:r>
            <w:r w:rsidR="003F6BE2">
              <w:t xml:space="preserve"> may undertake joint marketing activities and distribute co-branded marketing </w:t>
            </w:r>
            <w:r w:rsidR="00F8630C">
              <w:t>materials with</w:t>
            </w:r>
            <w:r w:rsidR="003F6BE2">
              <w:t xml:space="preserve"> approved sub-</w:t>
            </w:r>
            <w:r>
              <w:t>Contract</w:t>
            </w:r>
            <w:r w:rsidR="003F6BE2">
              <w:t>ors should they wish to do so.</w:t>
            </w:r>
          </w:p>
        </w:tc>
      </w:tr>
      <w:tr w:rsidR="002E5B89" w:rsidRPr="00DF7E81" w:rsidTr="00375D21">
        <w:tc>
          <w:tcPr>
            <w:tcW w:w="3261" w:type="dxa"/>
            <w:shd w:val="clear" w:color="auto" w:fill="auto"/>
          </w:tcPr>
          <w:p w:rsidR="002E5B89" w:rsidRPr="004177FF" w:rsidRDefault="00175194" w:rsidP="004177FF">
            <w:pPr>
              <w:pStyle w:val="AASSOGSLEVEL3"/>
              <w:spacing w:before="120" w:after="120" w:line="240" w:lineRule="auto"/>
              <w:rPr>
                <w:szCs w:val="24"/>
              </w:rPr>
            </w:pPr>
            <w:r>
              <w:rPr>
                <w:szCs w:val="24"/>
              </w:rPr>
              <w:t>E</w:t>
            </w:r>
            <w:r w:rsidR="002E5B89" w:rsidRPr="004177FF">
              <w:rPr>
                <w:szCs w:val="24"/>
              </w:rPr>
              <w:t>lectronic materials</w:t>
            </w:r>
          </w:p>
        </w:tc>
        <w:tc>
          <w:tcPr>
            <w:tcW w:w="7516" w:type="dxa"/>
            <w:shd w:val="clear" w:color="auto" w:fill="auto"/>
          </w:tcPr>
          <w:p w:rsidR="002E5B89" w:rsidRPr="007C710D" w:rsidRDefault="002E5B89" w:rsidP="002677FF">
            <w:pPr>
              <w:spacing w:beforeLines="60" w:before="144" w:afterLines="60" w:after="144" w:line="240" w:lineRule="auto"/>
            </w:pPr>
            <w:r w:rsidRPr="007C710D">
              <w:t xml:space="preserve">The Department </w:t>
            </w:r>
            <w:r w:rsidR="004177FF">
              <w:t xml:space="preserve">will supply any marketing materials </w:t>
            </w:r>
            <w:r w:rsidRPr="007C710D">
              <w:t xml:space="preserve">electronically.  </w:t>
            </w:r>
          </w:p>
        </w:tc>
      </w:tr>
    </w:tbl>
    <w:p w:rsidR="00A11AF2" w:rsidRDefault="00A11AF2" w:rsidP="00A11AF2">
      <w:pPr>
        <w:pStyle w:val="H1AASSOGS"/>
        <w:numPr>
          <w:ilvl w:val="0"/>
          <w:numId w:val="0"/>
        </w:numPr>
        <w:ind w:left="720"/>
      </w:pPr>
    </w:p>
    <w:p w:rsidR="002E5B89" w:rsidRDefault="002E5B89" w:rsidP="002E5B89">
      <w:pPr>
        <w:pStyle w:val="H1AASSOGS"/>
      </w:pPr>
      <w:bookmarkStart w:id="242" w:name="_Toc490735670"/>
      <w:r w:rsidRPr="00DF7E81">
        <w:t>Complaints Handling Process</w:t>
      </w:r>
      <w:bookmarkEnd w:id="242"/>
    </w:p>
    <w:p w:rsidR="002E5B89" w:rsidRPr="005B48CC" w:rsidRDefault="002E5B89" w:rsidP="002E5B89">
      <w:pPr>
        <w:pStyle w:val="AASSOGSLEVEL3"/>
        <w:rPr>
          <w:sz w:val="20"/>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7513"/>
      </w:tblGrid>
      <w:tr w:rsidR="002E5B89" w:rsidRPr="00DF7E81" w:rsidTr="00375D21">
        <w:tc>
          <w:tcPr>
            <w:tcW w:w="3261" w:type="dxa"/>
            <w:shd w:val="clear" w:color="auto" w:fill="auto"/>
          </w:tcPr>
          <w:p w:rsidR="002E5B89" w:rsidRPr="00764741" w:rsidRDefault="002E5B89" w:rsidP="00C63ACE">
            <w:pPr>
              <w:pStyle w:val="AASSOGSLEVEL3"/>
              <w:spacing w:before="120" w:after="120" w:line="240" w:lineRule="auto"/>
              <w:rPr>
                <w:szCs w:val="24"/>
              </w:rPr>
            </w:pPr>
            <w:bookmarkStart w:id="243" w:name="_Toc393442836"/>
            <w:r w:rsidRPr="00764741">
              <w:rPr>
                <w:szCs w:val="24"/>
              </w:rPr>
              <w:t>Overview</w:t>
            </w:r>
            <w:bookmarkEnd w:id="243"/>
          </w:p>
        </w:tc>
        <w:tc>
          <w:tcPr>
            <w:tcW w:w="7513" w:type="dxa"/>
            <w:shd w:val="clear" w:color="auto" w:fill="auto"/>
          </w:tcPr>
          <w:p w:rsidR="002E5B89" w:rsidRPr="00DF7E81" w:rsidRDefault="002E5B89" w:rsidP="00685C96">
            <w:pPr>
              <w:spacing w:before="60" w:after="60" w:line="240" w:lineRule="auto"/>
              <w:rPr>
                <w:rFonts w:cs="Arial"/>
              </w:rPr>
            </w:pPr>
            <w:r w:rsidRPr="00DF7E81">
              <w:rPr>
                <w:rFonts w:cs="Arial"/>
              </w:rPr>
              <w:t xml:space="preserve">Australian Apprentices, employers and/or any other interested parties may lodge a complaint, query or provide feedback on any aspect of the </w:t>
            </w:r>
            <w:r w:rsidR="00764741">
              <w:rPr>
                <w:rFonts w:cs="Arial"/>
              </w:rPr>
              <w:t>ISMAA</w:t>
            </w:r>
            <w:r w:rsidRPr="00DF7E81">
              <w:rPr>
                <w:rFonts w:cs="Arial"/>
              </w:rPr>
              <w:t xml:space="preserve"> program.</w:t>
            </w:r>
            <w:r>
              <w:rPr>
                <w:rFonts w:cs="Arial"/>
              </w:rPr>
              <w:t xml:space="preserve"> </w:t>
            </w:r>
            <w:r w:rsidRPr="00DF7E81">
              <w:rPr>
                <w:rFonts w:cs="Arial"/>
              </w:rPr>
              <w:t xml:space="preserve"> You must action complaints regardless of their source.</w:t>
            </w:r>
          </w:p>
          <w:p w:rsidR="00175194" w:rsidRDefault="002E5B89" w:rsidP="00175194">
            <w:pPr>
              <w:spacing w:before="60" w:after="60" w:line="240" w:lineRule="auto"/>
              <w:rPr>
                <w:rFonts w:ascii="Calibri" w:eastAsia="Times New Roman" w:hAnsi="Calibri" w:cs="Arial"/>
                <w:lang w:eastAsia="en-AU"/>
              </w:rPr>
            </w:pPr>
            <w:r w:rsidRPr="00DF7E81">
              <w:rPr>
                <w:rFonts w:cs="Arial"/>
              </w:rPr>
              <w:t>Matters raised could include</w:t>
            </w:r>
            <w:r w:rsidR="00175194">
              <w:rPr>
                <w:rFonts w:cs="Arial"/>
              </w:rPr>
              <w:t xml:space="preserve"> </w:t>
            </w:r>
            <w:r w:rsidRPr="00517B91">
              <w:rPr>
                <w:rFonts w:ascii="Calibri" w:eastAsia="Times New Roman" w:hAnsi="Calibri" w:cs="Arial"/>
                <w:lang w:eastAsia="en-AU"/>
              </w:rPr>
              <w:t>issues relating to the quality of</w:t>
            </w:r>
            <w:r w:rsidR="00764741">
              <w:rPr>
                <w:rFonts w:ascii="Calibri" w:eastAsia="Times New Roman" w:hAnsi="Calibri" w:cs="Arial"/>
                <w:lang w:eastAsia="en-AU"/>
              </w:rPr>
              <w:t xml:space="preserve"> </w:t>
            </w:r>
            <w:r w:rsidR="00DF4E37">
              <w:rPr>
                <w:rFonts w:ascii="Calibri" w:eastAsia="Times New Roman" w:hAnsi="Calibri" w:cs="Arial"/>
                <w:lang w:eastAsia="en-AU"/>
              </w:rPr>
              <w:t>Services</w:t>
            </w:r>
            <w:r w:rsidRPr="00517B91">
              <w:rPr>
                <w:rFonts w:ascii="Calibri" w:eastAsia="Times New Roman" w:hAnsi="Calibri" w:cs="Arial"/>
                <w:lang w:eastAsia="en-AU"/>
              </w:rPr>
              <w:t xml:space="preserve"> provided by </w:t>
            </w:r>
            <w:r w:rsidR="00DF4E37">
              <w:rPr>
                <w:rFonts w:ascii="Calibri" w:eastAsia="Times New Roman" w:hAnsi="Calibri" w:cs="Arial"/>
                <w:lang w:eastAsia="en-AU"/>
              </w:rPr>
              <w:t>You</w:t>
            </w:r>
            <w:r w:rsidR="00175194">
              <w:rPr>
                <w:rFonts w:ascii="Calibri" w:eastAsia="Times New Roman" w:hAnsi="Calibri" w:cs="Arial"/>
                <w:lang w:eastAsia="en-AU"/>
              </w:rPr>
              <w:t>.</w:t>
            </w:r>
          </w:p>
          <w:p w:rsidR="002E5B89" w:rsidRPr="00DF7E81" w:rsidRDefault="002E5B89" w:rsidP="00175194">
            <w:pPr>
              <w:spacing w:before="60" w:after="60" w:line="240" w:lineRule="auto"/>
              <w:rPr>
                <w:rFonts w:cs="Arial"/>
              </w:rPr>
            </w:pPr>
            <w:r w:rsidRPr="00DF7E81">
              <w:rPr>
                <w:rFonts w:cs="Arial"/>
              </w:rPr>
              <w:t xml:space="preserve">You must ensure that </w:t>
            </w:r>
            <w:r w:rsidR="00DF4E37">
              <w:rPr>
                <w:rFonts w:cs="Arial"/>
              </w:rPr>
              <w:t>You</w:t>
            </w:r>
            <w:r w:rsidRPr="00DF7E81">
              <w:rPr>
                <w:rFonts w:cs="Arial"/>
              </w:rPr>
              <w:t xml:space="preserve"> advise employers, Australian Apprentices and other interested persons on the operation and procedures of the complaint process. </w:t>
            </w:r>
          </w:p>
        </w:tc>
      </w:tr>
      <w:tr w:rsidR="002E5B89" w:rsidRPr="00DF7E81" w:rsidTr="00375D21">
        <w:tc>
          <w:tcPr>
            <w:tcW w:w="3261" w:type="dxa"/>
            <w:shd w:val="clear" w:color="auto" w:fill="auto"/>
          </w:tcPr>
          <w:p w:rsidR="002E5B89" w:rsidRPr="00764741" w:rsidRDefault="002E5B89" w:rsidP="00C63ACE">
            <w:pPr>
              <w:pStyle w:val="AASSOGSLEVEL3"/>
              <w:spacing w:before="120" w:after="120" w:line="240" w:lineRule="auto"/>
              <w:rPr>
                <w:szCs w:val="24"/>
              </w:rPr>
            </w:pPr>
            <w:bookmarkStart w:id="244" w:name="_Toc393442837"/>
            <w:r w:rsidRPr="00DF7E81">
              <w:rPr>
                <w:szCs w:val="24"/>
              </w:rPr>
              <w:lastRenderedPageBreak/>
              <w:t>Complaints Escalation Process</w:t>
            </w:r>
            <w:bookmarkEnd w:id="244"/>
          </w:p>
        </w:tc>
        <w:tc>
          <w:tcPr>
            <w:tcW w:w="7513" w:type="dxa"/>
            <w:shd w:val="clear" w:color="auto" w:fill="auto"/>
          </w:tcPr>
          <w:p w:rsidR="002E5B89" w:rsidRPr="00685C96" w:rsidRDefault="002E5B89" w:rsidP="00846E2F">
            <w:pPr>
              <w:numPr>
                <w:ilvl w:val="0"/>
                <w:numId w:val="11"/>
              </w:numPr>
              <w:spacing w:before="60" w:after="60" w:line="240" w:lineRule="auto"/>
              <w:ind w:left="357"/>
              <w:contextualSpacing/>
              <w:rPr>
                <w:rFonts w:cs="Arial"/>
              </w:rPr>
            </w:pPr>
            <w:r w:rsidRPr="00685C96">
              <w:rPr>
                <w:rFonts w:cs="Arial"/>
              </w:rPr>
              <w:t xml:space="preserve">In the </w:t>
            </w:r>
            <w:r w:rsidR="00C27F6E" w:rsidRPr="00685C96">
              <w:rPr>
                <w:rFonts w:cs="Arial"/>
              </w:rPr>
              <w:t xml:space="preserve">first instance, </w:t>
            </w:r>
            <w:proofErr w:type="gramStart"/>
            <w:r w:rsidR="00DF4E37">
              <w:rPr>
                <w:rFonts w:cs="Arial"/>
              </w:rPr>
              <w:t>You</w:t>
            </w:r>
            <w:proofErr w:type="gramEnd"/>
            <w:r w:rsidR="00C27F6E" w:rsidRPr="00685C96">
              <w:rPr>
                <w:rFonts w:cs="Arial"/>
              </w:rPr>
              <w:t xml:space="preserve"> </w:t>
            </w:r>
            <w:r w:rsidR="00685C96" w:rsidRPr="00685C96">
              <w:rPr>
                <w:rFonts w:cs="Arial"/>
              </w:rPr>
              <w:t>must</w:t>
            </w:r>
            <w:r w:rsidR="00C27F6E" w:rsidRPr="00685C96">
              <w:rPr>
                <w:rFonts w:cs="Arial"/>
              </w:rPr>
              <w:t xml:space="preserve"> use </w:t>
            </w:r>
            <w:r w:rsidR="001E51F4">
              <w:rPr>
                <w:rFonts w:cs="Arial"/>
              </w:rPr>
              <w:t>Your</w:t>
            </w:r>
            <w:r w:rsidRPr="00685C96">
              <w:rPr>
                <w:rFonts w:cs="Arial"/>
              </w:rPr>
              <w:t xml:space="preserve"> own free, easily accessible complaints resolution process to investigate and resolve complaints.</w:t>
            </w:r>
            <w:r w:rsidR="00C27F6E" w:rsidRPr="00685C96">
              <w:rPr>
                <w:rFonts w:cs="Arial"/>
              </w:rPr>
              <w:t xml:space="preserve"> This may involve liaison with </w:t>
            </w:r>
            <w:r w:rsidR="001E51F4">
              <w:rPr>
                <w:rFonts w:cs="Arial"/>
              </w:rPr>
              <w:t>Your</w:t>
            </w:r>
            <w:r w:rsidRPr="00685C96">
              <w:rPr>
                <w:rFonts w:cs="Arial"/>
              </w:rPr>
              <w:t xml:space="preserve"> Contract Manager for advice and assistance.</w:t>
            </w:r>
            <w:r w:rsidR="00685C96" w:rsidRPr="00685C96">
              <w:rPr>
                <w:rFonts w:cs="Arial"/>
              </w:rPr>
              <w:t xml:space="preserve"> </w:t>
            </w:r>
            <w:r w:rsidR="00685C96">
              <w:rPr>
                <w:rFonts w:cs="Arial"/>
              </w:rPr>
              <w:t>T</w:t>
            </w:r>
            <w:r w:rsidRPr="00685C96">
              <w:rPr>
                <w:rFonts w:cs="Arial"/>
              </w:rPr>
              <w:t>he action taken to resolve the complaint must be documented on an electronic Complaints</w:t>
            </w:r>
            <w:r w:rsidR="00C27F6E" w:rsidRPr="00685C96">
              <w:rPr>
                <w:rFonts w:cs="Arial"/>
              </w:rPr>
              <w:t xml:space="preserve"> Register template provided to </w:t>
            </w:r>
            <w:r w:rsidR="00DF4E37">
              <w:rPr>
                <w:rFonts w:cs="Arial"/>
              </w:rPr>
              <w:t>You</w:t>
            </w:r>
            <w:r w:rsidRPr="00685C96">
              <w:rPr>
                <w:rFonts w:cs="Arial"/>
              </w:rPr>
              <w:t xml:space="preserve"> by the Department.  A copy of </w:t>
            </w:r>
            <w:r w:rsidR="001E51F4">
              <w:rPr>
                <w:rFonts w:cs="Arial"/>
              </w:rPr>
              <w:t>Your</w:t>
            </w:r>
            <w:r w:rsidRPr="00685C96">
              <w:rPr>
                <w:rFonts w:cs="Arial"/>
              </w:rPr>
              <w:t xml:space="preserve"> </w:t>
            </w:r>
            <w:proofErr w:type="gramStart"/>
            <w:r w:rsidRPr="00685C96">
              <w:rPr>
                <w:rFonts w:cs="Arial"/>
              </w:rPr>
              <w:t>completed</w:t>
            </w:r>
            <w:proofErr w:type="gramEnd"/>
            <w:r w:rsidRPr="00685C96">
              <w:rPr>
                <w:rFonts w:cs="Arial"/>
              </w:rPr>
              <w:t xml:space="preserve"> Complaints Register must be sent by email to the Department on request. The purpose of using the Department’s template is to enable the Department to collate data nationally</w:t>
            </w:r>
            <w:r w:rsidRPr="00FD42C1">
              <w:rPr>
                <w:rFonts w:cs="Arial"/>
              </w:rPr>
              <w:t>. The Complaints Register template can be found in the Attachments to these Guidelines.</w:t>
            </w:r>
            <w:r w:rsidRPr="00685C96">
              <w:rPr>
                <w:rFonts w:cs="Arial"/>
              </w:rPr>
              <w:t xml:space="preserve"> You must ensure that </w:t>
            </w:r>
            <w:r w:rsidR="00DF4E37">
              <w:rPr>
                <w:rFonts w:cs="Arial"/>
              </w:rPr>
              <w:t>You</w:t>
            </w:r>
            <w:r w:rsidRPr="00685C96">
              <w:rPr>
                <w:rFonts w:cs="Arial"/>
              </w:rPr>
              <w:t xml:space="preserve"> follow up the complaint within 10 working days of the complaint being lodged with </w:t>
            </w:r>
            <w:r w:rsidR="00DF4E37">
              <w:rPr>
                <w:rFonts w:cs="Arial"/>
              </w:rPr>
              <w:t>You</w:t>
            </w:r>
            <w:r w:rsidRPr="00685C96">
              <w:rPr>
                <w:rFonts w:cs="Arial"/>
              </w:rPr>
              <w:t xml:space="preserve">.  </w:t>
            </w:r>
          </w:p>
          <w:p w:rsidR="002E5B89" w:rsidRPr="004D1D91" w:rsidRDefault="00C27F6E" w:rsidP="00846E2F">
            <w:pPr>
              <w:numPr>
                <w:ilvl w:val="0"/>
                <w:numId w:val="11"/>
              </w:numPr>
              <w:spacing w:before="60" w:after="60" w:line="240" w:lineRule="auto"/>
              <w:contextualSpacing/>
              <w:rPr>
                <w:rFonts w:cs="Arial"/>
              </w:rPr>
            </w:pPr>
            <w:r>
              <w:rPr>
                <w:rFonts w:cs="Arial"/>
              </w:rPr>
              <w:t xml:space="preserve">In the event that </w:t>
            </w:r>
            <w:r w:rsidR="00DF4E37">
              <w:rPr>
                <w:rFonts w:cs="Arial"/>
              </w:rPr>
              <w:t>You</w:t>
            </w:r>
            <w:r w:rsidR="002E5B89" w:rsidRPr="004D1D91">
              <w:rPr>
                <w:rFonts w:cs="Arial"/>
              </w:rPr>
              <w:t xml:space="preserve"> cannot resolve the complaint, </w:t>
            </w:r>
            <w:proofErr w:type="gramStart"/>
            <w:r w:rsidR="00DF4E37">
              <w:rPr>
                <w:rFonts w:cs="Arial"/>
              </w:rPr>
              <w:t>You</w:t>
            </w:r>
            <w:proofErr w:type="gramEnd"/>
            <w:r w:rsidR="002E5B89" w:rsidRPr="004D1D91">
              <w:rPr>
                <w:rFonts w:cs="Arial"/>
              </w:rPr>
              <w:t xml:space="preserve"> must refer Australian Apprentices, employers and others to the </w:t>
            </w:r>
            <w:r w:rsidR="00F20C4E">
              <w:rPr>
                <w:rFonts w:cs="Arial"/>
              </w:rPr>
              <w:t>Skilling Australia Information</w:t>
            </w:r>
            <w:r w:rsidR="002E5B89" w:rsidRPr="004D1D91">
              <w:rPr>
                <w:rFonts w:cs="Arial"/>
              </w:rPr>
              <w:t xml:space="preserve"> Line </w:t>
            </w:r>
            <w:r w:rsidR="002A4E40">
              <w:rPr>
                <w:rFonts w:cs="Arial"/>
              </w:rPr>
              <w:t>(13 38 73)</w:t>
            </w:r>
            <w:r w:rsidR="002E5B89" w:rsidRPr="004D1D91">
              <w:rPr>
                <w:rFonts w:cs="Arial"/>
              </w:rPr>
              <w:t xml:space="preserve"> to escalate their complaint. The </w:t>
            </w:r>
            <w:r w:rsidR="00F20C4E">
              <w:rPr>
                <w:rFonts w:cs="Arial"/>
              </w:rPr>
              <w:t>Skilling Australia Information</w:t>
            </w:r>
            <w:r w:rsidR="00F20C4E" w:rsidRPr="004D1D91">
              <w:rPr>
                <w:rFonts w:cs="Arial"/>
              </w:rPr>
              <w:t xml:space="preserve"> Line</w:t>
            </w:r>
            <w:r w:rsidR="002E5B89" w:rsidRPr="004D1D91">
              <w:rPr>
                <w:rFonts w:cs="Arial"/>
              </w:rPr>
              <w:t xml:space="preserve"> is managed by the Department. The Department will provide information, investigate the concerns of callers and take action to resolve them.  </w:t>
            </w:r>
          </w:p>
          <w:p w:rsidR="002E5B89" w:rsidRDefault="002E5B89" w:rsidP="00846E2F">
            <w:pPr>
              <w:numPr>
                <w:ilvl w:val="0"/>
                <w:numId w:val="11"/>
              </w:numPr>
              <w:spacing w:before="60" w:after="60" w:line="240" w:lineRule="auto"/>
              <w:contextualSpacing/>
              <w:rPr>
                <w:rFonts w:cs="Arial"/>
              </w:rPr>
            </w:pPr>
            <w:r w:rsidRPr="00DF7E81">
              <w:rPr>
                <w:rFonts w:cs="Arial"/>
              </w:rPr>
              <w:t xml:space="preserve">For complaints referred to </w:t>
            </w:r>
            <w:r w:rsidR="00DF4E37">
              <w:rPr>
                <w:rFonts w:cs="Arial"/>
              </w:rPr>
              <w:t>You</w:t>
            </w:r>
            <w:r w:rsidRPr="00DF7E81">
              <w:rPr>
                <w:rFonts w:cs="Arial"/>
              </w:rPr>
              <w:t xml:space="preserve"> by the Department, a written response (usually by email) will be required by </w:t>
            </w:r>
            <w:r w:rsidR="001E51F4">
              <w:rPr>
                <w:rFonts w:cs="Arial"/>
              </w:rPr>
              <w:t>Your</w:t>
            </w:r>
            <w:r w:rsidRPr="00DF7E81">
              <w:rPr>
                <w:rFonts w:cs="Arial"/>
              </w:rPr>
              <w:t xml:space="preserve"> Contract Manager once the complaint has been fully investigated and resolved.</w:t>
            </w:r>
          </w:p>
          <w:p w:rsidR="0019227C" w:rsidRPr="00DF7E81" w:rsidRDefault="002E5B89" w:rsidP="00846E2F">
            <w:pPr>
              <w:numPr>
                <w:ilvl w:val="0"/>
                <w:numId w:val="11"/>
              </w:numPr>
              <w:spacing w:before="60" w:after="60" w:line="240" w:lineRule="auto"/>
              <w:ind w:left="357" w:hanging="357"/>
              <w:contextualSpacing/>
              <w:rPr>
                <w:rFonts w:cs="Arial"/>
              </w:rPr>
            </w:pPr>
            <w:r w:rsidRPr="00685C96">
              <w:rPr>
                <w:rFonts w:cs="Arial"/>
              </w:rPr>
              <w:t>You must also assist employers and Australian Apprentices with other types of complaints by providing accurate referral to the most appropriate body.  For example workplace relations complaints must be referred to the Fair Work Ombudsman.</w:t>
            </w:r>
          </w:p>
        </w:tc>
      </w:tr>
    </w:tbl>
    <w:p w:rsidR="002E5B89" w:rsidRDefault="002E5B89" w:rsidP="002E5B89">
      <w:pPr>
        <w:pStyle w:val="H1AASSOGS"/>
        <w:numPr>
          <w:ilvl w:val="0"/>
          <w:numId w:val="0"/>
        </w:numPr>
        <w:ind w:left="720" w:hanging="720"/>
      </w:pPr>
    </w:p>
    <w:bookmarkEnd w:id="84"/>
    <w:p w:rsidR="008A211C" w:rsidRDefault="008A211C" w:rsidP="0029591D">
      <w:pPr>
        <w:spacing w:after="0" w:line="240" w:lineRule="auto"/>
        <w:rPr>
          <w:rFonts w:eastAsia="Times New Roman" w:cstheme="minorHAnsi"/>
          <w:b/>
          <w:lang w:eastAsia="en-AU"/>
        </w:rPr>
      </w:pPr>
    </w:p>
    <w:p w:rsidR="007C093D" w:rsidRPr="002B6662" w:rsidRDefault="007C093D" w:rsidP="007C093D">
      <w:pPr>
        <w:spacing w:after="0" w:line="240" w:lineRule="auto"/>
        <w:rPr>
          <w:rFonts w:eastAsia="Times New Roman" w:cstheme="minorHAnsi"/>
          <w:lang w:eastAsia="en-AU"/>
        </w:rPr>
      </w:pPr>
    </w:p>
    <w:sectPr w:rsidR="007C093D" w:rsidRPr="002B6662" w:rsidSect="00BA35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315" w:rsidRDefault="00446315" w:rsidP="006C662A">
      <w:pPr>
        <w:spacing w:after="0" w:line="240" w:lineRule="auto"/>
      </w:pPr>
      <w:r>
        <w:separator/>
      </w:r>
    </w:p>
  </w:endnote>
  <w:endnote w:type="continuationSeparator" w:id="0">
    <w:p w:rsidR="00446315" w:rsidRDefault="00446315" w:rsidP="006C662A">
      <w:pPr>
        <w:spacing w:after="0" w:line="240" w:lineRule="auto"/>
      </w:pPr>
      <w:r>
        <w:continuationSeparator/>
      </w:r>
    </w:p>
  </w:endnote>
  <w:endnote w:type="continuationNotice" w:id="1">
    <w:p w:rsidR="00446315" w:rsidRDefault="004463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1944724132"/>
      <w:docPartObj>
        <w:docPartGallery w:val="Page Numbers (Bottom of Page)"/>
        <w:docPartUnique/>
      </w:docPartObj>
    </w:sdtPr>
    <w:sdtEndPr>
      <w:rPr>
        <w:noProof/>
      </w:rPr>
    </w:sdtEndPr>
    <w:sdtContent>
      <w:p w:rsidR="00446315" w:rsidRPr="004C7947" w:rsidRDefault="00446315" w:rsidP="004C7947">
        <w:pPr>
          <w:pStyle w:val="Footer"/>
          <w:jc w:val="right"/>
          <w:rPr>
            <w:rFonts w:ascii="Times New Roman" w:hAnsi="Times New Roman"/>
          </w:rPr>
        </w:pPr>
        <w:r w:rsidRPr="004C7947">
          <w:rPr>
            <w:rFonts w:ascii="Times New Roman" w:hAnsi="Times New Roman"/>
          </w:rPr>
          <w:fldChar w:fldCharType="begin"/>
        </w:r>
        <w:r w:rsidRPr="004C7947">
          <w:rPr>
            <w:rFonts w:ascii="Times New Roman" w:hAnsi="Times New Roman"/>
          </w:rPr>
          <w:instrText xml:space="preserve"> PAGE   \* MERGEFORMAT </w:instrText>
        </w:r>
        <w:r w:rsidRPr="004C7947">
          <w:rPr>
            <w:rFonts w:ascii="Times New Roman" w:hAnsi="Times New Roman"/>
          </w:rPr>
          <w:fldChar w:fldCharType="separate"/>
        </w:r>
        <w:r w:rsidR="0082765A">
          <w:rPr>
            <w:rFonts w:ascii="Times New Roman" w:hAnsi="Times New Roman"/>
            <w:noProof/>
          </w:rPr>
          <w:t>21</w:t>
        </w:r>
        <w:r w:rsidRPr="004C7947">
          <w:rPr>
            <w:rFonts w:ascii="Times New Roman" w:hAnsi="Times New Roman"/>
            <w:noProof/>
          </w:rPr>
          <w:fldChar w:fldCharType="end"/>
        </w:r>
      </w:p>
    </w:sdtContent>
  </w:sdt>
  <w:p w:rsidR="00446315" w:rsidRDefault="00446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315" w:rsidRDefault="00446315" w:rsidP="006C662A">
      <w:pPr>
        <w:spacing w:after="0" w:line="240" w:lineRule="auto"/>
      </w:pPr>
      <w:r>
        <w:separator/>
      </w:r>
    </w:p>
  </w:footnote>
  <w:footnote w:type="continuationSeparator" w:id="0">
    <w:p w:rsidR="00446315" w:rsidRDefault="00446315" w:rsidP="006C662A">
      <w:pPr>
        <w:spacing w:after="0" w:line="240" w:lineRule="auto"/>
      </w:pPr>
      <w:r>
        <w:continuationSeparator/>
      </w:r>
    </w:p>
  </w:footnote>
  <w:footnote w:type="continuationNotice" w:id="1">
    <w:p w:rsidR="00446315" w:rsidRDefault="004463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2E0E25BA"/>
    <w:lvl w:ilvl="0">
      <w:start w:val="1"/>
      <w:numFmt w:val="decimal"/>
      <w:pStyle w:val="ListNumber3"/>
      <w:lvlText w:val="%1."/>
      <w:lvlJc w:val="left"/>
      <w:pPr>
        <w:tabs>
          <w:tab w:val="num" w:pos="926"/>
        </w:tabs>
        <w:ind w:left="926" w:hanging="360"/>
      </w:pPr>
    </w:lvl>
  </w:abstractNum>
  <w:abstractNum w:abstractNumId="1" w15:restartNumberingAfterBreak="0">
    <w:nsid w:val="07ED3BE2"/>
    <w:multiLevelType w:val="hybridMultilevel"/>
    <w:tmpl w:val="0BC4D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271720"/>
    <w:multiLevelType w:val="hybridMultilevel"/>
    <w:tmpl w:val="C002C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83081"/>
    <w:multiLevelType w:val="hybridMultilevel"/>
    <w:tmpl w:val="157EE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1A64AD"/>
    <w:multiLevelType w:val="hybridMultilevel"/>
    <w:tmpl w:val="F71EF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641DF2"/>
    <w:multiLevelType w:val="hybridMultilevel"/>
    <w:tmpl w:val="69AEB810"/>
    <w:lvl w:ilvl="0" w:tplc="DF4E7448">
      <w:start w:val="1"/>
      <w:numFmt w:val="decimal"/>
      <w:pStyle w:val="numberedpara"/>
      <w:lvlText w:val="%1."/>
      <w:lvlJc w:val="right"/>
      <w:pPr>
        <w:tabs>
          <w:tab w:val="num" w:pos="567"/>
        </w:tabs>
        <w:ind w:left="-567" w:firstLine="567"/>
      </w:pPr>
      <w:rPr>
        <w:rFonts w:ascii="Calibri" w:hAnsi="Calibri" w:cs="Times New Roman" w:hint="default"/>
        <w:b w:val="0"/>
        <w:i w:val="0"/>
        <w:color w:val="auto"/>
        <w:sz w:val="22"/>
      </w:rPr>
    </w:lvl>
    <w:lvl w:ilvl="1" w:tplc="0C090019">
      <w:start w:val="1"/>
      <w:numFmt w:val="lowerLetter"/>
      <w:lvlText w:val="%2."/>
      <w:lvlJc w:val="left"/>
      <w:pPr>
        <w:tabs>
          <w:tab w:val="num" w:pos="2007"/>
        </w:tabs>
        <w:ind w:left="2007" w:hanging="360"/>
      </w:pPr>
      <w:rPr>
        <w:rFonts w:cs="Times New Roman"/>
      </w:rPr>
    </w:lvl>
    <w:lvl w:ilvl="2" w:tplc="0C09001B">
      <w:start w:val="1"/>
      <w:numFmt w:val="lowerRoman"/>
      <w:lvlText w:val="%3."/>
      <w:lvlJc w:val="right"/>
      <w:pPr>
        <w:tabs>
          <w:tab w:val="num" w:pos="2727"/>
        </w:tabs>
        <w:ind w:left="2727" w:hanging="180"/>
      </w:pPr>
      <w:rPr>
        <w:rFonts w:cs="Times New Roman"/>
      </w:rPr>
    </w:lvl>
    <w:lvl w:ilvl="3" w:tplc="0C09000F">
      <w:start w:val="1"/>
      <w:numFmt w:val="decimal"/>
      <w:lvlText w:val="%4."/>
      <w:lvlJc w:val="left"/>
      <w:pPr>
        <w:tabs>
          <w:tab w:val="num" w:pos="360"/>
        </w:tabs>
        <w:ind w:left="360" w:hanging="360"/>
      </w:pPr>
      <w:rPr>
        <w:b w:val="0"/>
        <w:i w:val="0"/>
        <w:color w:val="auto"/>
        <w:sz w:val="22"/>
      </w:rPr>
    </w:lvl>
    <w:lvl w:ilvl="4" w:tplc="0C090019">
      <w:start w:val="1"/>
      <w:numFmt w:val="lowerLetter"/>
      <w:lvlText w:val="%5."/>
      <w:lvlJc w:val="left"/>
      <w:pPr>
        <w:tabs>
          <w:tab w:val="num" w:pos="4167"/>
        </w:tabs>
        <w:ind w:left="4167" w:hanging="360"/>
      </w:pPr>
      <w:rPr>
        <w:rFonts w:cs="Times New Roman"/>
      </w:rPr>
    </w:lvl>
    <w:lvl w:ilvl="5" w:tplc="0C09001B">
      <w:start w:val="1"/>
      <w:numFmt w:val="lowerRoman"/>
      <w:lvlText w:val="%6."/>
      <w:lvlJc w:val="right"/>
      <w:pPr>
        <w:tabs>
          <w:tab w:val="num" w:pos="4887"/>
        </w:tabs>
        <w:ind w:left="4887" w:hanging="180"/>
      </w:pPr>
      <w:rPr>
        <w:rFonts w:cs="Times New Roman"/>
      </w:rPr>
    </w:lvl>
    <w:lvl w:ilvl="6" w:tplc="0C09000F">
      <w:start w:val="1"/>
      <w:numFmt w:val="decimal"/>
      <w:lvlText w:val="%7."/>
      <w:lvlJc w:val="left"/>
      <w:pPr>
        <w:tabs>
          <w:tab w:val="num" w:pos="5607"/>
        </w:tabs>
        <w:ind w:left="5607" w:hanging="360"/>
      </w:pPr>
      <w:rPr>
        <w:rFonts w:cs="Times New Roman"/>
      </w:rPr>
    </w:lvl>
    <w:lvl w:ilvl="7" w:tplc="0C090019">
      <w:start w:val="1"/>
      <w:numFmt w:val="lowerLetter"/>
      <w:lvlText w:val="%8."/>
      <w:lvlJc w:val="left"/>
      <w:pPr>
        <w:tabs>
          <w:tab w:val="num" w:pos="6327"/>
        </w:tabs>
        <w:ind w:left="6327" w:hanging="360"/>
      </w:pPr>
      <w:rPr>
        <w:rFonts w:cs="Times New Roman"/>
      </w:rPr>
    </w:lvl>
    <w:lvl w:ilvl="8" w:tplc="0C09001B">
      <w:start w:val="1"/>
      <w:numFmt w:val="lowerRoman"/>
      <w:lvlText w:val="%9."/>
      <w:lvlJc w:val="right"/>
      <w:pPr>
        <w:tabs>
          <w:tab w:val="num" w:pos="7047"/>
        </w:tabs>
        <w:ind w:left="7047" w:hanging="180"/>
      </w:pPr>
      <w:rPr>
        <w:rFonts w:cs="Times New Roman"/>
      </w:rPr>
    </w:lvl>
  </w:abstractNum>
  <w:abstractNum w:abstractNumId="6" w15:restartNumberingAfterBreak="0">
    <w:nsid w:val="1D946564"/>
    <w:multiLevelType w:val="multilevel"/>
    <w:tmpl w:val="759A00F0"/>
    <w:lvl w:ilvl="0">
      <w:start w:val="1"/>
      <w:numFmt w:val="decimal"/>
      <w:pStyle w:val="H1AASSOGS"/>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b/>
        <w:bCs w:val="0"/>
        <w:i w:val="0"/>
        <w:iCs w:val="0"/>
        <w:caps w:val="0"/>
        <w:strike w:val="0"/>
        <w:dstrike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7" w15:restartNumberingAfterBreak="0">
    <w:nsid w:val="1EFC57EB"/>
    <w:multiLevelType w:val="hybridMultilevel"/>
    <w:tmpl w:val="8EB89710"/>
    <w:lvl w:ilvl="0" w:tplc="D8D88EF0">
      <w:start w:val="1"/>
      <w:numFmt w:val="decimal"/>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A0B322F"/>
    <w:multiLevelType w:val="hybridMultilevel"/>
    <w:tmpl w:val="01568718"/>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9" w15:restartNumberingAfterBreak="0">
    <w:nsid w:val="2D985C6B"/>
    <w:multiLevelType w:val="hybridMultilevel"/>
    <w:tmpl w:val="6AB641E8"/>
    <w:lvl w:ilvl="0" w:tplc="0C090001">
      <w:start w:val="1"/>
      <w:numFmt w:val="bullet"/>
      <w:pStyle w:val="sub-paraxChar"/>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B66EEB"/>
    <w:multiLevelType w:val="singleLevel"/>
    <w:tmpl w:val="25B874E2"/>
    <w:lvl w:ilvl="0">
      <w:start w:val="1"/>
      <w:numFmt w:val="bullet"/>
      <w:pStyle w:val="DotPoints1"/>
      <w:lvlText w:val=""/>
      <w:lvlJc w:val="left"/>
      <w:pPr>
        <w:ind w:left="360" w:hanging="360"/>
      </w:pPr>
      <w:rPr>
        <w:rFonts w:ascii="Symbol" w:hAnsi="Symbol" w:hint="default"/>
      </w:rPr>
    </w:lvl>
  </w:abstractNum>
  <w:abstractNum w:abstractNumId="11" w15:restartNumberingAfterBreak="0">
    <w:nsid w:val="314B4872"/>
    <w:multiLevelType w:val="hybridMultilevel"/>
    <w:tmpl w:val="323C7538"/>
    <w:lvl w:ilvl="0" w:tplc="0C09000F">
      <w:start w:val="1"/>
      <w:numFmt w:val="bullet"/>
      <w:pStyle w:val="TopHeadiing"/>
      <w:lvlText w:val=""/>
      <w:lvlJc w:val="left"/>
      <w:pPr>
        <w:tabs>
          <w:tab w:val="num" w:pos="720"/>
        </w:tabs>
        <w:ind w:left="720" w:hanging="360"/>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0363E2"/>
    <w:multiLevelType w:val="hybridMultilevel"/>
    <w:tmpl w:val="23E44C46"/>
    <w:lvl w:ilvl="0" w:tplc="0C090003">
      <w:start w:val="1"/>
      <w:numFmt w:val="bullet"/>
      <w:pStyle w:val="schedule2"/>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8845626"/>
    <w:multiLevelType w:val="hybridMultilevel"/>
    <w:tmpl w:val="913C388E"/>
    <w:lvl w:ilvl="0" w:tplc="0C090003">
      <w:start w:val="1"/>
      <w:numFmt w:val="bullet"/>
      <w:lvlText w:val="o"/>
      <w:lvlJc w:val="left"/>
      <w:pPr>
        <w:ind w:left="819" w:hanging="360"/>
      </w:pPr>
      <w:rPr>
        <w:rFonts w:ascii="Courier New" w:hAnsi="Courier New" w:hint="default"/>
      </w:rPr>
    </w:lvl>
    <w:lvl w:ilvl="1" w:tplc="0C090019" w:tentative="1">
      <w:start w:val="1"/>
      <w:numFmt w:val="lowerLetter"/>
      <w:lvlText w:val="%2."/>
      <w:lvlJc w:val="left"/>
      <w:pPr>
        <w:ind w:left="1539" w:hanging="360"/>
      </w:pPr>
      <w:rPr>
        <w:rFonts w:cs="Times New Roman"/>
      </w:rPr>
    </w:lvl>
    <w:lvl w:ilvl="2" w:tplc="0C09001B" w:tentative="1">
      <w:start w:val="1"/>
      <w:numFmt w:val="lowerRoman"/>
      <w:lvlText w:val="%3."/>
      <w:lvlJc w:val="right"/>
      <w:pPr>
        <w:ind w:left="2259" w:hanging="180"/>
      </w:pPr>
      <w:rPr>
        <w:rFonts w:cs="Times New Roman"/>
      </w:rPr>
    </w:lvl>
    <w:lvl w:ilvl="3" w:tplc="0C09000F" w:tentative="1">
      <w:start w:val="1"/>
      <w:numFmt w:val="decimal"/>
      <w:lvlText w:val="%4."/>
      <w:lvlJc w:val="left"/>
      <w:pPr>
        <w:ind w:left="2979" w:hanging="360"/>
      </w:pPr>
      <w:rPr>
        <w:rFonts w:cs="Times New Roman"/>
      </w:rPr>
    </w:lvl>
    <w:lvl w:ilvl="4" w:tplc="0C090019" w:tentative="1">
      <w:start w:val="1"/>
      <w:numFmt w:val="lowerLetter"/>
      <w:lvlText w:val="%5."/>
      <w:lvlJc w:val="left"/>
      <w:pPr>
        <w:ind w:left="3699" w:hanging="360"/>
      </w:pPr>
      <w:rPr>
        <w:rFonts w:cs="Times New Roman"/>
      </w:rPr>
    </w:lvl>
    <w:lvl w:ilvl="5" w:tplc="0C09001B" w:tentative="1">
      <w:start w:val="1"/>
      <w:numFmt w:val="lowerRoman"/>
      <w:lvlText w:val="%6."/>
      <w:lvlJc w:val="right"/>
      <w:pPr>
        <w:ind w:left="4419" w:hanging="180"/>
      </w:pPr>
      <w:rPr>
        <w:rFonts w:cs="Times New Roman"/>
      </w:rPr>
    </w:lvl>
    <w:lvl w:ilvl="6" w:tplc="0C09000F" w:tentative="1">
      <w:start w:val="1"/>
      <w:numFmt w:val="decimal"/>
      <w:lvlText w:val="%7."/>
      <w:lvlJc w:val="left"/>
      <w:pPr>
        <w:ind w:left="5139" w:hanging="360"/>
      </w:pPr>
      <w:rPr>
        <w:rFonts w:cs="Times New Roman"/>
      </w:rPr>
    </w:lvl>
    <w:lvl w:ilvl="7" w:tplc="0C090019" w:tentative="1">
      <w:start w:val="1"/>
      <w:numFmt w:val="lowerLetter"/>
      <w:lvlText w:val="%8."/>
      <w:lvlJc w:val="left"/>
      <w:pPr>
        <w:ind w:left="5859" w:hanging="360"/>
      </w:pPr>
      <w:rPr>
        <w:rFonts w:cs="Times New Roman"/>
      </w:rPr>
    </w:lvl>
    <w:lvl w:ilvl="8" w:tplc="0C09001B" w:tentative="1">
      <w:start w:val="1"/>
      <w:numFmt w:val="lowerRoman"/>
      <w:lvlText w:val="%9."/>
      <w:lvlJc w:val="right"/>
      <w:pPr>
        <w:ind w:left="6579" w:hanging="180"/>
      </w:pPr>
      <w:rPr>
        <w:rFonts w:cs="Times New Roman"/>
      </w:rPr>
    </w:lvl>
  </w:abstractNum>
  <w:abstractNum w:abstractNumId="14" w15:restartNumberingAfterBreak="0">
    <w:nsid w:val="39040311"/>
    <w:multiLevelType w:val="hybridMultilevel"/>
    <w:tmpl w:val="C72EC7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C8688C"/>
    <w:multiLevelType w:val="hybridMultilevel"/>
    <w:tmpl w:val="01D80A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BFE4503"/>
    <w:multiLevelType w:val="hybridMultilevel"/>
    <w:tmpl w:val="BF6E6FA8"/>
    <w:lvl w:ilvl="0" w:tplc="0C090001">
      <w:start w:val="1"/>
      <w:numFmt w:val="decimal"/>
      <w:pStyle w:val="schedule3"/>
      <w:lvlText w:val="%1."/>
      <w:lvlJc w:val="left"/>
      <w:pPr>
        <w:tabs>
          <w:tab w:val="num" w:pos="693"/>
        </w:tabs>
        <w:ind w:left="693" w:hanging="360"/>
      </w:pPr>
      <w:rPr>
        <w:rFonts w:cs="Times New Roman" w:hint="default"/>
        <w:b w:val="0"/>
        <w:i w:val="0"/>
      </w:rPr>
    </w:lvl>
    <w:lvl w:ilvl="1" w:tplc="0C090003">
      <w:start w:val="1"/>
      <w:numFmt w:val="lowerLetter"/>
      <w:lvlText w:val="%2."/>
      <w:lvlJc w:val="left"/>
      <w:pPr>
        <w:tabs>
          <w:tab w:val="num" w:pos="1440"/>
        </w:tabs>
        <w:ind w:left="1440" w:hanging="360"/>
      </w:pPr>
      <w:rPr>
        <w:rFonts w:cs="Times New Roman"/>
      </w:rPr>
    </w:lvl>
    <w:lvl w:ilvl="2" w:tplc="0C090005" w:tentative="1">
      <w:start w:val="1"/>
      <w:numFmt w:val="lowerRoman"/>
      <w:lvlText w:val="%3."/>
      <w:lvlJc w:val="right"/>
      <w:pPr>
        <w:tabs>
          <w:tab w:val="num" w:pos="2160"/>
        </w:tabs>
        <w:ind w:left="2160" w:hanging="180"/>
      </w:pPr>
      <w:rPr>
        <w:rFonts w:cs="Times New Roman"/>
      </w:rPr>
    </w:lvl>
    <w:lvl w:ilvl="3" w:tplc="0C090001" w:tentative="1">
      <w:start w:val="1"/>
      <w:numFmt w:val="decimal"/>
      <w:lvlText w:val="%4."/>
      <w:lvlJc w:val="left"/>
      <w:pPr>
        <w:tabs>
          <w:tab w:val="num" w:pos="2880"/>
        </w:tabs>
        <w:ind w:left="2880" w:hanging="360"/>
      </w:pPr>
      <w:rPr>
        <w:rFonts w:cs="Times New Roman"/>
      </w:rPr>
    </w:lvl>
    <w:lvl w:ilvl="4" w:tplc="0C090003" w:tentative="1">
      <w:start w:val="1"/>
      <w:numFmt w:val="lowerLetter"/>
      <w:lvlText w:val="%5."/>
      <w:lvlJc w:val="left"/>
      <w:pPr>
        <w:tabs>
          <w:tab w:val="num" w:pos="3600"/>
        </w:tabs>
        <w:ind w:left="3600" w:hanging="360"/>
      </w:pPr>
      <w:rPr>
        <w:rFonts w:cs="Times New Roman"/>
      </w:rPr>
    </w:lvl>
    <w:lvl w:ilvl="5" w:tplc="0C090005" w:tentative="1">
      <w:start w:val="1"/>
      <w:numFmt w:val="lowerRoman"/>
      <w:lvlText w:val="%6."/>
      <w:lvlJc w:val="right"/>
      <w:pPr>
        <w:tabs>
          <w:tab w:val="num" w:pos="4320"/>
        </w:tabs>
        <w:ind w:left="4320" w:hanging="180"/>
      </w:pPr>
      <w:rPr>
        <w:rFonts w:cs="Times New Roman"/>
      </w:rPr>
    </w:lvl>
    <w:lvl w:ilvl="6" w:tplc="0C090001" w:tentative="1">
      <w:start w:val="1"/>
      <w:numFmt w:val="decimal"/>
      <w:lvlText w:val="%7."/>
      <w:lvlJc w:val="left"/>
      <w:pPr>
        <w:tabs>
          <w:tab w:val="num" w:pos="5040"/>
        </w:tabs>
        <w:ind w:left="5040" w:hanging="360"/>
      </w:pPr>
      <w:rPr>
        <w:rFonts w:cs="Times New Roman"/>
      </w:rPr>
    </w:lvl>
    <w:lvl w:ilvl="7" w:tplc="0C090003" w:tentative="1">
      <w:start w:val="1"/>
      <w:numFmt w:val="lowerLetter"/>
      <w:lvlText w:val="%8."/>
      <w:lvlJc w:val="left"/>
      <w:pPr>
        <w:tabs>
          <w:tab w:val="num" w:pos="5760"/>
        </w:tabs>
        <w:ind w:left="5760" w:hanging="360"/>
      </w:pPr>
      <w:rPr>
        <w:rFonts w:cs="Times New Roman"/>
      </w:rPr>
    </w:lvl>
    <w:lvl w:ilvl="8" w:tplc="0C090005" w:tentative="1">
      <w:start w:val="1"/>
      <w:numFmt w:val="lowerRoman"/>
      <w:lvlText w:val="%9."/>
      <w:lvlJc w:val="right"/>
      <w:pPr>
        <w:tabs>
          <w:tab w:val="num" w:pos="6480"/>
        </w:tabs>
        <w:ind w:left="6480" w:hanging="180"/>
      </w:pPr>
      <w:rPr>
        <w:rFonts w:cs="Times New Roman"/>
      </w:rPr>
    </w:lvl>
  </w:abstractNum>
  <w:abstractNum w:abstractNumId="17" w15:restartNumberingAfterBreak="0">
    <w:nsid w:val="43F00F3E"/>
    <w:multiLevelType w:val="hybridMultilevel"/>
    <w:tmpl w:val="E6E69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2E7470"/>
    <w:multiLevelType w:val="hybridMultilevel"/>
    <w:tmpl w:val="A712FB78"/>
    <w:lvl w:ilvl="0" w:tplc="69B6DAE8">
      <w:start w:val="1"/>
      <w:numFmt w:val="bullet"/>
      <w:pStyle w:val="DotPoints2"/>
      <w:lvlText w:val=""/>
      <w:lvlJc w:val="left"/>
      <w:pPr>
        <w:ind w:left="683" w:hanging="360"/>
      </w:pPr>
      <w:rPr>
        <w:rFonts w:ascii="Wingdings" w:hAnsi="Wingdings" w:hint="default"/>
        <w:sz w:val="20"/>
      </w:rPr>
    </w:lvl>
    <w:lvl w:ilvl="1" w:tplc="0C090003">
      <w:start w:val="1"/>
      <w:numFmt w:val="bullet"/>
      <w:lvlText w:val="o"/>
      <w:lvlJc w:val="left"/>
      <w:pPr>
        <w:tabs>
          <w:tab w:val="num" w:pos="1667"/>
        </w:tabs>
        <w:ind w:left="1667" w:hanging="360"/>
      </w:pPr>
      <w:rPr>
        <w:rFonts w:ascii="Courier New" w:hAnsi="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9" w15:restartNumberingAfterBreak="0">
    <w:nsid w:val="47735018"/>
    <w:multiLevelType w:val="hybridMultilevel"/>
    <w:tmpl w:val="D3D64758"/>
    <w:lvl w:ilvl="0" w:tplc="0C09000F">
      <w:start w:val="1"/>
      <w:numFmt w:val="decimal"/>
      <w:lvlText w:val="%1."/>
      <w:lvlJc w:val="left"/>
      <w:pPr>
        <w:ind w:left="360" w:hanging="360"/>
      </w:pPr>
    </w:lvl>
    <w:lvl w:ilvl="1" w:tplc="7BC01306">
      <w:start w:val="1"/>
      <w:numFmt w:val="lowerLetter"/>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80957B9"/>
    <w:multiLevelType w:val="hybridMultilevel"/>
    <w:tmpl w:val="5BA435AE"/>
    <w:lvl w:ilvl="0" w:tplc="0C090003">
      <w:start w:val="1"/>
      <w:numFmt w:val="bullet"/>
      <w:lvlText w:val="o"/>
      <w:lvlJc w:val="left"/>
      <w:pPr>
        <w:ind w:left="1440" w:hanging="360"/>
      </w:pPr>
      <w:rPr>
        <w:rFonts w:ascii="Courier New" w:hAnsi="Courier New" w:cs="Courier New" w:hint="default"/>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21" w15:restartNumberingAfterBreak="0">
    <w:nsid w:val="4A740E0E"/>
    <w:multiLevelType w:val="multilevel"/>
    <w:tmpl w:val="2E1AF634"/>
    <w:lvl w:ilvl="0">
      <w:start w:val="1"/>
      <w:numFmt w:val="decimal"/>
      <w:pStyle w:val="MELegal1"/>
      <w:lvlText w:val="%1."/>
      <w:lvlJc w:val="left"/>
      <w:pPr>
        <w:tabs>
          <w:tab w:val="num" w:pos="680"/>
        </w:tabs>
        <w:ind w:left="680" w:hanging="680"/>
      </w:pPr>
      <w:rPr>
        <w:rFonts w:hint="default"/>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b w:val="0"/>
        <w:bCs w:val="0"/>
        <w:i w:val="0"/>
        <w:iCs/>
      </w:rPr>
    </w:lvl>
    <w:lvl w:ilvl="3">
      <w:start w:val="1"/>
      <w:numFmt w:val="lowerRoman"/>
      <w:pStyle w:val="MELegal4"/>
      <w:lvlText w:val="(%4)"/>
      <w:lvlJc w:val="left"/>
      <w:pPr>
        <w:tabs>
          <w:tab w:val="num" w:pos="2098"/>
        </w:tabs>
        <w:ind w:left="2098" w:hanging="680"/>
      </w:pPr>
      <w:rPr>
        <w:rFonts w:hint="default"/>
      </w:rPr>
    </w:lvl>
    <w:lvl w:ilvl="4">
      <w:start w:val="1"/>
      <w:numFmt w:val="upperLetter"/>
      <w:pStyle w:val="MELegal5"/>
      <w:lvlText w:val="(%5)"/>
      <w:lvlJc w:val="left"/>
      <w:pPr>
        <w:tabs>
          <w:tab w:val="num" w:pos="2722"/>
        </w:tabs>
        <w:ind w:left="2722" w:hanging="681"/>
      </w:pPr>
      <w:rPr>
        <w:rFonts w:hint="default"/>
      </w:rPr>
    </w:lvl>
    <w:lvl w:ilvl="5">
      <w:start w:val="1"/>
      <w:numFmt w:val="upperRoman"/>
      <w:pStyle w:val="MELegal6"/>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2" w15:restartNumberingAfterBreak="0">
    <w:nsid w:val="4D376E93"/>
    <w:multiLevelType w:val="hybridMultilevel"/>
    <w:tmpl w:val="BD40D0BC"/>
    <w:lvl w:ilvl="0" w:tplc="0C090001">
      <w:start w:val="1"/>
      <w:numFmt w:val="bullet"/>
      <w:lvlText w:val=""/>
      <w:lvlJc w:val="left"/>
      <w:pPr>
        <w:tabs>
          <w:tab w:val="num" w:pos="720"/>
        </w:tabs>
        <w:ind w:left="720" w:hanging="360"/>
      </w:pPr>
      <w:rPr>
        <w:rFonts w:ascii="Symbol" w:hAnsi="Symbol"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E056DB6"/>
    <w:multiLevelType w:val="hybridMultilevel"/>
    <w:tmpl w:val="815AED5A"/>
    <w:lvl w:ilvl="0" w:tplc="0C090001">
      <w:start w:val="1"/>
      <w:numFmt w:val="bullet"/>
      <w:pStyle w:val="BodyText2"/>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F2E4C97"/>
    <w:multiLevelType w:val="hybridMultilevel"/>
    <w:tmpl w:val="1826BB80"/>
    <w:lvl w:ilvl="0" w:tplc="0C090001">
      <w:start w:val="1"/>
      <w:numFmt w:val="bullet"/>
      <w:lvlText w:val=""/>
      <w:lvlJc w:val="left"/>
      <w:pPr>
        <w:ind w:left="1040" w:hanging="360"/>
      </w:pPr>
      <w:rPr>
        <w:rFonts w:ascii="Symbol" w:hAnsi="Symbol" w:hint="default"/>
      </w:rPr>
    </w:lvl>
    <w:lvl w:ilvl="1" w:tplc="0C090003" w:tentative="1">
      <w:start w:val="1"/>
      <w:numFmt w:val="bullet"/>
      <w:lvlText w:val="o"/>
      <w:lvlJc w:val="left"/>
      <w:pPr>
        <w:ind w:left="1760" w:hanging="360"/>
      </w:pPr>
      <w:rPr>
        <w:rFonts w:ascii="Courier New" w:hAnsi="Courier New" w:cs="Courier New" w:hint="default"/>
      </w:rPr>
    </w:lvl>
    <w:lvl w:ilvl="2" w:tplc="0C090005" w:tentative="1">
      <w:start w:val="1"/>
      <w:numFmt w:val="bullet"/>
      <w:lvlText w:val=""/>
      <w:lvlJc w:val="left"/>
      <w:pPr>
        <w:ind w:left="2480" w:hanging="360"/>
      </w:pPr>
      <w:rPr>
        <w:rFonts w:ascii="Wingdings" w:hAnsi="Wingdings" w:hint="default"/>
      </w:rPr>
    </w:lvl>
    <w:lvl w:ilvl="3" w:tplc="0C090001" w:tentative="1">
      <w:start w:val="1"/>
      <w:numFmt w:val="bullet"/>
      <w:lvlText w:val=""/>
      <w:lvlJc w:val="left"/>
      <w:pPr>
        <w:ind w:left="3200" w:hanging="360"/>
      </w:pPr>
      <w:rPr>
        <w:rFonts w:ascii="Symbol" w:hAnsi="Symbol" w:hint="default"/>
      </w:rPr>
    </w:lvl>
    <w:lvl w:ilvl="4" w:tplc="0C090003" w:tentative="1">
      <w:start w:val="1"/>
      <w:numFmt w:val="bullet"/>
      <w:lvlText w:val="o"/>
      <w:lvlJc w:val="left"/>
      <w:pPr>
        <w:ind w:left="3920" w:hanging="360"/>
      </w:pPr>
      <w:rPr>
        <w:rFonts w:ascii="Courier New" w:hAnsi="Courier New" w:cs="Courier New" w:hint="default"/>
      </w:rPr>
    </w:lvl>
    <w:lvl w:ilvl="5" w:tplc="0C090005" w:tentative="1">
      <w:start w:val="1"/>
      <w:numFmt w:val="bullet"/>
      <w:lvlText w:val=""/>
      <w:lvlJc w:val="left"/>
      <w:pPr>
        <w:ind w:left="4640" w:hanging="360"/>
      </w:pPr>
      <w:rPr>
        <w:rFonts w:ascii="Wingdings" w:hAnsi="Wingdings" w:hint="default"/>
      </w:rPr>
    </w:lvl>
    <w:lvl w:ilvl="6" w:tplc="0C090001" w:tentative="1">
      <w:start w:val="1"/>
      <w:numFmt w:val="bullet"/>
      <w:lvlText w:val=""/>
      <w:lvlJc w:val="left"/>
      <w:pPr>
        <w:ind w:left="5360" w:hanging="360"/>
      </w:pPr>
      <w:rPr>
        <w:rFonts w:ascii="Symbol" w:hAnsi="Symbol" w:hint="default"/>
      </w:rPr>
    </w:lvl>
    <w:lvl w:ilvl="7" w:tplc="0C090003" w:tentative="1">
      <w:start w:val="1"/>
      <w:numFmt w:val="bullet"/>
      <w:lvlText w:val="o"/>
      <w:lvlJc w:val="left"/>
      <w:pPr>
        <w:ind w:left="6080" w:hanging="360"/>
      </w:pPr>
      <w:rPr>
        <w:rFonts w:ascii="Courier New" w:hAnsi="Courier New" w:cs="Courier New" w:hint="default"/>
      </w:rPr>
    </w:lvl>
    <w:lvl w:ilvl="8" w:tplc="0C090005" w:tentative="1">
      <w:start w:val="1"/>
      <w:numFmt w:val="bullet"/>
      <w:lvlText w:val=""/>
      <w:lvlJc w:val="left"/>
      <w:pPr>
        <w:ind w:left="6800" w:hanging="360"/>
      </w:pPr>
      <w:rPr>
        <w:rFonts w:ascii="Wingdings" w:hAnsi="Wingdings" w:hint="default"/>
      </w:rPr>
    </w:lvl>
  </w:abstractNum>
  <w:abstractNum w:abstractNumId="25" w15:restartNumberingAfterBreak="0">
    <w:nsid w:val="52C64E8F"/>
    <w:multiLevelType w:val="hybridMultilevel"/>
    <w:tmpl w:val="2110B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027E56"/>
    <w:multiLevelType w:val="hybridMultilevel"/>
    <w:tmpl w:val="194CE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B2B5406"/>
    <w:multiLevelType w:val="hybridMultilevel"/>
    <w:tmpl w:val="6B6EC9F8"/>
    <w:lvl w:ilvl="0" w:tplc="0C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647B0353"/>
    <w:multiLevelType w:val="hybridMultilevel"/>
    <w:tmpl w:val="4AF88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4AD1A9A"/>
    <w:multiLevelType w:val="hybridMultilevel"/>
    <w:tmpl w:val="63983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4416B6"/>
    <w:multiLevelType w:val="hybridMultilevel"/>
    <w:tmpl w:val="EE64FEB8"/>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31" w15:restartNumberingAfterBreak="0">
    <w:nsid w:val="6B1420C2"/>
    <w:multiLevelType w:val="multilevel"/>
    <w:tmpl w:val="25522C3E"/>
    <w:lvl w:ilvl="0">
      <w:start w:val="1"/>
      <w:numFmt w:val="decimal"/>
      <w:pStyle w:val="ScheduleL1"/>
      <w:suff w:val="nothing"/>
      <w:lvlText w:val="Schedule %1"/>
      <w:lvlJc w:val="left"/>
      <w:pPr>
        <w:ind w:left="0" w:firstLine="0"/>
      </w:pPr>
      <w:rPr>
        <w:rFonts w:ascii="Arial" w:hAnsi="Arial" w:hint="default"/>
        <w:b w:val="0"/>
        <w:i w:val="0"/>
      </w:rPr>
    </w:lvl>
    <w:lvl w:ilvl="1">
      <w:start w:val="1"/>
      <w:numFmt w:val="decimal"/>
      <w:pStyle w:val="ScheduleL2"/>
      <w:lvlText w:val="%2."/>
      <w:lvlJc w:val="left"/>
      <w:pPr>
        <w:tabs>
          <w:tab w:val="num" w:pos="680"/>
        </w:tabs>
        <w:ind w:left="680" w:hanging="680"/>
      </w:pPr>
      <w:rPr>
        <w:rFonts w:hint="default"/>
      </w:rPr>
    </w:lvl>
    <w:lvl w:ilvl="2">
      <w:start w:val="1"/>
      <w:numFmt w:val="decimal"/>
      <w:pStyle w:val="ScheduleL3"/>
      <w:lvlText w:val="%2.%3"/>
      <w:lvlJc w:val="left"/>
      <w:pPr>
        <w:tabs>
          <w:tab w:val="num" w:pos="680"/>
        </w:tabs>
        <w:ind w:left="680" w:hanging="680"/>
      </w:pPr>
      <w:rPr>
        <w:rFonts w:hint="default"/>
      </w:rPr>
    </w:lvl>
    <w:lvl w:ilvl="3">
      <w:start w:val="1"/>
      <w:numFmt w:val="lowerLetter"/>
      <w:pStyle w:val="ScheduleL4"/>
      <w:lvlText w:val="(%4)"/>
      <w:lvlJc w:val="left"/>
      <w:pPr>
        <w:tabs>
          <w:tab w:val="num" w:pos="1361"/>
        </w:tabs>
        <w:ind w:left="1361" w:hanging="681"/>
      </w:pPr>
      <w:rPr>
        <w:rFonts w:hint="default"/>
      </w:rPr>
    </w:lvl>
    <w:lvl w:ilvl="4">
      <w:start w:val="1"/>
      <w:numFmt w:val="lowerRoman"/>
      <w:pStyle w:val="ScheduleL5"/>
      <w:lvlText w:val="(%5)"/>
      <w:lvlJc w:val="left"/>
      <w:pPr>
        <w:tabs>
          <w:tab w:val="num" w:pos="2041"/>
        </w:tabs>
        <w:ind w:left="2041"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2" w15:restartNumberingAfterBreak="0">
    <w:nsid w:val="6B7C50AD"/>
    <w:multiLevelType w:val="hybridMultilevel"/>
    <w:tmpl w:val="725A71B0"/>
    <w:lvl w:ilvl="0" w:tplc="A3AC9252">
      <w:start w:val="1"/>
      <w:numFmt w:val="lowerLetter"/>
      <w:pStyle w:val="DotPointsRoman"/>
      <w:lvlText w:val="%1)"/>
      <w:lvlJc w:val="left"/>
      <w:pPr>
        <w:ind w:left="7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AC64A1B"/>
    <w:multiLevelType w:val="hybridMultilevel"/>
    <w:tmpl w:val="7B026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8"/>
  </w:num>
  <w:num w:numId="4">
    <w:abstractNumId w:val="27"/>
  </w:num>
  <w:num w:numId="5">
    <w:abstractNumId w:val="9"/>
  </w:num>
  <w:num w:numId="6">
    <w:abstractNumId w:val="16"/>
  </w:num>
  <w:num w:numId="7">
    <w:abstractNumId w:val="32"/>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7"/>
  </w:num>
  <w:num w:numId="12">
    <w:abstractNumId w:val="8"/>
  </w:num>
  <w:num w:numId="13">
    <w:abstractNumId w:val="29"/>
  </w:num>
  <w:num w:numId="14">
    <w:abstractNumId w:val="12"/>
  </w:num>
  <w:num w:numId="15">
    <w:abstractNumId w:val="23"/>
  </w:num>
  <w:num w:numId="16">
    <w:abstractNumId w:val="4"/>
  </w:num>
  <w:num w:numId="17">
    <w:abstractNumId w:val="2"/>
  </w:num>
  <w:num w:numId="18">
    <w:abstractNumId w:val="33"/>
  </w:num>
  <w:num w:numId="19">
    <w:abstractNumId w:val="26"/>
  </w:num>
  <w:num w:numId="20">
    <w:abstractNumId w:val="28"/>
  </w:num>
  <w:num w:numId="21">
    <w:abstractNumId w:val="25"/>
  </w:num>
  <w:num w:numId="22">
    <w:abstractNumId w:val="0"/>
  </w:num>
  <w:num w:numId="23">
    <w:abstractNumId w:val="13"/>
  </w:num>
  <w:num w:numId="24">
    <w:abstractNumId w:val="14"/>
  </w:num>
  <w:num w:numId="25">
    <w:abstractNumId w:val="20"/>
  </w:num>
  <w:num w:numId="26">
    <w:abstractNumId w:val="22"/>
  </w:num>
  <w:num w:numId="27">
    <w:abstractNumId w:val="24"/>
  </w:num>
  <w:num w:numId="28">
    <w:abstractNumId w:val="21"/>
  </w:num>
  <w:num w:numId="29">
    <w:abstractNumId w:val="31"/>
  </w:num>
  <w:num w:numId="30">
    <w:abstractNumId w:val="15"/>
  </w:num>
  <w:num w:numId="31">
    <w:abstractNumId w:val="17"/>
  </w:num>
  <w:num w:numId="32">
    <w:abstractNumId w:val="3"/>
  </w:num>
  <w:num w:numId="33">
    <w:abstractNumId w:val="1"/>
  </w:num>
  <w:num w:numId="34">
    <w:abstractNumId w:val="5"/>
  </w:num>
  <w:num w:numId="35">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966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3E"/>
    <w:rsid w:val="00000602"/>
    <w:rsid w:val="00000DC5"/>
    <w:rsid w:val="000039EF"/>
    <w:rsid w:val="000058C0"/>
    <w:rsid w:val="00005DB2"/>
    <w:rsid w:val="00006590"/>
    <w:rsid w:val="0000692E"/>
    <w:rsid w:val="0001037B"/>
    <w:rsid w:val="0001144E"/>
    <w:rsid w:val="0001182D"/>
    <w:rsid w:val="00012179"/>
    <w:rsid w:val="0001229C"/>
    <w:rsid w:val="00016DF7"/>
    <w:rsid w:val="00020899"/>
    <w:rsid w:val="0002768D"/>
    <w:rsid w:val="000279DF"/>
    <w:rsid w:val="000300B5"/>
    <w:rsid w:val="00030DC9"/>
    <w:rsid w:val="00032331"/>
    <w:rsid w:val="00035352"/>
    <w:rsid w:val="0004000B"/>
    <w:rsid w:val="000415DE"/>
    <w:rsid w:val="000421F1"/>
    <w:rsid w:val="000447B1"/>
    <w:rsid w:val="0004630F"/>
    <w:rsid w:val="0004799F"/>
    <w:rsid w:val="0005011A"/>
    <w:rsid w:val="000512F8"/>
    <w:rsid w:val="00051590"/>
    <w:rsid w:val="00051DDA"/>
    <w:rsid w:val="00051F4B"/>
    <w:rsid w:val="00055D50"/>
    <w:rsid w:val="00056DB4"/>
    <w:rsid w:val="0005760B"/>
    <w:rsid w:val="00061B70"/>
    <w:rsid w:val="00062727"/>
    <w:rsid w:val="00064510"/>
    <w:rsid w:val="00064ABC"/>
    <w:rsid w:val="00065CC2"/>
    <w:rsid w:val="00065CEC"/>
    <w:rsid w:val="00070479"/>
    <w:rsid w:val="00071904"/>
    <w:rsid w:val="000736AF"/>
    <w:rsid w:val="000738F5"/>
    <w:rsid w:val="00074629"/>
    <w:rsid w:val="000747E0"/>
    <w:rsid w:val="0007606E"/>
    <w:rsid w:val="00077560"/>
    <w:rsid w:val="00080E6F"/>
    <w:rsid w:val="000816D8"/>
    <w:rsid w:val="000824A7"/>
    <w:rsid w:val="000836D0"/>
    <w:rsid w:val="00083F03"/>
    <w:rsid w:val="000848B3"/>
    <w:rsid w:val="0008569E"/>
    <w:rsid w:val="0008628D"/>
    <w:rsid w:val="00087B3B"/>
    <w:rsid w:val="00090206"/>
    <w:rsid w:val="00090C52"/>
    <w:rsid w:val="00091693"/>
    <w:rsid w:val="00094252"/>
    <w:rsid w:val="00094AD6"/>
    <w:rsid w:val="0009531C"/>
    <w:rsid w:val="0009659D"/>
    <w:rsid w:val="000A0147"/>
    <w:rsid w:val="000A0303"/>
    <w:rsid w:val="000A119E"/>
    <w:rsid w:val="000A3B4B"/>
    <w:rsid w:val="000A4C88"/>
    <w:rsid w:val="000A69F3"/>
    <w:rsid w:val="000A7159"/>
    <w:rsid w:val="000A73CE"/>
    <w:rsid w:val="000B0FFB"/>
    <w:rsid w:val="000B1141"/>
    <w:rsid w:val="000B215B"/>
    <w:rsid w:val="000B2A97"/>
    <w:rsid w:val="000B3041"/>
    <w:rsid w:val="000B3E25"/>
    <w:rsid w:val="000B4350"/>
    <w:rsid w:val="000B4A6F"/>
    <w:rsid w:val="000B5475"/>
    <w:rsid w:val="000B58A9"/>
    <w:rsid w:val="000B5E64"/>
    <w:rsid w:val="000B64BF"/>
    <w:rsid w:val="000B6528"/>
    <w:rsid w:val="000B742C"/>
    <w:rsid w:val="000B7C58"/>
    <w:rsid w:val="000B7CC5"/>
    <w:rsid w:val="000C0F4E"/>
    <w:rsid w:val="000C367E"/>
    <w:rsid w:val="000C3856"/>
    <w:rsid w:val="000C4DCA"/>
    <w:rsid w:val="000C5C33"/>
    <w:rsid w:val="000C62A9"/>
    <w:rsid w:val="000D03E1"/>
    <w:rsid w:val="000D10AB"/>
    <w:rsid w:val="000D32D2"/>
    <w:rsid w:val="000D4182"/>
    <w:rsid w:val="000D4604"/>
    <w:rsid w:val="000D5DF8"/>
    <w:rsid w:val="000E02DE"/>
    <w:rsid w:val="000E0BBF"/>
    <w:rsid w:val="000E2542"/>
    <w:rsid w:val="000E2DEC"/>
    <w:rsid w:val="000E41EF"/>
    <w:rsid w:val="000E5307"/>
    <w:rsid w:val="000E56FC"/>
    <w:rsid w:val="000F030B"/>
    <w:rsid w:val="000F43D1"/>
    <w:rsid w:val="000F4484"/>
    <w:rsid w:val="000F7272"/>
    <w:rsid w:val="000F7D0F"/>
    <w:rsid w:val="000F7F43"/>
    <w:rsid w:val="00100B3C"/>
    <w:rsid w:val="00101C35"/>
    <w:rsid w:val="0010205D"/>
    <w:rsid w:val="00102D6C"/>
    <w:rsid w:val="0010396B"/>
    <w:rsid w:val="0010461B"/>
    <w:rsid w:val="00104948"/>
    <w:rsid w:val="00105AA4"/>
    <w:rsid w:val="00107072"/>
    <w:rsid w:val="0010764A"/>
    <w:rsid w:val="00107C8F"/>
    <w:rsid w:val="00107EC8"/>
    <w:rsid w:val="00110444"/>
    <w:rsid w:val="00112F5E"/>
    <w:rsid w:val="0011463E"/>
    <w:rsid w:val="0011734A"/>
    <w:rsid w:val="00117489"/>
    <w:rsid w:val="00117577"/>
    <w:rsid w:val="00117E5E"/>
    <w:rsid w:val="00120841"/>
    <w:rsid w:val="00121059"/>
    <w:rsid w:val="001214C6"/>
    <w:rsid w:val="00121FBE"/>
    <w:rsid w:val="001229CC"/>
    <w:rsid w:val="00124654"/>
    <w:rsid w:val="00124C90"/>
    <w:rsid w:val="0012517B"/>
    <w:rsid w:val="00125921"/>
    <w:rsid w:val="0012609D"/>
    <w:rsid w:val="00130612"/>
    <w:rsid w:val="001307FA"/>
    <w:rsid w:val="00131C68"/>
    <w:rsid w:val="0013261D"/>
    <w:rsid w:val="00132D99"/>
    <w:rsid w:val="00136142"/>
    <w:rsid w:val="0014025F"/>
    <w:rsid w:val="001405C2"/>
    <w:rsid w:val="00143B0C"/>
    <w:rsid w:val="00144786"/>
    <w:rsid w:val="00144B82"/>
    <w:rsid w:val="0014597D"/>
    <w:rsid w:val="00145D40"/>
    <w:rsid w:val="001460FD"/>
    <w:rsid w:val="00146839"/>
    <w:rsid w:val="001469FB"/>
    <w:rsid w:val="001509BB"/>
    <w:rsid w:val="00150E93"/>
    <w:rsid w:val="0015231E"/>
    <w:rsid w:val="00153A74"/>
    <w:rsid w:val="001542FE"/>
    <w:rsid w:val="00154DBC"/>
    <w:rsid w:val="00155D99"/>
    <w:rsid w:val="00156AFF"/>
    <w:rsid w:val="00157174"/>
    <w:rsid w:val="001573B2"/>
    <w:rsid w:val="001631F4"/>
    <w:rsid w:val="00163D25"/>
    <w:rsid w:val="0016618D"/>
    <w:rsid w:val="001661C9"/>
    <w:rsid w:val="00172BA2"/>
    <w:rsid w:val="0017379E"/>
    <w:rsid w:val="00173BC5"/>
    <w:rsid w:val="00173D01"/>
    <w:rsid w:val="001741E1"/>
    <w:rsid w:val="00175062"/>
    <w:rsid w:val="00175194"/>
    <w:rsid w:val="001762C2"/>
    <w:rsid w:val="00176429"/>
    <w:rsid w:val="001772EA"/>
    <w:rsid w:val="001802FC"/>
    <w:rsid w:val="0018104F"/>
    <w:rsid w:val="001812F6"/>
    <w:rsid w:val="00181BB4"/>
    <w:rsid w:val="00182739"/>
    <w:rsid w:val="0018353D"/>
    <w:rsid w:val="00184180"/>
    <w:rsid w:val="00185271"/>
    <w:rsid w:val="001860B4"/>
    <w:rsid w:val="0018648C"/>
    <w:rsid w:val="00191ED8"/>
    <w:rsid w:val="0019227C"/>
    <w:rsid w:val="00192B77"/>
    <w:rsid w:val="00194F49"/>
    <w:rsid w:val="0019658F"/>
    <w:rsid w:val="00197C6D"/>
    <w:rsid w:val="001A07C4"/>
    <w:rsid w:val="001A1044"/>
    <w:rsid w:val="001A117B"/>
    <w:rsid w:val="001A1477"/>
    <w:rsid w:val="001A4F9F"/>
    <w:rsid w:val="001A5360"/>
    <w:rsid w:val="001A5E84"/>
    <w:rsid w:val="001A64C9"/>
    <w:rsid w:val="001A656D"/>
    <w:rsid w:val="001A6FE3"/>
    <w:rsid w:val="001A7379"/>
    <w:rsid w:val="001A73EB"/>
    <w:rsid w:val="001A7A2F"/>
    <w:rsid w:val="001B0D09"/>
    <w:rsid w:val="001B187A"/>
    <w:rsid w:val="001B3D32"/>
    <w:rsid w:val="001B3F4B"/>
    <w:rsid w:val="001B43AF"/>
    <w:rsid w:val="001B5D57"/>
    <w:rsid w:val="001B7E98"/>
    <w:rsid w:val="001C1002"/>
    <w:rsid w:val="001C1374"/>
    <w:rsid w:val="001C1946"/>
    <w:rsid w:val="001C1CA6"/>
    <w:rsid w:val="001C1FF8"/>
    <w:rsid w:val="001C22B2"/>
    <w:rsid w:val="001C40D2"/>
    <w:rsid w:val="001C51D4"/>
    <w:rsid w:val="001C69EA"/>
    <w:rsid w:val="001C6A08"/>
    <w:rsid w:val="001C7197"/>
    <w:rsid w:val="001C72AD"/>
    <w:rsid w:val="001C7379"/>
    <w:rsid w:val="001D090D"/>
    <w:rsid w:val="001D0F38"/>
    <w:rsid w:val="001D4576"/>
    <w:rsid w:val="001D4608"/>
    <w:rsid w:val="001D4999"/>
    <w:rsid w:val="001D4CAD"/>
    <w:rsid w:val="001D5347"/>
    <w:rsid w:val="001D6BFC"/>
    <w:rsid w:val="001E1499"/>
    <w:rsid w:val="001E23F0"/>
    <w:rsid w:val="001E26D5"/>
    <w:rsid w:val="001E29CA"/>
    <w:rsid w:val="001E38BB"/>
    <w:rsid w:val="001E44F8"/>
    <w:rsid w:val="001E51F4"/>
    <w:rsid w:val="001E5673"/>
    <w:rsid w:val="001E62DD"/>
    <w:rsid w:val="001E6D35"/>
    <w:rsid w:val="001E6E65"/>
    <w:rsid w:val="001E7055"/>
    <w:rsid w:val="001E748A"/>
    <w:rsid w:val="001E75D7"/>
    <w:rsid w:val="001F2130"/>
    <w:rsid w:val="001F256D"/>
    <w:rsid w:val="001F4FDC"/>
    <w:rsid w:val="001F5190"/>
    <w:rsid w:val="001F52DA"/>
    <w:rsid w:val="001F748B"/>
    <w:rsid w:val="002015BB"/>
    <w:rsid w:val="00201F6E"/>
    <w:rsid w:val="002020E8"/>
    <w:rsid w:val="00203969"/>
    <w:rsid w:val="00213C08"/>
    <w:rsid w:val="002147A6"/>
    <w:rsid w:val="00214DCD"/>
    <w:rsid w:val="00215629"/>
    <w:rsid w:val="0021571E"/>
    <w:rsid w:val="002163D2"/>
    <w:rsid w:val="0022122D"/>
    <w:rsid w:val="0022466D"/>
    <w:rsid w:val="00232036"/>
    <w:rsid w:val="0023239E"/>
    <w:rsid w:val="00233EAF"/>
    <w:rsid w:val="00235E1B"/>
    <w:rsid w:val="002360D2"/>
    <w:rsid w:val="00237E55"/>
    <w:rsid w:val="0024139C"/>
    <w:rsid w:val="0024165C"/>
    <w:rsid w:val="00241A21"/>
    <w:rsid w:val="00246036"/>
    <w:rsid w:val="00250263"/>
    <w:rsid w:val="00252295"/>
    <w:rsid w:val="00252F14"/>
    <w:rsid w:val="002548C9"/>
    <w:rsid w:val="0025499C"/>
    <w:rsid w:val="00256CFB"/>
    <w:rsid w:val="00257F82"/>
    <w:rsid w:val="002600E4"/>
    <w:rsid w:val="00261281"/>
    <w:rsid w:val="0026151A"/>
    <w:rsid w:val="00261C1C"/>
    <w:rsid w:val="002634B3"/>
    <w:rsid w:val="002656FA"/>
    <w:rsid w:val="00266A63"/>
    <w:rsid w:val="002677FF"/>
    <w:rsid w:val="0026782C"/>
    <w:rsid w:val="00267E92"/>
    <w:rsid w:val="00270E33"/>
    <w:rsid w:val="00271D99"/>
    <w:rsid w:val="002731ED"/>
    <w:rsid w:val="00273559"/>
    <w:rsid w:val="00273815"/>
    <w:rsid w:val="00274684"/>
    <w:rsid w:val="0027524A"/>
    <w:rsid w:val="002756C6"/>
    <w:rsid w:val="0027570A"/>
    <w:rsid w:val="00275AB3"/>
    <w:rsid w:val="00277B5C"/>
    <w:rsid w:val="00280441"/>
    <w:rsid w:val="00281091"/>
    <w:rsid w:val="002824A8"/>
    <w:rsid w:val="00283A66"/>
    <w:rsid w:val="00283F5E"/>
    <w:rsid w:val="00285CF4"/>
    <w:rsid w:val="00286956"/>
    <w:rsid w:val="00287531"/>
    <w:rsid w:val="00287968"/>
    <w:rsid w:val="00287A62"/>
    <w:rsid w:val="00287E9D"/>
    <w:rsid w:val="002916CD"/>
    <w:rsid w:val="002917EC"/>
    <w:rsid w:val="00294823"/>
    <w:rsid w:val="0029591D"/>
    <w:rsid w:val="00296517"/>
    <w:rsid w:val="002966C8"/>
    <w:rsid w:val="00296724"/>
    <w:rsid w:val="00297201"/>
    <w:rsid w:val="002972BD"/>
    <w:rsid w:val="002A0893"/>
    <w:rsid w:val="002A0A83"/>
    <w:rsid w:val="002A0FF2"/>
    <w:rsid w:val="002A16B4"/>
    <w:rsid w:val="002A380B"/>
    <w:rsid w:val="002A4E40"/>
    <w:rsid w:val="002A4F6B"/>
    <w:rsid w:val="002A6BF2"/>
    <w:rsid w:val="002A72B8"/>
    <w:rsid w:val="002A7ABD"/>
    <w:rsid w:val="002A7C3E"/>
    <w:rsid w:val="002B0537"/>
    <w:rsid w:val="002B059E"/>
    <w:rsid w:val="002B2E58"/>
    <w:rsid w:val="002B3C2A"/>
    <w:rsid w:val="002B7254"/>
    <w:rsid w:val="002C138A"/>
    <w:rsid w:val="002C1919"/>
    <w:rsid w:val="002C1C02"/>
    <w:rsid w:val="002C2690"/>
    <w:rsid w:val="002C3EC3"/>
    <w:rsid w:val="002C4642"/>
    <w:rsid w:val="002C4B92"/>
    <w:rsid w:val="002C67E7"/>
    <w:rsid w:val="002C7DB6"/>
    <w:rsid w:val="002D01E6"/>
    <w:rsid w:val="002D2838"/>
    <w:rsid w:val="002D3928"/>
    <w:rsid w:val="002D4E3A"/>
    <w:rsid w:val="002D58FB"/>
    <w:rsid w:val="002D6DC8"/>
    <w:rsid w:val="002D6ECD"/>
    <w:rsid w:val="002D6F68"/>
    <w:rsid w:val="002D72CF"/>
    <w:rsid w:val="002E16E2"/>
    <w:rsid w:val="002E22F7"/>
    <w:rsid w:val="002E2DBB"/>
    <w:rsid w:val="002E5B89"/>
    <w:rsid w:val="002E5E97"/>
    <w:rsid w:val="002E6ED6"/>
    <w:rsid w:val="002E730B"/>
    <w:rsid w:val="002E7846"/>
    <w:rsid w:val="002E7B8C"/>
    <w:rsid w:val="002F03A7"/>
    <w:rsid w:val="002F0FB9"/>
    <w:rsid w:val="002F1006"/>
    <w:rsid w:val="002F1821"/>
    <w:rsid w:val="002F30FB"/>
    <w:rsid w:val="002F3F68"/>
    <w:rsid w:val="002F614B"/>
    <w:rsid w:val="002F67A0"/>
    <w:rsid w:val="002F7DD6"/>
    <w:rsid w:val="00300421"/>
    <w:rsid w:val="003010A6"/>
    <w:rsid w:val="00303716"/>
    <w:rsid w:val="003049B3"/>
    <w:rsid w:val="00306EC1"/>
    <w:rsid w:val="00307723"/>
    <w:rsid w:val="0031044B"/>
    <w:rsid w:val="00310A64"/>
    <w:rsid w:val="00312E11"/>
    <w:rsid w:val="00312E1A"/>
    <w:rsid w:val="00313CE5"/>
    <w:rsid w:val="00314C72"/>
    <w:rsid w:val="00315FCB"/>
    <w:rsid w:val="003225B8"/>
    <w:rsid w:val="0032435F"/>
    <w:rsid w:val="00325CA1"/>
    <w:rsid w:val="003331D0"/>
    <w:rsid w:val="00333A9C"/>
    <w:rsid w:val="00341BF7"/>
    <w:rsid w:val="0034229F"/>
    <w:rsid w:val="003432C5"/>
    <w:rsid w:val="00343F0E"/>
    <w:rsid w:val="003444EF"/>
    <w:rsid w:val="003446EC"/>
    <w:rsid w:val="00345AD9"/>
    <w:rsid w:val="00345D54"/>
    <w:rsid w:val="00346582"/>
    <w:rsid w:val="00350E2D"/>
    <w:rsid w:val="0035103E"/>
    <w:rsid w:val="00352705"/>
    <w:rsid w:val="00352DB0"/>
    <w:rsid w:val="00354460"/>
    <w:rsid w:val="00354512"/>
    <w:rsid w:val="00354FDD"/>
    <w:rsid w:val="003563E7"/>
    <w:rsid w:val="003575B7"/>
    <w:rsid w:val="003600B8"/>
    <w:rsid w:val="00360B06"/>
    <w:rsid w:val="00366CA4"/>
    <w:rsid w:val="00366D04"/>
    <w:rsid w:val="003671DE"/>
    <w:rsid w:val="00367F47"/>
    <w:rsid w:val="00371B2F"/>
    <w:rsid w:val="00371D20"/>
    <w:rsid w:val="0037268E"/>
    <w:rsid w:val="00373D53"/>
    <w:rsid w:val="0037465E"/>
    <w:rsid w:val="0037576E"/>
    <w:rsid w:val="00375D21"/>
    <w:rsid w:val="0037613C"/>
    <w:rsid w:val="00376C26"/>
    <w:rsid w:val="00377144"/>
    <w:rsid w:val="00377DB7"/>
    <w:rsid w:val="00380473"/>
    <w:rsid w:val="0038173E"/>
    <w:rsid w:val="003825F2"/>
    <w:rsid w:val="003837F2"/>
    <w:rsid w:val="0038387D"/>
    <w:rsid w:val="00383EA3"/>
    <w:rsid w:val="00384FFE"/>
    <w:rsid w:val="003850EE"/>
    <w:rsid w:val="0038613E"/>
    <w:rsid w:val="00391A59"/>
    <w:rsid w:val="00391F37"/>
    <w:rsid w:val="003932A0"/>
    <w:rsid w:val="003942BF"/>
    <w:rsid w:val="00395D45"/>
    <w:rsid w:val="0039699F"/>
    <w:rsid w:val="003A0B45"/>
    <w:rsid w:val="003A18D7"/>
    <w:rsid w:val="003A259A"/>
    <w:rsid w:val="003A25B2"/>
    <w:rsid w:val="003A3359"/>
    <w:rsid w:val="003A34E6"/>
    <w:rsid w:val="003A39C9"/>
    <w:rsid w:val="003A5CAE"/>
    <w:rsid w:val="003A7EEF"/>
    <w:rsid w:val="003B145A"/>
    <w:rsid w:val="003B4D25"/>
    <w:rsid w:val="003B5077"/>
    <w:rsid w:val="003B5DB4"/>
    <w:rsid w:val="003B6F09"/>
    <w:rsid w:val="003C1BBB"/>
    <w:rsid w:val="003C27D4"/>
    <w:rsid w:val="003C35C0"/>
    <w:rsid w:val="003C42F8"/>
    <w:rsid w:val="003C488D"/>
    <w:rsid w:val="003C662F"/>
    <w:rsid w:val="003C7344"/>
    <w:rsid w:val="003C7A97"/>
    <w:rsid w:val="003D04F1"/>
    <w:rsid w:val="003D065F"/>
    <w:rsid w:val="003D173D"/>
    <w:rsid w:val="003D21EC"/>
    <w:rsid w:val="003D2BFC"/>
    <w:rsid w:val="003D3227"/>
    <w:rsid w:val="003D5974"/>
    <w:rsid w:val="003E045A"/>
    <w:rsid w:val="003E1EFB"/>
    <w:rsid w:val="003E2FB2"/>
    <w:rsid w:val="003E5923"/>
    <w:rsid w:val="003E6CFE"/>
    <w:rsid w:val="003E749C"/>
    <w:rsid w:val="003E7BBC"/>
    <w:rsid w:val="003F00F6"/>
    <w:rsid w:val="003F2948"/>
    <w:rsid w:val="003F4120"/>
    <w:rsid w:val="003F52E4"/>
    <w:rsid w:val="003F5EED"/>
    <w:rsid w:val="003F617B"/>
    <w:rsid w:val="003F6BE2"/>
    <w:rsid w:val="003F6FFF"/>
    <w:rsid w:val="003F7193"/>
    <w:rsid w:val="00400398"/>
    <w:rsid w:val="00400F7F"/>
    <w:rsid w:val="004029A9"/>
    <w:rsid w:val="00404724"/>
    <w:rsid w:val="0040627A"/>
    <w:rsid w:val="004065B9"/>
    <w:rsid w:val="00406712"/>
    <w:rsid w:val="00406BA2"/>
    <w:rsid w:val="00407FA2"/>
    <w:rsid w:val="00412B9F"/>
    <w:rsid w:val="004147F9"/>
    <w:rsid w:val="00415296"/>
    <w:rsid w:val="004163AB"/>
    <w:rsid w:val="004177FF"/>
    <w:rsid w:val="004206AF"/>
    <w:rsid w:val="00421F08"/>
    <w:rsid w:val="0042209F"/>
    <w:rsid w:val="00422E90"/>
    <w:rsid w:val="00423584"/>
    <w:rsid w:val="004253FA"/>
    <w:rsid w:val="00425790"/>
    <w:rsid w:val="004258F1"/>
    <w:rsid w:val="0042690B"/>
    <w:rsid w:val="00427597"/>
    <w:rsid w:val="00431EF4"/>
    <w:rsid w:val="0043240E"/>
    <w:rsid w:val="00433126"/>
    <w:rsid w:val="0043375E"/>
    <w:rsid w:val="00433DF8"/>
    <w:rsid w:val="004355B5"/>
    <w:rsid w:val="00436993"/>
    <w:rsid w:val="00437134"/>
    <w:rsid w:val="00440324"/>
    <w:rsid w:val="00440FB5"/>
    <w:rsid w:val="00441177"/>
    <w:rsid w:val="00441314"/>
    <w:rsid w:val="00441944"/>
    <w:rsid w:val="00441DAA"/>
    <w:rsid w:val="00444F17"/>
    <w:rsid w:val="004460E8"/>
    <w:rsid w:val="00446315"/>
    <w:rsid w:val="004471C4"/>
    <w:rsid w:val="004477FC"/>
    <w:rsid w:val="00451B0A"/>
    <w:rsid w:val="004527F6"/>
    <w:rsid w:val="0045440D"/>
    <w:rsid w:val="00454A01"/>
    <w:rsid w:val="00456012"/>
    <w:rsid w:val="00461679"/>
    <w:rsid w:val="00462585"/>
    <w:rsid w:val="00462BFC"/>
    <w:rsid w:val="0046447A"/>
    <w:rsid w:val="0046572C"/>
    <w:rsid w:val="00465760"/>
    <w:rsid w:val="00465CE1"/>
    <w:rsid w:val="00466639"/>
    <w:rsid w:val="0046744C"/>
    <w:rsid w:val="00467466"/>
    <w:rsid w:val="00467864"/>
    <w:rsid w:val="00467E53"/>
    <w:rsid w:val="00471CF3"/>
    <w:rsid w:val="004742FC"/>
    <w:rsid w:val="004759AF"/>
    <w:rsid w:val="00475A58"/>
    <w:rsid w:val="0047672F"/>
    <w:rsid w:val="00477728"/>
    <w:rsid w:val="004806A7"/>
    <w:rsid w:val="00480D00"/>
    <w:rsid w:val="00480EEB"/>
    <w:rsid w:val="0048198E"/>
    <w:rsid w:val="00482860"/>
    <w:rsid w:val="00484D37"/>
    <w:rsid w:val="00484F92"/>
    <w:rsid w:val="0048527A"/>
    <w:rsid w:val="00486472"/>
    <w:rsid w:val="0048746F"/>
    <w:rsid w:val="00487E76"/>
    <w:rsid w:val="00492F47"/>
    <w:rsid w:val="00493489"/>
    <w:rsid w:val="004937F3"/>
    <w:rsid w:val="00493F73"/>
    <w:rsid w:val="00495385"/>
    <w:rsid w:val="004969B1"/>
    <w:rsid w:val="00496CE4"/>
    <w:rsid w:val="00497121"/>
    <w:rsid w:val="004A1126"/>
    <w:rsid w:val="004A14E0"/>
    <w:rsid w:val="004A219E"/>
    <w:rsid w:val="004A2AD5"/>
    <w:rsid w:val="004A4447"/>
    <w:rsid w:val="004A561E"/>
    <w:rsid w:val="004A66EE"/>
    <w:rsid w:val="004A739C"/>
    <w:rsid w:val="004B11B7"/>
    <w:rsid w:val="004B1455"/>
    <w:rsid w:val="004B203E"/>
    <w:rsid w:val="004B2746"/>
    <w:rsid w:val="004B2C66"/>
    <w:rsid w:val="004B3DDA"/>
    <w:rsid w:val="004B5866"/>
    <w:rsid w:val="004B6703"/>
    <w:rsid w:val="004B7509"/>
    <w:rsid w:val="004C1934"/>
    <w:rsid w:val="004C46EE"/>
    <w:rsid w:val="004C4FA7"/>
    <w:rsid w:val="004C4FF4"/>
    <w:rsid w:val="004C52B6"/>
    <w:rsid w:val="004C5E95"/>
    <w:rsid w:val="004C6ABE"/>
    <w:rsid w:val="004C7081"/>
    <w:rsid w:val="004C7180"/>
    <w:rsid w:val="004C744A"/>
    <w:rsid w:val="004C770F"/>
    <w:rsid w:val="004C7947"/>
    <w:rsid w:val="004C7988"/>
    <w:rsid w:val="004C7FDA"/>
    <w:rsid w:val="004D0D8F"/>
    <w:rsid w:val="004D1D91"/>
    <w:rsid w:val="004D22FE"/>
    <w:rsid w:val="004D2748"/>
    <w:rsid w:val="004D279E"/>
    <w:rsid w:val="004D37CA"/>
    <w:rsid w:val="004D3837"/>
    <w:rsid w:val="004D3CE6"/>
    <w:rsid w:val="004E1564"/>
    <w:rsid w:val="004E387E"/>
    <w:rsid w:val="004E4002"/>
    <w:rsid w:val="004E484F"/>
    <w:rsid w:val="004E55ED"/>
    <w:rsid w:val="004E62F5"/>
    <w:rsid w:val="004F0C8A"/>
    <w:rsid w:val="004F17CE"/>
    <w:rsid w:val="004F189A"/>
    <w:rsid w:val="004F3482"/>
    <w:rsid w:val="004F36BF"/>
    <w:rsid w:val="004F37AA"/>
    <w:rsid w:val="004F4A4D"/>
    <w:rsid w:val="004F5813"/>
    <w:rsid w:val="004F6DB5"/>
    <w:rsid w:val="004F6ED9"/>
    <w:rsid w:val="004F75C0"/>
    <w:rsid w:val="004F79F4"/>
    <w:rsid w:val="005013AC"/>
    <w:rsid w:val="005019E4"/>
    <w:rsid w:val="0050392F"/>
    <w:rsid w:val="0051211E"/>
    <w:rsid w:val="00512C8F"/>
    <w:rsid w:val="005149AA"/>
    <w:rsid w:val="0051563F"/>
    <w:rsid w:val="00515A45"/>
    <w:rsid w:val="005166F7"/>
    <w:rsid w:val="00517893"/>
    <w:rsid w:val="00517B91"/>
    <w:rsid w:val="00520AD0"/>
    <w:rsid w:val="00522109"/>
    <w:rsid w:val="00526AA2"/>
    <w:rsid w:val="005318C1"/>
    <w:rsid w:val="0053202A"/>
    <w:rsid w:val="00532D22"/>
    <w:rsid w:val="005358DF"/>
    <w:rsid w:val="00537524"/>
    <w:rsid w:val="00541707"/>
    <w:rsid w:val="0054194E"/>
    <w:rsid w:val="005427D1"/>
    <w:rsid w:val="005437EB"/>
    <w:rsid w:val="00543E7F"/>
    <w:rsid w:val="005449A0"/>
    <w:rsid w:val="00544CD6"/>
    <w:rsid w:val="00544FB6"/>
    <w:rsid w:val="005462FB"/>
    <w:rsid w:val="005519D4"/>
    <w:rsid w:val="0055284A"/>
    <w:rsid w:val="00553767"/>
    <w:rsid w:val="00554220"/>
    <w:rsid w:val="005544AE"/>
    <w:rsid w:val="00554A41"/>
    <w:rsid w:val="00555401"/>
    <w:rsid w:val="005555D2"/>
    <w:rsid w:val="00555956"/>
    <w:rsid w:val="005565F8"/>
    <w:rsid w:val="0055678C"/>
    <w:rsid w:val="00556889"/>
    <w:rsid w:val="00557306"/>
    <w:rsid w:val="00560CEB"/>
    <w:rsid w:val="00560DFD"/>
    <w:rsid w:val="00564A16"/>
    <w:rsid w:val="00565906"/>
    <w:rsid w:val="00567527"/>
    <w:rsid w:val="005678A0"/>
    <w:rsid w:val="005678B9"/>
    <w:rsid w:val="00570085"/>
    <w:rsid w:val="00571692"/>
    <w:rsid w:val="005725F7"/>
    <w:rsid w:val="00573375"/>
    <w:rsid w:val="00575179"/>
    <w:rsid w:val="0057518C"/>
    <w:rsid w:val="0057555E"/>
    <w:rsid w:val="005766C4"/>
    <w:rsid w:val="0057742E"/>
    <w:rsid w:val="005778C8"/>
    <w:rsid w:val="00577DF0"/>
    <w:rsid w:val="00582A42"/>
    <w:rsid w:val="0058342E"/>
    <w:rsid w:val="00584482"/>
    <w:rsid w:val="00585584"/>
    <w:rsid w:val="00585A3A"/>
    <w:rsid w:val="00585D17"/>
    <w:rsid w:val="005874CF"/>
    <w:rsid w:val="00587506"/>
    <w:rsid w:val="00587E30"/>
    <w:rsid w:val="005930C8"/>
    <w:rsid w:val="005943B3"/>
    <w:rsid w:val="00594E0F"/>
    <w:rsid w:val="0059627D"/>
    <w:rsid w:val="00596B5A"/>
    <w:rsid w:val="00597B1C"/>
    <w:rsid w:val="005A0872"/>
    <w:rsid w:val="005A09E8"/>
    <w:rsid w:val="005A17FD"/>
    <w:rsid w:val="005A1E9F"/>
    <w:rsid w:val="005A20E6"/>
    <w:rsid w:val="005A30FB"/>
    <w:rsid w:val="005A367F"/>
    <w:rsid w:val="005A4881"/>
    <w:rsid w:val="005A48D6"/>
    <w:rsid w:val="005A50A3"/>
    <w:rsid w:val="005A5415"/>
    <w:rsid w:val="005A5E91"/>
    <w:rsid w:val="005A64C2"/>
    <w:rsid w:val="005A6FEB"/>
    <w:rsid w:val="005A7651"/>
    <w:rsid w:val="005A77CC"/>
    <w:rsid w:val="005A7828"/>
    <w:rsid w:val="005A7BB0"/>
    <w:rsid w:val="005B0833"/>
    <w:rsid w:val="005B0BC9"/>
    <w:rsid w:val="005B0EDB"/>
    <w:rsid w:val="005B0FD5"/>
    <w:rsid w:val="005B19EE"/>
    <w:rsid w:val="005B20BA"/>
    <w:rsid w:val="005B2108"/>
    <w:rsid w:val="005B2376"/>
    <w:rsid w:val="005B25C6"/>
    <w:rsid w:val="005B48CC"/>
    <w:rsid w:val="005B5284"/>
    <w:rsid w:val="005B5B39"/>
    <w:rsid w:val="005B5DAC"/>
    <w:rsid w:val="005B69E7"/>
    <w:rsid w:val="005B70D0"/>
    <w:rsid w:val="005B78B8"/>
    <w:rsid w:val="005C54C7"/>
    <w:rsid w:val="005C5E8B"/>
    <w:rsid w:val="005D072B"/>
    <w:rsid w:val="005D2435"/>
    <w:rsid w:val="005D34E0"/>
    <w:rsid w:val="005D350E"/>
    <w:rsid w:val="005D7213"/>
    <w:rsid w:val="005E1D08"/>
    <w:rsid w:val="005E2585"/>
    <w:rsid w:val="005E2E84"/>
    <w:rsid w:val="005E3EAF"/>
    <w:rsid w:val="005E4005"/>
    <w:rsid w:val="005E74A1"/>
    <w:rsid w:val="005F0794"/>
    <w:rsid w:val="005F0ED1"/>
    <w:rsid w:val="005F113A"/>
    <w:rsid w:val="005F23D4"/>
    <w:rsid w:val="005F2995"/>
    <w:rsid w:val="005F2ADC"/>
    <w:rsid w:val="005F4506"/>
    <w:rsid w:val="005F680D"/>
    <w:rsid w:val="006001D9"/>
    <w:rsid w:val="00600DCE"/>
    <w:rsid w:val="006014D2"/>
    <w:rsid w:val="0060251A"/>
    <w:rsid w:val="0060269C"/>
    <w:rsid w:val="00602AFB"/>
    <w:rsid w:val="006030BE"/>
    <w:rsid w:val="00605321"/>
    <w:rsid w:val="006067F5"/>
    <w:rsid w:val="0060786E"/>
    <w:rsid w:val="00610C5C"/>
    <w:rsid w:val="00612143"/>
    <w:rsid w:val="0061237F"/>
    <w:rsid w:val="00614541"/>
    <w:rsid w:val="00614BBE"/>
    <w:rsid w:val="006176C6"/>
    <w:rsid w:val="006177C6"/>
    <w:rsid w:val="006217C6"/>
    <w:rsid w:val="00622A31"/>
    <w:rsid w:val="006230BD"/>
    <w:rsid w:val="006231D6"/>
    <w:rsid w:val="006235FB"/>
    <w:rsid w:val="006245E5"/>
    <w:rsid w:val="006254CE"/>
    <w:rsid w:val="0062624E"/>
    <w:rsid w:val="00626D14"/>
    <w:rsid w:val="0063010D"/>
    <w:rsid w:val="00630828"/>
    <w:rsid w:val="006318CD"/>
    <w:rsid w:val="006318E1"/>
    <w:rsid w:val="006324C3"/>
    <w:rsid w:val="00632FAD"/>
    <w:rsid w:val="00632FB2"/>
    <w:rsid w:val="00635ACF"/>
    <w:rsid w:val="00635C8F"/>
    <w:rsid w:val="00636B4C"/>
    <w:rsid w:val="006372C0"/>
    <w:rsid w:val="00640211"/>
    <w:rsid w:val="00640D04"/>
    <w:rsid w:val="0064172A"/>
    <w:rsid w:val="0064361C"/>
    <w:rsid w:val="00644285"/>
    <w:rsid w:val="006445C9"/>
    <w:rsid w:val="00644733"/>
    <w:rsid w:val="0064497F"/>
    <w:rsid w:val="006457E0"/>
    <w:rsid w:val="00645897"/>
    <w:rsid w:val="00645BD7"/>
    <w:rsid w:val="006467F2"/>
    <w:rsid w:val="00646A49"/>
    <w:rsid w:val="00646BF3"/>
    <w:rsid w:val="00647F2A"/>
    <w:rsid w:val="0065117D"/>
    <w:rsid w:val="00655C14"/>
    <w:rsid w:val="0065787F"/>
    <w:rsid w:val="00660132"/>
    <w:rsid w:val="00661DD0"/>
    <w:rsid w:val="006620E4"/>
    <w:rsid w:val="00662764"/>
    <w:rsid w:val="0066577C"/>
    <w:rsid w:val="00665AFC"/>
    <w:rsid w:val="0066699B"/>
    <w:rsid w:val="00671919"/>
    <w:rsid w:val="00672B56"/>
    <w:rsid w:val="00672C97"/>
    <w:rsid w:val="00673442"/>
    <w:rsid w:val="0067482C"/>
    <w:rsid w:val="00674EF8"/>
    <w:rsid w:val="00675A74"/>
    <w:rsid w:val="00675E58"/>
    <w:rsid w:val="0068100A"/>
    <w:rsid w:val="0068155D"/>
    <w:rsid w:val="0068280D"/>
    <w:rsid w:val="00682EDD"/>
    <w:rsid w:val="00683761"/>
    <w:rsid w:val="00683FCD"/>
    <w:rsid w:val="00684B9B"/>
    <w:rsid w:val="00685C96"/>
    <w:rsid w:val="00686654"/>
    <w:rsid w:val="00687427"/>
    <w:rsid w:val="00691B27"/>
    <w:rsid w:val="00692FF7"/>
    <w:rsid w:val="0069407E"/>
    <w:rsid w:val="0069519F"/>
    <w:rsid w:val="0069556C"/>
    <w:rsid w:val="00697FCC"/>
    <w:rsid w:val="006A1C3E"/>
    <w:rsid w:val="006A2954"/>
    <w:rsid w:val="006A3EF3"/>
    <w:rsid w:val="006A768E"/>
    <w:rsid w:val="006B062C"/>
    <w:rsid w:val="006B0E54"/>
    <w:rsid w:val="006B1EDB"/>
    <w:rsid w:val="006C0861"/>
    <w:rsid w:val="006C36DC"/>
    <w:rsid w:val="006C375E"/>
    <w:rsid w:val="006C4346"/>
    <w:rsid w:val="006C5CF0"/>
    <w:rsid w:val="006C662A"/>
    <w:rsid w:val="006C6850"/>
    <w:rsid w:val="006D0150"/>
    <w:rsid w:val="006D0885"/>
    <w:rsid w:val="006D219F"/>
    <w:rsid w:val="006D2CFC"/>
    <w:rsid w:val="006D3347"/>
    <w:rsid w:val="006D36EA"/>
    <w:rsid w:val="006D452B"/>
    <w:rsid w:val="006D471B"/>
    <w:rsid w:val="006D5631"/>
    <w:rsid w:val="006D6425"/>
    <w:rsid w:val="006D67C4"/>
    <w:rsid w:val="006E0A09"/>
    <w:rsid w:val="006E7408"/>
    <w:rsid w:val="006F1ED7"/>
    <w:rsid w:val="006F285B"/>
    <w:rsid w:val="006F2CBE"/>
    <w:rsid w:val="006F356D"/>
    <w:rsid w:val="006F38C1"/>
    <w:rsid w:val="006F3BB1"/>
    <w:rsid w:val="006F48A7"/>
    <w:rsid w:val="006F4A9D"/>
    <w:rsid w:val="006F6AB2"/>
    <w:rsid w:val="006F7D91"/>
    <w:rsid w:val="00700436"/>
    <w:rsid w:val="00700DCB"/>
    <w:rsid w:val="007011FC"/>
    <w:rsid w:val="007016AE"/>
    <w:rsid w:val="0070346F"/>
    <w:rsid w:val="00704174"/>
    <w:rsid w:val="0070419E"/>
    <w:rsid w:val="0070445D"/>
    <w:rsid w:val="00705DF6"/>
    <w:rsid w:val="007066CE"/>
    <w:rsid w:val="00707F5B"/>
    <w:rsid w:val="007108E5"/>
    <w:rsid w:val="00711600"/>
    <w:rsid w:val="00712EDE"/>
    <w:rsid w:val="007144BE"/>
    <w:rsid w:val="00717CAC"/>
    <w:rsid w:val="007210C7"/>
    <w:rsid w:val="00721736"/>
    <w:rsid w:val="007219A5"/>
    <w:rsid w:val="0072586B"/>
    <w:rsid w:val="00725BAE"/>
    <w:rsid w:val="00725C21"/>
    <w:rsid w:val="00725D51"/>
    <w:rsid w:val="007262C2"/>
    <w:rsid w:val="00730CB2"/>
    <w:rsid w:val="00731CD9"/>
    <w:rsid w:val="007331BB"/>
    <w:rsid w:val="00733515"/>
    <w:rsid w:val="00734721"/>
    <w:rsid w:val="00740072"/>
    <w:rsid w:val="007415BA"/>
    <w:rsid w:val="00744A60"/>
    <w:rsid w:val="007450C4"/>
    <w:rsid w:val="00745A1C"/>
    <w:rsid w:val="007461FC"/>
    <w:rsid w:val="00752203"/>
    <w:rsid w:val="00753F20"/>
    <w:rsid w:val="00755FCC"/>
    <w:rsid w:val="0076023E"/>
    <w:rsid w:val="00761D65"/>
    <w:rsid w:val="007624D4"/>
    <w:rsid w:val="00762BB6"/>
    <w:rsid w:val="00764741"/>
    <w:rsid w:val="0076500F"/>
    <w:rsid w:val="00766765"/>
    <w:rsid w:val="00766E5D"/>
    <w:rsid w:val="00770303"/>
    <w:rsid w:val="00770626"/>
    <w:rsid w:val="00771DB2"/>
    <w:rsid w:val="00772CCE"/>
    <w:rsid w:val="00773152"/>
    <w:rsid w:val="00775485"/>
    <w:rsid w:val="00777AFE"/>
    <w:rsid w:val="00777B2C"/>
    <w:rsid w:val="007802D1"/>
    <w:rsid w:val="007802E7"/>
    <w:rsid w:val="0078069C"/>
    <w:rsid w:val="007821E4"/>
    <w:rsid w:val="00783A75"/>
    <w:rsid w:val="00785358"/>
    <w:rsid w:val="0078639A"/>
    <w:rsid w:val="00791810"/>
    <w:rsid w:val="00792189"/>
    <w:rsid w:val="00792192"/>
    <w:rsid w:val="0079322E"/>
    <w:rsid w:val="00793AB8"/>
    <w:rsid w:val="00793DAC"/>
    <w:rsid w:val="0079535D"/>
    <w:rsid w:val="00795AB5"/>
    <w:rsid w:val="0079665D"/>
    <w:rsid w:val="00797253"/>
    <w:rsid w:val="007A0065"/>
    <w:rsid w:val="007A0686"/>
    <w:rsid w:val="007A0C1B"/>
    <w:rsid w:val="007A0DCD"/>
    <w:rsid w:val="007A0DE4"/>
    <w:rsid w:val="007A1465"/>
    <w:rsid w:val="007A312A"/>
    <w:rsid w:val="007A383C"/>
    <w:rsid w:val="007A5E7E"/>
    <w:rsid w:val="007A632D"/>
    <w:rsid w:val="007B0336"/>
    <w:rsid w:val="007B0C0F"/>
    <w:rsid w:val="007B0F13"/>
    <w:rsid w:val="007B264E"/>
    <w:rsid w:val="007B2A0E"/>
    <w:rsid w:val="007B3D4D"/>
    <w:rsid w:val="007B4F9E"/>
    <w:rsid w:val="007B529E"/>
    <w:rsid w:val="007B69CB"/>
    <w:rsid w:val="007B6B30"/>
    <w:rsid w:val="007C02F0"/>
    <w:rsid w:val="007C0747"/>
    <w:rsid w:val="007C093D"/>
    <w:rsid w:val="007C11DF"/>
    <w:rsid w:val="007C17E9"/>
    <w:rsid w:val="007C259A"/>
    <w:rsid w:val="007C2BC9"/>
    <w:rsid w:val="007C710D"/>
    <w:rsid w:val="007C7770"/>
    <w:rsid w:val="007D09D2"/>
    <w:rsid w:val="007D13AB"/>
    <w:rsid w:val="007D1891"/>
    <w:rsid w:val="007D30AB"/>
    <w:rsid w:val="007D3A13"/>
    <w:rsid w:val="007D5907"/>
    <w:rsid w:val="007D636D"/>
    <w:rsid w:val="007E127D"/>
    <w:rsid w:val="007E2153"/>
    <w:rsid w:val="007E38E0"/>
    <w:rsid w:val="007E5A1B"/>
    <w:rsid w:val="007E5D68"/>
    <w:rsid w:val="007E5E1B"/>
    <w:rsid w:val="007E743F"/>
    <w:rsid w:val="007F0091"/>
    <w:rsid w:val="007F0A58"/>
    <w:rsid w:val="007F0F8F"/>
    <w:rsid w:val="007F1232"/>
    <w:rsid w:val="007F324D"/>
    <w:rsid w:val="007F526B"/>
    <w:rsid w:val="007F5DB9"/>
    <w:rsid w:val="007F71FE"/>
    <w:rsid w:val="00800C7B"/>
    <w:rsid w:val="008014AF"/>
    <w:rsid w:val="008019A9"/>
    <w:rsid w:val="0080276A"/>
    <w:rsid w:val="00804C0E"/>
    <w:rsid w:val="00805B75"/>
    <w:rsid w:val="008104C4"/>
    <w:rsid w:val="00811AA3"/>
    <w:rsid w:val="00811E33"/>
    <w:rsid w:val="00815308"/>
    <w:rsid w:val="008154D7"/>
    <w:rsid w:val="00815718"/>
    <w:rsid w:val="00817DE5"/>
    <w:rsid w:val="00820459"/>
    <w:rsid w:val="0082185B"/>
    <w:rsid w:val="00821C1E"/>
    <w:rsid w:val="008224B0"/>
    <w:rsid w:val="0082334D"/>
    <w:rsid w:val="008236EB"/>
    <w:rsid w:val="008237AA"/>
    <w:rsid w:val="00823806"/>
    <w:rsid w:val="00823ED0"/>
    <w:rsid w:val="008244D4"/>
    <w:rsid w:val="00825A82"/>
    <w:rsid w:val="00826EAF"/>
    <w:rsid w:val="00827176"/>
    <w:rsid w:val="0082744C"/>
    <w:rsid w:val="0082765A"/>
    <w:rsid w:val="00830893"/>
    <w:rsid w:val="008315CE"/>
    <w:rsid w:val="00832ED7"/>
    <w:rsid w:val="008334A8"/>
    <w:rsid w:val="00833AD5"/>
    <w:rsid w:val="008343A6"/>
    <w:rsid w:val="0083527F"/>
    <w:rsid w:val="00835BD5"/>
    <w:rsid w:val="00835EA3"/>
    <w:rsid w:val="00836215"/>
    <w:rsid w:val="0084078D"/>
    <w:rsid w:val="0084085A"/>
    <w:rsid w:val="00841F2D"/>
    <w:rsid w:val="00841FB4"/>
    <w:rsid w:val="0084260D"/>
    <w:rsid w:val="008444DC"/>
    <w:rsid w:val="00845216"/>
    <w:rsid w:val="00846030"/>
    <w:rsid w:val="008463DF"/>
    <w:rsid w:val="00846E2F"/>
    <w:rsid w:val="00850926"/>
    <w:rsid w:val="008515AD"/>
    <w:rsid w:val="00852550"/>
    <w:rsid w:val="008532B1"/>
    <w:rsid w:val="00854AD7"/>
    <w:rsid w:val="00855002"/>
    <w:rsid w:val="00856975"/>
    <w:rsid w:val="00857B16"/>
    <w:rsid w:val="00857C03"/>
    <w:rsid w:val="00865B7E"/>
    <w:rsid w:val="008665E0"/>
    <w:rsid w:val="008667E6"/>
    <w:rsid w:val="00867F08"/>
    <w:rsid w:val="00871777"/>
    <w:rsid w:val="00872994"/>
    <w:rsid w:val="008738E0"/>
    <w:rsid w:val="00873E64"/>
    <w:rsid w:val="0087401B"/>
    <w:rsid w:val="008741AD"/>
    <w:rsid w:val="00874C3A"/>
    <w:rsid w:val="008804ED"/>
    <w:rsid w:val="00882005"/>
    <w:rsid w:val="00882C79"/>
    <w:rsid w:val="00883F58"/>
    <w:rsid w:val="008841DD"/>
    <w:rsid w:val="008855DB"/>
    <w:rsid w:val="00886E40"/>
    <w:rsid w:val="00887F76"/>
    <w:rsid w:val="00887FB7"/>
    <w:rsid w:val="00894D2E"/>
    <w:rsid w:val="0089705E"/>
    <w:rsid w:val="00897999"/>
    <w:rsid w:val="008A1087"/>
    <w:rsid w:val="008A1435"/>
    <w:rsid w:val="008A211C"/>
    <w:rsid w:val="008A6198"/>
    <w:rsid w:val="008A7DED"/>
    <w:rsid w:val="008B0CF8"/>
    <w:rsid w:val="008B185B"/>
    <w:rsid w:val="008B2C30"/>
    <w:rsid w:val="008B467F"/>
    <w:rsid w:val="008B49DD"/>
    <w:rsid w:val="008B5231"/>
    <w:rsid w:val="008B5289"/>
    <w:rsid w:val="008B5F04"/>
    <w:rsid w:val="008B6EB6"/>
    <w:rsid w:val="008B6F65"/>
    <w:rsid w:val="008B7430"/>
    <w:rsid w:val="008C0569"/>
    <w:rsid w:val="008C061A"/>
    <w:rsid w:val="008C1F19"/>
    <w:rsid w:val="008C2535"/>
    <w:rsid w:val="008C2D4D"/>
    <w:rsid w:val="008C4A6F"/>
    <w:rsid w:val="008C4A76"/>
    <w:rsid w:val="008C4E32"/>
    <w:rsid w:val="008C571C"/>
    <w:rsid w:val="008C5BD1"/>
    <w:rsid w:val="008C6349"/>
    <w:rsid w:val="008C694F"/>
    <w:rsid w:val="008D208E"/>
    <w:rsid w:val="008D4759"/>
    <w:rsid w:val="008D58C3"/>
    <w:rsid w:val="008D7518"/>
    <w:rsid w:val="008E0029"/>
    <w:rsid w:val="008E033E"/>
    <w:rsid w:val="008E1A00"/>
    <w:rsid w:val="008E4C8E"/>
    <w:rsid w:val="008E4D90"/>
    <w:rsid w:val="008E6762"/>
    <w:rsid w:val="008E6BCC"/>
    <w:rsid w:val="008E75FE"/>
    <w:rsid w:val="008E78A8"/>
    <w:rsid w:val="008F03B0"/>
    <w:rsid w:val="008F19D4"/>
    <w:rsid w:val="008F22AF"/>
    <w:rsid w:val="008F2794"/>
    <w:rsid w:val="008F591A"/>
    <w:rsid w:val="008F6319"/>
    <w:rsid w:val="0090090B"/>
    <w:rsid w:val="0090163F"/>
    <w:rsid w:val="009020CC"/>
    <w:rsid w:val="0090236C"/>
    <w:rsid w:val="00903EF5"/>
    <w:rsid w:val="0090495C"/>
    <w:rsid w:val="00906032"/>
    <w:rsid w:val="0090770A"/>
    <w:rsid w:val="0091007B"/>
    <w:rsid w:val="009102F7"/>
    <w:rsid w:val="009104D9"/>
    <w:rsid w:val="00910589"/>
    <w:rsid w:val="00910A90"/>
    <w:rsid w:val="00911F94"/>
    <w:rsid w:val="009129A4"/>
    <w:rsid w:val="009148B1"/>
    <w:rsid w:val="00914F7F"/>
    <w:rsid w:val="009160E7"/>
    <w:rsid w:val="00916872"/>
    <w:rsid w:val="00920478"/>
    <w:rsid w:val="00920B9E"/>
    <w:rsid w:val="00921545"/>
    <w:rsid w:val="00924916"/>
    <w:rsid w:val="00924ECE"/>
    <w:rsid w:val="00925486"/>
    <w:rsid w:val="00926066"/>
    <w:rsid w:val="00931427"/>
    <w:rsid w:val="0093263B"/>
    <w:rsid w:val="009328A1"/>
    <w:rsid w:val="00933CD5"/>
    <w:rsid w:val="00933F6B"/>
    <w:rsid w:val="0093468D"/>
    <w:rsid w:val="00934BCD"/>
    <w:rsid w:val="00936751"/>
    <w:rsid w:val="00937010"/>
    <w:rsid w:val="0094034B"/>
    <w:rsid w:val="009403CD"/>
    <w:rsid w:val="009412EA"/>
    <w:rsid w:val="0094254A"/>
    <w:rsid w:val="00943DCE"/>
    <w:rsid w:val="009449AF"/>
    <w:rsid w:val="00945C41"/>
    <w:rsid w:val="00945E0F"/>
    <w:rsid w:val="009505E5"/>
    <w:rsid w:val="00953973"/>
    <w:rsid w:val="00953D3E"/>
    <w:rsid w:val="00954021"/>
    <w:rsid w:val="00954A10"/>
    <w:rsid w:val="009554E2"/>
    <w:rsid w:val="009560EA"/>
    <w:rsid w:val="009565DF"/>
    <w:rsid w:val="00957315"/>
    <w:rsid w:val="00957D38"/>
    <w:rsid w:val="009602B7"/>
    <w:rsid w:val="009619D4"/>
    <w:rsid w:val="00964AC3"/>
    <w:rsid w:val="00964FC8"/>
    <w:rsid w:val="009658C6"/>
    <w:rsid w:val="00965A83"/>
    <w:rsid w:val="00965C0C"/>
    <w:rsid w:val="00965E6A"/>
    <w:rsid w:val="00965F14"/>
    <w:rsid w:val="00966E6F"/>
    <w:rsid w:val="00971EA2"/>
    <w:rsid w:val="009720DE"/>
    <w:rsid w:val="00972492"/>
    <w:rsid w:val="009725AE"/>
    <w:rsid w:val="0097368A"/>
    <w:rsid w:val="0097463C"/>
    <w:rsid w:val="0097473D"/>
    <w:rsid w:val="0097542E"/>
    <w:rsid w:val="00975DA4"/>
    <w:rsid w:val="009762E7"/>
    <w:rsid w:val="00976532"/>
    <w:rsid w:val="00977403"/>
    <w:rsid w:val="00977EB3"/>
    <w:rsid w:val="00982CCA"/>
    <w:rsid w:val="0098404F"/>
    <w:rsid w:val="00985E99"/>
    <w:rsid w:val="00990A7E"/>
    <w:rsid w:val="00994D7C"/>
    <w:rsid w:val="00995700"/>
    <w:rsid w:val="009967C7"/>
    <w:rsid w:val="00996A28"/>
    <w:rsid w:val="009978B6"/>
    <w:rsid w:val="009A0C9C"/>
    <w:rsid w:val="009A1744"/>
    <w:rsid w:val="009A1A3F"/>
    <w:rsid w:val="009A2B1F"/>
    <w:rsid w:val="009A2F86"/>
    <w:rsid w:val="009A31F6"/>
    <w:rsid w:val="009A3A03"/>
    <w:rsid w:val="009A3D52"/>
    <w:rsid w:val="009A74D9"/>
    <w:rsid w:val="009A76A8"/>
    <w:rsid w:val="009B05E5"/>
    <w:rsid w:val="009B1624"/>
    <w:rsid w:val="009B2805"/>
    <w:rsid w:val="009B33A4"/>
    <w:rsid w:val="009B3D66"/>
    <w:rsid w:val="009B425C"/>
    <w:rsid w:val="009B4B70"/>
    <w:rsid w:val="009B568E"/>
    <w:rsid w:val="009B6EEA"/>
    <w:rsid w:val="009B7365"/>
    <w:rsid w:val="009C01EF"/>
    <w:rsid w:val="009C0E87"/>
    <w:rsid w:val="009C184F"/>
    <w:rsid w:val="009C1B46"/>
    <w:rsid w:val="009C2496"/>
    <w:rsid w:val="009C3D52"/>
    <w:rsid w:val="009C5961"/>
    <w:rsid w:val="009C5FBD"/>
    <w:rsid w:val="009C7C54"/>
    <w:rsid w:val="009D0170"/>
    <w:rsid w:val="009D3A35"/>
    <w:rsid w:val="009D5E40"/>
    <w:rsid w:val="009D654E"/>
    <w:rsid w:val="009E02A6"/>
    <w:rsid w:val="009E13D0"/>
    <w:rsid w:val="009E2B0A"/>
    <w:rsid w:val="009E5C0F"/>
    <w:rsid w:val="009F0F9F"/>
    <w:rsid w:val="009F1A95"/>
    <w:rsid w:val="009F37EC"/>
    <w:rsid w:val="009F3E3E"/>
    <w:rsid w:val="009F4B81"/>
    <w:rsid w:val="009F586A"/>
    <w:rsid w:val="009F59B9"/>
    <w:rsid w:val="009F7F2E"/>
    <w:rsid w:val="00A02F95"/>
    <w:rsid w:val="00A04219"/>
    <w:rsid w:val="00A04CD8"/>
    <w:rsid w:val="00A0646E"/>
    <w:rsid w:val="00A06EB8"/>
    <w:rsid w:val="00A072DF"/>
    <w:rsid w:val="00A07DD5"/>
    <w:rsid w:val="00A07E9F"/>
    <w:rsid w:val="00A1137F"/>
    <w:rsid w:val="00A11AF2"/>
    <w:rsid w:val="00A13D3D"/>
    <w:rsid w:val="00A14428"/>
    <w:rsid w:val="00A14E21"/>
    <w:rsid w:val="00A15376"/>
    <w:rsid w:val="00A162A9"/>
    <w:rsid w:val="00A17D70"/>
    <w:rsid w:val="00A23063"/>
    <w:rsid w:val="00A243DD"/>
    <w:rsid w:val="00A245D8"/>
    <w:rsid w:val="00A24709"/>
    <w:rsid w:val="00A2608D"/>
    <w:rsid w:val="00A2632D"/>
    <w:rsid w:val="00A30FB6"/>
    <w:rsid w:val="00A31FDA"/>
    <w:rsid w:val="00A32779"/>
    <w:rsid w:val="00A329D3"/>
    <w:rsid w:val="00A32F96"/>
    <w:rsid w:val="00A3380C"/>
    <w:rsid w:val="00A33B9B"/>
    <w:rsid w:val="00A351AB"/>
    <w:rsid w:val="00A35342"/>
    <w:rsid w:val="00A37AD5"/>
    <w:rsid w:val="00A407F0"/>
    <w:rsid w:val="00A409AA"/>
    <w:rsid w:val="00A411C8"/>
    <w:rsid w:val="00A4172A"/>
    <w:rsid w:val="00A41BA3"/>
    <w:rsid w:val="00A41C59"/>
    <w:rsid w:val="00A44560"/>
    <w:rsid w:val="00A45942"/>
    <w:rsid w:val="00A45AF1"/>
    <w:rsid w:val="00A4666D"/>
    <w:rsid w:val="00A4678A"/>
    <w:rsid w:val="00A47469"/>
    <w:rsid w:val="00A522EF"/>
    <w:rsid w:val="00A52E65"/>
    <w:rsid w:val="00A54435"/>
    <w:rsid w:val="00A54EE3"/>
    <w:rsid w:val="00A56633"/>
    <w:rsid w:val="00A5725C"/>
    <w:rsid w:val="00A57E63"/>
    <w:rsid w:val="00A60717"/>
    <w:rsid w:val="00A611C7"/>
    <w:rsid w:val="00A63629"/>
    <w:rsid w:val="00A677B3"/>
    <w:rsid w:val="00A67E48"/>
    <w:rsid w:val="00A71290"/>
    <w:rsid w:val="00A72C92"/>
    <w:rsid w:val="00A72DD4"/>
    <w:rsid w:val="00A7548C"/>
    <w:rsid w:val="00A76316"/>
    <w:rsid w:val="00A7740C"/>
    <w:rsid w:val="00A7764E"/>
    <w:rsid w:val="00A77D39"/>
    <w:rsid w:val="00A77DC3"/>
    <w:rsid w:val="00A80373"/>
    <w:rsid w:val="00A80FD2"/>
    <w:rsid w:val="00A83826"/>
    <w:rsid w:val="00A855E4"/>
    <w:rsid w:val="00A90183"/>
    <w:rsid w:val="00A908FA"/>
    <w:rsid w:val="00A916EF"/>
    <w:rsid w:val="00A92F53"/>
    <w:rsid w:val="00A93191"/>
    <w:rsid w:val="00A94444"/>
    <w:rsid w:val="00A9650A"/>
    <w:rsid w:val="00A9672E"/>
    <w:rsid w:val="00A97E55"/>
    <w:rsid w:val="00AA0638"/>
    <w:rsid w:val="00AA1EA7"/>
    <w:rsid w:val="00AA1ED3"/>
    <w:rsid w:val="00AA51A2"/>
    <w:rsid w:val="00AA667A"/>
    <w:rsid w:val="00AA7B8E"/>
    <w:rsid w:val="00AA7EF9"/>
    <w:rsid w:val="00AB02FA"/>
    <w:rsid w:val="00AB0510"/>
    <w:rsid w:val="00AB06D0"/>
    <w:rsid w:val="00AB0D98"/>
    <w:rsid w:val="00AB2313"/>
    <w:rsid w:val="00AB267F"/>
    <w:rsid w:val="00AB2866"/>
    <w:rsid w:val="00AB373B"/>
    <w:rsid w:val="00AB5208"/>
    <w:rsid w:val="00AB7307"/>
    <w:rsid w:val="00AC59E5"/>
    <w:rsid w:val="00AC5AEF"/>
    <w:rsid w:val="00AC6AFF"/>
    <w:rsid w:val="00AD0095"/>
    <w:rsid w:val="00AD0D01"/>
    <w:rsid w:val="00AD1643"/>
    <w:rsid w:val="00AD267A"/>
    <w:rsid w:val="00AD3BEC"/>
    <w:rsid w:val="00AD3D14"/>
    <w:rsid w:val="00AD4DB2"/>
    <w:rsid w:val="00AD5145"/>
    <w:rsid w:val="00AD51F4"/>
    <w:rsid w:val="00AD572C"/>
    <w:rsid w:val="00AE0473"/>
    <w:rsid w:val="00AE1B3B"/>
    <w:rsid w:val="00AE42E2"/>
    <w:rsid w:val="00AE4E5E"/>
    <w:rsid w:val="00AF2A99"/>
    <w:rsid w:val="00AF2C40"/>
    <w:rsid w:val="00AF3779"/>
    <w:rsid w:val="00AF3F25"/>
    <w:rsid w:val="00AF40DC"/>
    <w:rsid w:val="00AF441B"/>
    <w:rsid w:val="00AF4508"/>
    <w:rsid w:val="00AF4562"/>
    <w:rsid w:val="00AF6216"/>
    <w:rsid w:val="00AF636D"/>
    <w:rsid w:val="00AF6CA8"/>
    <w:rsid w:val="00B0070C"/>
    <w:rsid w:val="00B03FCF"/>
    <w:rsid w:val="00B05235"/>
    <w:rsid w:val="00B057B2"/>
    <w:rsid w:val="00B05C15"/>
    <w:rsid w:val="00B06FA4"/>
    <w:rsid w:val="00B14F01"/>
    <w:rsid w:val="00B1588D"/>
    <w:rsid w:val="00B166EF"/>
    <w:rsid w:val="00B16CE9"/>
    <w:rsid w:val="00B17F23"/>
    <w:rsid w:val="00B210C8"/>
    <w:rsid w:val="00B21221"/>
    <w:rsid w:val="00B21B4F"/>
    <w:rsid w:val="00B22123"/>
    <w:rsid w:val="00B22568"/>
    <w:rsid w:val="00B23494"/>
    <w:rsid w:val="00B24357"/>
    <w:rsid w:val="00B244C2"/>
    <w:rsid w:val="00B24866"/>
    <w:rsid w:val="00B25179"/>
    <w:rsid w:val="00B26007"/>
    <w:rsid w:val="00B26503"/>
    <w:rsid w:val="00B26ABF"/>
    <w:rsid w:val="00B27F0C"/>
    <w:rsid w:val="00B32E85"/>
    <w:rsid w:val="00B33961"/>
    <w:rsid w:val="00B35829"/>
    <w:rsid w:val="00B35F28"/>
    <w:rsid w:val="00B35FE2"/>
    <w:rsid w:val="00B42096"/>
    <w:rsid w:val="00B42E70"/>
    <w:rsid w:val="00B432B6"/>
    <w:rsid w:val="00B445B7"/>
    <w:rsid w:val="00B44B44"/>
    <w:rsid w:val="00B5030F"/>
    <w:rsid w:val="00B50883"/>
    <w:rsid w:val="00B52E0C"/>
    <w:rsid w:val="00B53C73"/>
    <w:rsid w:val="00B560C3"/>
    <w:rsid w:val="00B575FB"/>
    <w:rsid w:val="00B60094"/>
    <w:rsid w:val="00B625C9"/>
    <w:rsid w:val="00B6345B"/>
    <w:rsid w:val="00B636D5"/>
    <w:rsid w:val="00B645A8"/>
    <w:rsid w:val="00B65611"/>
    <w:rsid w:val="00B65D61"/>
    <w:rsid w:val="00B703D8"/>
    <w:rsid w:val="00B71535"/>
    <w:rsid w:val="00B728D6"/>
    <w:rsid w:val="00B75E09"/>
    <w:rsid w:val="00B82EC5"/>
    <w:rsid w:val="00B82FBA"/>
    <w:rsid w:val="00B856F6"/>
    <w:rsid w:val="00B85D1E"/>
    <w:rsid w:val="00B9102D"/>
    <w:rsid w:val="00B91355"/>
    <w:rsid w:val="00B919C5"/>
    <w:rsid w:val="00B91D2A"/>
    <w:rsid w:val="00B93853"/>
    <w:rsid w:val="00B96985"/>
    <w:rsid w:val="00B97E68"/>
    <w:rsid w:val="00BA02BC"/>
    <w:rsid w:val="00BA0EC2"/>
    <w:rsid w:val="00BA1D06"/>
    <w:rsid w:val="00BA325F"/>
    <w:rsid w:val="00BA35A4"/>
    <w:rsid w:val="00BA369B"/>
    <w:rsid w:val="00BA467E"/>
    <w:rsid w:val="00BA529E"/>
    <w:rsid w:val="00BA5403"/>
    <w:rsid w:val="00BA6CFA"/>
    <w:rsid w:val="00BA71AD"/>
    <w:rsid w:val="00BA76E1"/>
    <w:rsid w:val="00BA79CD"/>
    <w:rsid w:val="00BB12DF"/>
    <w:rsid w:val="00BB1600"/>
    <w:rsid w:val="00BB19AA"/>
    <w:rsid w:val="00BB2707"/>
    <w:rsid w:val="00BB3114"/>
    <w:rsid w:val="00BB38D4"/>
    <w:rsid w:val="00BB5D56"/>
    <w:rsid w:val="00BB6914"/>
    <w:rsid w:val="00BC0D5A"/>
    <w:rsid w:val="00BC1464"/>
    <w:rsid w:val="00BC1701"/>
    <w:rsid w:val="00BC32C2"/>
    <w:rsid w:val="00BC45A0"/>
    <w:rsid w:val="00BC4E6D"/>
    <w:rsid w:val="00BC4ED7"/>
    <w:rsid w:val="00BC5160"/>
    <w:rsid w:val="00BC5AD5"/>
    <w:rsid w:val="00BC5D18"/>
    <w:rsid w:val="00BC6E49"/>
    <w:rsid w:val="00BC7F93"/>
    <w:rsid w:val="00BD0DCB"/>
    <w:rsid w:val="00BD124B"/>
    <w:rsid w:val="00BD1337"/>
    <w:rsid w:val="00BD3DF5"/>
    <w:rsid w:val="00BD498C"/>
    <w:rsid w:val="00BD4D7E"/>
    <w:rsid w:val="00BD5018"/>
    <w:rsid w:val="00BD5931"/>
    <w:rsid w:val="00BD5AA8"/>
    <w:rsid w:val="00BD5B05"/>
    <w:rsid w:val="00BD6335"/>
    <w:rsid w:val="00BD6797"/>
    <w:rsid w:val="00BE06BB"/>
    <w:rsid w:val="00BE0C49"/>
    <w:rsid w:val="00BE1565"/>
    <w:rsid w:val="00BE1582"/>
    <w:rsid w:val="00BE1898"/>
    <w:rsid w:val="00BE22B6"/>
    <w:rsid w:val="00BE260E"/>
    <w:rsid w:val="00BE2A43"/>
    <w:rsid w:val="00BE46A5"/>
    <w:rsid w:val="00BE647E"/>
    <w:rsid w:val="00BE66DA"/>
    <w:rsid w:val="00BE6B30"/>
    <w:rsid w:val="00BF2EB7"/>
    <w:rsid w:val="00BF704C"/>
    <w:rsid w:val="00BF7AB7"/>
    <w:rsid w:val="00C00113"/>
    <w:rsid w:val="00C02247"/>
    <w:rsid w:val="00C023CA"/>
    <w:rsid w:val="00C05836"/>
    <w:rsid w:val="00C06DA2"/>
    <w:rsid w:val="00C10131"/>
    <w:rsid w:val="00C10BA2"/>
    <w:rsid w:val="00C12418"/>
    <w:rsid w:val="00C170C8"/>
    <w:rsid w:val="00C1737D"/>
    <w:rsid w:val="00C20687"/>
    <w:rsid w:val="00C26187"/>
    <w:rsid w:val="00C26989"/>
    <w:rsid w:val="00C26DA9"/>
    <w:rsid w:val="00C27F6E"/>
    <w:rsid w:val="00C365CE"/>
    <w:rsid w:val="00C3715D"/>
    <w:rsid w:val="00C41154"/>
    <w:rsid w:val="00C41EDA"/>
    <w:rsid w:val="00C424B7"/>
    <w:rsid w:val="00C448FB"/>
    <w:rsid w:val="00C4585E"/>
    <w:rsid w:val="00C46061"/>
    <w:rsid w:val="00C46AB2"/>
    <w:rsid w:val="00C4767E"/>
    <w:rsid w:val="00C47714"/>
    <w:rsid w:val="00C47A1F"/>
    <w:rsid w:val="00C47A79"/>
    <w:rsid w:val="00C47C4D"/>
    <w:rsid w:val="00C47E24"/>
    <w:rsid w:val="00C50380"/>
    <w:rsid w:val="00C50914"/>
    <w:rsid w:val="00C51B6E"/>
    <w:rsid w:val="00C54496"/>
    <w:rsid w:val="00C560EA"/>
    <w:rsid w:val="00C5770F"/>
    <w:rsid w:val="00C606FB"/>
    <w:rsid w:val="00C60F39"/>
    <w:rsid w:val="00C61383"/>
    <w:rsid w:val="00C6192D"/>
    <w:rsid w:val="00C637ED"/>
    <w:rsid w:val="00C63ACE"/>
    <w:rsid w:val="00C63C99"/>
    <w:rsid w:val="00C640E6"/>
    <w:rsid w:val="00C657B3"/>
    <w:rsid w:val="00C65F88"/>
    <w:rsid w:val="00C6677A"/>
    <w:rsid w:val="00C67891"/>
    <w:rsid w:val="00C70E52"/>
    <w:rsid w:val="00C72A6F"/>
    <w:rsid w:val="00C73BFE"/>
    <w:rsid w:val="00C75197"/>
    <w:rsid w:val="00C758BB"/>
    <w:rsid w:val="00C7684E"/>
    <w:rsid w:val="00C809A1"/>
    <w:rsid w:val="00C819FC"/>
    <w:rsid w:val="00C8474C"/>
    <w:rsid w:val="00C85B2B"/>
    <w:rsid w:val="00C85D43"/>
    <w:rsid w:val="00C8779A"/>
    <w:rsid w:val="00C877D3"/>
    <w:rsid w:val="00C9182B"/>
    <w:rsid w:val="00C91868"/>
    <w:rsid w:val="00C9272D"/>
    <w:rsid w:val="00C9548D"/>
    <w:rsid w:val="00CA03A9"/>
    <w:rsid w:val="00CA0458"/>
    <w:rsid w:val="00CA06E0"/>
    <w:rsid w:val="00CA0F26"/>
    <w:rsid w:val="00CA186C"/>
    <w:rsid w:val="00CA1FD9"/>
    <w:rsid w:val="00CA3355"/>
    <w:rsid w:val="00CB0CCB"/>
    <w:rsid w:val="00CB2FCE"/>
    <w:rsid w:val="00CB4773"/>
    <w:rsid w:val="00CB6D36"/>
    <w:rsid w:val="00CB7A69"/>
    <w:rsid w:val="00CC204F"/>
    <w:rsid w:val="00CC260A"/>
    <w:rsid w:val="00CC2CD3"/>
    <w:rsid w:val="00CC42EC"/>
    <w:rsid w:val="00CC6C5D"/>
    <w:rsid w:val="00CC79E8"/>
    <w:rsid w:val="00CD0FC8"/>
    <w:rsid w:val="00CD2245"/>
    <w:rsid w:val="00CD3320"/>
    <w:rsid w:val="00CD4A61"/>
    <w:rsid w:val="00CD74A7"/>
    <w:rsid w:val="00CD7A82"/>
    <w:rsid w:val="00CE0DD0"/>
    <w:rsid w:val="00CE256F"/>
    <w:rsid w:val="00CE3AE1"/>
    <w:rsid w:val="00CF03ED"/>
    <w:rsid w:val="00CF0857"/>
    <w:rsid w:val="00CF24E0"/>
    <w:rsid w:val="00CF41D2"/>
    <w:rsid w:val="00CF56E1"/>
    <w:rsid w:val="00CF66FF"/>
    <w:rsid w:val="00D00235"/>
    <w:rsid w:val="00D02E4F"/>
    <w:rsid w:val="00D03058"/>
    <w:rsid w:val="00D035B3"/>
    <w:rsid w:val="00D04D78"/>
    <w:rsid w:val="00D05A6A"/>
    <w:rsid w:val="00D06188"/>
    <w:rsid w:val="00D062B8"/>
    <w:rsid w:val="00D064A2"/>
    <w:rsid w:val="00D06736"/>
    <w:rsid w:val="00D10B18"/>
    <w:rsid w:val="00D110E1"/>
    <w:rsid w:val="00D1166D"/>
    <w:rsid w:val="00D1243A"/>
    <w:rsid w:val="00D13DBD"/>
    <w:rsid w:val="00D140C7"/>
    <w:rsid w:val="00D17034"/>
    <w:rsid w:val="00D17EEC"/>
    <w:rsid w:val="00D20200"/>
    <w:rsid w:val="00D21172"/>
    <w:rsid w:val="00D21665"/>
    <w:rsid w:val="00D24862"/>
    <w:rsid w:val="00D254C5"/>
    <w:rsid w:val="00D26E0C"/>
    <w:rsid w:val="00D27799"/>
    <w:rsid w:val="00D3047A"/>
    <w:rsid w:val="00D310FC"/>
    <w:rsid w:val="00D31DF4"/>
    <w:rsid w:val="00D35621"/>
    <w:rsid w:val="00D359AE"/>
    <w:rsid w:val="00D36368"/>
    <w:rsid w:val="00D3668A"/>
    <w:rsid w:val="00D36B66"/>
    <w:rsid w:val="00D373D7"/>
    <w:rsid w:val="00D40DE1"/>
    <w:rsid w:val="00D42A52"/>
    <w:rsid w:val="00D46EEE"/>
    <w:rsid w:val="00D4700A"/>
    <w:rsid w:val="00D47C0F"/>
    <w:rsid w:val="00D50374"/>
    <w:rsid w:val="00D528AA"/>
    <w:rsid w:val="00D532B2"/>
    <w:rsid w:val="00D53D4F"/>
    <w:rsid w:val="00D56FB6"/>
    <w:rsid w:val="00D57704"/>
    <w:rsid w:val="00D57847"/>
    <w:rsid w:val="00D57F70"/>
    <w:rsid w:val="00D60A3D"/>
    <w:rsid w:val="00D61DA4"/>
    <w:rsid w:val="00D64D66"/>
    <w:rsid w:val="00D70E5F"/>
    <w:rsid w:val="00D710DE"/>
    <w:rsid w:val="00D7200E"/>
    <w:rsid w:val="00D7210E"/>
    <w:rsid w:val="00D72457"/>
    <w:rsid w:val="00D74952"/>
    <w:rsid w:val="00D76C41"/>
    <w:rsid w:val="00D7798B"/>
    <w:rsid w:val="00D77C08"/>
    <w:rsid w:val="00D80B4B"/>
    <w:rsid w:val="00D8344D"/>
    <w:rsid w:val="00D83FD1"/>
    <w:rsid w:val="00D87D0E"/>
    <w:rsid w:val="00D90BD3"/>
    <w:rsid w:val="00D9155E"/>
    <w:rsid w:val="00D91AFF"/>
    <w:rsid w:val="00D934B8"/>
    <w:rsid w:val="00D94A81"/>
    <w:rsid w:val="00D94B06"/>
    <w:rsid w:val="00D95329"/>
    <w:rsid w:val="00D97604"/>
    <w:rsid w:val="00DA326B"/>
    <w:rsid w:val="00DA4037"/>
    <w:rsid w:val="00DA4782"/>
    <w:rsid w:val="00DA4873"/>
    <w:rsid w:val="00DA5CD4"/>
    <w:rsid w:val="00DA713D"/>
    <w:rsid w:val="00DB39C4"/>
    <w:rsid w:val="00DB434B"/>
    <w:rsid w:val="00DB5C22"/>
    <w:rsid w:val="00DB6866"/>
    <w:rsid w:val="00DB689D"/>
    <w:rsid w:val="00DB6CB7"/>
    <w:rsid w:val="00DB6FBE"/>
    <w:rsid w:val="00DC0B8D"/>
    <w:rsid w:val="00DC0D6C"/>
    <w:rsid w:val="00DC2C51"/>
    <w:rsid w:val="00DC489B"/>
    <w:rsid w:val="00DC547A"/>
    <w:rsid w:val="00DC61AC"/>
    <w:rsid w:val="00DC623A"/>
    <w:rsid w:val="00DC6408"/>
    <w:rsid w:val="00DC65E9"/>
    <w:rsid w:val="00DD059C"/>
    <w:rsid w:val="00DD24A4"/>
    <w:rsid w:val="00DD24B6"/>
    <w:rsid w:val="00DD5660"/>
    <w:rsid w:val="00DD63A3"/>
    <w:rsid w:val="00DD7C13"/>
    <w:rsid w:val="00DE1AC7"/>
    <w:rsid w:val="00DE22BB"/>
    <w:rsid w:val="00DE34E1"/>
    <w:rsid w:val="00DE43FE"/>
    <w:rsid w:val="00DE4934"/>
    <w:rsid w:val="00DE55D7"/>
    <w:rsid w:val="00DE5C42"/>
    <w:rsid w:val="00DE65C5"/>
    <w:rsid w:val="00DF1507"/>
    <w:rsid w:val="00DF33BA"/>
    <w:rsid w:val="00DF3EA9"/>
    <w:rsid w:val="00DF4E37"/>
    <w:rsid w:val="00DF5271"/>
    <w:rsid w:val="00DF5D49"/>
    <w:rsid w:val="00DF5DDF"/>
    <w:rsid w:val="00DF7E81"/>
    <w:rsid w:val="00E00DD2"/>
    <w:rsid w:val="00E01425"/>
    <w:rsid w:val="00E02CFB"/>
    <w:rsid w:val="00E033A4"/>
    <w:rsid w:val="00E03593"/>
    <w:rsid w:val="00E071CC"/>
    <w:rsid w:val="00E0737F"/>
    <w:rsid w:val="00E077D1"/>
    <w:rsid w:val="00E07F53"/>
    <w:rsid w:val="00E10726"/>
    <w:rsid w:val="00E108C2"/>
    <w:rsid w:val="00E12948"/>
    <w:rsid w:val="00E12C02"/>
    <w:rsid w:val="00E12F2A"/>
    <w:rsid w:val="00E12F91"/>
    <w:rsid w:val="00E14155"/>
    <w:rsid w:val="00E14531"/>
    <w:rsid w:val="00E16396"/>
    <w:rsid w:val="00E1732D"/>
    <w:rsid w:val="00E2167C"/>
    <w:rsid w:val="00E223D8"/>
    <w:rsid w:val="00E226BE"/>
    <w:rsid w:val="00E228F7"/>
    <w:rsid w:val="00E24D84"/>
    <w:rsid w:val="00E250E3"/>
    <w:rsid w:val="00E266C4"/>
    <w:rsid w:val="00E2675B"/>
    <w:rsid w:val="00E2681D"/>
    <w:rsid w:val="00E26AB8"/>
    <w:rsid w:val="00E27326"/>
    <w:rsid w:val="00E2736E"/>
    <w:rsid w:val="00E27914"/>
    <w:rsid w:val="00E30107"/>
    <w:rsid w:val="00E3178C"/>
    <w:rsid w:val="00E319EF"/>
    <w:rsid w:val="00E31C11"/>
    <w:rsid w:val="00E34D72"/>
    <w:rsid w:val="00E34FEB"/>
    <w:rsid w:val="00E35F80"/>
    <w:rsid w:val="00E37A4D"/>
    <w:rsid w:val="00E37F44"/>
    <w:rsid w:val="00E40BC7"/>
    <w:rsid w:val="00E43F67"/>
    <w:rsid w:val="00E4563C"/>
    <w:rsid w:val="00E4565B"/>
    <w:rsid w:val="00E45F7F"/>
    <w:rsid w:val="00E47D93"/>
    <w:rsid w:val="00E504D7"/>
    <w:rsid w:val="00E5052D"/>
    <w:rsid w:val="00E53BE8"/>
    <w:rsid w:val="00E54621"/>
    <w:rsid w:val="00E54CEA"/>
    <w:rsid w:val="00E55A6F"/>
    <w:rsid w:val="00E573B7"/>
    <w:rsid w:val="00E57781"/>
    <w:rsid w:val="00E5779C"/>
    <w:rsid w:val="00E57CF2"/>
    <w:rsid w:val="00E57FBF"/>
    <w:rsid w:val="00E609B7"/>
    <w:rsid w:val="00E636F6"/>
    <w:rsid w:val="00E64C15"/>
    <w:rsid w:val="00E64E03"/>
    <w:rsid w:val="00E65FB3"/>
    <w:rsid w:val="00E67620"/>
    <w:rsid w:val="00E712C7"/>
    <w:rsid w:val="00E734AE"/>
    <w:rsid w:val="00E75A20"/>
    <w:rsid w:val="00E773E9"/>
    <w:rsid w:val="00E77C4C"/>
    <w:rsid w:val="00E81A9D"/>
    <w:rsid w:val="00E81F01"/>
    <w:rsid w:val="00E83B8E"/>
    <w:rsid w:val="00E84966"/>
    <w:rsid w:val="00E84BA8"/>
    <w:rsid w:val="00E84C38"/>
    <w:rsid w:val="00E86BAC"/>
    <w:rsid w:val="00E87A17"/>
    <w:rsid w:val="00E9031D"/>
    <w:rsid w:val="00E93CA5"/>
    <w:rsid w:val="00E94990"/>
    <w:rsid w:val="00E960FD"/>
    <w:rsid w:val="00E963F6"/>
    <w:rsid w:val="00E96970"/>
    <w:rsid w:val="00EA0BE4"/>
    <w:rsid w:val="00EA24EB"/>
    <w:rsid w:val="00EA2F94"/>
    <w:rsid w:val="00EA42E9"/>
    <w:rsid w:val="00EA51DE"/>
    <w:rsid w:val="00EA6607"/>
    <w:rsid w:val="00EA6E32"/>
    <w:rsid w:val="00EA7AF4"/>
    <w:rsid w:val="00EA7C52"/>
    <w:rsid w:val="00EB1900"/>
    <w:rsid w:val="00EB298A"/>
    <w:rsid w:val="00EB451E"/>
    <w:rsid w:val="00EB5E21"/>
    <w:rsid w:val="00EB6CB0"/>
    <w:rsid w:val="00EB6DB5"/>
    <w:rsid w:val="00EB6F0E"/>
    <w:rsid w:val="00EB7331"/>
    <w:rsid w:val="00EC0A06"/>
    <w:rsid w:val="00EC2998"/>
    <w:rsid w:val="00EC5A57"/>
    <w:rsid w:val="00EC66B4"/>
    <w:rsid w:val="00EC6F36"/>
    <w:rsid w:val="00EC76A9"/>
    <w:rsid w:val="00EC7C29"/>
    <w:rsid w:val="00ED0664"/>
    <w:rsid w:val="00ED08CA"/>
    <w:rsid w:val="00ED1C29"/>
    <w:rsid w:val="00ED2253"/>
    <w:rsid w:val="00ED38FC"/>
    <w:rsid w:val="00ED4457"/>
    <w:rsid w:val="00EE047C"/>
    <w:rsid w:val="00EE0A0E"/>
    <w:rsid w:val="00EE1CBA"/>
    <w:rsid w:val="00EE1DBF"/>
    <w:rsid w:val="00EE2415"/>
    <w:rsid w:val="00EE4152"/>
    <w:rsid w:val="00EE4D83"/>
    <w:rsid w:val="00EE5579"/>
    <w:rsid w:val="00EE5621"/>
    <w:rsid w:val="00EE6B70"/>
    <w:rsid w:val="00EE6BD6"/>
    <w:rsid w:val="00EE7773"/>
    <w:rsid w:val="00EF19CC"/>
    <w:rsid w:val="00EF37CC"/>
    <w:rsid w:val="00EF582C"/>
    <w:rsid w:val="00EF79B7"/>
    <w:rsid w:val="00EF7ABE"/>
    <w:rsid w:val="00F00241"/>
    <w:rsid w:val="00F01841"/>
    <w:rsid w:val="00F01DBA"/>
    <w:rsid w:val="00F023D8"/>
    <w:rsid w:val="00F0334F"/>
    <w:rsid w:val="00F03DDC"/>
    <w:rsid w:val="00F03ED7"/>
    <w:rsid w:val="00F05F31"/>
    <w:rsid w:val="00F0717E"/>
    <w:rsid w:val="00F0738C"/>
    <w:rsid w:val="00F1033C"/>
    <w:rsid w:val="00F106B2"/>
    <w:rsid w:val="00F1205A"/>
    <w:rsid w:val="00F1337D"/>
    <w:rsid w:val="00F1528E"/>
    <w:rsid w:val="00F15C99"/>
    <w:rsid w:val="00F16FEC"/>
    <w:rsid w:val="00F177BA"/>
    <w:rsid w:val="00F20C4E"/>
    <w:rsid w:val="00F20F26"/>
    <w:rsid w:val="00F21D12"/>
    <w:rsid w:val="00F22922"/>
    <w:rsid w:val="00F22D2D"/>
    <w:rsid w:val="00F24DDF"/>
    <w:rsid w:val="00F25704"/>
    <w:rsid w:val="00F25D72"/>
    <w:rsid w:val="00F27AC0"/>
    <w:rsid w:val="00F311E9"/>
    <w:rsid w:val="00F31393"/>
    <w:rsid w:val="00F32FBB"/>
    <w:rsid w:val="00F3321A"/>
    <w:rsid w:val="00F33A28"/>
    <w:rsid w:val="00F3524F"/>
    <w:rsid w:val="00F3655D"/>
    <w:rsid w:val="00F36806"/>
    <w:rsid w:val="00F37489"/>
    <w:rsid w:val="00F40364"/>
    <w:rsid w:val="00F4314E"/>
    <w:rsid w:val="00F440D6"/>
    <w:rsid w:val="00F4527F"/>
    <w:rsid w:val="00F45493"/>
    <w:rsid w:val="00F45AAB"/>
    <w:rsid w:val="00F47C26"/>
    <w:rsid w:val="00F53E10"/>
    <w:rsid w:val="00F545B7"/>
    <w:rsid w:val="00F54D51"/>
    <w:rsid w:val="00F55999"/>
    <w:rsid w:val="00F56382"/>
    <w:rsid w:val="00F57FE2"/>
    <w:rsid w:val="00F60464"/>
    <w:rsid w:val="00F607DF"/>
    <w:rsid w:val="00F61068"/>
    <w:rsid w:val="00F61E7D"/>
    <w:rsid w:val="00F62BA6"/>
    <w:rsid w:val="00F64D9E"/>
    <w:rsid w:val="00F67D1B"/>
    <w:rsid w:val="00F73752"/>
    <w:rsid w:val="00F76255"/>
    <w:rsid w:val="00F763E3"/>
    <w:rsid w:val="00F779C0"/>
    <w:rsid w:val="00F80473"/>
    <w:rsid w:val="00F81667"/>
    <w:rsid w:val="00F81F29"/>
    <w:rsid w:val="00F82BE0"/>
    <w:rsid w:val="00F83936"/>
    <w:rsid w:val="00F83A0D"/>
    <w:rsid w:val="00F83B6E"/>
    <w:rsid w:val="00F84C2F"/>
    <w:rsid w:val="00F8630C"/>
    <w:rsid w:val="00F904BC"/>
    <w:rsid w:val="00F9115E"/>
    <w:rsid w:val="00F9166D"/>
    <w:rsid w:val="00F92A05"/>
    <w:rsid w:val="00F9322C"/>
    <w:rsid w:val="00F948A0"/>
    <w:rsid w:val="00F95780"/>
    <w:rsid w:val="00F9652C"/>
    <w:rsid w:val="00F96789"/>
    <w:rsid w:val="00FA303E"/>
    <w:rsid w:val="00FA4358"/>
    <w:rsid w:val="00FA46EA"/>
    <w:rsid w:val="00FA752E"/>
    <w:rsid w:val="00FA763D"/>
    <w:rsid w:val="00FA7B98"/>
    <w:rsid w:val="00FB25BB"/>
    <w:rsid w:val="00FB2690"/>
    <w:rsid w:val="00FB3759"/>
    <w:rsid w:val="00FB3D3C"/>
    <w:rsid w:val="00FB44A1"/>
    <w:rsid w:val="00FC1021"/>
    <w:rsid w:val="00FC1C85"/>
    <w:rsid w:val="00FC4B5F"/>
    <w:rsid w:val="00FC4CD2"/>
    <w:rsid w:val="00FC78C7"/>
    <w:rsid w:val="00FD1056"/>
    <w:rsid w:val="00FD147C"/>
    <w:rsid w:val="00FD1847"/>
    <w:rsid w:val="00FD367F"/>
    <w:rsid w:val="00FD42C1"/>
    <w:rsid w:val="00FD43FA"/>
    <w:rsid w:val="00FE0E36"/>
    <w:rsid w:val="00FE1E52"/>
    <w:rsid w:val="00FE42DE"/>
    <w:rsid w:val="00FE484E"/>
    <w:rsid w:val="00FE499C"/>
    <w:rsid w:val="00FE4D03"/>
    <w:rsid w:val="00FF0F64"/>
    <w:rsid w:val="00FF1881"/>
    <w:rsid w:val="00FF24AB"/>
    <w:rsid w:val="00FF2A00"/>
    <w:rsid w:val="00FF31CA"/>
    <w:rsid w:val="00FF3D17"/>
    <w:rsid w:val="00FF513E"/>
    <w:rsid w:val="00FF5302"/>
    <w:rsid w:val="00FF6BA6"/>
    <w:rsid w:val="00FF79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96609"/>
    <o:shapelayout v:ext="edit">
      <o:idmap v:ext="edit" data="1"/>
    </o:shapelayout>
  </w:shapeDefaults>
  <w:decimalSymbol w:val="."/>
  <w:listSeparator w:val=","/>
  <w15:docId w15:val="{4354FED0-CB30-45BE-BE3A-9259F591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11C"/>
  </w:style>
  <w:style w:type="paragraph" w:styleId="Heading1">
    <w:name w:val="heading 1"/>
    <w:aliases w:val="Part"/>
    <w:basedOn w:val="Normal"/>
    <w:next w:val="Normal"/>
    <w:link w:val="Heading1Char"/>
    <w:uiPriority w:val="9"/>
    <w:qFormat/>
    <w:rsid w:val="00573375"/>
    <w:pPr>
      <w:keepNext/>
      <w:spacing w:before="240" w:after="60" w:line="240" w:lineRule="auto"/>
      <w:outlineLvl w:val="0"/>
    </w:pPr>
    <w:rPr>
      <w:rFonts w:ascii="Arial" w:eastAsia="Times New Roman" w:hAnsi="Arial" w:cs="Arial"/>
      <w:b/>
      <w:bCs/>
      <w:kern w:val="32"/>
      <w:sz w:val="32"/>
      <w:szCs w:val="32"/>
      <w:lang w:eastAsia="en-AU"/>
    </w:rPr>
  </w:style>
  <w:style w:type="paragraph" w:styleId="Heading2">
    <w:name w:val="heading 2"/>
    <w:basedOn w:val="Normal"/>
    <w:next w:val="Normal"/>
    <w:link w:val="Heading2Char"/>
    <w:uiPriority w:val="9"/>
    <w:qFormat/>
    <w:rsid w:val="000C5C33"/>
    <w:pPr>
      <w:keepNext/>
      <w:spacing w:before="240" w:after="60" w:line="240" w:lineRule="auto"/>
      <w:outlineLvl w:val="1"/>
    </w:pPr>
    <w:rPr>
      <w:rFonts w:ascii="Arial" w:eastAsia="Times New Roman" w:hAnsi="Arial" w:cs="Arial"/>
      <w:b/>
      <w:bCs/>
      <w:i/>
      <w:iCs/>
      <w:sz w:val="28"/>
      <w:szCs w:val="28"/>
      <w:lang w:eastAsia="en-AU"/>
    </w:rPr>
  </w:style>
  <w:style w:type="paragraph" w:styleId="Heading3">
    <w:name w:val="heading 3"/>
    <w:aliases w:val="H3 AASSOGS"/>
    <w:basedOn w:val="Normal"/>
    <w:next w:val="Normal"/>
    <w:link w:val="Heading3Char"/>
    <w:unhideWhenUsed/>
    <w:qFormat/>
    <w:rsid w:val="000C5C3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aliases w:val="Block Label"/>
    <w:basedOn w:val="Normal"/>
    <w:next w:val="Normal"/>
    <w:link w:val="Heading5Char"/>
    <w:uiPriority w:val="9"/>
    <w:qFormat/>
    <w:rsid w:val="00573375"/>
    <w:pPr>
      <w:overflowPunct w:val="0"/>
      <w:autoSpaceDE w:val="0"/>
      <w:autoSpaceDN w:val="0"/>
      <w:adjustRightInd w:val="0"/>
      <w:spacing w:after="0" w:line="240" w:lineRule="auto"/>
      <w:textAlignment w:val="baseline"/>
      <w:outlineLvl w:val="4"/>
    </w:pPr>
    <w:rPr>
      <w:rFonts w:ascii="Calibri" w:eastAsia="Times New Roman" w:hAnsi="Calibri"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C33"/>
    <w:rPr>
      <w:rFonts w:ascii="Arial" w:eastAsia="Times New Roman" w:hAnsi="Arial" w:cs="Arial"/>
      <w:b/>
      <w:bCs/>
      <w:i/>
      <w:iCs/>
      <w:sz w:val="28"/>
      <w:szCs w:val="28"/>
      <w:lang w:eastAsia="en-AU"/>
    </w:rPr>
  </w:style>
  <w:style w:type="character" w:customStyle="1" w:styleId="Heading3Char">
    <w:name w:val="Heading 3 Char"/>
    <w:aliases w:val="H3 AASSOGS Char"/>
    <w:basedOn w:val="DefaultParagraphFont"/>
    <w:link w:val="Heading3"/>
    <w:rsid w:val="000C5C33"/>
    <w:rPr>
      <w:rFonts w:asciiTheme="majorHAnsi" w:eastAsiaTheme="majorEastAsia" w:hAnsiTheme="majorHAnsi" w:cstheme="majorBidi"/>
      <w:b/>
      <w:bCs/>
      <w:color w:val="4F81BD" w:themeColor="accent1"/>
    </w:rPr>
  </w:style>
  <w:style w:type="paragraph" w:styleId="ListParagraph">
    <w:name w:val="List Paragraph"/>
    <w:aliases w:val="List Paragraph - bullets,Recommendation,L,Bullet point"/>
    <w:basedOn w:val="Normal"/>
    <w:link w:val="ListParagraphChar"/>
    <w:uiPriority w:val="34"/>
    <w:qFormat/>
    <w:rsid w:val="000C5C33"/>
    <w:pPr>
      <w:ind w:left="720"/>
      <w:contextualSpacing/>
    </w:pPr>
  </w:style>
  <w:style w:type="paragraph" w:styleId="BalloonText">
    <w:name w:val="Balloon Text"/>
    <w:basedOn w:val="Normal"/>
    <w:link w:val="BalloonTextChar"/>
    <w:uiPriority w:val="99"/>
    <w:unhideWhenUsed/>
    <w:rsid w:val="000C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C5C33"/>
    <w:rPr>
      <w:rFonts w:ascii="Tahoma" w:hAnsi="Tahoma" w:cs="Tahoma"/>
      <w:sz w:val="16"/>
      <w:szCs w:val="16"/>
    </w:rPr>
  </w:style>
  <w:style w:type="paragraph" w:customStyle="1" w:styleId="SubHeading">
    <w:name w:val="SubHeading"/>
    <w:basedOn w:val="Normal"/>
    <w:link w:val="SubHeadingChar"/>
    <w:autoRedefine/>
    <w:rsid w:val="0079535D"/>
    <w:pPr>
      <w:spacing w:after="0" w:line="240" w:lineRule="auto"/>
      <w:ind w:left="720" w:right="-96" w:hanging="720"/>
      <w:jc w:val="both"/>
    </w:pPr>
    <w:rPr>
      <w:rFonts w:eastAsia="Times New Roman" w:cs="Arial"/>
      <w:b/>
      <w:bCs/>
      <w:lang w:eastAsia="en-AU"/>
    </w:rPr>
  </w:style>
  <w:style w:type="paragraph" w:customStyle="1" w:styleId="H1AASSOGS">
    <w:name w:val="H1 AASSOGS"/>
    <w:basedOn w:val="Normal"/>
    <w:link w:val="AASSOGSHeading1Char"/>
    <w:qFormat/>
    <w:rsid w:val="000C5C33"/>
    <w:pPr>
      <w:numPr>
        <w:numId w:val="2"/>
      </w:numPr>
      <w:spacing w:after="0" w:line="240" w:lineRule="auto"/>
    </w:pPr>
    <w:rPr>
      <w:rFonts w:ascii="Calibri" w:eastAsia="Times New Roman" w:hAnsi="Calibri" w:cs="Arial"/>
      <w:b/>
      <w:smallCaps/>
      <w:sz w:val="32"/>
      <w:szCs w:val="32"/>
      <w:lang w:eastAsia="en-AU"/>
    </w:rPr>
  </w:style>
  <w:style w:type="paragraph" w:customStyle="1" w:styleId="H2AASSOGS">
    <w:name w:val="H2 AASSOGS"/>
    <w:basedOn w:val="SubHeading"/>
    <w:link w:val="H2AASSOGSChar"/>
    <w:qFormat/>
    <w:rsid w:val="000C5C33"/>
    <w:rPr>
      <w:rFonts w:ascii="Calibri" w:hAnsi="Calibri"/>
    </w:rPr>
  </w:style>
  <w:style w:type="character" w:customStyle="1" w:styleId="H2AASSOGSChar">
    <w:name w:val="H2 AASSOGS Char"/>
    <w:basedOn w:val="DefaultParagraphFont"/>
    <w:link w:val="H2AASSOGS"/>
    <w:locked/>
    <w:rsid w:val="000C5C33"/>
    <w:rPr>
      <w:rFonts w:ascii="Calibri" w:eastAsia="Times New Roman" w:hAnsi="Calibri" w:cs="Arial"/>
      <w:b/>
      <w:bCs/>
      <w:lang w:eastAsia="en-AU"/>
    </w:rPr>
  </w:style>
  <w:style w:type="paragraph" w:customStyle="1" w:styleId="DotPoints1">
    <w:name w:val="Dot Points 1"/>
    <w:basedOn w:val="Normal"/>
    <w:link w:val="DotPoints1Char"/>
    <w:qFormat/>
    <w:rsid w:val="000C5C33"/>
    <w:pPr>
      <w:numPr>
        <w:numId w:val="1"/>
      </w:numPr>
      <w:overflowPunct w:val="0"/>
      <w:autoSpaceDE w:val="0"/>
      <w:autoSpaceDN w:val="0"/>
      <w:adjustRightInd w:val="0"/>
      <w:spacing w:before="120" w:after="0" w:line="240" w:lineRule="auto"/>
      <w:textAlignment w:val="baseline"/>
    </w:pPr>
    <w:rPr>
      <w:rFonts w:ascii="Calibri" w:eastAsia="Times New Roman" w:hAnsi="Calibri" w:cs="Arial"/>
      <w:lang w:eastAsia="en-AU"/>
    </w:rPr>
  </w:style>
  <w:style w:type="character" w:customStyle="1" w:styleId="DotPoints1Char">
    <w:name w:val="Dot Points 1 Char"/>
    <w:basedOn w:val="DefaultParagraphFont"/>
    <w:link w:val="DotPoints1"/>
    <w:rsid w:val="000C5C33"/>
    <w:rPr>
      <w:rFonts w:ascii="Calibri" w:eastAsia="Times New Roman" w:hAnsi="Calibri" w:cs="Arial"/>
      <w:lang w:eastAsia="en-AU"/>
    </w:rPr>
  </w:style>
  <w:style w:type="character" w:styleId="Hyperlink">
    <w:name w:val="Hyperlink"/>
    <w:basedOn w:val="DefaultParagraphFont"/>
    <w:uiPriority w:val="99"/>
    <w:rsid w:val="000C5C33"/>
    <w:rPr>
      <w:rFonts w:cs="Times New Roman"/>
      <w:color w:val="0000FF"/>
      <w:u w:val="single"/>
    </w:rPr>
  </w:style>
  <w:style w:type="paragraph" w:customStyle="1" w:styleId="DotPoints2">
    <w:name w:val="Dot Points 2"/>
    <w:basedOn w:val="Normal"/>
    <w:link w:val="DotPoints2Char"/>
    <w:qFormat/>
    <w:rsid w:val="000C5C33"/>
    <w:pPr>
      <w:numPr>
        <w:numId w:val="3"/>
      </w:numPr>
      <w:spacing w:before="120" w:after="0" w:line="240" w:lineRule="auto"/>
    </w:pPr>
    <w:rPr>
      <w:rFonts w:ascii="Calibri" w:eastAsia="Times New Roman" w:hAnsi="Calibri" w:cs="Arial"/>
      <w:lang w:eastAsia="en-AU"/>
    </w:rPr>
  </w:style>
  <w:style w:type="character" w:customStyle="1" w:styleId="DotPoints2Char">
    <w:name w:val="Dot Points 2 Char"/>
    <w:basedOn w:val="DefaultParagraphFont"/>
    <w:link w:val="DotPoints2"/>
    <w:rsid w:val="000C5C33"/>
    <w:rPr>
      <w:rFonts w:ascii="Calibri" w:eastAsia="Times New Roman" w:hAnsi="Calibri" w:cs="Arial"/>
      <w:lang w:eastAsia="en-AU"/>
    </w:rPr>
  </w:style>
  <w:style w:type="paragraph" w:customStyle="1" w:styleId="sub-paraxChar">
    <w:name w:val="sub-para (x) Char"/>
    <w:basedOn w:val="Normal"/>
    <w:rsid w:val="000C5C33"/>
    <w:pPr>
      <w:widowControl w:val="0"/>
      <w:numPr>
        <w:numId w:val="5"/>
      </w:numPr>
      <w:spacing w:after="0" w:line="240" w:lineRule="auto"/>
    </w:pPr>
    <w:rPr>
      <w:rFonts w:ascii="Garamond" w:eastAsia="Times New Roman" w:hAnsi="Garamond" w:cs="Times New Roman"/>
      <w:color w:val="000000"/>
      <w:szCs w:val="20"/>
      <w:lang w:eastAsia="en-AU"/>
    </w:rPr>
  </w:style>
  <w:style w:type="character" w:customStyle="1" w:styleId="SubHeadingChar">
    <w:name w:val="SubHeading Char"/>
    <w:basedOn w:val="DefaultParagraphFont"/>
    <w:link w:val="SubHeading"/>
    <w:locked/>
    <w:rsid w:val="0079535D"/>
    <w:rPr>
      <w:rFonts w:eastAsia="Times New Roman" w:cs="Arial"/>
      <w:b/>
      <w:bCs/>
      <w:lang w:eastAsia="en-AU"/>
    </w:rPr>
  </w:style>
  <w:style w:type="character" w:customStyle="1" w:styleId="schedule3Char">
    <w:name w:val="schedule 3 Char"/>
    <w:basedOn w:val="DefaultParagraphFont"/>
    <w:link w:val="schedule3"/>
    <w:locked/>
    <w:rsid w:val="000C5C33"/>
    <w:rPr>
      <w:rFonts w:ascii="Garamond" w:hAnsi="Garamond"/>
      <w:sz w:val="24"/>
    </w:rPr>
  </w:style>
  <w:style w:type="paragraph" w:customStyle="1" w:styleId="schedule3">
    <w:name w:val="schedule 3"/>
    <w:link w:val="schedule3Char"/>
    <w:rsid w:val="000C5C33"/>
    <w:pPr>
      <w:numPr>
        <w:numId w:val="6"/>
      </w:numPr>
      <w:spacing w:before="120" w:after="0" w:line="240" w:lineRule="auto"/>
    </w:pPr>
    <w:rPr>
      <w:rFonts w:ascii="Garamond" w:hAnsi="Garamond"/>
      <w:sz w:val="24"/>
    </w:rPr>
  </w:style>
  <w:style w:type="paragraph" w:customStyle="1" w:styleId="BulletText1">
    <w:name w:val="Bullet Text 1"/>
    <w:basedOn w:val="Normal"/>
    <w:rsid w:val="000C5C33"/>
    <w:pPr>
      <w:overflowPunct w:val="0"/>
      <w:autoSpaceDE w:val="0"/>
      <w:autoSpaceDN w:val="0"/>
      <w:adjustRightInd w:val="0"/>
      <w:spacing w:after="0" w:line="240" w:lineRule="auto"/>
      <w:ind w:left="187" w:hanging="187"/>
      <w:textAlignment w:val="baseline"/>
    </w:pPr>
    <w:rPr>
      <w:rFonts w:ascii="Calibri" w:eastAsia="Times New Roman" w:hAnsi="Calibri" w:cs="Times New Roman"/>
      <w:szCs w:val="20"/>
      <w:lang w:val="en-US"/>
    </w:rPr>
  </w:style>
  <w:style w:type="paragraph" w:styleId="BodyTextIndent">
    <w:name w:val="Body Text Indent"/>
    <w:basedOn w:val="Normal"/>
    <w:link w:val="BodyTextIndentChar"/>
    <w:uiPriority w:val="99"/>
    <w:rsid w:val="000C5C33"/>
    <w:pPr>
      <w:spacing w:after="120" w:line="240" w:lineRule="auto"/>
      <w:ind w:left="283"/>
    </w:pPr>
    <w:rPr>
      <w:rFonts w:ascii="Calibri" w:eastAsia="Times New Roman" w:hAnsi="Calibri" w:cs="Times New Roman"/>
      <w:szCs w:val="24"/>
      <w:lang w:eastAsia="en-AU"/>
    </w:rPr>
  </w:style>
  <w:style w:type="character" w:customStyle="1" w:styleId="BodyTextIndentChar">
    <w:name w:val="Body Text Indent Char"/>
    <w:basedOn w:val="DefaultParagraphFont"/>
    <w:link w:val="BodyTextIndent"/>
    <w:uiPriority w:val="99"/>
    <w:rsid w:val="000C5C33"/>
    <w:rPr>
      <w:rFonts w:ascii="Calibri" w:eastAsia="Times New Roman" w:hAnsi="Calibri" w:cs="Times New Roman"/>
      <w:szCs w:val="24"/>
      <w:lang w:eastAsia="en-AU"/>
    </w:rPr>
  </w:style>
  <w:style w:type="paragraph" w:styleId="BlockText">
    <w:name w:val="Block Text"/>
    <w:basedOn w:val="Normal"/>
    <w:uiPriority w:val="99"/>
    <w:rsid w:val="000C5C33"/>
    <w:pPr>
      <w:overflowPunct w:val="0"/>
      <w:autoSpaceDE w:val="0"/>
      <w:autoSpaceDN w:val="0"/>
      <w:adjustRightInd w:val="0"/>
      <w:spacing w:after="0" w:line="240" w:lineRule="auto"/>
      <w:textAlignment w:val="baseline"/>
    </w:pPr>
    <w:rPr>
      <w:rFonts w:ascii="Calibri" w:eastAsia="Times New Roman" w:hAnsi="Calibri" w:cs="Times New Roman"/>
      <w:szCs w:val="20"/>
      <w:lang w:val="en-US"/>
    </w:rPr>
  </w:style>
  <w:style w:type="paragraph" w:customStyle="1" w:styleId="TableText">
    <w:name w:val="Table Text"/>
    <w:basedOn w:val="Normal"/>
    <w:rsid w:val="000C5C33"/>
    <w:pPr>
      <w:overflowPunct w:val="0"/>
      <w:autoSpaceDE w:val="0"/>
      <w:autoSpaceDN w:val="0"/>
      <w:adjustRightInd w:val="0"/>
      <w:spacing w:after="0" w:line="240" w:lineRule="auto"/>
      <w:textAlignment w:val="baseline"/>
    </w:pPr>
    <w:rPr>
      <w:rFonts w:ascii="Calibri" w:eastAsia="Times New Roman" w:hAnsi="Calibri" w:cs="Times New Roman"/>
      <w:szCs w:val="20"/>
      <w:lang w:val="en-US"/>
    </w:rPr>
  </w:style>
  <w:style w:type="character" w:customStyle="1" w:styleId="AASSOGSHeading1Char">
    <w:name w:val="AASSOGS Heading 1 Char"/>
    <w:basedOn w:val="DefaultParagraphFont"/>
    <w:link w:val="H1AASSOGS"/>
    <w:locked/>
    <w:rsid w:val="000C5C33"/>
    <w:rPr>
      <w:rFonts w:ascii="Calibri" w:eastAsia="Times New Roman" w:hAnsi="Calibri" w:cs="Arial"/>
      <w:b/>
      <w:smallCaps/>
      <w:sz w:val="32"/>
      <w:szCs w:val="32"/>
      <w:lang w:eastAsia="en-AU"/>
    </w:rPr>
  </w:style>
  <w:style w:type="table" w:styleId="TableGrid">
    <w:name w:val="Table Grid"/>
    <w:basedOn w:val="TableNormal"/>
    <w:uiPriority w:val="59"/>
    <w:rsid w:val="000C5C3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inParagraph">
    <w:name w:val="Plain Paragraph"/>
    <w:basedOn w:val="Normal"/>
    <w:link w:val="PlainParagraphChar"/>
    <w:uiPriority w:val="99"/>
    <w:rsid w:val="000C5C33"/>
    <w:pPr>
      <w:spacing w:before="140" w:after="140" w:line="280" w:lineRule="atLeast"/>
      <w:ind w:left="1134"/>
    </w:pPr>
    <w:rPr>
      <w:rFonts w:ascii="Arial" w:eastAsia="Times New Roman" w:hAnsi="Arial" w:cs="Arial"/>
      <w:lang w:eastAsia="en-AU"/>
    </w:rPr>
  </w:style>
  <w:style w:type="character" w:customStyle="1" w:styleId="PlainParagraphChar">
    <w:name w:val="Plain Paragraph Char"/>
    <w:basedOn w:val="DefaultParagraphFont"/>
    <w:link w:val="PlainParagraph"/>
    <w:uiPriority w:val="99"/>
    <w:locked/>
    <w:rsid w:val="000C5C33"/>
    <w:rPr>
      <w:rFonts w:ascii="Arial" w:eastAsia="Times New Roman" w:hAnsi="Arial" w:cs="Arial"/>
      <w:lang w:eastAsia="en-AU"/>
    </w:rPr>
  </w:style>
  <w:style w:type="paragraph" w:styleId="BodyText">
    <w:name w:val="Body Text"/>
    <w:basedOn w:val="Normal"/>
    <w:link w:val="BodyTextChar"/>
    <w:uiPriority w:val="99"/>
    <w:unhideWhenUsed/>
    <w:rsid w:val="000C5C33"/>
    <w:pPr>
      <w:spacing w:after="120"/>
    </w:pPr>
  </w:style>
  <w:style w:type="character" w:customStyle="1" w:styleId="BodyTextChar">
    <w:name w:val="Body Text Char"/>
    <w:basedOn w:val="DefaultParagraphFont"/>
    <w:link w:val="BodyText"/>
    <w:uiPriority w:val="99"/>
    <w:rsid w:val="000C5C33"/>
  </w:style>
  <w:style w:type="paragraph" w:customStyle="1" w:styleId="DotPointsRoman">
    <w:name w:val="Dot Points Roman"/>
    <w:basedOn w:val="Normal"/>
    <w:link w:val="DotPointsRomanChar"/>
    <w:qFormat/>
    <w:rsid w:val="000C5C33"/>
    <w:pPr>
      <w:numPr>
        <w:numId w:val="7"/>
      </w:numPr>
      <w:tabs>
        <w:tab w:val="left" w:pos="972"/>
      </w:tabs>
      <w:spacing w:before="60" w:after="100" w:afterAutospacing="1" w:line="240" w:lineRule="auto"/>
    </w:pPr>
    <w:rPr>
      <w:rFonts w:ascii="Calibri" w:eastAsia="Times New Roman" w:hAnsi="Calibri" w:cs="Arial"/>
      <w:lang w:eastAsia="en-AU"/>
    </w:rPr>
  </w:style>
  <w:style w:type="character" w:customStyle="1" w:styleId="DotPointsRomanChar">
    <w:name w:val="Dot Points Roman Char"/>
    <w:basedOn w:val="DefaultParagraphFont"/>
    <w:link w:val="DotPointsRoman"/>
    <w:rsid w:val="000C5C33"/>
    <w:rPr>
      <w:rFonts w:ascii="Calibri" w:eastAsia="Times New Roman" w:hAnsi="Calibri" w:cs="Arial"/>
      <w:lang w:eastAsia="en-AU"/>
    </w:rPr>
  </w:style>
  <w:style w:type="paragraph" w:styleId="Footer">
    <w:name w:val="footer"/>
    <w:basedOn w:val="Normal"/>
    <w:link w:val="FooterChar"/>
    <w:uiPriority w:val="99"/>
    <w:rsid w:val="000C5C33"/>
    <w:pPr>
      <w:tabs>
        <w:tab w:val="center" w:pos="4320"/>
        <w:tab w:val="right" w:pos="8640"/>
      </w:tabs>
      <w:overflowPunct w:val="0"/>
      <w:autoSpaceDE w:val="0"/>
      <w:autoSpaceDN w:val="0"/>
      <w:adjustRightInd w:val="0"/>
      <w:spacing w:after="0" w:line="240" w:lineRule="auto"/>
      <w:textAlignment w:val="baseline"/>
    </w:pPr>
    <w:rPr>
      <w:rFonts w:ascii="Calibri" w:eastAsia="Times New Roman" w:hAnsi="Calibri" w:cs="Times New Roman"/>
      <w:szCs w:val="20"/>
      <w:lang w:val="en-US"/>
    </w:rPr>
  </w:style>
  <w:style w:type="character" w:customStyle="1" w:styleId="FooterChar">
    <w:name w:val="Footer Char"/>
    <w:basedOn w:val="DefaultParagraphFont"/>
    <w:link w:val="Footer"/>
    <w:uiPriority w:val="99"/>
    <w:rsid w:val="000C5C33"/>
    <w:rPr>
      <w:rFonts w:ascii="Calibri" w:eastAsia="Times New Roman" w:hAnsi="Calibri" w:cs="Times New Roman"/>
      <w:szCs w:val="20"/>
      <w:lang w:val="en-US"/>
    </w:rPr>
  </w:style>
  <w:style w:type="paragraph" w:customStyle="1" w:styleId="TopHeadiing">
    <w:name w:val="TopHeadiing"/>
    <w:basedOn w:val="Normal"/>
    <w:link w:val="TopHeadiingChar"/>
    <w:rsid w:val="000C5C33"/>
    <w:pPr>
      <w:numPr>
        <w:numId w:val="8"/>
      </w:numPr>
      <w:spacing w:after="0" w:line="240" w:lineRule="auto"/>
      <w:ind w:hanging="720"/>
    </w:pPr>
    <w:rPr>
      <w:rFonts w:ascii="Arial" w:eastAsia="Times New Roman" w:hAnsi="Arial" w:cs="Arial"/>
      <w:b/>
      <w:sz w:val="32"/>
      <w:szCs w:val="32"/>
      <w:lang w:eastAsia="en-AU"/>
    </w:rPr>
  </w:style>
  <w:style w:type="character" w:customStyle="1" w:styleId="TopHeadiingChar">
    <w:name w:val="TopHeadiing Char"/>
    <w:basedOn w:val="DefaultParagraphFont"/>
    <w:link w:val="TopHeadiing"/>
    <w:locked/>
    <w:rsid w:val="000C5C33"/>
    <w:rPr>
      <w:rFonts w:ascii="Arial" w:eastAsia="Times New Roman" w:hAnsi="Arial" w:cs="Arial"/>
      <w:b/>
      <w:sz w:val="32"/>
      <w:szCs w:val="32"/>
      <w:lang w:eastAsia="en-AU"/>
    </w:rPr>
  </w:style>
  <w:style w:type="paragraph" w:customStyle="1" w:styleId="numberedpara">
    <w:name w:val="numbered para"/>
    <w:basedOn w:val="Normal"/>
    <w:uiPriority w:val="99"/>
    <w:rsid w:val="000C5C33"/>
    <w:pPr>
      <w:numPr>
        <w:numId w:val="9"/>
      </w:numPr>
      <w:spacing w:after="0" w:line="240" w:lineRule="auto"/>
    </w:pPr>
    <w:rPr>
      <w:rFonts w:ascii="Calibri" w:hAnsi="Calibri" w:cs="Times New Roman"/>
    </w:rPr>
  </w:style>
  <w:style w:type="character" w:styleId="FollowedHyperlink">
    <w:name w:val="FollowedHyperlink"/>
    <w:basedOn w:val="DefaultParagraphFont"/>
    <w:uiPriority w:val="99"/>
    <w:unhideWhenUsed/>
    <w:rsid w:val="000C5C33"/>
    <w:rPr>
      <w:color w:val="800080" w:themeColor="followedHyperlink"/>
      <w:u w:val="single"/>
    </w:rPr>
  </w:style>
  <w:style w:type="character" w:styleId="CommentReference">
    <w:name w:val="annotation reference"/>
    <w:basedOn w:val="DefaultParagraphFont"/>
    <w:uiPriority w:val="99"/>
    <w:unhideWhenUsed/>
    <w:rsid w:val="000C5C33"/>
    <w:rPr>
      <w:sz w:val="16"/>
      <w:szCs w:val="16"/>
    </w:rPr>
  </w:style>
  <w:style w:type="paragraph" w:styleId="CommentText">
    <w:name w:val="annotation text"/>
    <w:basedOn w:val="Normal"/>
    <w:link w:val="CommentTextChar"/>
    <w:uiPriority w:val="99"/>
    <w:unhideWhenUsed/>
    <w:rsid w:val="000C5C33"/>
    <w:pPr>
      <w:spacing w:line="240" w:lineRule="auto"/>
    </w:pPr>
    <w:rPr>
      <w:sz w:val="20"/>
      <w:szCs w:val="20"/>
    </w:rPr>
  </w:style>
  <w:style w:type="character" w:customStyle="1" w:styleId="CommentTextChar">
    <w:name w:val="Comment Text Char"/>
    <w:basedOn w:val="DefaultParagraphFont"/>
    <w:link w:val="CommentText"/>
    <w:uiPriority w:val="99"/>
    <w:rsid w:val="000C5C33"/>
    <w:rPr>
      <w:sz w:val="20"/>
      <w:szCs w:val="20"/>
    </w:rPr>
  </w:style>
  <w:style w:type="paragraph" w:styleId="CommentSubject">
    <w:name w:val="annotation subject"/>
    <w:basedOn w:val="CommentText"/>
    <w:next w:val="CommentText"/>
    <w:link w:val="CommentSubjectChar"/>
    <w:uiPriority w:val="99"/>
    <w:unhideWhenUsed/>
    <w:rsid w:val="000C5C33"/>
    <w:rPr>
      <w:b/>
      <w:bCs/>
    </w:rPr>
  </w:style>
  <w:style w:type="character" w:customStyle="1" w:styleId="CommentSubjectChar">
    <w:name w:val="Comment Subject Char"/>
    <w:basedOn w:val="CommentTextChar"/>
    <w:link w:val="CommentSubject"/>
    <w:uiPriority w:val="99"/>
    <w:rsid w:val="000C5C33"/>
    <w:rPr>
      <w:b/>
      <w:bCs/>
      <w:sz w:val="20"/>
      <w:szCs w:val="20"/>
    </w:rPr>
  </w:style>
  <w:style w:type="paragraph" w:styleId="Header">
    <w:name w:val="header"/>
    <w:basedOn w:val="Normal"/>
    <w:link w:val="HeaderChar"/>
    <w:uiPriority w:val="99"/>
    <w:unhideWhenUsed/>
    <w:rsid w:val="006C6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62A"/>
  </w:style>
  <w:style w:type="character" w:customStyle="1" w:styleId="Heading1Char">
    <w:name w:val="Heading 1 Char"/>
    <w:aliases w:val="Part Char"/>
    <w:basedOn w:val="DefaultParagraphFont"/>
    <w:link w:val="Heading1"/>
    <w:uiPriority w:val="9"/>
    <w:rsid w:val="00573375"/>
    <w:rPr>
      <w:rFonts w:ascii="Arial" w:eastAsia="Times New Roman" w:hAnsi="Arial" w:cs="Arial"/>
      <w:b/>
      <w:bCs/>
      <w:kern w:val="32"/>
      <w:sz w:val="32"/>
      <w:szCs w:val="32"/>
      <w:lang w:eastAsia="en-AU"/>
    </w:rPr>
  </w:style>
  <w:style w:type="character" w:customStyle="1" w:styleId="Heading5Char">
    <w:name w:val="Heading 5 Char"/>
    <w:aliases w:val="Block Label Char"/>
    <w:basedOn w:val="DefaultParagraphFont"/>
    <w:link w:val="Heading5"/>
    <w:uiPriority w:val="9"/>
    <w:rsid w:val="00573375"/>
    <w:rPr>
      <w:rFonts w:ascii="Calibri" w:eastAsia="Times New Roman" w:hAnsi="Calibri" w:cs="Times New Roman"/>
      <w:b/>
      <w:szCs w:val="20"/>
      <w:lang w:val="en-US"/>
    </w:rPr>
  </w:style>
  <w:style w:type="numbering" w:customStyle="1" w:styleId="NoList1">
    <w:name w:val="No List1"/>
    <w:next w:val="NoList"/>
    <w:uiPriority w:val="99"/>
    <w:semiHidden/>
    <w:unhideWhenUsed/>
    <w:rsid w:val="00573375"/>
  </w:style>
  <w:style w:type="paragraph" w:customStyle="1" w:styleId="Char">
    <w:name w:val="Char"/>
    <w:basedOn w:val="Normal"/>
    <w:rsid w:val="00573375"/>
    <w:pPr>
      <w:spacing w:after="0" w:line="240" w:lineRule="auto"/>
    </w:pPr>
    <w:rPr>
      <w:rFonts w:ascii="Arial" w:eastAsia="Times New Roman" w:hAnsi="Arial" w:cs="Times New Roman"/>
      <w:szCs w:val="20"/>
    </w:rPr>
  </w:style>
  <w:style w:type="paragraph" w:customStyle="1" w:styleId="TableHeaderText">
    <w:name w:val="Table Header Text"/>
    <w:basedOn w:val="Normal"/>
    <w:rsid w:val="00573375"/>
    <w:pPr>
      <w:overflowPunct w:val="0"/>
      <w:autoSpaceDE w:val="0"/>
      <w:autoSpaceDN w:val="0"/>
      <w:adjustRightInd w:val="0"/>
      <w:spacing w:after="0" w:line="240" w:lineRule="auto"/>
      <w:jc w:val="center"/>
      <w:textAlignment w:val="baseline"/>
    </w:pPr>
    <w:rPr>
      <w:rFonts w:ascii="Calibri" w:eastAsia="Times New Roman" w:hAnsi="Calibri" w:cs="Times New Roman"/>
      <w:b/>
      <w:szCs w:val="20"/>
      <w:lang w:val="en-US"/>
    </w:rPr>
  </w:style>
  <w:style w:type="paragraph" w:customStyle="1" w:styleId="BlockLine">
    <w:name w:val="Block Line"/>
    <w:basedOn w:val="Normal"/>
    <w:next w:val="Normal"/>
    <w:rsid w:val="00573375"/>
    <w:pPr>
      <w:pBdr>
        <w:top w:val="single" w:sz="6" w:space="1" w:color="auto"/>
        <w:between w:val="single" w:sz="6" w:space="1" w:color="auto"/>
      </w:pBdr>
      <w:overflowPunct w:val="0"/>
      <w:autoSpaceDE w:val="0"/>
      <w:autoSpaceDN w:val="0"/>
      <w:adjustRightInd w:val="0"/>
      <w:spacing w:before="240" w:after="0" w:line="240" w:lineRule="auto"/>
      <w:ind w:left="1700"/>
      <w:textAlignment w:val="baseline"/>
    </w:pPr>
    <w:rPr>
      <w:rFonts w:ascii="Calibri" w:eastAsia="Times New Roman" w:hAnsi="Calibri" w:cs="Times New Roman"/>
      <w:szCs w:val="20"/>
      <w:lang w:val="en-US"/>
    </w:rPr>
  </w:style>
  <w:style w:type="character" w:styleId="PageNumber">
    <w:name w:val="page number"/>
    <w:basedOn w:val="DefaultParagraphFont"/>
    <w:uiPriority w:val="99"/>
    <w:rsid w:val="00573375"/>
    <w:rPr>
      <w:rFonts w:cs="Times New Roman"/>
    </w:rPr>
  </w:style>
  <w:style w:type="paragraph" w:customStyle="1" w:styleId="Tabletext0">
    <w:name w:val="Table text"/>
    <w:basedOn w:val="Normal"/>
    <w:rsid w:val="00573375"/>
    <w:pPr>
      <w:widowControl w:val="0"/>
      <w:tabs>
        <w:tab w:val="left" w:pos="580"/>
      </w:tabs>
      <w:spacing w:before="40" w:after="60" w:line="360" w:lineRule="atLeast"/>
      <w:ind w:left="20"/>
    </w:pPr>
    <w:rPr>
      <w:rFonts w:ascii="Helvetica" w:eastAsia="Times New Roman" w:hAnsi="Helvetica" w:cs="Times New Roman"/>
      <w:sz w:val="18"/>
      <w:szCs w:val="20"/>
      <w:lang w:val="en-US" w:eastAsia="en-AU"/>
    </w:rPr>
  </w:style>
  <w:style w:type="paragraph" w:styleId="ListBullet">
    <w:name w:val="List Bullet"/>
    <w:basedOn w:val="Normal"/>
    <w:autoRedefine/>
    <w:uiPriority w:val="99"/>
    <w:rsid w:val="00573375"/>
    <w:pPr>
      <w:tabs>
        <w:tab w:val="num" w:pos="360"/>
      </w:tabs>
      <w:spacing w:after="0" w:line="240" w:lineRule="auto"/>
      <w:ind w:left="360" w:hanging="720"/>
    </w:pPr>
    <w:rPr>
      <w:rFonts w:ascii="Arial" w:eastAsia="Times New Roman" w:hAnsi="Arial" w:cs="Arial"/>
      <w:lang w:eastAsia="en-AU"/>
    </w:rPr>
  </w:style>
  <w:style w:type="paragraph" w:customStyle="1" w:styleId="Text3">
    <w:name w:val="Text3"/>
    <w:basedOn w:val="Normal"/>
    <w:rsid w:val="00573375"/>
    <w:pPr>
      <w:spacing w:before="120" w:after="0" w:line="360" w:lineRule="atLeast"/>
      <w:ind w:left="2517" w:hanging="2517"/>
      <w:jc w:val="both"/>
    </w:pPr>
    <w:rPr>
      <w:rFonts w:ascii="CG Times" w:eastAsia="Times New Roman" w:hAnsi="CG Times" w:cs="Times New Roman"/>
      <w:b/>
      <w:color w:val="000000"/>
      <w:szCs w:val="20"/>
    </w:rPr>
  </w:style>
  <w:style w:type="paragraph" w:customStyle="1" w:styleId="Body1">
    <w:name w:val="Body 1"/>
    <w:basedOn w:val="Normal"/>
    <w:rsid w:val="00573375"/>
    <w:pPr>
      <w:spacing w:before="60" w:after="60" w:line="360" w:lineRule="atLeast"/>
    </w:pPr>
    <w:rPr>
      <w:rFonts w:ascii="Times" w:eastAsia="Times New Roman" w:hAnsi="Times" w:cs="Times New Roman"/>
      <w:szCs w:val="24"/>
      <w:lang w:val="en-US"/>
    </w:rPr>
  </w:style>
  <w:style w:type="character" w:customStyle="1" w:styleId="Body1Char">
    <w:name w:val="Body 1 Char"/>
    <w:basedOn w:val="DefaultParagraphFont"/>
    <w:rsid w:val="00573375"/>
    <w:rPr>
      <w:rFonts w:ascii="Times" w:hAnsi="Times" w:cs="Times New Roman"/>
      <w:sz w:val="24"/>
      <w:szCs w:val="24"/>
      <w:lang w:val="en-US" w:eastAsia="en-US" w:bidi="ar-SA"/>
    </w:rPr>
  </w:style>
  <w:style w:type="paragraph" w:customStyle="1" w:styleId="Style1">
    <w:name w:val="Style1"/>
    <w:basedOn w:val="Normal"/>
    <w:rsid w:val="00573375"/>
    <w:pPr>
      <w:tabs>
        <w:tab w:val="left" w:pos="567"/>
      </w:tabs>
      <w:spacing w:before="60" w:after="120" w:line="360" w:lineRule="atLeast"/>
      <w:ind w:left="567" w:hanging="567"/>
    </w:pPr>
    <w:rPr>
      <w:rFonts w:ascii="Times" w:eastAsia="Times New Roman" w:hAnsi="Times" w:cs="Times New Roman"/>
      <w:szCs w:val="20"/>
      <w:lang w:val="en-US"/>
    </w:rPr>
  </w:style>
  <w:style w:type="paragraph" w:styleId="TOC1">
    <w:name w:val="toc 1"/>
    <w:basedOn w:val="Normal"/>
    <w:next w:val="Normal"/>
    <w:link w:val="TOC1Char"/>
    <w:autoRedefine/>
    <w:uiPriority w:val="39"/>
    <w:qFormat/>
    <w:rsid w:val="007C259A"/>
    <w:pPr>
      <w:tabs>
        <w:tab w:val="left" w:pos="440"/>
        <w:tab w:val="right" w:leader="dot" w:pos="9209"/>
      </w:tabs>
      <w:spacing w:before="120" w:after="120" w:line="240" w:lineRule="auto"/>
      <w:ind w:left="426" w:hanging="426"/>
    </w:pPr>
    <w:rPr>
      <w:rFonts w:ascii="Calibri" w:eastAsia="Times New Roman" w:hAnsi="Calibri" w:cs="Times New Roman"/>
      <w:b/>
      <w:bCs/>
      <w:caps/>
      <w:noProof/>
      <w:lang w:eastAsia="en-AU"/>
    </w:rPr>
  </w:style>
  <w:style w:type="paragraph" w:customStyle="1" w:styleId="TOC21">
    <w:name w:val="TOC 21"/>
    <w:basedOn w:val="Normal"/>
    <w:next w:val="Normal"/>
    <w:autoRedefine/>
    <w:uiPriority w:val="39"/>
    <w:qFormat/>
    <w:rsid w:val="00573375"/>
    <w:pPr>
      <w:tabs>
        <w:tab w:val="left" w:pos="1134"/>
        <w:tab w:val="right" w:leader="dot" w:pos="9209"/>
      </w:tabs>
      <w:spacing w:after="0" w:line="240" w:lineRule="auto"/>
      <w:ind w:left="1134" w:hanging="914"/>
    </w:pPr>
    <w:rPr>
      <w:rFonts w:ascii="Calibri" w:eastAsia="Times New Roman" w:hAnsi="Calibri"/>
      <w:smallCaps/>
      <w:lang w:eastAsia="en-AU"/>
    </w:rPr>
  </w:style>
  <w:style w:type="paragraph" w:styleId="DocumentMap">
    <w:name w:val="Document Map"/>
    <w:basedOn w:val="Normal"/>
    <w:link w:val="DocumentMapChar"/>
    <w:uiPriority w:val="99"/>
    <w:rsid w:val="00573375"/>
    <w:pPr>
      <w:shd w:val="clear" w:color="auto" w:fill="000080"/>
      <w:spacing w:after="0" w:line="240" w:lineRule="auto"/>
    </w:pPr>
    <w:rPr>
      <w:rFonts w:ascii="Tahoma" w:eastAsia="Times New Roman" w:hAnsi="Tahoma" w:cs="Tahoma"/>
      <w:szCs w:val="24"/>
      <w:lang w:eastAsia="en-AU"/>
    </w:rPr>
  </w:style>
  <w:style w:type="character" w:customStyle="1" w:styleId="DocumentMapChar">
    <w:name w:val="Document Map Char"/>
    <w:basedOn w:val="DefaultParagraphFont"/>
    <w:link w:val="DocumentMap"/>
    <w:uiPriority w:val="99"/>
    <w:rsid w:val="00573375"/>
    <w:rPr>
      <w:rFonts w:ascii="Tahoma" w:eastAsia="Times New Roman" w:hAnsi="Tahoma" w:cs="Tahoma"/>
      <w:szCs w:val="24"/>
      <w:shd w:val="clear" w:color="auto" w:fill="000080"/>
      <w:lang w:eastAsia="en-AU"/>
    </w:rPr>
  </w:style>
  <w:style w:type="paragraph" w:styleId="NormalWeb">
    <w:name w:val="Normal (Web)"/>
    <w:basedOn w:val="Normal"/>
    <w:uiPriority w:val="99"/>
    <w:rsid w:val="00573375"/>
    <w:pPr>
      <w:spacing w:before="100" w:beforeAutospacing="1" w:after="100" w:afterAutospacing="1" w:line="240" w:lineRule="auto"/>
    </w:pPr>
    <w:rPr>
      <w:rFonts w:ascii="Calibri" w:eastAsia="Times New Roman" w:hAnsi="Calibri" w:cs="Times New Roman"/>
      <w:szCs w:val="24"/>
      <w:lang w:eastAsia="en-AU"/>
    </w:rPr>
  </w:style>
  <w:style w:type="character" w:customStyle="1" w:styleId="msoins0">
    <w:name w:val="msoins"/>
    <w:basedOn w:val="DefaultParagraphFont"/>
    <w:rsid w:val="00573375"/>
    <w:rPr>
      <w:rFonts w:cs="Times New Roman"/>
    </w:rPr>
  </w:style>
  <w:style w:type="character" w:customStyle="1" w:styleId="EmailStyle52">
    <w:name w:val="EmailStyle52"/>
    <w:basedOn w:val="DefaultParagraphFont"/>
    <w:semiHidden/>
    <w:rsid w:val="00573375"/>
    <w:rPr>
      <w:rFonts w:ascii="Arial" w:hAnsi="Arial" w:cs="Arial"/>
      <w:color w:val="auto"/>
      <w:sz w:val="20"/>
      <w:szCs w:val="20"/>
    </w:rPr>
  </w:style>
  <w:style w:type="paragraph" w:styleId="TOAHeading">
    <w:name w:val="toa heading"/>
    <w:basedOn w:val="Normal"/>
    <w:next w:val="Normal"/>
    <w:uiPriority w:val="99"/>
    <w:rsid w:val="00573375"/>
    <w:pPr>
      <w:spacing w:before="120" w:after="0" w:line="240" w:lineRule="auto"/>
    </w:pPr>
    <w:rPr>
      <w:rFonts w:ascii="Arial" w:eastAsia="Times New Roman" w:hAnsi="Arial" w:cs="Arial"/>
      <w:b/>
      <w:bCs/>
      <w:szCs w:val="24"/>
      <w:lang w:eastAsia="en-AU"/>
    </w:rPr>
  </w:style>
  <w:style w:type="paragraph" w:customStyle="1" w:styleId="TOC31">
    <w:name w:val="TOC 31"/>
    <w:basedOn w:val="Normal"/>
    <w:next w:val="Normal"/>
    <w:autoRedefine/>
    <w:uiPriority w:val="39"/>
    <w:qFormat/>
    <w:rsid w:val="00573375"/>
    <w:pPr>
      <w:spacing w:after="0" w:line="240" w:lineRule="auto"/>
      <w:ind w:left="440"/>
    </w:pPr>
    <w:rPr>
      <w:rFonts w:eastAsia="Times New Roman" w:cs="Times New Roman"/>
      <w:i/>
      <w:iCs/>
      <w:sz w:val="20"/>
      <w:szCs w:val="20"/>
      <w:lang w:eastAsia="en-AU"/>
    </w:rPr>
  </w:style>
  <w:style w:type="paragraph" w:customStyle="1" w:styleId="TOC41">
    <w:name w:val="TOC 41"/>
    <w:basedOn w:val="Normal"/>
    <w:next w:val="Normal"/>
    <w:autoRedefine/>
    <w:uiPriority w:val="39"/>
    <w:rsid w:val="00573375"/>
    <w:pPr>
      <w:spacing w:after="0" w:line="240" w:lineRule="auto"/>
      <w:ind w:left="660"/>
    </w:pPr>
    <w:rPr>
      <w:rFonts w:eastAsia="Times New Roman" w:cs="Times New Roman"/>
      <w:sz w:val="18"/>
      <w:szCs w:val="18"/>
      <w:lang w:eastAsia="en-AU"/>
    </w:rPr>
  </w:style>
  <w:style w:type="paragraph" w:customStyle="1" w:styleId="TOC51">
    <w:name w:val="TOC 51"/>
    <w:basedOn w:val="Normal"/>
    <w:next w:val="Normal"/>
    <w:autoRedefine/>
    <w:uiPriority w:val="39"/>
    <w:rsid w:val="00573375"/>
    <w:pPr>
      <w:spacing w:after="0" w:line="240" w:lineRule="auto"/>
      <w:ind w:left="880"/>
    </w:pPr>
    <w:rPr>
      <w:rFonts w:eastAsia="Times New Roman" w:cs="Times New Roman"/>
      <w:sz w:val="18"/>
      <w:szCs w:val="18"/>
      <w:lang w:eastAsia="en-AU"/>
    </w:rPr>
  </w:style>
  <w:style w:type="paragraph" w:customStyle="1" w:styleId="TOC61">
    <w:name w:val="TOC 61"/>
    <w:basedOn w:val="Normal"/>
    <w:next w:val="Normal"/>
    <w:autoRedefine/>
    <w:uiPriority w:val="39"/>
    <w:rsid w:val="00573375"/>
    <w:pPr>
      <w:spacing w:after="0" w:line="240" w:lineRule="auto"/>
      <w:ind w:left="1100"/>
    </w:pPr>
    <w:rPr>
      <w:rFonts w:eastAsia="Times New Roman" w:cs="Times New Roman"/>
      <w:sz w:val="18"/>
      <w:szCs w:val="18"/>
      <w:lang w:eastAsia="en-AU"/>
    </w:rPr>
  </w:style>
  <w:style w:type="paragraph" w:customStyle="1" w:styleId="TOC71">
    <w:name w:val="TOC 71"/>
    <w:basedOn w:val="Normal"/>
    <w:next w:val="Normal"/>
    <w:autoRedefine/>
    <w:uiPriority w:val="39"/>
    <w:rsid w:val="00573375"/>
    <w:pPr>
      <w:spacing w:after="0" w:line="240" w:lineRule="auto"/>
      <w:ind w:left="1320"/>
    </w:pPr>
    <w:rPr>
      <w:rFonts w:eastAsia="Times New Roman" w:cs="Times New Roman"/>
      <w:sz w:val="18"/>
      <w:szCs w:val="18"/>
      <w:lang w:eastAsia="en-AU"/>
    </w:rPr>
  </w:style>
  <w:style w:type="paragraph" w:styleId="Title">
    <w:name w:val="Title"/>
    <w:basedOn w:val="Normal"/>
    <w:link w:val="TitleChar"/>
    <w:uiPriority w:val="10"/>
    <w:qFormat/>
    <w:rsid w:val="0057337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uiPriority w:val="10"/>
    <w:rsid w:val="00573375"/>
    <w:rPr>
      <w:rFonts w:ascii="Arial" w:eastAsia="Times New Roman" w:hAnsi="Arial" w:cs="Times New Roman"/>
      <w:b/>
      <w:kern w:val="28"/>
      <w:sz w:val="32"/>
      <w:szCs w:val="20"/>
    </w:rPr>
  </w:style>
  <w:style w:type="character" w:customStyle="1" w:styleId="CharChar">
    <w:name w:val="Char Char"/>
    <w:basedOn w:val="DefaultParagraphFont"/>
    <w:rsid w:val="00573375"/>
    <w:rPr>
      <w:rFonts w:cs="Times New Roman"/>
      <w:b/>
      <w:bCs/>
      <w:sz w:val="24"/>
      <w:szCs w:val="24"/>
      <w:lang w:val="en-US" w:eastAsia="en-US" w:bidi="ar-SA"/>
    </w:rPr>
  </w:style>
  <w:style w:type="paragraph" w:styleId="BodyText2">
    <w:name w:val="Body Text 2"/>
    <w:basedOn w:val="Normal"/>
    <w:link w:val="BodyText2Char"/>
    <w:uiPriority w:val="99"/>
    <w:rsid w:val="00573375"/>
    <w:pPr>
      <w:numPr>
        <w:numId w:val="15"/>
      </w:numPr>
      <w:tabs>
        <w:tab w:val="clear" w:pos="360"/>
        <w:tab w:val="num" w:pos="460"/>
      </w:tabs>
      <w:spacing w:after="0" w:line="240" w:lineRule="auto"/>
      <w:ind w:left="460"/>
    </w:pPr>
    <w:rPr>
      <w:rFonts w:ascii="Calibri" w:eastAsia="Times New Roman" w:hAnsi="Calibri" w:cs="Times New Roman"/>
      <w:b/>
      <w:bCs/>
      <w:szCs w:val="24"/>
      <w:lang w:val="en-US"/>
    </w:rPr>
  </w:style>
  <w:style w:type="character" w:customStyle="1" w:styleId="BodyText2Char">
    <w:name w:val="Body Text 2 Char"/>
    <w:basedOn w:val="DefaultParagraphFont"/>
    <w:link w:val="BodyText2"/>
    <w:uiPriority w:val="99"/>
    <w:rsid w:val="00573375"/>
    <w:rPr>
      <w:rFonts w:ascii="Calibri" w:eastAsia="Times New Roman" w:hAnsi="Calibri" w:cs="Times New Roman"/>
      <w:b/>
      <w:bCs/>
      <w:szCs w:val="24"/>
      <w:lang w:val="en-US"/>
    </w:rPr>
  </w:style>
  <w:style w:type="paragraph" w:customStyle="1" w:styleId="schedule2">
    <w:name w:val="schedule 2"/>
    <w:autoRedefine/>
    <w:rsid w:val="00573375"/>
    <w:pPr>
      <w:numPr>
        <w:numId w:val="14"/>
      </w:numPr>
      <w:tabs>
        <w:tab w:val="clear" w:pos="360"/>
        <w:tab w:val="num" w:pos="460"/>
      </w:tabs>
      <w:spacing w:after="120" w:line="240" w:lineRule="auto"/>
      <w:ind w:left="460"/>
    </w:pPr>
    <w:rPr>
      <w:rFonts w:ascii="Arial" w:eastAsia="Times New Roman" w:hAnsi="Arial" w:cs="Arial"/>
    </w:rPr>
  </w:style>
  <w:style w:type="paragraph" w:customStyle="1" w:styleId="Default">
    <w:name w:val="Default"/>
    <w:rsid w:val="00573375"/>
    <w:pPr>
      <w:autoSpaceDE w:val="0"/>
      <w:autoSpaceDN w:val="0"/>
      <w:adjustRightInd w:val="0"/>
      <w:spacing w:after="0" w:line="240" w:lineRule="auto"/>
    </w:pPr>
    <w:rPr>
      <w:rFonts w:ascii="Arial" w:eastAsia="Times New Roman" w:hAnsi="Arial" w:cs="Arial"/>
      <w:color w:val="000000"/>
      <w:sz w:val="24"/>
      <w:szCs w:val="24"/>
      <w:lang w:eastAsia="en-AU"/>
    </w:rPr>
  </w:style>
  <w:style w:type="character" w:customStyle="1" w:styleId="sub-paraxCharChar">
    <w:name w:val="sub-para (x) Char Char"/>
    <w:basedOn w:val="DefaultParagraphFont"/>
    <w:rsid w:val="00573375"/>
    <w:rPr>
      <w:rFonts w:ascii="Garamond" w:hAnsi="Garamond" w:cs="Times New Roman"/>
      <w:color w:val="000000"/>
      <w:sz w:val="24"/>
      <w:lang w:val="en-AU" w:eastAsia="en-AU" w:bidi="ar-SA"/>
    </w:rPr>
  </w:style>
  <w:style w:type="paragraph" w:customStyle="1" w:styleId="Clause">
    <w:name w:val="Clause"/>
    <w:next w:val="sub-paraxChar"/>
    <w:rsid w:val="00573375"/>
    <w:pPr>
      <w:tabs>
        <w:tab w:val="num" w:pos="576"/>
      </w:tabs>
      <w:spacing w:before="120" w:after="120" w:line="300" w:lineRule="atLeast"/>
      <w:ind w:left="576" w:hanging="576"/>
    </w:pPr>
    <w:rPr>
      <w:rFonts w:ascii="Garamond" w:eastAsia="Times New Roman" w:hAnsi="Garamond" w:cs="Times New Roman"/>
      <w:color w:val="000000"/>
      <w:sz w:val="24"/>
      <w:szCs w:val="20"/>
      <w:lang w:eastAsia="en-AU"/>
    </w:rPr>
  </w:style>
  <w:style w:type="character" w:customStyle="1" w:styleId="ClauseChar">
    <w:name w:val="Clause Char"/>
    <w:basedOn w:val="DefaultParagraphFont"/>
    <w:rsid w:val="00573375"/>
    <w:rPr>
      <w:rFonts w:ascii="Garamond" w:hAnsi="Garamond" w:cs="Times New Roman"/>
      <w:color w:val="000000"/>
      <w:sz w:val="24"/>
      <w:lang w:val="en-AU" w:eastAsia="en-AU" w:bidi="ar-SA"/>
    </w:rPr>
  </w:style>
  <w:style w:type="character" w:styleId="Emphasis">
    <w:name w:val="Emphasis"/>
    <w:basedOn w:val="DefaultParagraphFont"/>
    <w:uiPriority w:val="20"/>
    <w:qFormat/>
    <w:rsid w:val="00573375"/>
    <w:rPr>
      <w:rFonts w:cs="Times New Roman"/>
      <w:i/>
      <w:iCs/>
    </w:rPr>
  </w:style>
  <w:style w:type="paragraph" w:customStyle="1" w:styleId="Body">
    <w:name w:val="Body"/>
    <w:basedOn w:val="Default"/>
    <w:next w:val="Default"/>
    <w:rsid w:val="00573375"/>
    <w:rPr>
      <w:rFonts w:cs="Times New Roman"/>
      <w:color w:val="auto"/>
    </w:rPr>
  </w:style>
  <w:style w:type="paragraph" w:customStyle="1" w:styleId="TOC81">
    <w:name w:val="TOC 81"/>
    <w:basedOn w:val="Normal"/>
    <w:next w:val="Normal"/>
    <w:autoRedefine/>
    <w:uiPriority w:val="39"/>
    <w:rsid w:val="00573375"/>
    <w:pPr>
      <w:spacing w:after="0" w:line="240" w:lineRule="auto"/>
      <w:ind w:left="1540"/>
    </w:pPr>
    <w:rPr>
      <w:rFonts w:eastAsia="Times New Roman" w:cs="Times New Roman"/>
      <w:sz w:val="18"/>
      <w:szCs w:val="18"/>
      <w:lang w:eastAsia="en-AU"/>
    </w:rPr>
  </w:style>
  <w:style w:type="paragraph" w:customStyle="1" w:styleId="TOC91">
    <w:name w:val="TOC 91"/>
    <w:basedOn w:val="Normal"/>
    <w:next w:val="Normal"/>
    <w:autoRedefine/>
    <w:uiPriority w:val="39"/>
    <w:rsid w:val="00573375"/>
    <w:pPr>
      <w:spacing w:after="0" w:line="240" w:lineRule="auto"/>
      <w:ind w:left="1760"/>
    </w:pPr>
    <w:rPr>
      <w:rFonts w:eastAsia="Times New Roman" w:cs="Times New Roman"/>
      <w:sz w:val="18"/>
      <w:szCs w:val="18"/>
      <w:lang w:eastAsia="en-AU"/>
    </w:rPr>
  </w:style>
  <w:style w:type="character" w:styleId="Strong">
    <w:name w:val="Strong"/>
    <w:basedOn w:val="DefaultParagraphFont"/>
    <w:uiPriority w:val="22"/>
    <w:qFormat/>
    <w:rsid w:val="00573375"/>
    <w:rPr>
      <w:rFonts w:cs="Times New Roman"/>
      <w:b/>
      <w:bCs/>
    </w:rPr>
  </w:style>
  <w:style w:type="paragraph" w:styleId="TOCHeading">
    <w:name w:val="TOC Heading"/>
    <w:basedOn w:val="Heading1"/>
    <w:next w:val="Normal"/>
    <w:uiPriority w:val="39"/>
    <w:semiHidden/>
    <w:unhideWhenUsed/>
    <w:qFormat/>
    <w:rsid w:val="00573375"/>
    <w:pPr>
      <w:keepLines/>
      <w:spacing w:before="480" w:after="0" w:line="276" w:lineRule="auto"/>
      <w:outlineLvl w:val="9"/>
    </w:pPr>
    <w:rPr>
      <w:rFonts w:ascii="Cambria" w:hAnsi="Cambria" w:cs="Times New Roman"/>
      <w:color w:val="365F91"/>
      <w:kern w:val="0"/>
      <w:sz w:val="28"/>
      <w:szCs w:val="28"/>
      <w:lang w:val="en-US" w:eastAsia="en-US"/>
    </w:rPr>
  </w:style>
  <w:style w:type="paragraph" w:customStyle="1" w:styleId="Interpretation">
    <w:name w:val="Interpretation"/>
    <w:basedOn w:val="Normal"/>
    <w:link w:val="InterpretationChar"/>
    <w:rsid w:val="00573375"/>
    <w:pPr>
      <w:widowControl w:val="0"/>
      <w:spacing w:after="120" w:line="240" w:lineRule="auto"/>
      <w:ind w:left="567"/>
    </w:pPr>
    <w:rPr>
      <w:rFonts w:ascii="Garamond" w:eastAsia="Times New Roman" w:hAnsi="Garamond" w:cs="Times New Roman"/>
      <w:sz w:val="24"/>
      <w:szCs w:val="20"/>
    </w:rPr>
  </w:style>
  <w:style w:type="character" w:customStyle="1" w:styleId="InterpretationChar">
    <w:name w:val="Interpretation Char"/>
    <w:basedOn w:val="DefaultParagraphFont"/>
    <w:link w:val="Interpretation"/>
    <w:locked/>
    <w:rsid w:val="00573375"/>
    <w:rPr>
      <w:rFonts w:ascii="Garamond" w:eastAsia="Times New Roman" w:hAnsi="Garamond" w:cs="Times New Roman"/>
      <w:sz w:val="24"/>
      <w:szCs w:val="20"/>
    </w:rPr>
  </w:style>
  <w:style w:type="character" w:styleId="HTMLAcronym">
    <w:name w:val="HTML Acronym"/>
    <w:basedOn w:val="DefaultParagraphFont"/>
    <w:uiPriority w:val="99"/>
    <w:rsid w:val="00573375"/>
    <w:rPr>
      <w:rFonts w:cs="Times New Roman"/>
    </w:rPr>
  </w:style>
  <w:style w:type="paragraph" w:customStyle="1" w:styleId="UserGuideHeading2">
    <w:name w:val="User Guide Heading 2"/>
    <w:basedOn w:val="Heading2"/>
    <w:rsid w:val="00573375"/>
    <w:pPr>
      <w:tabs>
        <w:tab w:val="num" w:pos="360"/>
      </w:tabs>
      <w:spacing w:before="0" w:after="0"/>
      <w:ind w:left="360" w:right="-66" w:hanging="360"/>
    </w:pPr>
    <w:rPr>
      <w:rFonts w:ascii="Calibri" w:hAnsi="Calibri" w:cs="Times New Roman"/>
      <w:sz w:val="22"/>
      <w:szCs w:val="22"/>
    </w:rPr>
  </w:style>
  <w:style w:type="paragraph" w:customStyle="1" w:styleId="IYMPUserGuide1">
    <w:name w:val="IYMP User Guide 1"/>
    <w:basedOn w:val="Heading1"/>
    <w:rsid w:val="00573375"/>
    <w:pPr>
      <w:jc w:val="center"/>
    </w:pPr>
    <w:rPr>
      <w:rFonts w:ascii="Calibri" w:hAnsi="Calibri" w:cs="Times New Roman"/>
      <w:sz w:val="44"/>
    </w:rPr>
  </w:style>
  <w:style w:type="paragraph" w:customStyle="1" w:styleId="IYMPUserGuide2">
    <w:name w:val="IYMP User Guide 2"/>
    <w:basedOn w:val="Normal"/>
    <w:rsid w:val="00573375"/>
    <w:pPr>
      <w:spacing w:after="0" w:line="240" w:lineRule="auto"/>
      <w:jc w:val="center"/>
    </w:pPr>
    <w:rPr>
      <w:rFonts w:ascii="Calibri" w:eastAsia="Times New Roman" w:hAnsi="Calibri" w:cs="Times New Roman"/>
      <w:b/>
      <w:sz w:val="40"/>
      <w:szCs w:val="44"/>
      <w:lang w:eastAsia="en-AU"/>
    </w:rPr>
  </w:style>
  <w:style w:type="paragraph" w:customStyle="1" w:styleId="IYMPUserGuide3">
    <w:name w:val="IYMP User Guide 3"/>
    <w:basedOn w:val="Heading2"/>
    <w:rsid w:val="00573375"/>
    <w:pPr>
      <w:tabs>
        <w:tab w:val="num" w:pos="756"/>
      </w:tabs>
      <w:spacing w:before="0" w:after="0"/>
      <w:ind w:right="-66"/>
    </w:pPr>
    <w:rPr>
      <w:rFonts w:ascii="Calibri" w:hAnsi="Calibri" w:cs="Times New Roman"/>
      <w:sz w:val="22"/>
      <w:szCs w:val="22"/>
    </w:rPr>
  </w:style>
  <w:style w:type="character" w:customStyle="1" w:styleId="EmailStyle1001">
    <w:name w:val="EmailStyle1001"/>
    <w:basedOn w:val="DefaultParagraphFont"/>
    <w:semiHidden/>
    <w:rsid w:val="00573375"/>
    <w:rPr>
      <w:rFonts w:ascii="Arial" w:hAnsi="Arial" w:cs="Arial"/>
      <w:color w:val="auto"/>
      <w:sz w:val="20"/>
      <w:szCs w:val="20"/>
    </w:rPr>
  </w:style>
  <w:style w:type="table" w:styleId="TableElegant">
    <w:name w:val="Table Elegant"/>
    <w:basedOn w:val="TableNormal"/>
    <w:uiPriority w:val="99"/>
    <w:rsid w:val="00573375"/>
    <w:pPr>
      <w:spacing w:after="0" w:line="240" w:lineRule="auto"/>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Revision">
    <w:name w:val="Revision"/>
    <w:hidden/>
    <w:uiPriority w:val="99"/>
    <w:semiHidden/>
    <w:rsid w:val="00573375"/>
    <w:pPr>
      <w:spacing w:after="0" w:line="240" w:lineRule="auto"/>
    </w:pPr>
    <w:rPr>
      <w:rFonts w:ascii="Calibri" w:eastAsia="Times New Roman" w:hAnsi="Calibri" w:cs="Times New Roman"/>
      <w:szCs w:val="24"/>
      <w:lang w:eastAsia="en-AU"/>
    </w:rPr>
  </w:style>
  <w:style w:type="character" w:customStyle="1" w:styleId="TOC1Char">
    <w:name w:val="TOC 1 Char"/>
    <w:basedOn w:val="DefaultParagraphFont"/>
    <w:link w:val="TOC1"/>
    <w:uiPriority w:val="39"/>
    <w:rsid w:val="007C259A"/>
    <w:rPr>
      <w:rFonts w:ascii="Calibri" w:eastAsia="Times New Roman" w:hAnsi="Calibri" w:cs="Times New Roman"/>
      <w:b/>
      <w:bCs/>
      <w:caps/>
      <w:noProof/>
      <w:lang w:eastAsia="en-AU"/>
    </w:rPr>
  </w:style>
  <w:style w:type="character" w:styleId="LineNumber">
    <w:name w:val="line number"/>
    <w:basedOn w:val="DefaultParagraphFont"/>
    <w:rsid w:val="00573375"/>
  </w:style>
  <w:style w:type="paragraph" w:styleId="TOC2">
    <w:name w:val="toc 2"/>
    <w:basedOn w:val="Normal"/>
    <w:next w:val="Normal"/>
    <w:autoRedefine/>
    <w:uiPriority w:val="39"/>
    <w:unhideWhenUsed/>
    <w:qFormat/>
    <w:rsid w:val="00945E0F"/>
    <w:pPr>
      <w:tabs>
        <w:tab w:val="right" w:leader="dot" w:pos="9016"/>
      </w:tabs>
      <w:spacing w:after="100"/>
      <w:ind w:left="220"/>
      <w:jc w:val="center"/>
    </w:pPr>
    <w:rPr>
      <w:b/>
      <w:noProof/>
      <w:szCs w:val="20"/>
    </w:rPr>
  </w:style>
  <w:style w:type="paragraph" w:customStyle="1" w:styleId="AASSOGSLEVEL1">
    <w:name w:val="AASSOGS LEVEL 1"/>
    <w:basedOn w:val="Normal"/>
    <w:qFormat/>
    <w:rsid w:val="00B97E68"/>
    <w:pPr>
      <w:spacing w:after="0"/>
    </w:pPr>
    <w:rPr>
      <w:b/>
      <w:sz w:val="28"/>
      <w:szCs w:val="28"/>
    </w:rPr>
  </w:style>
  <w:style w:type="paragraph" w:customStyle="1" w:styleId="AASSOGSLEVEL2">
    <w:name w:val="AASSOGS LEVEL 2"/>
    <w:basedOn w:val="Normal"/>
    <w:qFormat/>
    <w:rsid w:val="00B97E68"/>
    <w:pPr>
      <w:spacing w:after="0"/>
    </w:pPr>
    <w:rPr>
      <w:b/>
      <w:sz w:val="28"/>
      <w:szCs w:val="28"/>
    </w:rPr>
  </w:style>
  <w:style w:type="paragraph" w:customStyle="1" w:styleId="AASSOGSLEVEL3">
    <w:name w:val="AASSOGS LEVEL 3"/>
    <w:basedOn w:val="Normal"/>
    <w:qFormat/>
    <w:rsid w:val="003671DE"/>
    <w:pPr>
      <w:spacing w:after="0"/>
    </w:pPr>
    <w:rPr>
      <w:b/>
    </w:rPr>
  </w:style>
  <w:style w:type="paragraph" w:customStyle="1" w:styleId="AASSOGSLEVEL4">
    <w:name w:val="AASSOGS LEVEL 4"/>
    <w:basedOn w:val="Normal"/>
    <w:qFormat/>
    <w:rsid w:val="00EF79B7"/>
    <w:pPr>
      <w:spacing w:after="0"/>
      <w:ind w:firstLine="720"/>
      <w:jc w:val="right"/>
    </w:pPr>
    <w:rPr>
      <w:b/>
      <w:i/>
      <w:sz w:val="24"/>
    </w:rPr>
  </w:style>
  <w:style w:type="paragraph" w:styleId="TOC3">
    <w:name w:val="toc 3"/>
    <w:basedOn w:val="Normal"/>
    <w:next w:val="Normal"/>
    <w:autoRedefine/>
    <w:uiPriority w:val="39"/>
    <w:unhideWhenUsed/>
    <w:qFormat/>
    <w:rsid w:val="001D4608"/>
    <w:pPr>
      <w:spacing w:after="100"/>
      <w:ind w:left="440"/>
    </w:pPr>
    <w:rPr>
      <w:rFonts w:eastAsiaTheme="minorEastAsia"/>
      <w:lang w:val="en-US" w:eastAsia="ja-JP"/>
    </w:rPr>
  </w:style>
  <w:style w:type="paragraph" w:styleId="TOC4">
    <w:name w:val="toc 4"/>
    <w:basedOn w:val="Normal"/>
    <w:next w:val="Normal"/>
    <w:autoRedefine/>
    <w:uiPriority w:val="39"/>
    <w:unhideWhenUsed/>
    <w:rsid w:val="00EF79B7"/>
    <w:pPr>
      <w:spacing w:after="100"/>
      <w:ind w:left="660"/>
    </w:pPr>
  </w:style>
  <w:style w:type="paragraph" w:styleId="TOC5">
    <w:name w:val="toc 5"/>
    <w:basedOn w:val="Normal"/>
    <w:next w:val="Normal"/>
    <w:autoRedefine/>
    <w:uiPriority w:val="39"/>
    <w:unhideWhenUsed/>
    <w:rsid w:val="00BC1464"/>
    <w:pPr>
      <w:spacing w:after="100"/>
      <w:ind w:left="880"/>
    </w:pPr>
    <w:rPr>
      <w:rFonts w:eastAsiaTheme="minorEastAsia"/>
      <w:lang w:eastAsia="en-AU"/>
    </w:rPr>
  </w:style>
  <w:style w:type="paragraph" w:styleId="TOC6">
    <w:name w:val="toc 6"/>
    <w:basedOn w:val="Normal"/>
    <w:next w:val="Normal"/>
    <w:autoRedefine/>
    <w:uiPriority w:val="39"/>
    <w:unhideWhenUsed/>
    <w:rsid w:val="00BC1464"/>
    <w:pPr>
      <w:spacing w:after="100"/>
      <w:ind w:left="1100"/>
    </w:pPr>
    <w:rPr>
      <w:rFonts w:eastAsiaTheme="minorEastAsia"/>
      <w:lang w:eastAsia="en-AU"/>
    </w:rPr>
  </w:style>
  <w:style w:type="paragraph" w:styleId="TOC7">
    <w:name w:val="toc 7"/>
    <w:basedOn w:val="Normal"/>
    <w:next w:val="Normal"/>
    <w:autoRedefine/>
    <w:uiPriority w:val="39"/>
    <w:unhideWhenUsed/>
    <w:rsid w:val="00BC1464"/>
    <w:pPr>
      <w:spacing w:after="100"/>
      <w:ind w:left="1320"/>
    </w:pPr>
    <w:rPr>
      <w:rFonts w:eastAsiaTheme="minorEastAsia"/>
      <w:lang w:eastAsia="en-AU"/>
    </w:rPr>
  </w:style>
  <w:style w:type="paragraph" w:styleId="TOC8">
    <w:name w:val="toc 8"/>
    <w:basedOn w:val="Normal"/>
    <w:next w:val="Normal"/>
    <w:autoRedefine/>
    <w:uiPriority w:val="39"/>
    <w:unhideWhenUsed/>
    <w:rsid w:val="00BC1464"/>
    <w:pPr>
      <w:spacing w:after="100"/>
      <w:ind w:left="1540"/>
    </w:pPr>
    <w:rPr>
      <w:rFonts w:eastAsiaTheme="minorEastAsia"/>
      <w:lang w:eastAsia="en-AU"/>
    </w:rPr>
  </w:style>
  <w:style w:type="paragraph" w:styleId="TOC9">
    <w:name w:val="toc 9"/>
    <w:basedOn w:val="Normal"/>
    <w:next w:val="Normal"/>
    <w:autoRedefine/>
    <w:uiPriority w:val="39"/>
    <w:unhideWhenUsed/>
    <w:rsid w:val="00BC1464"/>
    <w:pPr>
      <w:spacing w:after="100"/>
      <w:ind w:left="1760"/>
    </w:pPr>
    <w:rPr>
      <w:rFonts w:eastAsiaTheme="minorEastAsia"/>
      <w:lang w:eastAsia="en-AU"/>
    </w:rPr>
  </w:style>
  <w:style w:type="paragraph" w:styleId="ListNumber3">
    <w:name w:val="List Number 3"/>
    <w:basedOn w:val="Normal"/>
    <w:semiHidden/>
    <w:rsid w:val="00665AFC"/>
    <w:pPr>
      <w:numPr>
        <w:numId w:val="22"/>
      </w:numPr>
      <w:spacing w:after="140" w:line="280" w:lineRule="atLeast"/>
    </w:pPr>
    <w:rPr>
      <w:rFonts w:ascii="Times New Roman" w:eastAsia="Times New Roman" w:hAnsi="Times New Roman" w:cs="Angsana New"/>
      <w:lang w:eastAsia="zh-CN" w:bidi="th-TH"/>
    </w:rPr>
  </w:style>
  <w:style w:type="paragraph" w:customStyle="1" w:styleId="MEBasic1">
    <w:name w:val="ME Basic 1"/>
    <w:basedOn w:val="Normal"/>
    <w:link w:val="MEBasic1Char"/>
    <w:rsid w:val="000279DF"/>
    <w:pPr>
      <w:spacing w:after="140" w:line="280" w:lineRule="atLeast"/>
      <w:outlineLvl w:val="0"/>
    </w:pPr>
    <w:rPr>
      <w:rFonts w:ascii="Times New Roman" w:eastAsia="Times New Roman" w:hAnsi="Times New Roman" w:cs="Angsana New"/>
      <w:lang w:eastAsia="zh-CN" w:bidi="th-TH"/>
    </w:rPr>
  </w:style>
  <w:style w:type="character" w:customStyle="1" w:styleId="MEBasic1Char">
    <w:name w:val="ME Basic 1 Char"/>
    <w:link w:val="MEBasic1"/>
    <w:rsid w:val="000279DF"/>
    <w:rPr>
      <w:rFonts w:ascii="Times New Roman" w:eastAsia="Times New Roman" w:hAnsi="Times New Roman" w:cs="Angsana New"/>
      <w:lang w:eastAsia="zh-CN" w:bidi="th-TH"/>
    </w:rPr>
  </w:style>
  <w:style w:type="character" w:customStyle="1" w:styleId="ListParagraphChar">
    <w:name w:val="List Paragraph Char"/>
    <w:aliases w:val="List Paragraph - bullets Char,Recommendation Char,L Char,Bullet point Char"/>
    <w:basedOn w:val="DefaultParagraphFont"/>
    <w:link w:val="ListParagraph"/>
    <w:uiPriority w:val="34"/>
    <w:rsid w:val="00E2167C"/>
  </w:style>
  <w:style w:type="paragraph" w:customStyle="1" w:styleId="MELegal1">
    <w:name w:val="ME Legal 1"/>
    <w:aliases w:val="l1"/>
    <w:basedOn w:val="Normal"/>
    <w:next w:val="Normal"/>
    <w:rsid w:val="00C1737D"/>
    <w:pPr>
      <w:keepNext/>
      <w:numPr>
        <w:numId w:val="28"/>
      </w:numPr>
      <w:spacing w:before="280" w:after="140" w:line="280" w:lineRule="atLeast"/>
      <w:outlineLvl w:val="0"/>
    </w:pPr>
    <w:rPr>
      <w:rFonts w:ascii="Arial" w:eastAsia="Times New Roman" w:hAnsi="Arial" w:cs="Angsana New"/>
      <w:spacing w:val="-10"/>
      <w:w w:val="95"/>
      <w:sz w:val="32"/>
      <w:szCs w:val="32"/>
      <w:lang w:eastAsia="zh-CN" w:bidi="th-TH"/>
    </w:rPr>
  </w:style>
  <w:style w:type="paragraph" w:customStyle="1" w:styleId="MELegal2">
    <w:name w:val="ME Legal 2"/>
    <w:aliases w:val="l2"/>
    <w:basedOn w:val="Normal"/>
    <w:next w:val="Normal"/>
    <w:link w:val="MELegal2Char"/>
    <w:rsid w:val="00C1737D"/>
    <w:pPr>
      <w:keepNext/>
      <w:numPr>
        <w:ilvl w:val="1"/>
        <w:numId w:val="28"/>
      </w:numPr>
      <w:spacing w:before="60" w:after="60" w:line="280" w:lineRule="atLeast"/>
      <w:outlineLvl w:val="1"/>
    </w:pPr>
    <w:rPr>
      <w:rFonts w:ascii="Arial" w:eastAsia="Times New Roman" w:hAnsi="Arial" w:cs="Angsana New"/>
      <w:b/>
      <w:bCs/>
      <w:w w:val="95"/>
      <w:sz w:val="24"/>
      <w:szCs w:val="24"/>
      <w:lang w:eastAsia="zh-CN" w:bidi="th-TH"/>
    </w:rPr>
  </w:style>
  <w:style w:type="paragraph" w:customStyle="1" w:styleId="MELegal3">
    <w:name w:val="ME Legal 3"/>
    <w:aliases w:val="l3"/>
    <w:basedOn w:val="Normal"/>
    <w:rsid w:val="00C1737D"/>
    <w:pPr>
      <w:numPr>
        <w:ilvl w:val="2"/>
        <w:numId w:val="28"/>
      </w:numPr>
      <w:spacing w:after="140" w:line="280" w:lineRule="atLeast"/>
      <w:outlineLvl w:val="2"/>
    </w:pPr>
    <w:rPr>
      <w:rFonts w:ascii="Times New Roman" w:eastAsia="Times New Roman" w:hAnsi="Times New Roman" w:cs="Angsana New"/>
      <w:lang w:eastAsia="zh-CN" w:bidi="th-TH"/>
    </w:rPr>
  </w:style>
  <w:style w:type="paragraph" w:customStyle="1" w:styleId="MELegal4">
    <w:name w:val="ME Legal 4"/>
    <w:aliases w:val="l4"/>
    <w:basedOn w:val="Normal"/>
    <w:link w:val="MELegal4Char"/>
    <w:rsid w:val="00C1737D"/>
    <w:pPr>
      <w:numPr>
        <w:ilvl w:val="3"/>
        <w:numId w:val="28"/>
      </w:numPr>
      <w:spacing w:after="140" w:line="280" w:lineRule="atLeast"/>
      <w:outlineLvl w:val="3"/>
    </w:pPr>
    <w:rPr>
      <w:rFonts w:ascii="Times New Roman" w:eastAsia="Times New Roman" w:hAnsi="Times New Roman" w:cs="Angsana New"/>
      <w:lang w:eastAsia="zh-CN" w:bidi="th-TH"/>
    </w:rPr>
  </w:style>
  <w:style w:type="paragraph" w:customStyle="1" w:styleId="MELegal5">
    <w:name w:val="ME Legal 5"/>
    <w:aliases w:val="l5"/>
    <w:basedOn w:val="Normal"/>
    <w:rsid w:val="00C1737D"/>
    <w:pPr>
      <w:numPr>
        <w:ilvl w:val="4"/>
        <w:numId w:val="28"/>
      </w:numPr>
      <w:spacing w:after="140" w:line="280" w:lineRule="atLeast"/>
      <w:outlineLvl w:val="4"/>
    </w:pPr>
    <w:rPr>
      <w:rFonts w:ascii="Times New Roman" w:eastAsia="Times New Roman" w:hAnsi="Times New Roman" w:cs="Angsana New"/>
      <w:lang w:eastAsia="zh-CN" w:bidi="th-TH"/>
    </w:rPr>
  </w:style>
  <w:style w:type="paragraph" w:customStyle="1" w:styleId="MELegal6">
    <w:name w:val="ME Legal 6"/>
    <w:basedOn w:val="Normal"/>
    <w:rsid w:val="00C1737D"/>
    <w:pPr>
      <w:numPr>
        <w:ilvl w:val="5"/>
        <w:numId w:val="28"/>
      </w:numPr>
      <w:spacing w:after="140" w:line="280" w:lineRule="atLeast"/>
      <w:outlineLvl w:val="5"/>
    </w:pPr>
    <w:rPr>
      <w:rFonts w:ascii="Times New Roman" w:eastAsia="Times New Roman" w:hAnsi="Times New Roman" w:cs="Angsana New"/>
      <w:lang w:eastAsia="zh-CN" w:bidi="th-TH"/>
    </w:rPr>
  </w:style>
  <w:style w:type="character" w:customStyle="1" w:styleId="MELegal2Char">
    <w:name w:val="ME Legal 2 Char"/>
    <w:link w:val="MELegal2"/>
    <w:rsid w:val="00F40364"/>
    <w:rPr>
      <w:rFonts w:ascii="Arial" w:eastAsia="Times New Roman" w:hAnsi="Arial" w:cs="Angsana New"/>
      <w:b/>
      <w:bCs/>
      <w:w w:val="95"/>
      <w:sz w:val="24"/>
      <w:szCs w:val="24"/>
      <w:lang w:eastAsia="zh-CN" w:bidi="th-TH"/>
    </w:rPr>
  </w:style>
  <w:style w:type="paragraph" w:customStyle="1" w:styleId="ScheduleL1">
    <w:name w:val="Schedule L1"/>
    <w:basedOn w:val="Normal"/>
    <w:next w:val="Normal"/>
    <w:rsid w:val="001E748A"/>
    <w:pPr>
      <w:numPr>
        <w:numId w:val="29"/>
      </w:numPr>
      <w:pBdr>
        <w:bottom w:val="single" w:sz="4" w:space="1" w:color="auto"/>
      </w:pBdr>
      <w:spacing w:before="140" w:after="480" w:line="480" w:lineRule="exact"/>
      <w:outlineLvl w:val="0"/>
    </w:pPr>
    <w:rPr>
      <w:rFonts w:ascii="Arial" w:eastAsia="Times New Roman" w:hAnsi="Arial" w:cs="Angsana New"/>
      <w:spacing w:val="-10"/>
      <w:w w:val="95"/>
      <w:sz w:val="48"/>
      <w:szCs w:val="48"/>
      <w:lang w:eastAsia="zh-CN" w:bidi="th-TH"/>
    </w:rPr>
  </w:style>
  <w:style w:type="paragraph" w:customStyle="1" w:styleId="ScheduleL2">
    <w:name w:val="Schedule L2"/>
    <w:basedOn w:val="Normal"/>
    <w:next w:val="Normal"/>
    <w:rsid w:val="001E748A"/>
    <w:pPr>
      <w:keepNext/>
      <w:numPr>
        <w:ilvl w:val="1"/>
        <w:numId w:val="29"/>
      </w:numPr>
      <w:spacing w:before="280" w:after="140" w:line="280" w:lineRule="atLeast"/>
      <w:outlineLvl w:val="1"/>
    </w:pPr>
    <w:rPr>
      <w:rFonts w:ascii="Arial" w:eastAsia="Times New Roman" w:hAnsi="Arial" w:cs="Angsana New"/>
      <w:spacing w:val="-10"/>
      <w:w w:val="95"/>
      <w:sz w:val="32"/>
      <w:szCs w:val="32"/>
      <w:lang w:eastAsia="zh-CN" w:bidi="th-TH"/>
    </w:rPr>
  </w:style>
  <w:style w:type="paragraph" w:customStyle="1" w:styleId="ScheduleL3">
    <w:name w:val="Schedule L3"/>
    <w:basedOn w:val="Normal"/>
    <w:next w:val="Normal"/>
    <w:rsid w:val="001E748A"/>
    <w:pPr>
      <w:keepNext/>
      <w:numPr>
        <w:ilvl w:val="2"/>
        <w:numId w:val="29"/>
      </w:numPr>
      <w:tabs>
        <w:tab w:val="clear" w:pos="680"/>
      </w:tabs>
      <w:spacing w:before="60" w:after="60" w:line="280" w:lineRule="atLeast"/>
      <w:outlineLvl w:val="2"/>
    </w:pPr>
    <w:rPr>
      <w:rFonts w:ascii="Arial" w:eastAsia="Times New Roman" w:hAnsi="Arial" w:cs="Angsana New"/>
      <w:b/>
      <w:bCs/>
      <w:w w:val="95"/>
      <w:sz w:val="24"/>
      <w:szCs w:val="24"/>
      <w:lang w:eastAsia="zh-CN" w:bidi="th-TH"/>
    </w:rPr>
  </w:style>
  <w:style w:type="paragraph" w:customStyle="1" w:styleId="ScheduleL4">
    <w:name w:val="Schedule L4"/>
    <w:basedOn w:val="Normal"/>
    <w:rsid w:val="001E748A"/>
    <w:pPr>
      <w:numPr>
        <w:ilvl w:val="3"/>
        <w:numId w:val="29"/>
      </w:numPr>
      <w:spacing w:after="140" w:line="280" w:lineRule="atLeast"/>
      <w:outlineLvl w:val="3"/>
    </w:pPr>
    <w:rPr>
      <w:rFonts w:ascii="Times New Roman" w:eastAsia="Times New Roman" w:hAnsi="Times New Roman" w:cs="Angsana New"/>
      <w:lang w:eastAsia="zh-CN" w:bidi="th-TH"/>
    </w:rPr>
  </w:style>
  <w:style w:type="paragraph" w:customStyle="1" w:styleId="ScheduleL5">
    <w:name w:val="Schedule L5"/>
    <w:basedOn w:val="Normal"/>
    <w:rsid w:val="001E748A"/>
    <w:pPr>
      <w:numPr>
        <w:ilvl w:val="4"/>
        <w:numId w:val="29"/>
      </w:numPr>
      <w:tabs>
        <w:tab w:val="clear" w:pos="2041"/>
      </w:tabs>
      <w:spacing w:after="140" w:line="280" w:lineRule="atLeast"/>
      <w:outlineLvl w:val="4"/>
    </w:pPr>
    <w:rPr>
      <w:rFonts w:ascii="Times New Roman" w:eastAsia="Times New Roman" w:hAnsi="Times New Roman" w:cs="Angsana New"/>
      <w:lang w:eastAsia="zh-CN" w:bidi="th-TH"/>
    </w:rPr>
  </w:style>
  <w:style w:type="paragraph" w:customStyle="1" w:styleId="ScheduleL6">
    <w:name w:val="Schedule L6"/>
    <w:basedOn w:val="Normal"/>
    <w:rsid w:val="001E748A"/>
    <w:pPr>
      <w:numPr>
        <w:ilvl w:val="5"/>
        <w:numId w:val="29"/>
      </w:numPr>
      <w:tabs>
        <w:tab w:val="clear" w:pos="2722"/>
      </w:tabs>
      <w:spacing w:after="140" w:line="280" w:lineRule="atLeast"/>
      <w:outlineLvl w:val="5"/>
    </w:pPr>
    <w:rPr>
      <w:rFonts w:ascii="Times New Roman" w:eastAsia="Times New Roman" w:hAnsi="Times New Roman" w:cs="Angsana New"/>
      <w:lang w:eastAsia="zh-CN" w:bidi="th-TH"/>
    </w:rPr>
  </w:style>
  <w:style w:type="paragraph" w:styleId="NoSpacing">
    <w:name w:val="No Spacing"/>
    <w:uiPriority w:val="1"/>
    <w:qFormat/>
    <w:rsid w:val="00032331"/>
    <w:pPr>
      <w:spacing w:after="0" w:line="240" w:lineRule="auto"/>
    </w:pPr>
  </w:style>
  <w:style w:type="character" w:customStyle="1" w:styleId="MELegal4Char">
    <w:name w:val="ME Legal 4 Char"/>
    <w:link w:val="MELegal4"/>
    <w:rsid w:val="0082334D"/>
    <w:rPr>
      <w:rFonts w:ascii="Times New Roman" w:eastAsia="Times New Roman" w:hAnsi="Times New Roman" w:cs="Angsana New"/>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6565">
      <w:bodyDiv w:val="1"/>
      <w:marLeft w:val="0"/>
      <w:marRight w:val="0"/>
      <w:marTop w:val="0"/>
      <w:marBottom w:val="0"/>
      <w:divBdr>
        <w:top w:val="none" w:sz="0" w:space="0" w:color="auto"/>
        <w:left w:val="none" w:sz="0" w:space="0" w:color="auto"/>
        <w:bottom w:val="none" w:sz="0" w:space="0" w:color="auto"/>
        <w:right w:val="none" w:sz="0" w:space="0" w:color="auto"/>
      </w:divBdr>
    </w:div>
    <w:div w:id="112599281">
      <w:bodyDiv w:val="1"/>
      <w:marLeft w:val="0"/>
      <w:marRight w:val="0"/>
      <w:marTop w:val="0"/>
      <w:marBottom w:val="0"/>
      <w:divBdr>
        <w:top w:val="none" w:sz="0" w:space="0" w:color="auto"/>
        <w:left w:val="none" w:sz="0" w:space="0" w:color="auto"/>
        <w:bottom w:val="none" w:sz="0" w:space="0" w:color="auto"/>
        <w:right w:val="none" w:sz="0" w:space="0" w:color="auto"/>
      </w:divBdr>
    </w:div>
    <w:div w:id="475494886">
      <w:bodyDiv w:val="1"/>
      <w:marLeft w:val="0"/>
      <w:marRight w:val="0"/>
      <w:marTop w:val="0"/>
      <w:marBottom w:val="0"/>
      <w:divBdr>
        <w:top w:val="none" w:sz="0" w:space="0" w:color="auto"/>
        <w:left w:val="none" w:sz="0" w:space="0" w:color="auto"/>
        <w:bottom w:val="none" w:sz="0" w:space="0" w:color="auto"/>
        <w:right w:val="none" w:sz="0" w:space="0" w:color="auto"/>
      </w:divBdr>
    </w:div>
    <w:div w:id="664208536">
      <w:bodyDiv w:val="1"/>
      <w:marLeft w:val="0"/>
      <w:marRight w:val="0"/>
      <w:marTop w:val="0"/>
      <w:marBottom w:val="0"/>
      <w:divBdr>
        <w:top w:val="none" w:sz="0" w:space="0" w:color="auto"/>
        <w:left w:val="none" w:sz="0" w:space="0" w:color="auto"/>
        <w:bottom w:val="none" w:sz="0" w:space="0" w:color="auto"/>
        <w:right w:val="none" w:sz="0" w:space="0" w:color="auto"/>
      </w:divBdr>
    </w:div>
    <w:div w:id="788818040">
      <w:bodyDiv w:val="1"/>
      <w:marLeft w:val="0"/>
      <w:marRight w:val="0"/>
      <w:marTop w:val="0"/>
      <w:marBottom w:val="0"/>
      <w:divBdr>
        <w:top w:val="none" w:sz="0" w:space="0" w:color="auto"/>
        <w:left w:val="none" w:sz="0" w:space="0" w:color="auto"/>
        <w:bottom w:val="none" w:sz="0" w:space="0" w:color="auto"/>
        <w:right w:val="none" w:sz="0" w:space="0" w:color="auto"/>
      </w:divBdr>
    </w:div>
    <w:div w:id="814251693">
      <w:bodyDiv w:val="1"/>
      <w:marLeft w:val="0"/>
      <w:marRight w:val="0"/>
      <w:marTop w:val="0"/>
      <w:marBottom w:val="0"/>
      <w:divBdr>
        <w:top w:val="none" w:sz="0" w:space="0" w:color="auto"/>
        <w:left w:val="none" w:sz="0" w:space="0" w:color="auto"/>
        <w:bottom w:val="none" w:sz="0" w:space="0" w:color="auto"/>
        <w:right w:val="none" w:sz="0" w:space="0" w:color="auto"/>
      </w:divBdr>
    </w:div>
    <w:div w:id="1257789249">
      <w:bodyDiv w:val="1"/>
      <w:marLeft w:val="0"/>
      <w:marRight w:val="0"/>
      <w:marTop w:val="0"/>
      <w:marBottom w:val="0"/>
      <w:divBdr>
        <w:top w:val="none" w:sz="0" w:space="0" w:color="auto"/>
        <w:left w:val="none" w:sz="0" w:space="0" w:color="auto"/>
        <w:bottom w:val="none" w:sz="0" w:space="0" w:color="auto"/>
        <w:right w:val="none" w:sz="0" w:space="0" w:color="auto"/>
      </w:divBdr>
    </w:div>
    <w:div w:id="1407190363">
      <w:bodyDiv w:val="1"/>
      <w:marLeft w:val="0"/>
      <w:marRight w:val="0"/>
      <w:marTop w:val="0"/>
      <w:marBottom w:val="0"/>
      <w:divBdr>
        <w:top w:val="none" w:sz="0" w:space="0" w:color="auto"/>
        <w:left w:val="none" w:sz="0" w:space="0" w:color="auto"/>
        <w:bottom w:val="none" w:sz="0" w:space="0" w:color="auto"/>
        <w:right w:val="none" w:sz="0" w:space="0" w:color="auto"/>
      </w:divBdr>
    </w:div>
    <w:div w:id="1491142594">
      <w:bodyDiv w:val="1"/>
      <w:marLeft w:val="0"/>
      <w:marRight w:val="0"/>
      <w:marTop w:val="0"/>
      <w:marBottom w:val="0"/>
      <w:divBdr>
        <w:top w:val="none" w:sz="0" w:space="0" w:color="auto"/>
        <w:left w:val="none" w:sz="0" w:space="0" w:color="auto"/>
        <w:bottom w:val="none" w:sz="0" w:space="0" w:color="auto"/>
        <w:right w:val="none" w:sz="0" w:space="0" w:color="auto"/>
      </w:divBdr>
      <w:divsChild>
        <w:div w:id="1300499295">
          <w:marLeft w:val="0"/>
          <w:marRight w:val="0"/>
          <w:marTop w:val="0"/>
          <w:marBottom w:val="0"/>
          <w:divBdr>
            <w:top w:val="none" w:sz="0" w:space="0" w:color="auto"/>
            <w:left w:val="none" w:sz="0" w:space="0" w:color="auto"/>
            <w:bottom w:val="none" w:sz="0" w:space="0" w:color="auto"/>
            <w:right w:val="none" w:sz="0" w:space="0" w:color="auto"/>
          </w:divBdr>
          <w:divsChild>
            <w:div w:id="935943713">
              <w:marLeft w:val="0"/>
              <w:marRight w:val="0"/>
              <w:marTop w:val="0"/>
              <w:marBottom w:val="0"/>
              <w:divBdr>
                <w:top w:val="none" w:sz="0" w:space="0" w:color="auto"/>
                <w:left w:val="none" w:sz="0" w:space="0" w:color="auto"/>
                <w:bottom w:val="none" w:sz="0" w:space="0" w:color="auto"/>
                <w:right w:val="none" w:sz="0" w:space="0" w:color="auto"/>
              </w:divBdr>
              <w:divsChild>
                <w:div w:id="206071950">
                  <w:marLeft w:val="0"/>
                  <w:marRight w:val="0"/>
                  <w:marTop w:val="0"/>
                  <w:marBottom w:val="0"/>
                  <w:divBdr>
                    <w:top w:val="none" w:sz="0" w:space="0" w:color="auto"/>
                    <w:left w:val="none" w:sz="0" w:space="0" w:color="auto"/>
                    <w:bottom w:val="none" w:sz="0" w:space="0" w:color="auto"/>
                    <w:right w:val="none" w:sz="0" w:space="0" w:color="auto"/>
                  </w:divBdr>
                  <w:divsChild>
                    <w:div w:id="455149028">
                      <w:marLeft w:val="0"/>
                      <w:marRight w:val="0"/>
                      <w:marTop w:val="0"/>
                      <w:marBottom w:val="0"/>
                      <w:divBdr>
                        <w:top w:val="none" w:sz="0" w:space="0" w:color="auto"/>
                        <w:left w:val="none" w:sz="0" w:space="0" w:color="auto"/>
                        <w:bottom w:val="none" w:sz="0" w:space="0" w:color="auto"/>
                        <w:right w:val="none" w:sz="0" w:space="0" w:color="auto"/>
                      </w:divBdr>
                      <w:divsChild>
                        <w:div w:id="1315719214">
                          <w:marLeft w:val="0"/>
                          <w:marRight w:val="-100"/>
                          <w:marTop w:val="0"/>
                          <w:marBottom w:val="0"/>
                          <w:divBdr>
                            <w:top w:val="none" w:sz="0" w:space="0" w:color="auto"/>
                            <w:left w:val="none" w:sz="0" w:space="0" w:color="auto"/>
                            <w:bottom w:val="none" w:sz="0" w:space="0" w:color="auto"/>
                            <w:right w:val="none" w:sz="0" w:space="0" w:color="auto"/>
                          </w:divBdr>
                          <w:divsChild>
                            <w:div w:id="1251966783">
                              <w:marLeft w:val="0"/>
                              <w:marRight w:val="0"/>
                              <w:marTop w:val="0"/>
                              <w:marBottom w:val="0"/>
                              <w:divBdr>
                                <w:top w:val="none" w:sz="0" w:space="0" w:color="auto"/>
                                <w:left w:val="none" w:sz="0" w:space="0" w:color="auto"/>
                                <w:bottom w:val="none" w:sz="0" w:space="0" w:color="auto"/>
                                <w:right w:val="none" w:sz="0" w:space="0" w:color="auto"/>
                              </w:divBdr>
                              <w:divsChild>
                                <w:div w:id="387581734">
                                  <w:marLeft w:val="0"/>
                                  <w:marRight w:val="0"/>
                                  <w:marTop w:val="0"/>
                                  <w:marBottom w:val="0"/>
                                  <w:divBdr>
                                    <w:top w:val="none" w:sz="0" w:space="0" w:color="auto"/>
                                    <w:left w:val="none" w:sz="0" w:space="0" w:color="auto"/>
                                    <w:bottom w:val="none" w:sz="0" w:space="0" w:color="auto"/>
                                    <w:right w:val="none" w:sz="0" w:space="0" w:color="auto"/>
                                  </w:divBdr>
                                  <w:divsChild>
                                    <w:div w:id="1578131203">
                                      <w:marLeft w:val="0"/>
                                      <w:marRight w:val="0"/>
                                      <w:marTop w:val="0"/>
                                      <w:marBottom w:val="0"/>
                                      <w:divBdr>
                                        <w:top w:val="none" w:sz="0" w:space="0" w:color="auto"/>
                                        <w:left w:val="none" w:sz="0" w:space="0" w:color="auto"/>
                                        <w:bottom w:val="none" w:sz="0" w:space="0" w:color="auto"/>
                                        <w:right w:val="none" w:sz="0" w:space="0" w:color="auto"/>
                                      </w:divBdr>
                                      <w:divsChild>
                                        <w:div w:id="586429046">
                                          <w:marLeft w:val="0"/>
                                          <w:marRight w:val="0"/>
                                          <w:marTop w:val="0"/>
                                          <w:marBottom w:val="0"/>
                                          <w:divBdr>
                                            <w:top w:val="none" w:sz="0" w:space="0" w:color="auto"/>
                                            <w:left w:val="none" w:sz="0" w:space="0" w:color="auto"/>
                                            <w:bottom w:val="none" w:sz="0" w:space="0" w:color="auto"/>
                                            <w:right w:val="none" w:sz="0" w:space="0" w:color="auto"/>
                                          </w:divBdr>
                                          <w:divsChild>
                                            <w:div w:id="1008482182">
                                              <w:marLeft w:val="0"/>
                                              <w:marRight w:val="0"/>
                                              <w:marTop w:val="0"/>
                                              <w:marBottom w:val="0"/>
                                              <w:divBdr>
                                                <w:top w:val="none" w:sz="0" w:space="0" w:color="auto"/>
                                                <w:left w:val="none" w:sz="0" w:space="0" w:color="auto"/>
                                                <w:bottom w:val="none" w:sz="0" w:space="0" w:color="auto"/>
                                                <w:right w:val="none" w:sz="0" w:space="0" w:color="auto"/>
                                              </w:divBdr>
                                              <w:divsChild>
                                                <w:div w:id="9963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699267">
      <w:bodyDiv w:val="1"/>
      <w:marLeft w:val="0"/>
      <w:marRight w:val="0"/>
      <w:marTop w:val="0"/>
      <w:marBottom w:val="0"/>
      <w:divBdr>
        <w:top w:val="none" w:sz="0" w:space="0" w:color="auto"/>
        <w:left w:val="none" w:sz="0" w:space="0" w:color="auto"/>
        <w:bottom w:val="none" w:sz="0" w:space="0" w:color="auto"/>
        <w:right w:val="none" w:sz="0" w:space="0" w:color="auto"/>
      </w:divBdr>
    </w:div>
    <w:div w:id="1594633359">
      <w:bodyDiv w:val="1"/>
      <w:marLeft w:val="0"/>
      <w:marRight w:val="0"/>
      <w:marTop w:val="0"/>
      <w:marBottom w:val="0"/>
      <w:divBdr>
        <w:top w:val="none" w:sz="0" w:space="0" w:color="auto"/>
        <w:left w:val="none" w:sz="0" w:space="0" w:color="auto"/>
        <w:bottom w:val="none" w:sz="0" w:space="0" w:color="auto"/>
        <w:right w:val="none" w:sz="0" w:space="0" w:color="auto"/>
      </w:divBdr>
      <w:divsChild>
        <w:div w:id="1145396056">
          <w:marLeft w:val="0"/>
          <w:marRight w:val="0"/>
          <w:marTop w:val="0"/>
          <w:marBottom w:val="0"/>
          <w:divBdr>
            <w:top w:val="none" w:sz="0" w:space="0" w:color="auto"/>
            <w:left w:val="none" w:sz="0" w:space="0" w:color="auto"/>
            <w:bottom w:val="none" w:sz="0" w:space="0" w:color="auto"/>
            <w:right w:val="none" w:sz="0" w:space="0" w:color="auto"/>
          </w:divBdr>
          <w:divsChild>
            <w:div w:id="810751283">
              <w:marLeft w:val="0"/>
              <w:marRight w:val="0"/>
              <w:marTop w:val="0"/>
              <w:marBottom w:val="0"/>
              <w:divBdr>
                <w:top w:val="none" w:sz="0" w:space="0" w:color="auto"/>
                <w:left w:val="none" w:sz="0" w:space="0" w:color="auto"/>
                <w:bottom w:val="none" w:sz="0" w:space="0" w:color="auto"/>
                <w:right w:val="none" w:sz="0" w:space="0" w:color="auto"/>
              </w:divBdr>
              <w:divsChild>
                <w:div w:id="1190755131">
                  <w:marLeft w:val="0"/>
                  <w:marRight w:val="0"/>
                  <w:marTop w:val="0"/>
                  <w:marBottom w:val="0"/>
                  <w:divBdr>
                    <w:top w:val="none" w:sz="0" w:space="0" w:color="auto"/>
                    <w:left w:val="none" w:sz="0" w:space="0" w:color="auto"/>
                    <w:bottom w:val="none" w:sz="0" w:space="0" w:color="auto"/>
                    <w:right w:val="none" w:sz="0" w:space="0" w:color="auto"/>
                  </w:divBdr>
                  <w:divsChild>
                    <w:div w:id="942956589">
                      <w:marLeft w:val="0"/>
                      <w:marRight w:val="0"/>
                      <w:marTop w:val="0"/>
                      <w:marBottom w:val="0"/>
                      <w:divBdr>
                        <w:top w:val="none" w:sz="0" w:space="0" w:color="auto"/>
                        <w:left w:val="none" w:sz="0" w:space="0" w:color="auto"/>
                        <w:bottom w:val="none" w:sz="0" w:space="0" w:color="auto"/>
                        <w:right w:val="none" w:sz="0" w:space="0" w:color="auto"/>
                      </w:divBdr>
                      <w:divsChild>
                        <w:div w:id="1759935361">
                          <w:marLeft w:val="0"/>
                          <w:marRight w:val="-100"/>
                          <w:marTop w:val="0"/>
                          <w:marBottom w:val="0"/>
                          <w:divBdr>
                            <w:top w:val="none" w:sz="0" w:space="0" w:color="auto"/>
                            <w:left w:val="none" w:sz="0" w:space="0" w:color="auto"/>
                            <w:bottom w:val="none" w:sz="0" w:space="0" w:color="auto"/>
                            <w:right w:val="none" w:sz="0" w:space="0" w:color="auto"/>
                          </w:divBdr>
                          <w:divsChild>
                            <w:div w:id="66148531">
                              <w:marLeft w:val="0"/>
                              <w:marRight w:val="0"/>
                              <w:marTop w:val="0"/>
                              <w:marBottom w:val="0"/>
                              <w:divBdr>
                                <w:top w:val="none" w:sz="0" w:space="0" w:color="auto"/>
                                <w:left w:val="none" w:sz="0" w:space="0" w:color="auto"/>
                                <w:bottom w:val="none" w:sz="0" w:space="0" w:color="auto"/>
                                <w:right w:val="none" w:sz="0" w:space="0" w:color="auto"/>
                              </w:divBdr>
                              <w:divsChild>
                                <w:div w:id="696123856">
                                  <w:marLeft w:val="0"/>
                                  <w:marRight w:val="0"/>
                                  <w:marTop w:val="0"/>
                                  <w:marBottom w:val="0"/>
                                  <w:divBdr>
                                    <w:top w:val="none" w:sz="0" w:space="0" w:color="auto"/>
                                    <w:left w:val="none" w:sz="0" w:space="0" w:color="auto"/>
                                    <w:bottom w:val="none" w:sz="0" w:space="0" w:color="auto"/>
                                    <w:right w:val="none" w:sz="0" w:space="0" w:color="auto"/>
                                  </w:divBdr>
                                  <w:divsChild>
                                    <w:div w:id="1724209039">
                                      <w:marLeft w:val="0"/>
                                      <w:marRight w:val="0"/>
                                      <w:marTop w:val="0"/>
                                      <w:marBottom w:val="0"/>
                                      <w:divBdr>
                                        <w:top w:val="none" w:sz="0" w:space="0" w:color="auto"/>
                                        <w:left w:val="none" w:sz="0" w:space="0" w:color="auto"/>
                                        <w:bottom w:val="none" w:sz="0" w:space="0" w:color="auto"/>
                                        <w:right w:val="none" w:sz="0" w:space="0" w:color="auto"/>
                                      </w:divBdr>
                                      <w:divsChild>
                                        <w:div w:id="2084910083">
                                          <w:marLeft w:val="0"/>
                                          <w:marRight w:val="0"/>
                                          <w:marTop w:val="0"/>
                                          <w:marBottom w:val="0"/>
                                          <w:divBdr>
                                            <w:top w:val="none" w:sz="0" w:space="0" w:color="auto"/>
                                            <w:left w:val="none" w:sz="0" w:space="0" w:color="auto"/>
                                            <w:bottom w:val="none" w:sz="0" w:space="0" w:color="auto"/>
                                            <w:right w:val="none" w:sz="0" w:space="0" w:color="auto"/>
                                          </w:divBdr>
                                          <w:divsChild>
                                            <w:div w:id="1567838524">
                                              <w:marLeft w:val="0"/>
                                              <w:marRight w:val="0"/>
                                              <w:marTop w:val="0"/>
                                              <w:marBottom w:val="0"/>
                                              <w:divBdr>
                                                <w:top w:val="none" w:sz="0" w:space="0" w:color="auto"/>
                                                <w:left w:val="none" w:sz="0" w:space="0" w:color="auto"/>
                                                <w:bottom w:val="none" w:sz="0" w:space="0" w:color="auto"/>
                                                <w:right w:val="none" w:sz="0" w:space="0" w:color="auto"/>
                                              </w:divBdr>
                                              <w:divsChild>
                                                <w:div w:id="8885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379518">
      <w:bodyDiv w:val="1"/>
      <w:marLeft w:val="0"/>
      <w:marRight w:val="0"/>
      <w:marTop w:val="0"/>
      <w:marBottom w:val="0"/>
      <w:divBdr>
        <w:top w:val="none" w:sz="0" w:space="0" w:color="auto"/>
        <w:left w:val="none" w:sz="0" w:space="0" w:color="auto"/>
        <w:bottom w:val="none" w:sz="0" w:space="0" w:color="auto"/>
        <w:right w:val="none" w:sz="0" w:space="0" w:color="auto"/>
      </w:divBdr>
      <w:divsChild>
        <w:div w:id="1617444467">
          <w:marLeft w:val="0"/>
          <w:marRight w:val="0"/>
          <w:marTop w:val="0"/>
          <w:marBottom w:val="0"/>
          <w:divBdr>
            <w:top w:val="none" w:sz="0" w:space="0" w:color="auto"/>
            <w:left w:val="none" w:sz="0" w:space="0" w:color="auto"/>
            <w:bottom w:val="none" w:sz="0" w:space="0" w:color="auto"/>
            <w:right w:val="none" w:sz="0" w:space="0" w:color="auto"/>
          </w:divBdr>
          <w:divsChild>
            <w:div w:id="831022720">
              <w:marLeft w:val="0"/>
              <w:marRight w:val="0"/>
              <w:marTop w:val="0"/>
              <w:marBottom w:val="0"/>
              <w:divBdr>
                <w:top w:val="none" w:sz="0" w:space="0" w:color="auto"/>
                <w:left w:val="none" w:sz="0" w:space="0" w:color="auto"/>
                <w:bottom w:val="none" w:sz="0" w:space="0" w:color="auto"/>
                <w:right w:val="none" w:sz="0" w:space="0" w:color="auto"/>
              </w:divBdr>
              <w:divsChild>
                <w:div w:id="502621596">
                  <w:marLeft w:val="0"/>
                  <w:marRight w:val="0"/>
                  <w:marTop w:val="0"/>
                  <w:marBottom w:val="0"/>
                  <w:divBdr>
                    <w:top w:val="none" w:sz="0" w:space="0" w:color="auto"/>
                    <w:left w:val="none" w:sz="0" w:space="0" w:color="auto"/>
                    <w:bottom w:val="none" w:sz="0" w:space="0" w:color="auto"/>
                    <w:right w:val="none" w:sz="0" w:space="0" w:color="auto"/>
                  </w:divBdr>
                  <w:divsChild>
                    <w:div w:id="542181017">
                      <w:marLeft w:val="0"/>
                      <w:marRight w:val="0"/>
                      <w:marTop w:val="0"/>
                      <w:marBottom w:val="0"/>
                      <w:divBdr>
                        <w:top w:val="none" w:sz="0" w:space="0" w:color="auto"/>
                        <w:left w:val="none" w:sz="0" w:space="0" w:color="auto"/>
                        <w:bottom w:val="none" w:sz="0" w:space="0" w:color="auto"/>
                        <w:right w:val="none" w:sz="0" w:space="0" w:color="auto"/>
                      </w:divBdr>
                      <w:divsChild>
                        <w:div w:id="1948349699">
                          <w:marLeft w:val="0"/>
                          <w:marRight w:val="-100"/>
                          <w:marTop w:val="0"/>
                          <w:marBottom w:val="0"/>
                          <w:divBdr>
                            <w:top w:val="none" w:sz="0" w:space="0" w:color="auto"/>
                            <w:left w:val="none" w:sz="0" w:space="0" w:color="auto"/>
                            <w:bottom w:val="none" w:sz="0" w:space="0" w:color="auto"/>
                            <w:right w:val="none" w:sz="0" w:space="0" w:color="auto"/>
                          </w:divBdr>
                          <w:divsChild>
                            <w:div w:id="493835830">
                              <w:marLeft w:val="0"/>
                              <w:marRight w:val="0"/>
                              <w:marTop w:val="0"/>
                              <w:marBottom w:val="0"/>
                              <w:divBdr>
                                <w:top w:val="none" w:sz="0" w:space="0" w:color="auto"/>
                                <w:left w:val="none" w:sz="0" w:space="0" w:color="auto"/>
                                <w:bottom w:val="none" w:sz="0" w:space="0" w:color="auto"/>
                                <w:right w:val="none" w:sz="0" w:space="0" w:color="auto"/>
                              </w:divBdr>
                              <w:divsChild>
                                <w:div w:id="1768116087">
                                  <w:marLeft w:val="0"/>
                                  <w:marRight w:val="0"/>
                                  <w:marTop w:val="0"/>
                                  <w:marBottom w:val="0"/>
                                  <w:divBdr>
                                    <w:top w:val="none" w:sz="0" w:space="0" w:color="auto"/>
                                    <w:left w:val="none" w:sz="0" w:space="0" w:color="auto"/>
                                    <w:bottom w:val="none" w:sz="0" w:space="0" w:color="auto"/>
                                    <w:right w:val="none" w:sz="0" w:space="0" w:color="auto"/>
                                  </w:divBdr>
                                  <w:divsChild>
                                    <w:div w:id="212470907">
                                      <w:marLeft w:val="0"/>
                                      <w:marRight w:val="0"/>
                                      <w:marTop w:val="0"/>
                                      <w:marBottom w:val="0"/>
                                      <w:divBdr>
                                        <w:top w:val="none" w:sz="0" w:space="0" w:color="auto"/>
                                        <w:left w:val="none" w:sz="0" w:space="0" w:color="auto"/>
                                        <w:bottom w:val="none" w:sz="0" w:space="0" w:color="auto"/>
                                        <w:right w:val="none" w:sz="0" w:space="0" w:color="auto"/>
                                      </w:divBdr>
                                      <w:divsChild>
                                        <w:div w:id="886379728">
                                          <w:marLeft w:val="0"/>
                                          <w:marRight w:val="0"/>
                                          <w:marTop w:val="0"/>
                                          <w:marBottom w:val="0"/>
                                          <w:divBdr>
                                            <w:top w:val="none" w:sz="0" w:space="0" w:color="auto"/>
                                            <w:left w:val="none" w:sz="0" w:space="0" w:color="auto"/>
                                            <w:bottom w:val="none" w:sz="0" w:space="0" w:color="auto"/>
                                            <w:right w:val="none" w:sz="0" w:space="0" w:color="auto"/>
                                          </w:divBdr>
                                          <w:divsChild>
                                            <w:div w:id="827474957">
                                              <w:marLeft w:val="0"/>
                                              <w:marRight w:val="0"/>
                                              <w:marTop w:val="0"/>
                                              <w:marBottom w:val="0"/>
                                              <w:divBdr>
                                                <w:top w:val="none" w:sz="0" w:space="0" w:color="auto"/>
                                                <w:left w:val="none" w:sz="0" w:space="0" w:color="auto"/>
                                                <w:bottom w:val="none" w:sz="0" w:space="0" w:color="auto"/>
                                                <w:right w:val="none" w:sz="0" w:space="0" w:color="auto"/>
                                              </w:divBdr>
                                              <w:divsChild>
                                                <w:div w:id="530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691256">
      <w:bodyDiv w:val="1"/>
      <w:marLeft w:val="0"/>
      <w:marRight w:val="0"/>
      <w:marTop w:val="0"/>
      <w:marBottom w:val="0"/>
      <w:divBdr>
        <w:top w:val="none" w:sz="0" w:space="0" w:color="auto"/>
        <w:left w:val="none" w:sz="0" w:space="0" w:color="auto"/>
        <w:bottom w:val="none" w:sz="0" w:space="0" w:color="auto"/>
        <w:right w:val="none" w:sz="0" w:space="0" w:color="auto"/>
      </w:divBdr>
    </w:div>
    <w:div w:id="1815414054">
      <w:bodyDiv w:val="1"/>
      <w:marLeft w:val="0"/>
      <w:marRight w:val="0"/>
      <w:marTop w:val="0"/>
      <w:marBottom w:val="0"/>
      <w:divBdr>
        <w:top w:val="none" w:sz="0" w:space="0" w:color="auto"/>
        <w:left w:val="none" w:sz="0" w:space="0" w:color="auto"/>
        <w:bottom w:val="none" w:sz="0" w:space="0" w:color="auto"/>
        <w:right w:val="none" w:sz="0" w:space="0" w:color="auto"/>
      </w:divBdr>
    </w:div>
    <w:div w:id="1960644613">
      <w:bodyDiv w:val="1"/>
      <w:marLeft w:val="0"/>
      <w:marRight w:val="0"/>
      <w:marTop w:val="0"/>
      <w:marBottom w:val="0"/>
      <w:divBdr>
        <w:top w:val="none" w:sz="0" w:space="0" w:color="auto"/>
        <w:left w:val="none" w:sz="0" w:space="0" w:color="auto"/>
        <w:bottom w:val="none" w:sz="0" w:space="0" w:color="auto"/>
        <w:right w:val="none" w:sz="0" w:space="0" w:color="auto"/>
      </w:divBdr>
    </w:div>
    <w:div w:id="2025473588">
      <w:bodyDiv w:val="1"/>
      <w:marLeft w:val="0"/>
      <w:marRight w:val="0"/>
      <w:marTop w:val="0"/>
      <w:marBottom w:val="0"/>
      <w:divBdr>
        <w:top w:val="none" w:sz="0" w:space="0" w:color="auto"/>
        <w:left w:val="none" w:sz="0" w:space="0" w:color="auto"/>
        <w:bottom w:val="none" w:sz="0" w:space="0" w:color="auto"/>
        <w:right w:val="none" w:sz="0" w:space="0" w:color="auto"/>
      </w:divBdr>
    </w:div>
    <w:div w:id="209492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dustry.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ucation.gov.au" TargetMode="External"/><Relationship Id="rId5" Type="http://schemas.openxmlformats.org/officeDocument/2006/relationships/webSettings" Target="webSettings.xml"/><Relationship Id="rId10" Type="http://schemas.openxmlformats.org/officeDocument/2006/relationships/hyperlink" Target="http://www.australianapprenticeships.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B7143-BFA9-4D73-BE62-FEAE3E1B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73469C7B.dotm</Template>
  <TotalTime>2</TotalTime>
  <Pages>23</Pages>
  <Words>7728</Words>
  <Characters>44050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INDUSTRY</Company>
  <LinksUpToDate>false</LinksUpToDate>
  <CharactersWithSpaces>51675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Roberta</dc:creator>
  <cp:lastModifiedBy>SMITH,Maria</cp:lastModifiedBy>
  <cp:revision>4</cp:revision>
  <cp:lastPrinted>2018-03-07T02:43:00Z</cp:lastPrinted>
  <dcterms:created xsi:type="dcterms:W3CDTF">2018-03-07T02:22:00Z</dcterms:created>
  <dcterms:modified xsi:type="dcterms:W3CDTF">2018-03-07T02:44:00Z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ies>
</file>