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04A" w:rsidRDefault="00EA704A" w:rsidP="00EA704A">
      <w:pPr>
        <w:spacing w:before="360"/>
        <w:jc w:val="center"/>
      </w:pPr>
      <w:r>
        <w:rPr>
          <w:caps/>
          <w:noProof/>
          <w:lang w:eastAsia="en-AU"/>
        </w:rPr>
        <w:drawing>
          <wp:inline distT="0" distB="0" distL="0" distR="0" wp14:anchorId="64EA6780" wp14:editId="0F919416">
            <wp:extent cx="2465705" cy="1371600"/>
            <wp:effectExtent l="0" t="0" r="0" b="0"/>
            <wp:docPr id="5" name="Picture 2" descr="Australian Government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stralian Government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4A" w:rsidRDefault="00EA704A" w:rsidP="003B1A3C">
      <w:pPr>
        <w:pStyle w:val="Title"/>
      </w:pPr>
      <w:r w:rsidRPr="005418C5">
        <w:t xml:space="preserve">Australian </w:t>
      </w:r>
      <w:r>
        <w:t>Government</w:t>
      </w:r>
      <w:r w:rsidRPr="005418C5">
        <w:t xml:space="preserve"> response to the</w:t>
      </w:r>
      <w:r>
        <w:t xml:space="preserve"> </w:t>
      </w:r>
      <w:r>
        <w:br/>
        <w:t>Select Committee on Red Tape</w:t>
      </w:r>
      <w:r w:rsidRPr="009B57C6">
        <w:t xml:space="preserve"> report</w:t>
      </w:r>
      <w:r>
        <w:t>:</w:t>
      </w:r>
    </w:p>
    <w:p w:rsidR="00EA704A" w:rsidRDefault="00EA704A" w:rsidP="003B1A3C">
      <w:pPr>
        <w:pStyle w:val="Title"/>
      </w:pPr>
      <w:r>
        <w:t>Effect of red tape on occupational licensing</w:t>
      </w:r>
    </w:p>
    <w:p w:rsidR="00EA704A" w:rsidRDefault="00EA704A" w:rsidP="003B1A3C">
      <w:pPr>
        <w:pStyle w:val="Title"/>
      </w:pPr>
      <w:bookmarkStart w:id="0" w:name="_GoBack"/>
      <w:r>
        <w:t>Interim report</w:t>
      </w:r>
    </w:p>
    <w:bookmarkEnd w:id="0"/>
    <w:p w:rsidR="00EA704A" w:rsidRDefault="00EF356D" w:rsidP="003B1A3C">
      <w:pPr>
        <w:spacing w:before="6840" w:line="240" w:lineRule="auto"/>
        <w:jc w:val="right"/>
      </w:pPr>
      <w:r>
        <w:rPr>
          <w:caps/>
          <w:sz w:val="28"/>
          <w:szCs w:val="28"/>
        </w:rPr>
        <w:t>N</w:t>
      </w:r>
      <w:r w:rsidR="003B1A3C">
        <w:rPr>
          <w:sz w:val="28"/>
          <w:szCs w:val="28"/>
        </w:rPr>
        <w:t>ovember 2018</w:t>
      </w:r>
      <w:r w:rsidR="00EA704A">
        <w:br w:type="page"/>
      </w:r>
    </w:p>
    <w:p w:rsidR="00E45C49" w:rsidRDefault="00E45C49">
      <w:r>
        <w:lastRenderedPageBreak/>
        <w:t>The Australian Government notes the recommendations made in the interim report of the Select Committee on Red Tape in respect of occupational licensing.</w:t>
      </w:r>
    </w:p>
    <w:p w:rsidR="00E45C49" w:rsidRDefault="00E45C49">
      <w:r>
        <w:t xml:space="preserve">In the submission provided to the </w:t>
      </w:r>
      <w:r w:rsidR="00B82E8D">
        <w:t>C</w:t>
      </w:r>
      <w:r>
        <w:t xml:space="preserve">ommittee, the Department of Education and Training outlined the use of mutual recognition in Australia. Mutual recognition is a method through which the regulatory burden from occupational licensing can be reduced for individuals who are moving and operating between states in a licensed occupation. </w:t>
      </w:r>
    </w:p>
    <w:p w:rsidR="00E45C49" w:rsidRDefault="00E45C49">
      <w:r>
        <w:t xml:space="preserve">While the Australian Government administers the legislation for mutual recognition (the </w:t>
      </w:r>
      <w:r>
        <w:rPr>
          <w:i/>
        </w:rPr>
        <w:t>Mutual Recognition Act 1992</w:t>
      </w:r>
      <w:r>
        <w:t xml:space="preserve">), its actual use and application sits with the states and territories. State and territory governments </w:t>
      </w:r>
      <w:r w:rsidR="006C2065">
        <w:t xml:space="preserve">have responsibility for and </w:t>
      </w:r>
      <w:r>
        <w:t xml:space="preserve">administer their own occupational registrations. </w:t>
      </w:r>
    </w:p>
    <w:p w:rsidR="00E45C49" w:rsidRDefault="00662CBD">
      <w:r>
        <w:t xml:space="preserve">The recommendations made by the Select Committee will need to be </w:t>
      </w:r>
      <w:proofErr w:type="gramStart"/>
      <w:r>
        <w:t>considered</w:t>
      </w:r>
      <w:proofErr w:type="gramEnd"/>
      <w:r>
        <w:t xml:space="preserve"> and responded to by the state and territory governments with the inclusion of the Council for the Australian Federation as appropriate. As a result, the Australian Government has no comment on the recommendations that have been made. </w:t>
      </w:r>
    </w:p>
    <w:p w:rsidR="00E45C49" w:rsidRPr="00E45C49" w:rsidRDefault="00E45C49" w:rsidP="003B1A3C">
      <w:pPr>
        <w:pStyle w:val="Heading1"/>
      </w:pPr>
      <w:r w:rsidRPr="003B1A3C">
        <w:t>Recommendation</w:t>
      </w:r>
      <w:r w:rsidRPr="00E45C49">
        <w:t xml:space="preserve"> 1</w:t>
      </w:r>
    </w:p>
    <w:p w:rsidR="00E45C49" w:rsidRDefault="00E45C49" w:rsidP="003B1A3C">
      <w:pPr>
        <w:spacing w:before="0"/>
        <w:rPr>
          <w:bCs/>
        </w:rPr>
      </w:pPr>
      <w:r w:rsidRPr="00E45C49">
        <w:rPr>
          <w:bCs/>
        </w:rPr>
        <w:t>The committee recommends the Council for the Australian Federation,</w:t>
      </w:r>
      <w:r>
        <w:rPr>
          <w:bCs/>
        </w:rPr>
        <w:t xml:space="preserve"> </w:t>
      </w:r>
      <w:r w:rsidRPr="00E45C49">
        <w:rPr>
          <w:bCs/>
        </w:rPr>
        <w:t>in close consultation with relevant stakeholders, renew its efforts toward</w:t>
      </w:r>
      <w:r>
        <w:rPr>
          <w:bCs/>
        </w:rPr>
        <w:t xml:space="preserve"> </w:t>
      </w:r>
      <w:r w:rsidRPr="00E45C49">
        <w:rPr>
          <w:bCs/>
        </w:rPr>
        <w:t>occupational licensing reform, with a starting presumption against licensing.</w:t>
      </w:r>
    </w:p>
    <w:p w:rsidR="00662CBD" w:rsidRPr="00662CBD" w:rsidRDefault="00662CBD" w:rsidP="00E45C49">
      <w:pPr>
        <w:rPr>
          <w:bCs/>
          <w:i/>
        </w:rPr>
      </w:pPr>
      <w:r>
        <w:rPr>
          <w:bCs/>
          <w:i/>
        </w:rPr>
        <w:t>The Australian Government notes that it has no role in the Council for the Australian Federation and that occupational licensing is a matter for state and territory governments.</w:t>
      </w:r>
    </w:p>
    <w:p w:rsidR="00E45C49" w:rsidRPr="00E45C49" w:rsidRDefault="00E45C49" w:rsidP="003B1A3C">
      <w:pPr>
        <w:pStyle w:val="Heading1"/>
      </w:pPr>
      <w:r w:rsidRPr="00E45C49">
        <w:t>Recommendation 2</w:t>
      </w:r>
    </w:p>
    <w:p w:rsidR="00E45C49" w:rsidRDefault="00E45C49" w:rsidP="003B1A3C">
      <w:pPr>
        <w:spacing w:before="0"/>
        <w:rPr>
          <w:bCs/>
        </w:rPr>
      </w:pPr>
      <w:r w:rsidRPr="00E45C49">
        <w:rPr>
          <w:bCs/>
        </w:rPr>
        <w:t>Subject to its retention, the committee recommends that occupational</w:t>
      </w:r>
      <w:r>
        <w:rPr>
          <w:bCs/>
        </w:rPr>
        <w:t xml:space="preserve"> </w:t>
      </w:r>
      <w:r w:rsidRPr="00E45C49">
        <w:rPr>
          <w:bCs/>
        </w:rPr>
        <w:t>licensing be based on specific, measurable outcomes and the identification of best</w:t>
      </w:r>
      <w:r>
        <w:rPr>
          <w:bCs/>
        </w:rPr>
        <w:t xml:space="preserve"> </w:t>
      </w:r>
      <w:r w:rsidRPr="00E45C49">
        <w:rPr>
          <w:bCs/>
        </w:rPr>
        <w:t>practice models for occupations throughout Australia.</w:t>
      </w:r>
    </w:p>
    <w:p w:rsidR="00662CBD" w:rsidRPr="00662CBD" w:rsidRDefault="00662CBD" w:rsidP="00662CBD">
      <w:pPr>
        <w:rPr>
          <w:bCs/>
          <w:i/>
        </w:rPr>
      </w:pPr>
      <w:r>
        <w:rPr>
          <w:bCs/>
          <w:i/>
        </w:rPr>
        <w:t>The Australian Government notes that occupational licensing is a matter for state and territory governments.</w:t>
      </w:r>
    </w:p>
    <w:p w:rsidR="00E45C49" w:rsidRPr="00E45C49" w:rsidRDefault="00E45C49" w:rsidP="003B1A3C">
      <w:pPr>
        <w:pStyle w:val="Heading1"/>
      </w:pPr>
      <w:r w:rsidRPr="00E45C49">
        <w:t>Recommendation 3</w:t>
      </w:r>
    </w:p>
    <w:p w:rsidR="00E45C49" w:rsidRDefault="00E45C49" w:rsidP="003B1A3C">
      <w:pPr>
        <w:spacing w:before="0"/>
        <w:rPr>
          <w:bCs/>
        </w:rPr>
      </w:pPr>
      <w:r w:rsidRPr="00E45C49">
        <w:rPr>
          <w:bCs/>
        </w:rPr>
        <w:t>The committee recommends the expansion of automatic mutual recognition</w:t>
      </w:r>
      <w:r>
        <w:rPr>
          <w:bCs/>
        </w:rPr>
        <w:t xml:space="preserve"> </w:t>
      </w:r>
      <w:r w:rsidRPr="00E45C49">
        <w:rPr>
          <w:bCs/>
        </w:rPr>
        <w:t>based on the objective of increasing labour force mobility.</w:t>
      </w:r>
    </w:p>
    <w:p w:rsidR="00662CBD" w:rsidRPr="00662CBD" w:rsidRDefault="00662CBD" w:rsidP="00662CBD">
      <w:pPr>
        <w:rPr>
          <w:bCs/>
          <w:i/>
        </w:rPr>
      </w:pPr>
      <w:r>
        <w:rPr>
          <w:bCs/>
          <w:i/>
        </w:rPr>
        <w:t>The Australian Government notes that occupational licensing is a matter for state and territory governments.</w:t>
      </w:r>
    </w:p>
    <w:p w:rsidR="00E45C49" w:rsidRPr="00E45C49" w:rsidRDefault="00E45C49" w:rsidP="003B1A3C">
      <w:pPr>
        <w:pStyle w:val="Heading1"/>
      </w:pPr>
      <w:r w:rsidRPr="00E45C49">
        <w:t>Recommendation 4</w:t>
      </w:r>
    </w:p>
    <w:p w:rsidR="00E45C49" w:rsidRDefault="00E45C49" w:rsidP="003B1A3C">
      <w:pPr>
        <w:spacing w:before="0"/>
        <w:rPr>
          <w:bCs/>
        </w:rPr>
      </w:pPr>
      <w:r w:rsidRPr="00E45C49">
        <w:rPr>
          <w:bCs/>
        </w:rPr>
        <w:t>The committee recommends the Council for the Australian Federation</w:t>
      </w:r>
      <w:r>
        <w:rPr>
          <w:bCs/>
        </w:rPr>
        <w:t xml:space="preserve"> </w:t>
      </w:r>
      <w:r w:rsidRPr="00E45C49">
        <w:rPr>
          <w:bCs/>
        </w:rPr>
        <w:t>commission a study into the health and safety benefits of occupational licensing,</w:t>
      </w:r>
      <w:r>
        <w:rPr>
          <w:bCs/>
        </w:rPr>
        <w:t xml:space="preserve"> </w:t>
      </w:r>
      <w:r w:rsidRPr="00E45C49">
        <w:rPr>
          <w:bCs/>
        </w:rPr>
        <w:t>to strengthen efforts toward reform.</w:t>
      </w:r>
    </w:p>
    <w:p w:rsidR="00EA704A" w:rsidRDefault="00662CBD">
      <w:r>
        <w:rPr>
          <w:bCs/>
          <w:i/>
        </w:rPr>
        <w:t>The Australian Government notes that it has no role in the Council for the Australian Federation.</w:t>
      </w:r>
    </w:p>
    <w:sectPr w:rsidR="00EA70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DF" w:rsidRDefault="007650DF" w:rsidP="007650DF">
      <w:r>
        <w:separator/>
      </w:r>
    </w:p>
  </w:endnote>
  <w:endnote w:type="continuationSeparator" w:id="0">
    <w:p w:rsidR="007650DF" w:rsidRDefault="007650DF" w:rsidP="0076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DF" w:rsidRDefault="007650DF" w:rsidP="007650DF">
      <w:r>
        <w:separator/>
      </w:r>
    </w:p>
  </w:footnote>
  <w:footnote w:type="continuationSeparator" w:id="0">
    <w:p w:rsidR="007650DF" w:rsidRDefault="007650DF" w:rsidP="00765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0DF" w:rsidRDefault="00765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01D11"/>
    <w:multiLevelType w:val="hybridMultilevel"/>
    <w:tmpl w:val="ACD4E8C2"/>
    <w:lvl w:ilvl="0" w:tplc="5E740DF6">
      <w:start w:val="4"/>
      <w:numFmt w:val="decimal"/>
      <w:lvlText w:val="5.%1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A"/>
    <w:rsid w:val="0006304F"/>
    <w:rsid w:val="00097403"/>
    <w:rsid w:val="000B2117"/>
    <w:rsid w:val="003B1A3C"/>
    <w:rsid w:val="00416F0A"/>
    <w:rsid w:val="00544760"/>
    <w:rsid w:val="00662CBD"/>
    <w:rsid w:val="006C2065"/>
    <w:rsid w:val="007417BE"/>
    <w:rsid w:val="007650DF"/>
    <w:rsid w:val="00844AC1"/>
    <w:rsid w:val="008E4A14"/>
    <w:rsid w:val="00B82E8D"/>
    <w:rsid w:val="00BB3A6C"/>
    <w:rsid w:val="00E11765"/>
    <w:rsid w:val="00E45C49"/>
    <w:rsid w:val="00EA704A"/>
    <w:rsid w:val="00E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8673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A3C"/>
    <w:pPr>
      <w:spacing w:before="120" w:after="12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A3C"/>
    <w:pPr>
      <w:spacing w:before="240" w:after="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EA704A"/>
    <w:pPr>
      <w:keepNext/>
      <w:widowControl w:val="0"/>
      <w:spacing w:before="300"/>
      <w:outlineLvl w:val="1"/>
    </w:pPr>
    <w:rPr>
      <w:rFonts w:ascii="Arial Bold" w:hAnsi="Arial Bold"/>
      <w:b/>
      <w:bCs/>
      <w:color w:val="333399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A704A"/>
    <w:rPr>
      <w:rFonts w:cs="Times New Roman"/>
      <w:color w:val="0000FF"/>
      <w:u w:val="single"/>
    </w:rPr>
  </w:style>
  <w:style w:type="paragraph" w:customStyle="1" w:styleId="Paragraph-Numbered">
    <w:name w:val="Paragraph - Numbered"/>
    <w:basedOn w:val="Normal"/>
    <w:uiPriority w:val="99"/>
    <w:rsid w:val="00EA704A"/>
    <w:pPr>
      <w:tabs>
        <w:tab w:val="num" w:pos="794"/>
      </w:tabs>
      <w:ind w:left="794" w:hanging="794"/>
    </w:pPr>
    <w:rPr>
      <w:rFonts w:ascii="Arial" w:hAnsi="Arial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A704A"/>
    <w:rPr>
      <w:rFonts w:ascii="Arial Bold" w:eastAsia="Times New Roman" w:hAnsi="Arial Bold" w:cs="Times New Roman"/>
      <w:b/>
      <w:bCs/>
      <w:color w:val="333399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650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0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50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0D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1A3C"/>
    <w:pPr>
      <w:spacing w:before="36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3B1A3C"/>
    <w:rPr>
      <w:rFonts w:ascii="Times New Roman" w:eastAsia="Times New Roman" w:hAnsi="Times New Roman" w:cs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1A3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9E27B-E2C0-406B-B5DF-FBBD01731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68B02CB.dotm</Template>
  <TotalTime>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response to the Select Committee on Red Tape report: Effect of red tape on occupational licensing Interim report</dc:title>
  <dc:subject/>
  <dc:creator/>
  <cp:keywords/>
  <dc:description/>
  <cp:lastModifiedBy/>
  <cp:revision>1</cp:revision>
  <dcterms:created xsi:type="dcterms:W3CDTF">2019-07-29T05:06:00Z</dcterms:created>
  <dcterms:modified xsi:type="dcterms:W3CDTF">2019-07-29T05:07:00Z</dcterms:modified>
</cp:coreProperties>
</file>