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A252D" w14:textId="77777777" w:rsidR="005253CB" w:rsidRPr="00C876EE" w:rsidRDefault="005253CB" w:rsidP="008B679D">
      <w:pPr>
        <w:pStyle w:val="Pa12"/>
        <w:jc w:val="center"/>
        <w:rPr>
          <w:rFonts w:asciiTheme="minorHAnsi" w:hAnsiTheme="minorHAnsi" w:cstheme="minorHAnsi"/>
          <w:b/>
          <w:bCs/>
          <w:sz w:val="32"/>
          <w:szCs w:val="32"/>
          <w:lang w:val="en-AU"/>
        </w:rPr>
      </w:pPr>
    </w:p>
    <w:p w14:paraId="1CA12F7A" w14:textId="7F21C68B" w:rsidR="008B679D" w:rsidRPr="00C876EE" w:rsidRDefault="00BE5F57" w:rsidP="00BE5F57">
      <w:pPr>
        <w:pStyle w:val="Pa12"/>
        <w:rPr>
          <w:rFonts w:asciiTheme="minorHAnsi" w:hAnsiTheme="minorHAnsi" w:cstheme="minorHAnsi"/>
          <w:b/>
          <w:bCs/>
          <w:sz w:val="32"/>
          <w:szCs w:val="32"/>
          <w:lang w:val="en-AU"/>
        </w:rPr>
      </w:pPr>
      <w:r w:rsidRPr="00C876EE">
        <w:rPr>
          <w:rFonts w:asciiTheme="minorHAnsi" w:hAnsiTheme="minorHAnsi" w:cstheme="minorHAnsi"/>
          <w:noProof/>
          <w:lang w:val="en-AU" w:eastAsia="en-AU"/>
        </w:rPr>
        <w:drawing>
          <wp:inline distT="0" distB="0" distL="0" distR="0" wp14:anchorId="4DCABD01" wp14:editId="75C1A89A">
            <wp:extent cx="2156400" cy="662400"/>
            <wp:effectExtent l="0" t="0" r="0" b="4445"/>
            <wp:docPr id="2" name="Picture 1" descr="Australian Government Department of Education, Skills and Employmen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title="Australian Government, Department of Education"/>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156400" cy="662400"/>
                    </a:xfrm>
                    <a:prstGeom prst="rect">
                      <a:avLst/>
                    </a:prstGeom>
                    <a:noFill/>
                    <a:ln w="9525">
                      <a:noFill/>
                      <a:miter lim="800000"/>
                      <a:headEnd/>
                      <a:tailEnd/>
                    </a:ln>
                  </pic:spPr>
                </pic:pic>
              </a:graphicData>
            </a:graphic>
          </wp:inline>
        </w:drawing>
      </w:r>
    </w:p>
    <w:p w14:paraId="1D6A91B1" w14:textId="77777777" w:rsidR="008B679D" w:rsidRPr="00C876EE" w:rsidRDefault="008B679D" w:rsidP="008B679D">
      <w:pPr>
        <w:rPr>
          <w:rFonts w:asciiTheme="minorHAnsi" w:hAnsiTheme="minorHAnsi" w:cstheme="minorHAnsi"/>
        </w:rPr>
      </w:pPr>
    </w:p>
    <w:p w14:paraId="1C640127" w14:textId="77777777" w:rsidR="008B679D" w:rsidRPr="00C876EE" w:rsidRDefault="008B679D" w:rsidP="008B679D">
      <w:pPr>
        <w:rPr>
          <w:rFonts w:asciiTheme="minorHAnsi" w:hAnsiTheme="minorHAnsi" w:cstheme="minorHAnsi"/>
        </w:rPr>
      </w:pPr>
    </w:p>
    <w:p w14:paraId="438D0471" w14:textId="77777777" w:rsidR="005253CB" w:rsidRPr="00C876EE" w:rsidRDefault="005253CB" w:rsidP="008B679D">
      <w:pPr>
        <w:pStyle w:val="Pa12"/>
        <w:jc w:val="center"/>
        <w:rPr>
          <w:rFonts w:asciiTheme="minorHAnsi" w:hAnsiTheme="minorHAnsi" w:cstheme="minorHAnsi"/>
          <w:b/>
          <w:bCs/>
          <w:sz w:val="32"/>
          <w:szCs w:val="32"/>
          <w:lang w:val="en-AU"/>
        </w:rPr>
      </w:pPr>
      <w:bookmarkStart w:id="0" w:name="OLE_LINK4"/>
      <w:bookmarkStart w:id="1" w:name="OLE_LINK5"/>
    </w:p>
    <w:p w14:paraId="7230BE4D" w14:textId="0D46B724" w:rsidR="008B679D" w:rsidRPr="00EE6D67" w:rsidRDefault="008B679D" w:rsidP="00EE6D67">
      <w:pPr>
        <w:pStyle w:val="Title"/>
      </w:pPr>
      <w:r w:rsidRPr="00EE6D67">
        <w:t>COST RECOVERY IMPLEMENTATION STATEMENT</w:t>
      </w:r>
      <w:r w:rsidR="00EE4E62" w:rsidRPr="00EE6D67">
        <w:t xml:space="preserve"> (CRIS)</w:t>
      </w:r>
    </w:p>
    <w:bookmarkEnd w:id="0"/>
    <w:bookmarkEnd w:id="1"/>
    <w:p w14:paraId="493B0195" w14:textId="5C861609" w:rsidR="005442B7" w:rsidRPr="00EE6D67" w:rsidRDefault="003C58D3" w:rsidP="00EE6D67">
      <w:pPr>
        <w:pStyle w:val="Subtitle"/>
      </w:pPr>
      <w:r w:rsidRPr="00EE6D67">
        <w:t>Trades Recognition Australia</w:t>
      </w:r>
    </w:p>
    <w:p w14:paraId="607C8E9C" w14:textId="4EDEDA25" w:rsidR="005442B7" w:rsidRDefault="005442B7" w:rsidP="00EE6D67">
      <w:pPr>
        <w:pStyle w:val="Subtitle"/>
      </w:pPr>
      <w:r>
        <w:t>Job Ready Program</w:t>
      </w:r>
    </w:p>
    <w:p w14:paraId="5663A01F" w14:textId="7A75661E" w:rsidR="005442B7" w:rsidRDefault="005442B7" w:rsidP="00EE6D67">
      <w:pPr>
        <w:pStyle w:val="Subtitle"/>
      </w:pPr>
      <w:r>
        <w:t>Migration Skills Assessment</w:t>
      </w:r>
    </w:p>
    <w:p w14:paraId="04DB7487" w14:textId="67ACD6E7" w:rsidR="005442B7" w:rsidRDefault="005442B7" w:rsidP="00EE6D67">
      <w:pPr>
        <w:pStyle w:val="Subtitle"/>
      </w:pPr>
      <w:r>
        <w:t>Migration Points Advice</w:t>
      </w:r>
    </w:p>
    <w:p w14:paraId="2A7D46BD" w14:textId="77777777" w:rsidR="005442B7" w:rsidRPr="00C876EE" w:rsidRDefault="005442B7" w:rsidP="003C58D3">
      <w:pPr>
        <w:pStyle w:val="TOCLevel2"/>
        <w:rPr>
          <w:rFonts w:asciiTheme="minorHAnsi" w:hAnsiTheme="minorHAnsi" w:cstheme="minorHAnsi"/>
          <w:color w:val="auto"/>
          <w:sz w:val="28"/>
        </w:rPr>
      </w:pPr>
    </w:p>
    <w:p w14:paraId="3D947064" w14:textId="05BCD006" w:rsidR="00344E86" w:rsidRPr="00C876EE" w:rsidRDefault="003B0246" w:rsidP="00EE6D67">
      <w:pPr>
        <w:pStyle w:val="Subtitle"/>
        <w:rPr>
          <w:szCs w:val="32"/>
        </w:rPr>
      </w:pPr>
      <w:r w:rsidRPr="00C876EE">
        <w:t>202</w:t>
      </w:r>
      <w:r w:rsidR="000D53F8" w:rsidRPr="00C876EE">
        <w:t>1</w:t>
      </w:r>
      <w:r w:rsidRPr="00C876EE">
        <w:t>-</w:t>
      </w:r>
      <w:r w:rsidR="00945FA7" w:rsidRPr="006007FB">
        <w:t>20</w:t>
      </w:r>
      <w:r w:rsidRPr="006007FB">
        <w:t>2</w:t>
      </w:r>
      <w:r w:rsidR="000D53F8" w:rsidRPr="006007FB">
        <w:t>2</w:t>
      </w:r>
    </w:p>
    <w:tbl>
      <w:tblPr>
        <w:tblStyle w:val="TableGrid"/>
        <w:tblW w:w="0" w:type="auto"/>
        <w:tblInd w:w="481" w:type="dxa"/>
        <w:tblBorders>
          <w:insideH w:val="none" w:sz="0" w:space="0" w:color="auto"/>
          <w:insideV w:val="none" w:sz="0" w:space="0" w:color="auto"/>
        </w:tblBorders>
        <w:tblLook w:val="04A0" w:firstRow="1" w:lastRow="0" w:firstColumn="1" w:lastColumn="0" w:noHBand="0" w:noVBand="1"/>
      </w:tblPr>
      <w:tblGrid>
        <w:gridCol w:w="9486"/>
      </w:tblGrid>
      <w:tr w:rsidR="008B679D" w:rsidRPr="00C876EE" w14:paraId="16948CC5" w14:textId="77777777" w:rsidTr="00C01404">
        <w:tc>
          <w:tcPr>
            <w:tcW w:w="9486" w:type="dxa"/>
          </w:tcPr>
          <w:p w14:paraId="02A888CB" w14:textId="77EF317B" w:rsidR="00314066" w:rsidRPr="00F414C6" w:rsidRDefault="00344E86" w:rsidP="00FF5110">
            <w:pPr>
              <w:spacing w:before="120" w:after="120"/>
              <w:rPr>
                <w:rFonts w:asciiTheme="minorHAnsi" w:eastAsia="SimSun" w:hAnsiTheme="minorHAnsi" w:cstheme="minorHAnsi"/>
                <w:sz w:val="22"/>
                <w:szCs w:val="22"/>
              </w:rPr>
            </w:pPr>
            <w:r w:rsidRPr="00F414C6">
              <w:rPr>
                <w:rFonts w:asciiTheme="minorHAnsi" w:eastAsia="SimSun" w:hAnsiTheme="minorHAnsi" w:cstheme="minorHAnsi"/>
                <w:sz w:val="22"/>
                <w:szCs w:val="22"/>
              </w:rPr>
              <w:t xml:space="preserve">Cost recovery involves government entities charging individuals or non-government organisations some or all of the efficient costs of a </w:t>
            </w:r>
            <w:r w:rsidR="00FF5110" w:rsidRPr="00F414C6">
              <w:rPr>
                <w:rFonts w:asciiTheme="minorHAnsi" w:eastAsia="SimSun" w:hAnsiTheme="minorHAnsi" w:cstheme="minorHAnsi"/>
                <w:sz w:val="22"/>
                <w:szCs w:val="22"/>
              </w:rPr>
              <w:t>regulatory</w:t>
            </w:r>
            <w:r w:rsidRPr="00F414C6">
              <w:rPr>
                <w:rFonts w:asciiTheme="minorHAnsi" w:eastAsia="SimSun" w:hAnsiTheme="minorHAnsi" w:cstheme="minorHAnsi"/>
                <w:sz w:val="22"/>
                <w:szCs w:val="22"/>
              </w:rPr>
              <w:t xml:space="preserve"> activity. This may include goods, services or regulation, or a combination of the</w:t>
            </w:r>
            <w:r w:rsidR="005A6A7D">
              <w:rPr>
                <w:rFonts w:asciiTheme="minorHAnsi" w:eastAsia="SimSun" w:hAnsiTheme="minorHAnsi" w:cstheme="minorHAnsi"/>
                <w:sz w:val="22"/>
                <w:szCs w:val="22"/>
              </w:rPr>
              <w:t>se</w:t>
            </w:r>
            <w:r w:rsidRPr="00F414C6">
              <w:rPr>
                <w:rFonts w:asciiTheme="minorHAnsi" w:eastAsia="SimSun" w:hAnsiTheme="minorHAnsi" w:cstheme="minorHAnsi"/>
                <w:sz w:val="22"/>
                <w:szCs w:val="22"/>
              </w:rPr>
              <w:t xml:space="preserve">. The </w:t>
            </w:r>
            <w:r w:rsidR="009A6F94" w:rsidRPr="00F414C6">
              <w:rPr>
                <w:rFonts w:asciiTheme="minorHAnsi" w:eastAsia="SimSun" w:hAnsiTheme="minorHAnsi" w:cstheme="minorHAnsi"/>
                <w:sz w:val="22"/>
                <w:szCs w:val="22"/>
              </w:rPr>
              <w:t>Australian Government</w:t>
            </w:r>
            <w:r w:rsidR="00FF5110" w:rsidRPr="00F414C6">
              <w:rPr>
                <w:rFonts w:asciiTheme="minorHAnsi" w:eastAsia="SimSun" w:hAnsiTheme="minorHAnsi" w:cstheme="minorHAnsi"/>
                <w:sz w:val="22"/>
                <w:szCs w:val="22"/>
              </w:rPr>
              <w:t xml:space="preserve"> Charging Framework</w:t>
            </w:r>
            <w:r w:rsidR="008B752C" w:rsidRPr="00F414C6">
              <w:rPr>
                <w:rFonts w:asciiTheme="minorHAnsi" w:eastAsia="SimSun" w:hAnsiTheme="minorHAnsi" w:cstheme="minorHAnsi"/>
                <w:sz w:val="22"/>
                <w:szCs w:val="22"/>
              </w:rPr>
              <w:t xml:space="preserve"> (the</w:t>
            </w:r>
            <w:r w:rsidR="00BB03BE" w:rsidRPr="00F414C6">
              <w:rPr>
                <w:rFonts w:asciiTheme="minorHAnsi" w:eastAsia="SimSun" w:hAnsiTheme="minorHAnsi" w:cstheme="minorHAnsi"/>
                <w:sz w:val="22"/>
                <w:szCs w:val="22"/>
              </w:rPr>
              <w:t xml:space="preserve"> Charging</w:t>
            </w:r>
            <w:r w:rsidR="008B752C" w:rsidRPr="00F414C6">
              <w:rPr>
                <w:rFonts w:asciiTheme="minorHAnsi" w:eastAsia="SimSun" w:hAnsiTheme="minorHAnsi" w:cstheme="minorHAnsi"/>
                <w:sz w:val="22"/>
                <w:szCs w:val="22"/>
              </w:rPr>
              <w:t xml:space="preserve"> Framework)</w:t>
            </w:r>
            <w:r w:rsidR="00FF5110" w:rsidRPr="00F414C6">
              <w:rPr>
                <w:rFonts w:asciiTheme="minorHAnsi" w:eastAsia="SimSun" w:hAnsiTheme="minorHAnsi" w:cstheme="minorHAnsi"/>
                <w:sz w:val="22"/>
                <w:szCs w:val="22"/>
              </w:rPr>
              <w:t>, which incorporates the</w:t>
            </w:r>
            <w:r w:rsidR="009A6F94" w:rsidRPr="00F414C6">
              <w:rPr>
                <w:rFonts w:asciiTheme="minorHAnsi" w:eastAsia="SimSun" w:hAnsiTheme="minorHAnsi" w:cstheme="minorHAnsi"/>
                <w:sz w:val="22"/>
                <w:szCs w:val="22"/>
              </w:rPr>
              <w:t xml:space="preserve"> Cost Recovery Guidelines (</w:t>
            </w:r>
            <w:r w:rsidR="00FC07E0" w:rsidRPr="00F414C6">
              <w:rPr>
                <w:rFonts w:asciiTheme="minorHAnsi" w:eastAsia="SimSun" w:hAnsiTheme="minorHAnsi" w:cstheme="minorHAnsi"/>
                <w:sz w:val="22"/>
                <w:szCs w:val="22"/>
              </w:rPr>
              <w:t xml:space="preserve">the </w:t>
            </w:r>
            <w:r w:rsidR="009A6F94" w:rsidRPr="00F414C6">
              <w:rPr>
                <w:rFonts w:asciiTheme="minorHAnsi" w:eastAsia="SimSun" w:hAnsiTheme="minorHAnsi" w:cstheme="minorHAnsi"/>
                <w:sz w:val="22"/>
                <w:szCs w:val="22"/>
              </w:rPr>
              <w:t>CRGs)</w:t>
            </w:r>
            <w:r w:rsidRPr="00F414C6">
              <w:rPr>
                <w:rFonts w:asciiTheme="minorHAnsi" w:eastAsia="SimSun" w:hAnsiTheme="minorHAnsi" w:cstheme="minorHAnsi"/>
                <w:sz w:val="22"/>
                <w:szCs w:val="22"/>
                <w:vertAlign w:val="superscript"/>
              </w:rPr>
              <w:footnoteReference w:id="1"/>
            </w:r>
            <w:r w:rsidR="00773EA9" w:rsidRPr="00F414C6">
              <w:rPr>
                <w:rFonts w:asciiTheme="minorHAnsi" w:eastAsia="SimSun" w:hAnsiTheme="minorHAnsi" w:cstheme="minorHAnsi"/>
                <w:sz w:val="22"/>
                <w:szCs w:val="22"/>
              </w:rPr>
              <w:t>,</w:t>
            </w:r>
            <w:r w:rsidRPr="00F414C6">
              <w:rPr>
                <w:rFonts w:asciiTheme="minorHAnsi" w:eastAsia="SimSun" w:hAnsiTheme="minorHAnsi" w:cstheme="minorHAnsi"/>
                <w:sz w:val="22"/>
                <w:szCs w:val="22"/>
              </w:rPr>
              <w:t xml:space="preserve"> set</w:t>
            </w:r>
            <w:r w:rsidR="00773EA9" w:rsidRPr="00F414C6">
              <w:rPr>
                <w:rFonts w:asciiTheme="minorHAnsi" w:eastAsia="SimSun" w:hAnsiTheme="minorHAnsi" w:cstheme="minorHAnsi"/>
                <w:sz w:val="22"/>
                <w:szCs w:val="22"/>
              </w:rPr>
              <w:t>s</w:t>
            </w:r>
            <w:r w:rsidRPr="00F414C6">
              <w:rPr>
                <w:rFonts w:asciiTheme="minorHAnsi" w:eastAsia="SimSun" w:hAnsiTheme="minorHAnsi" w:cstheme="minorHAnsi"/>
                <w:sz w:val="22"/>
                <w:szCs w:val="22"/>
              </w:rPr>
              <w:t xml:space="preserve"> out the framework under which government entities design, implement and review </w:t>
            </w:r>
            <w:r w:rsidR="00803D1B" w:rsidRPr="00F414C6">
              <w:rPr>
                <w:rFonts w:asciiTheme="minorHAnsi" w:eastAsia="SimSun" w:hAnsiTheme="minorHAnsi" w:cstheme="minorHAnsi"/>
                <w:sz w:val="22"/>
                <w:szCs w:val="22"/>
              </w:rPr>
              <w:t>regulatory charging</w:t>
            </w:r>
            <w:r w:rsidRPr="00F414C6">
              <w:rPr>
                <w:rFonts w:asciiTheme="minorHAnsi" w:eastAsia="SimSun" w:hAnsiTheme="minorHAnsi" w:cstheme="minorHAnsi"/>
                <w:sz w:val="22"/>
                <w:szCs w:val="22"/>
              </w:rPr>
              <w:t xml:space="preserve"> activities.</w:t>
            </w:r>
          </w:p>
        </w:tc>
      </w:tr>
    </w:tbl>
    <w:p w14:paraId="5BE91DCF" w14:textId="77777777" w:rsidR="001846AC" w:rsidRPr="00C876EE" w:rsidRDefault="001846AC" w:rsidP="008B679D">
      <w:pPr>
        <w:spacing w:line="480" w:lineRule="auto"/>
        <w:rPr>
          <w:rFonts w:asciiTheme="minorHAnsi" w:hAnsiTheme="minorHAnsi" w:cstheme="minorHAnsi"/>
        </w:rPr>
      </w:pPr>
    </w:p>
    <w:p w14:paraId="1929808B" w14:textId="77777777" w:rsidR="001846AC" w:rsidRPr="00C876EE" w:rsidRDefault="001846AC">
      <w:pPr>
        <w:spacing w:after="200" w:line="276" w:lineRule="auto"/>
        <w:rPr>
          <w:rFonts w:asciiTheme="minorHAnsi" w:hAnsiTheme="minorHAnsi" w:cstheme="minorHAnsi"/>
        </w:rPr>
      </w:pPr>
      <w:r w:rsidRPr="00C876EE">
        <w:rPr>
          <w:rFonts w:asciiTheme="minorHAnsi" w:hAnsiTheme="minorHAnsi" w:cstheme="minorHAnsi"/>
        </w:rPr>
        <w:br w:type="page"/>
      </w:r>
    </w:p>
    <w:p w14:paraId="68350F03" w14:textId="1ABC38E5" w:rsidR="008B679D" w:rsidRPr="00F414C6" w:rsidRDefault="008B679D" w:rsidP="00684205">
      <w:pPr>
        <w:pStyle w:val="Heading1"/>
      </w:pPr>
      <w:r w:rsidRPr="00F414C6">
        <w:lastRenderedPageBreak/>
        <w:t xml:space="preserve">1. </w:t>
      </w:r>
      <w:r w:rsidRPr="00F414C6">
        <w:tab/>
      </w:r>
      <w:r w:rsidRPr="00EE6D67">
        <w:t>INTRODUCTION</w:t>
      </w:r>
    </w:p>
    <w:p w14:paraId="0F1A65C8" w14:textId="3EAF8FD3" w:rsidR="003F3B26" w:rsidRPr="00684205" w:rsidRDefault="00961B14" w:rsidP="00684205">
      <w:pPr>
        <w:pStyle w:val="Heading2"/>
      </w:pPr>
      <w:r w:rsidRPr="00684205">
        <w:t>1</w:t>
      </w:r>
      <w:r w:rsidR="007A7E75" w:rsidRPr="00684205">
        <w:t>.1</w:t>
      </w:r>
      <w:r w:rsidRPr="00684205">
        <w:t xml:space="preserve"> </w:t>
      </w:r>
      <w:r w:rsidRPr="00684205">
        <w:tab/>
        <w:t>Purpose of the C</w:t>
      </w:r>
      <w:r w:rsidR="00A45F74" w:rsidRPr="00684205">
        <w:t xml:space="preserve">ost Recovery </w:t>
      </w:r>
      <w:r w:rsidR="002F11A4" w:rsidRPr="00684205">
        <w:t xml:space="preserve">Implementation </w:t>
      </w:r>
      <w:r w:rsidR="00A45F74" w:rsidRPr="00684205">
        <w:t xml:space="preserve">Statement </w:t>
      </w:r>
    </w:p>
    <w:p w14:paraId="6E4DF36F" w14:textId="1A68B4BA" w:rsidR="000972D1" w:rsidRPr="00B61D25" w:rsidRDefault="00A45F74" w:rsidP="00B61D25">
      <w:pPr>
        <w:pStyle w:val="CRISbodytext"/>
      </w:pPr>
      <w:r w:rsidRPr="00B61D25">
        <w:t xml:space="preserve">This CRIS provides information on how the </w:t>
      </w:r>
      <w:r w:rsidR="00B32779" w:rsidRPr="00B61D25">
        <w:t>Department</w:t>
      </w:r>
      <w:r w:rsidRPr="00B61D25">
        <w:t xml:space="preserve"> of Education, Skills and Employment (the </w:t>
      </w:r>
      <w:r w:rsidR="000972D1" w:rsidRPr="00B61D25">
        <w:t>D</w:t>
      </w:r>
      <w:r w:rsidR="00B32779" w:rsidRPr="00B61D25">
        <w:t>epartment</w:t>
      </w:r>
      <w:r w:rsidRPr="00B61D25">
        <w:t>) implements cost recovery for Trades Recognition Australia (TRA)</w:t>
      </w:r>
      <w:r w:rsidR="00852C32" w:rsidRPr="00B61D25">
        <w:t xml:space="preserve"> </w:t>
      </w:r>
      <w:r w:rsidR="00141AC4" w:rsidRPr="00B61D25">
        <w:t>skills assessment</w:t>
      </w:r>
      <w:r w:rsidR="000972D1" w:rsidRPr="00B61D25">
        <w:t xml:space="preserve"> services provided under the Job Ready Program (JRP), Migration Skills Assessment (MSA) and Migration Points Advice (MPA)</w:t>
      </w:r>
      <w:r w:rsidR="005544F8" w:rsidRPr="00B61D25">
        <w:t xml:space="preserve"> pathways</w:t>
      </w:r>
      <w:r w:rsidRPr="00B61D25">
        <w:t xml:space="preserve">. </w:t>
      </w:r>
    </w:p>
    <w:p w14:paraId="4B0545D5" w14:textId="51741FD2" w:rsidR="000972D1" w:rsidRPr="00F414C6" w:rsidRDefault="000972D1" w:rsidP="00B61D25">
      <w:pPr>
        <w:pStyle w:val="CRISbodytext"/>
      </w:pPr>
      <w:r w:rsidRPr="00F414C6">
        <w:t>The CRIS</w:t>
      </w:r>
      <w:r w:rsidR="00A45F74" w:rsidRPr="00F414C6">
        <w:t xml:space="preserve"> also reports financial and non-financial performance information for </w:t>
      </w:r>
      <w:r w:rsidRPr="00F414C6">
        <w:t>these TRA services</w:t>
      </w:r>
      <w:r w:rsidR="00A45F74" w:rsidRPr="00F414C6">
        <w:t xml:space="preserve"> and contains financial forecasts for 2021-2022 and three forward years. </w:t>
      </w:r>
    </w:p>
    <w:p w14:paraId="6CF61F30" w14:textId="7418BE3E" w:rsidR="00A45F74" w:rsidRDefault="00A45F74" w:rsidP="00B61D25">
      <w:pPr>
        <w:pStyle w:val="CRISbodytext"/>
      </w:pPr>
      <w:r w:rsidRPr="00F414C6">
        <w:t xml:space="preserve">The </w:t>
      </w:r>
      <w:r w:rsidR="000972D1" w:rsidRPr="00F414C6">
        <w:t>D</w:t>
      </w:r>
      <w:r w:rsidR="00B32779" w:rsidRPr="00F414C6">
        <w:t>epartment</w:t>
      </w:r>
      <w:r w:rsidRPr="00F414C6">
        <w:t xml:space="preserve"> will maintain the CRIS until the activity</w:t>
      </w:r>
      <w:r w:rsidR="00852C32" w:rsidRPr="00F414C6">
        <w:t>,</w:t>
      </w:r>
      <w:r w:rsidRPr="00F414C6">
        <w:t xml:space="preserve"> or cost recovery for the activity</w:t>
      </w:r>
      <w:r w:rsidR="00852C32" w:rsidRPr="00F414C6">
        <w:t>,</w:t>
      </w:r>
      <w:r w:rsidRPr="00F414C6">
        <w:t xml:space="preserve"> has been discontinued.</w:t>
      </w:r>
    </w:p>
    <w:p w14:paraId="5D23BB5A" w14:textId="55C2B24A" w:rsidR="004B6964" w:rsidRPr="00FA7536" w:rsidRDefault="004B6964" w:rsidP="00684205">
      <w:pPr>
        <w:pStyle w:val="Heading2"/>
      </w:pPr>
      <w:r w:rsidRPr="00FA7536">
        <w:t xml:space="preserve">1.2 </w:t>
      </w:r>
      <w:r w:rsidR="00FA7536">
        <w:tab/>
      </w:r>
      <w:r w:rsidR="00F414C6" w:rsidRPr="00FA7536">
        <w:t>Trades Recognition Australia (TRA)</w:t>
      </w:r>
    </w:p>
    <w:p w14:paraId="3F3759BC" w14:textId="4DD72941" w:rsidR="00945FA7" w:rsidRPr="00F414C6" w:rsidRDefault="00D2465C" w:rsidP="00B61D25">
      <w:pPr>
        <w:pStyle w:val="CRISbodytext"/>
      </w:pPr>
      <w:r w:rsidRPr="00F414C6">
        <w:t>TRA is a</w:t>
      </w:r>
      <w:r w:rsidR="005544F8">
        <w:t xml:space="preserve"> </w:t>
      </w:r>
      <w:r w:rsidRPr="00F414C6">
        <w:t>skilled migration assessing authority</w:t>
      </w:r>
      <w:r w:rsidR="005544F8">
        <w:t>, authorised</w:t>
      </w:r>
      <w:r w:rsidRPr="00F414C6">
        <w:t xml:space="preserve"> under the </w:t>
      </w:r>
      <w:r w:rsidRPr="00FA7536">
        <w:rPr>
          <w:i/>
          <w:iCs/>
        </w:rPr>
        <w:t>Migration Regulations 1994</w:t>
      </w:r>
      <w:r w:rsidRPr="00F414C6">
        <w:t xml:space="preserve"> (Migration Regulations) </w:t>
      </w:r>
      <w:r w:rsidR="005544F8">
        <w:t>to</w:t>
      </w:r>
      <w:r w:rsidRPr="00F414C6">
        <w:t xml:space="preserve"> assess the trade </w:t>
      </w:r>
      <w:r w:rsidR="008A67BA" w:rsidRPr="00F414C6">
        <w:t xml:space="preserve">and technical </w:t>
      </w:r>
      <w:r w:rsidRPr="00F414C6">
        <w:t xml:space="preserve">skills of prospective migrants under the Skilled Migration Program. </w:t>
      </w:r>
      <w:r w:rsidR="008A67BA" w:rsidRPr="00F414C6">
        <w:t>TRA is located within the Department.</w:t>
      </w:r>
    </w:p>
    <w:p w14:paraId="797973F6" w14:textId="798E9A24" w:rsidR="00815E3C" w:rsidRPr="00F414C6" w:rsidRDefault="00337CF8" w:rsidP="00B61D25">
      <w:pPr>
        <w:pStyle w:val="CRISbodytext"/>
      </w:pPr>
      <w:r>
        <w:t>T</w:t>
      </w:r>
      <w:r w:rsidR="00815E3C" w:rsidRPr="00F414C6">
        <w:t xml:space="preserve">he occupations </w:t>
      </w:r>
      <w:r>
        <w:t>TRA</w:t>
      </w:r>
      <w:r w:rsidR="00815E3C" w:rsidRPr="00F414C6">
        <w:t xml:space="preserve"> is responsible for assessing are identified in the </w:t>
      </w:r>
      <w:hyperlink r:id="rId12" w:history="1">
        <w:r w:rsidR="00815E3C" w:rsidRPr="00950DFA">
          <w:rPr>
            <w:i/>
            <w:iCs/>
          </w:rPr>
          <w:t>Migration (LIN 19/051: Specification of Occupations and Assessing Authorities) Instrument 2019</w:t>
        </w:r>
        <w:r w:rsidR="00815E3C" w:rsidRPr="00F414C6">
          <w:t xml:space="preserve">. </w:t>
        </w:r>
      </w:hyperlink>
    </w:p>
    <w:p w14:paraId="435F1CE8" w14:textId="2EDDFA70" w:rsidR="002C72C7" w:rsidRPr="00F414C6" w:rsidRDefault="002C72C7" w:rsidP="00B61D25">
      <w:pPr>
        <w:pStyle w:val="CRISbodytext"/>
      </w:pPr>
      <w:r w:rsidRPr="00F414C6">
        <w:t xml:space="preserve">TRA is one of 39 approved skilled migration assessing authorities and is responsible for assessing applicants for 131 of the </w:t>
      </w:r>
      <w:r w:rsidRPr="0066529E">
        <w:t>674 occupations</w:t>
      </w:r>
      <w:r w:rsidRPr="00F414C6">
        <w:t xml:space="preserve"> designated on the Skilled Occupation </w:t>
      </w:r>
      <w:r w:rsidR="00F414C6" w:rsidRPr="00F414C6">
        <w:t>List maintained</w:t>
      </w:r>
      <w:r w:rsidRPr="00F414C6">
        <w:t xml:space="preserve"> by </w:t>
      </w:r>
      <w:r w:rsidR="000972D1" w:rsidRPr="00F414C6">
        <w:t xml:space="preserve">the Department of </w:t>
      </w:r>
      <w:r w:rsidRPr="00F414C6">
        <w:t>Home Affairs</w:t>
      </w:r>
      <w:r w:rsidR="009F7C79" w:rsidRPr="00F414C6">
        <w:t xml:space="preserve"> (Home Affairs)</w:t>
      </w:r>
      <w:r w:rsidRPr="00F414C6">
        <w:t>. TRA is the only authority approved to undertake skills assessment for these 131 occupations.</w:t>
      </w:r>
    </w:p>
    <w:p w14:paraId="60731DEA" w14:textId="25FF5850" w:rsidR="0076612A" w:rsidRPr="00F414C6" w:rsidRDefault="00D2465C" w:rsidP="00B61D25">
      <w:pPr>
        <w:pStyle w:val="CRISbodytext"/>
      </w:pPr>
      <w:r w:rsidRPr="00F414C6">
        <w:t>TRA conducts skills assessments via</w:t>
      </w:r>
      <w:r w:rsidR="008A67BA" w:rsidRPr="00F414C6">
        <w:t xml:space="preserve"> the following</w:t>
      </w:r>
      <w:r w:rsidRPr="00F414C6">
        <w:t xml:space="preserve"> five </w:t>
      </w:r>
      <w:r w:rsidR="00F414C6" w:rsidRPr="00F414C6">
        <w:t>pathways:</w:t>
      </w:r>
      <w:r w:rsidR="00A45F74" w:rsidRPr="00F414C6">
        <w:t xml:space="preserve"> JRP, MSA,</w:t>
      </w:r>
      <w:r w:rsidR="00503A2F" w:rsidRPr="00F414C6">
        <w:t xml:space="preserve"> </w:t>
      </w:r>
      <w:r w:rsidR="00A45F74" w:rsidRPr="00F414C6">
        <w:t>MPA, Temporary Skills Shortage (TSS) Skills Assessment Program and Offshore Skills Assessment Program (OSAP)</w:t>
      </w:r>
      <w:r w:rsidR="00BD5F66" w:rsidRPr="00F414C6">
        <w:t xml:space="preserve">. The pathways </w:t>
      </w:r>
      <w:r w:rsidRPr="00F414C6">
        <w:t xml:space="preserve">differ depending on the eligibility criteria, processes, fees and final outcomes. </w:t>
      </w:r>
      <w:r w:rsidR="0076612A" w:rsidRPr="00F414C6">
        <w:t>The purpose of these assessments is to ensure that an applicant can perform at the required skill level for their nominated occupation in Australia</w:t>
      </w:r>
      <w:r w:rsidR="00086783">
        <w:t xml:space="preserve">. This is an output to achieve the Government’s skilled migration policy outcomes to </w:t>
      </w:r>
      <w:r w:rsidR="00086783" w:rsidRPr="00086783">
        <w:t xml:space="preserve">attract migrants </w:t>
      </w:r>
      <w:r w:rsidR="00086783">
        <w:t>that</w:t>
      </w:r>
      <w:r w:rsidR="00086783" w:rsidRPr="00086783">
        <w:t xml:space="preserve"> make a significant contribution to the Australian economy and fill positions where no Australian workers are available.</w:t>
      </w:r>
    </w:p>
    <w:p w14:paraId="0898CB48" w14:textId="25FFD926" w:rsidR="007121FE" w:rsidRDefault="007121FE" w:rsidP="00B61D25">
      <w:pPr>
        <w:pStyle w:val="CRISbodytext"/>
      </w:pPr>
      <w:bookmarkStart w:id="2" w:name="_Hlk57640387"/>
      <w:r w:rsidRPr="00BE2EA8">
        <w:t>The JRP has operated since 2010 on a fee</w:t>
      </w:r>
      <w:r w:rsidRPr="00BE2EA8">
        <w:noBreakHyphen/>
        <w:t>for</w:t>
      </w:r>
      <w:r w:rsidRPr="00BE2EA8">
        <w:noBreakHyphen/>
        <w:t>service basis</w:t>
      </w:r>
      <w:r w:rsidR="00BB7150">
        <w:t>,</w:t>
      </w:r>
      <w:r w:rsidRPr="00BE2EA8">
        <w:t xml:space="preserve"> with applicants paying TRA to conduct their skills assessment</w:t>
      </w:r>
      <w:r>
        <w:t>. Similarly, t</w:t>
      </w:r>
      <w:r w:rsidRPr="00BE2EA8">
        <w:t xml:space="preserve">he MSA and MPA pathways have operated </w:t>
      </w:r>
      <w:r>
        <w:t xml:space="preserve">on a fee for service basis since their commencement in </w:t>
      </w:r>
      <w:r w:rsidRPr="00BE2EA8">
        <w:t>2011</w:t>
      </w:r>
      <w:r>
        <w:t xml:space="preserve">. Neither pathway has had its fees reviewed since they were first implemented. </w:t>
      </w:r>
    </w:p>
    <w:p w14:paraId="161D75C7" w14:textId="2DEDEA08" w:rsidR="00C876EE" w:rsidRDefault="004B6964" w:rsidP="00B61D25">
      <w:pPr>
        <w:pStyle w:val="CRISbodytext"/>
      </w:pPr>
      <w:r w:rsidRPr="00F414C6">
        <w:t xml:space="preserve">The Government has decided to set charges for the assessments undertaken through the JRP, MSA and MPA </w:t>
      </w:r>
      <w:r w:rsidR="0076612A" w:rsidRPr="00F414C6">
        <w:t>that will</w:t>
      </w:r>
      <w:r w:rsidRPr="00F414C6">
        <w:t xml:space="preserve"> recover the full cost of providing these regulatory activities. </w:t>
      </w:r>
      <w:r w:rsidR="00C876EE" w:rsidRPr="00F414C6">
        <w:t xml:space="preserve">Both the TSS and OSAP have been fully cost recovered since 1 March 2019. </w:t>
      </w:r>
    </w:p>
    <w:p w14:paraId="315F96D3" w14:textId="2D1236B0" w:rsidR="001009E6" w:rsidRPr="00F414C6" w:rsidRDefault="0013664E" w:rsidP="002A55EA">
      <w:pPr>
        <w:pBdr>
          <w:top w:val="single" w:sz="4" w:space="1" w:color="auto"/>
          <w:left w:val="single" w:sz="4" w:space="4" w:color="auto"/>
          <w:bottom w:val="single" w:sz="4" w:space="1" w:color="auto"/>
          <w:right w:val="single" w:sz="4" w:space="4" w:color="auto"/>
        </w:pBdr>
        <w:shd w:val="clear" w:color="auto" w:fill="F2F2F2" w:themeFill="background1" w:themeFillShade="F2"/>
        <w:spacing w:after="200" w:line="276" w:lineRule="auto"/>
        <w:rPr>
          <w:rFonts w:asciiTheme="minorHAnsi" w:hAnsiTheme="minorHAnsi" w:cstheme="minorHAnsi"/>
          <w:b/>
          <w:bCs/>
          <w:sz w:val="22"/>
          <w:szCs w:val="22"/>
        </w:rPr>
      </w:pPr>
      <w:r w:rsidRPr="00F414C6">
        <w:rPr>
          <w:rFonts w:asciiTheme="minorHAnsi" w:hAnsiTheme="minorHAnsi" w:cstheme="minorHAnsi"/>
          <w:b/>
          <w:bCs/>
          <w:sz w:val="22"/>
          <w:szCs w:val="22"/>
        </w:rPr>
        <w:t xml:space="preserve">Description of the </w:t>
      </w:r>
      <w:r w:rsidR="001009E6" w:rsidRPr="00F414C6">
        <w:rPr>
          <w:rFonts w:asciiTheme="minorHAnsi" w:hAnsiTheme="minorHAnsi" w:cstheme="minorHAnsi"/>
          <w:b/>
          <w:bCs/>
          <w:sz w:val="22"/>
          <w:szCs w:val="22"/>
        </w:rPr>
        <w:t>Job Ready Program (JRP)</w:t>
      </w:r>
    </w:p>
    <w:p w14:paraId="3B29E569" w14:textId="6F719ECD" w:rsidR="001009E6" w:rsidRPr="00F414C6" w:rsidRDefault="001009E6" w:rsidP="007B624F">
      <w:pPr>
        <w:pStyle w:val="CRISboxbodytext"/>
      </w:pPr>
      <w:r w:rsidRPr="00F414C6">
        <w:t>The JRP is a four-step employment-based skills assessment service with a charge for each step (i.e. each activity)</w:t>
      </w:r>
      <w:r w:rsidR="00C876EE" w:rsidRPr="00F414C6">
        <w:t xml:space="preserve">. </w:t>
      </w:r>
      <w:r w:rsidR="00141AC4" w:rsidRPr="00F414C6">
        <w:t>TRA s</w:t>
      </w:r>
      <w:r w:rsidRPr="00F414C6">
        <w:t xml:space="preserve">taff monitor participants as they gain relevant experience in their nominated trade in Australian workplaces. Participants also have their </w:t>
      </w:r>
      <w:r w:rsidR="00C876EE" w:rsidRPr="00F414C6">
        <w:t xml:space="preserve">work </w:t>
      </w:r>
      <w:r w:rsidRPr="00F414C6">
        <w:t xml:space="preserve">capacity verified by a qualified assessor. </w:t>
      </w:r>
    </w:p>
    <w:p w14:paraId="5152AEEE" w14:textId="7AAAD51B" w:rsidR="001009E6" w:rsidRPr="00F414C6" w:rsidRDefault="001009E6" w:rsidP="007B624F">
      <w:pPr>
        <w:pStyle w:val="CRISboxbodytext"/>
      </w:pPr>
      <w:r w:rsidRPr="00F414C6">
        <w:t>The program is for international student</w:t>
      </w:r>
      <w:r w:rsidR="005544F8">
        <w:t>s</w:t>
      </w:r>
      <w:r w:rsidRPr="00F414C6">
        <w:t xml:space="preserve"> who</w:t>
      </w:r>
      <w:r w:rsidR="005544F8">
        <w:t xml:space="preserve"> have graduated with</w:t>
      </w:r>
      <w:r w:rsidRPr="00F414C6">
        <w:t xml:space="preserve"> a trade qualification issued by a Commonwealth Register of Institutions and Courses for Overseas </w:t>
      </w:r>
      <w:r w:rsidR="00950DFA" w:rsidRPr="00F414C6">
        <w:t>Students registered</w:t>
      </w:r>
      <w:r w:rsidRPr="00F414C6">
        <w:t xml:space="preserve"> training organisation (RTO) </w:t>
      </w:r>
      <w:r w:rsidR="005544F8">
        <w:t>and</w:t>
      </w:r>
      <w:r w:rsidRPr="00F414C6">
        <w:t xml:space="preserve"> require a skills assessment for temporary or permanent migration.</w:t>
      </w:r>
    </w:p>
    <w:p w14:paraId="57D6F74B" w14:textId="77777777" w:rsidR="0000307A" w:rsidRDefault="0000307A" w:rsidP="007B624F">
      <w:pPr>
        <w:pStyle w:val="CRISboxbodydotpoint"/>
        <w:rPr>
          <w:b/>
          <w:bCs/>
        </w:rPr>
      </w:pPr>
      <w:r>
        <w:rPr>
          <w:b/>
          <w:bCs/>
        </w:rPr>
        <w:t>Steps:</w:t>
      </w:r>
    </w:p>
    <w:p w14:paraId="6C0DCCBB" w14:textId="2A37BB36" w:rsidR="001009E6" w:rsidRPr="007B624F" w:rsidRDefault="0000307A" w:rsidP="007B624F">
      <w:pPr>
        <w:pStyle w:val="CRISboxbodydotpoint"/>
      </w:pPr>
      <w:r>
        <w:rPr>
          <w:b/>
          <w:bCs/>
        </w:rPr>
        <w:t>1</w:t>
      </w:r>
      <w:r w:rsidR="002D70CC">
        <w:rPr>
          <w:b/>
          <w:bCs/>
        </w:rPr>
        <w:t>.</w:t>
      </w:r>
      <w:r w:rsidR="001009E6" w:rsidRPr="00F414C6">
        <w:t xml:space="preserve"> </w:t>
      </w:r>
      <w:r w:rsidR="001009E6" w:rsidRPr="007B624F">
        <w:t xml:space="preserve">Provisional Skills Assessment (PSA) </w:t>
      </w:r>
      <w:r w:rsidR="002D70CC">
        <w:t>(Step 1)</w:t>
      </w:r>
      <w:r w:rsidR="003152A6">
        <w:t xml:space="preserve"> </w:t>
      </w:r>
      <w:r w:rsidR="001009E6" w:rsidRPr="007B624F">
        <w:t xml:space="preserve">is a desktop verification of an applicant’s Australian </w:t>
      </w:r>
      <w:r w:rsidR="00503A2F" w:rsidRPr="007B624F">
        <w:t>Qualifications Framework (AQF)</w:t>
      </w:r>
      <w:r w:rsidR="001009E6" w:rsidRPr="007B624F">
        <w:t xml:space="preserve"> qualification and any relevant employment or vocational placement undertaken in an Australian </w:t>
      </w:r>
      <w:r w:rsidR="001009E6" w:rsidRPr="007B624F">
        <w:lastRenderedPageBreak/>
        <w:t xml:space="preserve">workplace. </w:t>
      </w:r>
      <w:r w:rsidR="00141AC4" w:rsidRPr="007B624F">
        <w:t xml:space="preserve">This step is undertaken by TRA </w:t>
      </w:r>
      <w:r w:rsidR="00BD5F66" w:rsidRPr="007B624F">
        <w:t>staff</w:t>
      </w:r>
      <w:r w:rsidR="00141AC4" w:rsidRPr="007B624F">
        <w:t xml:space="preserve"> and a</w:t>
      </w:r>
      <w:r w:rsidR="001009E6" w:rsidRPr="007B624F">
        <w:t xml:space="preserve"> successful outcome can be used for a </w:t>
      </w:r>
      <w:r w:rsidR="00BD5F66" w:rsidRPr="007B624F">
        <w:t xml:space="preserve">Temporary Graduate </w:t>
      </w:r>
      <w:r w:rsidR="009F7C79" w:rsidRPr="007B624F">
        <w:t xml:space="preserve">work stream </w:t>
      </w:r>
      <w:r w:rsidR="001009E6" w:rsidRPr="007B624F">
        <w:t>visa</w:t>
      </w:r>
      <w:r w:rsidR="00F414C6" w:rsidRPr="007B624F">
        <w:t xml:space="preserve"> </w:t>
      </w:r>
      <w:r w:rsidR="009F7C79" w:rsidRPr="007B624F">
        <w:t>(subclass 485)</w:t>
      </w:r>
      <w:r w:rsidR="001009E6" w:rsidRPr="007B624F">
        <w:t>.</w:t>
      </w:r>
    </w:p>
    <w:p w14:paraId="68740DD4" w14:textId="61372F8C" w:rsidR="001009E6" w:rsidRPr="00F414C6" w:rsidRDefault="0000307A" w:rsidP="007B624F">
      <w:pPr>
        <w:pStyle w:val="CRISboxbodydotpoint"/>
      </w:pPr>
      <w:r>
        <w:rPr>
          <w:b/>
          <w:bCs/>
        </w:rPr>
        <w:t>2</w:t>
      </w:r>
      <w:r w:rsidR="002D70CC">
        <w:rPr>
          <w:b/>
          <w:bCs/>
        </w:rPr>
        <w:t>.</w:t>
      </w:r>
      <w:r w:rsidR="001009E6" w:rsidRPr="00F414C6">
        <w:t xml:space="preserve"> –Job Ready Employment (JRE</w:t>
      </w:r>
      <w:r w:rsidR="002D70CC">
        <w:t xml:space="preserve"> </w:t>
      </w:r>
      <w:r w:rsidR="001009E6" w:rsidRPr="00F414C6">
        <w:t>)</w:t>
      </w:r>
      <w:r w:rsidR="003152A6">
        <w:t xml:space="preserve"> </w:t>
      </w:r>
      <w:r w:rsidR="002D70CC">
        <w:t xml:space="preserve">(Step 2) </w:t>
      </w:r>
      <w:r w:rsidR="008F67C5">
        <w:t>administration</w:t>
      </w:r>
      <w:r w:rsidR="001009E6" w:rsidRPr="00F414C6">
        <w:t xml:space="preserve"> </w:t>
      </w:r>
      <w:r w:rsidR="00141AC4" w:rsidRPr="00F414C6">
        <w:t xml:space="preserve">is undertaken by TRA </w:t>
      </w:r>
      <w:r w:rsidR="00BD5F66" w:rsidRPr="00F414C6">
        <w:t xml:space="preserve">staff </w:t>
      </w:r>
      <w:r w:rsidR="00141AC4" w:rsidRPr="00F414C6">
        <w:t xml:space="preserve">who </w:t>
      </w:r>
      <w:r w:rsidR="001009E6" w:rsidRPr="00F414C6">
        <w:t xml:space="preserve">monitor a participant over a minimum 12-month period as they gain experience in an Australian workplace to further develop skills relevant to their nominated occupation. </w:t>
      </w:r>
    </w:p>
    <w:p w14:paraId="47436D6F" w14:textId="6FF30FA7" w:rsidR="001009E6" w:rsidRPr="00F414C6" w:rsidRDefault="0000307A" w:rsidP="007B624F">
      <w:pPr>
        <w:pStyle w:val="CRISboxbodydotpoint"/>
      </w:pPr>
      <w:r>
        <w:rPr>
          <w:b/>
          <w:bCs/>
        </w:rPr>
        <w:t>3</w:t>
      </w:r>
      <w:r w:rsidR="002D70CC">
        <w:t xml:space="preserve">. </w:t>
      </w:r>
      <w:r w:rsidR="001009E6" w:rsidRPr="00F414C6">
        <w:t xml:space="preserve">Job Ready Workplace Assessment (JRWA) </w:t>
      </w:r>
      <w:r w:rsidR="002D70CC">
        <w:t xml:space="preserve">(Step 3) </w:t>
      </w:r>
      <w:r w:rsidR="001009E6" w:rsidRPr="00F414C6">
        <w:t xml:space="preserve">is undertaken by TRA-approved RTOs contracted to deliver this service. It is </w:t>
      </w:r>
      <w:r w:rsidR="009F7C79" w:rsidRPr="00F414C6">
        <w:t xml:space="preserve">generally </w:t>
      </w:r>
      <w:r w:rsidR="001009E6" w:rsidRPr="00F414C6">
        <w:t xml:space="preserve">conducted in the participant’s workplace to determine whether they are working at the required skill level for their nominated occupation. </w:t>
      </w:r>
    </w:p>
    <w:p w14:paraId="00CA18FD" w14:textId="6F75DBEE" w:rsidR="001009E6" w:rsidRPr="00F414C6" w:rsidRDefault="001009E6" w:rsidP="007B624F">
      <w:pPr>
        <w:pStyle w:val="CRISboxbodydotpoint"/>
      </w:pPr>
      <w:r w:rsidRPr="00F414C6">
        <w:rPr>
          <w:b/>
          <w:bCs/>
        </w:rPr>
        <w:t>4</w:t>
      </w:r>
      <w:r w:rsidR="002D70CC">
        <w:t xml:space="preserve">. </w:t>
      </w:r>
      <w:r w:rsidRPr="00F414C6">
        <w:t xml:space="preserve">Job Ready Final Assessment (JRFA) </w:t>
      </w:r>
      <w:r w:rsidR="002D70CC">
        <w:t xml:space="preserve">(Step 4) </w:t>
      </w:r>
      <w:r w:rsidRPr="00F414C6">
        <w:t xml:space="preserve">is processed by TRA </w:t>
      </w:r>
      <w:r w:rsidR="009F7C79" w:rsidRPr="00F414C6">
        <w:t>staff</w:t>
      </w:r>
      <w:r w:rsidRPr="00F414C6">
        <w:t>. A participant must have completed a minimum of 1725 hours</w:t>
      </w:r>
      <w:r w:rsidR="005544F8">
        <w:t>’</w:t>
      </w:r>
      <w:r w:rsidRPr="00F414C6">
        <w:t xml:space="preserve"> paid employment over a </w:t>
      </w:r>
      <w:r w:rsidR="009F7C79" w:rsidRPr="00F414C6">
        <w:t xml:space="preserve">minimum </w:t>
      </w:r>
      <w:r w:rsidRPr="00F414C6">
        <w:t xml:space="preserve">12-month period. A successful outcome will satisfy the skills assessment requirement for an application with Home Affairs for an independent skilled migration visa. </w:t>
      </w:r>
    </w:p>
    <w:p w14:paraId="42C2B2A1" w14:textId="45B024A2" w:rsidR="009F7C79" w:rsidRPr="00F414C6" w:rsidRDefault="009F7C79" w:rsidP="007B624F">
      <w:pPr>
        <w:pStyle w:val="CRISboxbodytext"/>
        <w:rPr>
          <w:b/>
          <w:bCs/>
        </w:rPr>
      </w:pPr>
      <w:r w:rsidRPr="00F414C6">
        <w:rPr>
          <w:b/>
          <w:bCs/>
        </w:rPr>
        <w:t>Fees</w:t>
      </w:r>
    </w:p>
    <w:p w14:paraId="642D5755" w14:textId="1E40ACD3" w:rsidR="001009E6" w:rsidRPr="00F414C6" w:rsidRDefault="001009E6" w:rsidP="007B624F">
      <w:pPr>
        <w:pStyle w:val="CRISboxbodytext"/>
      </w:pPr>
      <w:r w:rsidRPr="00F414C6">
        <w:t xml:space="preserve">The first fee relates to Step 1 – PSA of the JRP. Applicants will pay a fee for a documentary evidence-based assessment </w:t>
      </w:r>
      <w:r w:rsidR="002C72C7" w:rsidRPr="00F414C6">
        <w:t xml:space="preserve">undertaken </w:t>
      </w:r>
      <w:r w:rsidRPr="00F414C6">
        <w:t xml:space="preserve">by TRA </w:t>
      </w:r>
      <w:r w:rsidR="009F7C79" w:rsidRPr="00F414C6">
        <w:t>staff.</w:t>
      </w:r>
      <w:r w:rsidRPr="00F414C6">
        <w:t xml:space="preserve"> </w:t>
      </w:r>
    </w:p>
    <w:p w14:paraId="3A7C4547" w14:textId="39CCFB75" w:rsidR="001009E6" w:rsidRPr="00F414C6" w:rsidRDefault="001009E6" w:rsidP="007B624F">
      <w:pPr>
        <w:pStyle w:val="CRISboxbodytext"/>
      </w:pPr>
      <w:r w:rsidRPr="00F414C6">
        <w:t xml:space="preserve">Participants who </w:t>
      </w:r>
      <w:r w:rsidR="009F7C79" w:rsidRPr="00F414C6">
        <w:t xml:space="preserve">choose </w:t>
      </w:r>
      <w:r w:rsidRPr="00F414C6">
        <w:t xml:space="preserve">to </w:t>
      </w:r>
      <w:r w:rsidR="009F7C79" w:rsidRPr="00F414C6">
        <w:t xml:space="preserve">apply for </w:t>
      </w:r>
      <w:r w:rsidRPr="00F414C6">
        <w:t xml:space="preserve">Step 2 – JRE of the JRP, </w:t>
      </w:r>
      <w:r w:rsidR="009F7C79" w:rsidRPr="00F414C6">
        <w:t>must</w:t>
      </w:r>
      <w:r w:rsidRPr="00F414C6">
        <w:t xml:space="preserve"> complete Step 3 – JRWA and Step 4 – JRFA to achieve an </w:t>
      </w:r>
      <w:r w:rsidR="009F7C79" w:rsidRPr="00F414C6">
        <w:t xml:space="preserve">assessment </w:t>
      </w:r>
      <w:r w:rsidRPr="00F414C6">
        <w:t xml:space="preserve">outcome, with a fee chargeable for each step. </w:t>
      </w:r>
    </w:p>
    <w:p w14:paraId="06AA6D03" w14:textId="77777777" w:rsidR="001009E6" w:rsidRPr="00F414C6" w:rsidRDefault="001009E6" w:rsidP="00A0375A">
      <w:pPr>
        <w:rPr>
          <w:rFonts w:asciiTheme="minorHAnsi" w:hAnsiTheme="minorHAnsi" w:cstheme="minorHAnsi"/>
          <w:sz w:val="22"/>
          <w:szCs w:val="22"/>
        </w:rPr>
      </w:pPr>
    </w:p>
    <w:p w14:paraId="4C7A7B3A" w14:textId="19C516BA" w:rsidR="001009E6" w:rsidRPr="007B624F" w:rsidRDefault="0013664E" w:rsidP="007B624F">
      <w:pPr>
        <w:pStyle w:val="CRISboxbodytext"/>
        <w:rPr>
          <w:b/>
          <w:bCs/>
        </w:rPr>
      </w:pPr>
      <w:r w:rsidRPr="007B624F">
        <w:rPr>
          <w:b/>
          <w:bCs/>
        </w:rPr>
        <w:t xml:space="preserve">Description of the </w:t>
      </w:r>
      <w:r w:rsidR="001009E6" w:rsidRPr="007B624F">
        <w:rPr>
          <w:b/>
          <w:bCs/>
        </w:rPr>
        <w:t xml:space="preserve">Migration Skills Assessment (MSA) </w:t>
      </w:r>
      <w:r w:rsidR="00C876EE" w:rsidRPr="007B624F">
        <w:rPr>
          <w:b/>
          <w:bCs/>
        </w:rPr>
        <w:t>and</w:t>
      </w:r>
      <w:r w:rsidR="001009E6" w:rsidRPr="007B624F">
        <w:rPr>
          <w:b/>
          <w:bCs/>
        </w:rPr>
        <w:t xml:space="preserve"> Migration Points Advice (MPA)</w:t>
      </w:r>
      <w:r w:rsidRPr="007B624F">
        <w:rPr>
          <w:b/>
          <w:bCs/>
        </w:rPr>
        <w:t xml:space="preserve"> pathways </w:t>
      </w:r>
    </w:p>
    <w:p w14:paraId="2207231E" w14:textId="09C95A69" w:rsidR="00A03628" w:rsidRDefault="00A03628" w:rsidP="007B624F">
      <w:pPr>
        <w:pStyle w:val="CRISboxbodytext"/>
      </w:pPr>
      <w:bookmarkStart w:id="3" w:name="_Hlk75852022"/>
      <w:r w:rsidRPr="00A03628">
        <w:t xml:space="preserve">MSA and MPA are available </w:t>
      </w:r>
      <w:r w:rsidR="00F95EA9">
        <w:t>to</w:t>
      </w:r>
      <w:r w:rsidRPr="00A03628">
        <w:t xml:space="preserve"> anyone, onshore and offshore, applying for a permanent skilled migration visa in an occupation and country that are not required to be assessed by another TRA pathway. </w:t>
      </w:r>
      <w:r>
        <w:t xml:space="preserve">To be eligible, an applicant’s </w:t>
      </w:r>
      <w:r w:rsidRPr="00A03628">
        <w:t xml:space="preserve">occupation </w:t>
      </w:r>
      <w:r>
        <w:t>must be</w:t>
      </w:r>
      <w:r w:rsidRPr="00A03628">
        <w:t xml:space="preserve"> listed on the Medium and Long-term Strategic Skills List or the Short-term Skilled Occupations List, </w:t>
      </w:r>
      <w:r>
        <w:t>must be</w:t>
      </w:r>
      <w:r w:rsidRPr="00A03628">
        <w:t xml:space="preserve"> directly relevant to their qualification or apprenticeship and </w:t>
      </w:r>
      <w:r>
        <w:t>must be</w:t>
      </w:r>
      <w:r w:rsidRPr="00A03628">
        <w:t xml:space="preserve"> directly relevant to their employment.</w:t>
      </w:r>
    </w:p>
    <w:bookmarkEnd w:id="3"/>
    <w:p w14:paraId="11D63006" w14:textId="61129C68" w:rsidR="001009E6" w:rsidRPr="00F414C6" w:rsidRDefault="001009E6" w:rsidP="007B624F">
      <w:pPr>
        <w:pStyle w:val="CRISboxbodytext"/>
      </w:pPr>
      <w:r w:rsidRPr="00F414C6">
        <w:t xml:space="preserve">The MSA </w:t>
      </w:r>
      <w:r w:rsidR="009F7C79" w:rsidRPr="00F414C6">
        <w:t xml:space="preserve">is a documentary evidence- based </w:t>
      </w:r>
      <w:r w:rsidRPr="00F414C6">
        <w:t xml:space="preserve">assessment of an applicant’s qualification and employment history to determine whether this is comparable with Australian standards for a skilled worker in their nominated occupation. </w:t>
      </w:r>
    </w:p>
    <w:p w14:paraId="60FD0263" w14:textId="62D94ECF" w:rsidR="001009E6" w:rsidRPr="00F414C6" w:rsidRDefault="001009E6" w:rsidP="007B624F">
      <w:pPr>
        <w:pStyle w:val="CRISboxbodytext"/>
      </w:pPr>
      <w:r w:rsidRPr="00F414C6">
        <w:t xml:space="preserve">The MPA </w:t>
      </w:r>
      <w:r w:rsidR="009F7C79" w:rsidRPr="00F414C6">
        <w:t xml:space="preserve">is a documentary evidence-based assessment which is </w:t>
      </w:r>
      <w:r w:rsidR="00B34367" w:rsidRPr="00F414C6">
        <w:t>used to</w:t>
      </w:r>
      <w:r w:rsidRPr="00F414C6">
        <w:t xml:space="preserve"> meet</w:t>
      </w:r>
      <w:r w:rsidR="009F7C79" w:rsidRPr="00F414C6">
        <w:t xml:space="preserve"> </w:t>
      </w:r>
      <w:r w:rsidRPr="00F414C6">
        <w:t xml:space="preserve">Home Affairs points requirements for skilled migration. A MPA identifies an applicant’s comparable qualifications and periods of relevant employment. </w:t>
      </w:r>
    </w:p>
    <w:p w14:paraId="6551703F" w14:textId="1591811A" w:rsidR="001009E6" w:rsidRPr="00F414C6" w:rsidRDefault="001009E6" w:rsidP="007B624F">
      <w:pPr>
        <w:pStyle w:val="CRISboxbodytext"/>
      </w:pPr>
      <w:r w:rsidRPr="00F414C6">
        <w:t xml:space="preserve">TRA </w:t>
      </w:r>
      <w:r w:rsidR="009F7C79" w:rsidRPr="00F414C6">
        <w:t xml:space="preserve">staff </w:t>
      </w:r>
      <w:r w:rsidR="00C876EE" w:rsidRPr="00F414C6">
        <w:t xml:space="preserve">review </w:t>
      </w:r>
      <w:r w:rsidRPr="00F414C6">
        <w:t xml:space="preserve">the documentary evidence provided by applicants for both pathways. Applicants are required to provide verifiable evidence of a qualification that is considered comparable to </w:t>
      </w:r>
      <w:r w:rsidR="00503A2F" w:rsidRPr="00F414C6">
        <w:t xml:space="preserve">an </w:t>
      </w:r>
      <w:r w:rsidR="009F7C79" w:rsidRPr="00F414C6">
        <w:t>A</w:t>
      </w:r>
      <w:r w:rsidR="00503A2F" w:rsidRPr="00F414C6">
        <w:t xml:space="preserve">QF </w:t>
      </w:r>
      <w:r w:rsidRPr="00F414C6">
        <w:t xml:space="preserve">qualification for the applicants’ nominated occupation, as well as employment evidence demonstrating the applicants’ skills and experience at the standard necessary to work in their nominated occupation in Australia. </w:t>
      </w:r>
    </w:p>
    <w:p w14:paraId="10CF333A" w14:textId="293EB34D" w:rsidR="00F414C6" w:rsidRPr="00F414C6" w:rsidRDefault="00F414C6" w:rsidP="00684205">
      <w:pPr>
        <w:pStyle w:val="Heading2"/>
      </w:pPr>
      <w:r>
        <w:t xml:space="preserve">1.3 </w:t>
      </w:r>
      <w:r w:rsidR="00FA7536">
        <w:tab/>
      </w:r>
      <w:r w:rsidRPr="00F414C6">
        <w:t xml:space="preserve">Description of the regulatory charging activity </w:t>
      </w:r>
    </w:p>
    <w:p w14:paraId="3ED76561" w14:textId="1B0759AD" w:rsidR="004B6964" w:rsidRPr="00F414C6" w:rsidRDefault="00FA7536" w:rsidP="00B61D25">
      <w:pPr>
        <w:pStyle w:val="CRISbodytext"/>
      </w:pPr>
      <w:r>
        <w:t>The</w:t>
      </w:r>
      <w:r w:rsidR="004B6964" w:rsidRPr="00F414C6">
        <w:t xml:space="preserve"> </w:t>
      </w:r>
      <w:r w:rsidR="009F7C79" w:rsidRPr="00F414C6">
        <w:t>D</w:t>
      </w:r>
      <w:r w:rsidR="00B32779" w:rsidRPr="00F414C6">
        <w:t>epartment</w:t>
      </w:r>
      <w:r w:rsidR="004B6964" w:rsidRPr="00F414C6">
        <w:t xml:space="preserve"> has ensured that charges set for the JRP, MSA and MPA pathways are cost effective and efficient in line with the Australian Government Charging Framework (the Charging Framework). </w:t>
      </w:r>
    </w:p>
    <w:bookmarkEnd w:id="2"/>
    <w:p w14:paraId="6859137A" w14:textId="250B416F" w:rsidR="004B6964" w:rsidRPr="00F414C6" w:rsidRDefault="004B6964" w:rsidP="00B61D25">
      <w:pPr>
        <w:pStyle w:val="CRISbodytext"/>
      </w:pPr>
      <w:r w:rsidRPr="00F414C6">
        <w:t xml:space="preserve">The Charging Framework, which incorporates the </w:t>
      </w:r>
      <w:r w:rsidR="00BB03BE" w:rsidRPr="00BE2EA8">
        <w:t>Cost Recovery Guidelines (the CRGs)</w:t>
      </w:r>
      <w:r w:rsidRPr="00F414C6">
        <w:t>, sets out the framework under which government entities design, implement and review regulatory charging activities. The Government’s overarching charging policy</w:t>
      </w:r>
      <w:r w:rsidR="005544F8">
        <w:t xml:space="preserve"> (under Section 10 of the CRGs)</w:t>
      </w:r>
      <w:r w:rsidRPr="00F414C6">
        <w:t xml:space="preserve"> is that, where appropriate, recipients of regulatory activities should be charged some or </w:t>
      </w:r>
      <w:r w:rsidR="0076612A" w:rsidRPr="00F414C6">
        <w:t>all</w:t>
      </w:r>
      <w:r w:rsidRPr="00F414C6">
        <w:t xml:space="preserve"> the efficient costs of those activities. </w:t>
      </w:r>
    </w:p>
    <w:p w14:paraId="3C4D15F9" w14:textId="7231D547" w:rsidR="004B6964" w:rsidRPr="00BE2EA8" w:rsidRDefault="004B6964" w:rsidP="00B61D25">
      <w:pPr>
        <w:pStyle w:val="CRISbodytext"/>
      </w:pPr>
      <w:r w:rsidRPr="00F414C6">
        <w:lastRenderedPageBreak/>
        <w:t>The charging policy promotes consistent, transparent and accountable charging for government regulatory activity and supports the proper use of public resources</w:t>
      </w:r>
      <w:r w:rsidR="00BE2EA8">
        <w:rPr>
          <w:rStyle w:val="FootnoteReference"/>
        </w:rPr>
        <w:footnoteReference w:id="2"/>
      </w:r>
      <w:r w:rsidRPr="00F414C6">
        <w:t>.</w:t>
      </w:r>
    </w:p>
    <w:p w14:paraId="7450C573" w14:textId="633A5388" w:rsidR="00FA7536" w:rsidRDefault="004B6964" w:rsidP="00B61D25">
      <w:pPr>
        <w:pStyle w:val="CRISbodytext"/>
      </w:pPr>
      <w:r w:rsidRPr="00BE2EA8">
        <w:t>The regulatory charging arrangements for TRA relate to the regulatory activities designed in accordance with the Framework and the CRGs</w:t>
      </w:r>
      <w:r w:rsidR="0076612A" w:rsidRPr="00BE2EA8">
        <w:t>.</w:t>
      </w:r>
    </w:p>
    <w:p w14:paraId="70EA997C" w14:textId="77777777" w:rsidR="008B679D" w:rsidRPr="004320BA" w:rsidRDefault="008B679D" w:rsidP="00684205">
      <w:pPr>
        <w:pStyle w:val="Heading1"/>
      </w:pPr>
      <w:r w:rsidRPr="004320BA">
        <w:t xml:space="preserve">2. </w:t>
      </w:r>
      <w:r w:rsidRPr="004320BA">
        <w:tab/>
        <w:t>POLICY AND STATUTORY AUTHORITY TO COST RECOVER</w:t>
      </w:r>
    </w:p>
    <w:p w14:paraId="730F1C29" w14:textId="77777777" w:rsidR="006B1651" w:rsidRPr="00FF488E" w:rsidRDefault="006B1651" w:rsidP="00684205">
      <w:pPr>
        <w:pStyle w:val="Heading2"/>
      </w:pPr>
      <w:r w:rsidRPr="00FF488E">
        <w:t>2.1</w:t>
      </w:r>
      <w:r w:rsidRPr="00FF488E">
        <w:tab/>
        <w:t>Government policy approval to cost recover the regulatory activity</w:t>
      </w:r>
    </w:p>
    <w:p w14:paraId="6BFF4C32" w14:textId="7069FB19" w:rsidR="00315AC4" w:rsidRPr="00FF488E" w:rsidRDefault="007B72F5" w:rsidP="00B61D25">
      <w:pPr>
        <w:pStyle w:val="CRISbodytext"/>
      </w:pPr>
      <w:r w:rsidRPr="00FF488E">
        <w:t xml:space="preserve">As part of the 2021-22 Budget, the Australian Government announced </w:t>
      </w:r>
      <w:r w:rsidR="00BE2EA8">
        <w:t>that TRA skills assessment services</w:t>
      </w:r>
      <w:r w:rsidR="007F71E0">
        <w:t xml:space="preserve"> under JRP, MSA and MPA</w:t>
      </w:r>
      <w:r w:rsidR="00BE2EA8">
        <w:t xml:space="preserve">, provided by the Department, </w:t>
      </w:r>
      <w:r w:rsidRPr="00FF488E">
        <w:t>will operate on a full cost recovery basis from 1</w:t>
      </w:r>
      <w:r w:rsidR="00C66B42" w:rsidRPr="00FF488E">
        <w:t> </w:t>
      </w:r>
      <w:r w:rsidR="00FF488E">
        <w:t>September</w:t>
      </w:r>
      <w:r w:rsidR="00C66B42" w:rsidRPr="00FF488E">
        <w:t> </w:t>
      </w:r>
      <w:r w:rsidRPr="00FF488E">
        <w:t>2021.</w:t>
      </w:r>
    </w:p>
    <w:p w14:paraId="4379727E" w14:textId="30ACB097" w:rsidR="006B1651" w:rsidRPr="00FF488E" w:rsidRDefault="006B1651" w:rsidP="00684205">
      <w:pPr>
        <w:pStyle w:val="Heading2"/>
      </w:pPr>
      <w:r w:rsidRPr="00FF488E">
        <w:t>2.2</w:t>
      </w:r>
      <w:r w:rsidRPr="00FF488E">
        <w:tab/>
        <w:t>Statutory authority to charge</w:t>
      </w:r>
    </w:p>
    <w:p w14:paraId="7A4A3460" w14:textId="60FA9284" w:rsidR="00D2465C" w:rsidRPr="00FF488E" w:rsidRDefault="00D2465C" w:rsidP="00B61D25">
      <w:pPr>
        <w:pStyle w:val="CRISbodytext"/>
      </w:pPr>
      <w:r w:rsidRPr="00FF488E">
        <w:t>TRA is a</w:t>
      </w:r>
      <w:r w:rsidR="005544F8">
        <w:t xml:space="preserve"> </w:t>
      </w:r>
      <w:r w:rsidRPr="00FF488E">
        <w:t>skilled migration assessing authority</w:t>
      </w:r>
      <w:r w:rsidR="005544F8">
        <w:t>, authorised</w:t>
      </w:r>
      <w:r w:rsidRPr="00FF488E">
        <w:t xml:space="preserve"> under the</w:t>
      </w:r>
      <w:r w:rsidR="002A55EA" w:rsidRPr="00FF488E">
        <w:t xml:space="preserve"> Government’s skilled migration program operating under the</w:t>
      </w:r>
      <w:r w:rsidRPr="00FF488E">
        <w:t xml:space="preserve"> </w:t>
      </w:r>
      <w:hyperlink r:id="rId13" w:history="1">
        <w:r w:rsidRPr="002F3D69">
          <w:rPr>
            <w:rStyle w:val="Hyperlink"/>
            <w:rFonts w:cstheme="minorHAnsi"/>
            <w:i/>
            <w:iCs/>
          </w:rPr>
          <w:t xml:space="preserve">Migration Regulations </w:t>
        </w:r>
        <w:r w:rsidR="002A55EA" w:rsidRPr="002F3D69">
          <w:rPr>
            <w:rStyle w:val="Hyperlink"/>
            <w:rFonts w:cstheme="minorHAnsi"/>
            <w:i/>
            <w:iCs/>
          </w:rPr>
          <w:t>1994</w:t>
        </w:r>
      </w:hyperlink>
      <w:r w:rsidR="002A55EA" w:rsidRPr="00FF488E">
        <w:t>, and the</w:t>
      </w:r>
      <w:hyperlink r:id="rId14" w:history="1">
        <w:r w:rsidR="002A55EA" w:rsidRPr="002F3D69">
          <w:rPr>
            <w:rStyle w:val="Hyperlink"/>
            <w:rFonts w:cstheme="minorHAnsi"/>
          </w:rPr>
          <w:t xml:space="preserve"> </w:t>
        </w:r>
        <w:r w:rsidR="002A55EA" w:rsidRPr="002F3D69">
          <w:rPr>
            <w:rStyle w:val="Hyperlink"/>
            <w:rFonts w:cstheme="minorHAnsi"/>
            <w:i/>
            <w:iCs/>
          </w:rPr>
          <w:t>Migration Act 1958</w:t>
        </w:r>
      </w:hyperlink>
      <w:r w:rsidR="002A55EA" w:rsidRPr="00FF488E">
        <w:t xml:space="preserve">, </w:t>
      </w:r>
      <w:r w:rsidR="005544F8">
        <w:t xml:space="preserve">to assess </w:t>
      </w:r>
      <w:r w:rsidRPr="00FF488E">
        <w:t>the trade skills of prospective migrants.</w:t>
      </w:r>
    </w:p>
    <w:p w14:paraId="34A05E25" w14:textId="43F8B5C9" w:rsidR="006C3414" w:rsidRDefault="006C3414" w:rsidP="00B61D25">
      <w:pPr>
        <w:pStyle w:val="CRISbodytext"/>
      </w:pPr>
      <w:r w:rsidRPr="00FF488E">
        <w:t xml:space="preserve">Authority for TRA to charge fees for assessment of a person’s work qualifications and experience is provided by </w:t>
      </w:r>
      <w:r w:rsidR="005544F8">
        <w:t>Regulation</w:t>
      </w:r>
      <w:r w:rsidRPr="00FF488E">
        <w:t xml:space="preserve"> 5.40 of the </w:t>
      </w:r>
      <w:r w:rsidR="00D2465C" w:rsidRPr="00FF488E">
        <w:t>Migration Regulations</w:t>
      </w:r>
      <w:r w:rsidRPr="00FF488E">
        <w:t xml:space="preserve">, with specific fees detailed </w:t>
      </w:r>
      <w:r w:rsidRPr="008F67C5">
        <w:t>in</w:t>
      </w:r>
      <w:r w:rsidRPr="00BE2EA8">
        <w:t xml:space="preserve"> </w:t>
      </w:r>
      <w:bookmarkStart w:id="4" w:name="_Hlk57638285"/>
      <w:r w:rsidR="007E409F" w:rsidRPr="00BE2EA8">
        <w:rPr>
          <w:i/>
          <w:iCs/>
        </w:rPr>
        <w:fldChar w:fldCharType="begin"/>
      </w:r>
      <w:r w:rsidR="007E409F" w:rsidRPr="00BE2EA8">
        <w:rPr>
          <w:i/>
          <w:iCs/>
        </w:rPr>
        <w:instrText xml:space="preserve"> HYPERLINK "https://www.legislation.gov.au/Details/F2019L00202" </w:instrText>
      </w:r>
      <w:r w:rsidR="007E409F" w:rsidRPr="00BE2EA8">
        <w:rPr>
          <w:i/>
          <w:iCs/>
        </w:rPr>
        <w:fldChar w:fldCharType="separate"/>
      </w:r>
      <w:r w:rsidRPr="00BE2EA8">
        <w:rPr>
          <w:i/>
          <w:iCs/>
        </w:rPr>
        <w:t xml:space="preserve">Migration </w:t>
      </w:r>
      <w:r w:rsidR="007E409F" w:rsidRPr="00BE2EA8">
        <w:rPr>
          <w:i/>
          <w:iCs/>
        </w:rPr>
        <w:fldChar w:fldCharType="end"/>
      </w:r>
      <w:hyperlink r:id="rId15" w:history="1">
        <w:r w:rsidRPr="00BE2EA8">
          <w:rPr>
            <w:i/>
            <w:iCs/>
          </w:rPr>
          <w:t xml:space="preserve">(LIN 19/034: Fees for Assessment of Qualifications and Experience) Instrument </w:t>
        </w:r>
      </w:hyperlink>
      <w:hyperlink r:id="rId16" w:history="1">
        <w:r w:rsidRPr="00BE2EA8">
          <w:rPr>
            <w:i/>
            <w:iCs/>
          </w:rPr>
          <w:t>2019</w:t>
        </w:r>
      </w:hyperlink>
      <w:r w:rsidRPr="00BE2EA8">
        <w:rPr>
          <w:i/>
          <w:iCs/>
        </w:rPr>
        <w:t>.</w:t>
      </w:r>
      <w:bookmarkEnd w:id="4"/>
      <w:r w:rsidRPr="00BE2EA8">
        <w:rPr>
          <w:i/>
          <w:iCs/>
        </w:rPr>
        <w:t xml:space="preserve"> </w:t>
      </w:r>
    </w:p>
    <w:p w14:paraId="19AC25BC" w14:textId="77777777" w:rsidR="008B679D" w:rsidRPr="00FF488E" w:rsidRDefault="008B679D" w:rsidP="00684205">
      <w:pPr>
        <w:pStyle w:val="Heading1"/>
      </w:pPr>
      <w:r w:rsidRPr="00FF488E">
        <w:t>3.</w:t>
      </w:r>
      <w:r w:rsidR="002C5D92" w:rsidRPr="00FF488E">
        <w:t xml:space="preserve"> </w:t>
      </w:r>
      <w:r w:rsidR="002C5D92" w:rsidRPr="00FF488E">
        <w:tab/>
      </w:r>
      <w:r w:rsidRPr="00FF488E">
        <w:t>COST RECOVERY MODEL</w:t>
      </w:r>
    </w:p>
    <w:p w14:paraId="56895D57" w14:textId="7C2357B3" w:rsidR="001C518D" w:rsidRPr="00FF488E" w:rsidRDefault="00FD0674" w:rsidP="00684205">
      <w:pPr>
        <w:pStyle w:val="Heading2"/>
      </w:pPr>
      <w:bookmarkStart w:id="5" w:name="OLE_LINK2"/>
      <w:bookmarkStart w:id="6" w:name="OLE_LINK3"/>
      <w:bookmarkStart w:id="7" w:name="basisorcharging"/>
      <w:r w:rsidRPr="00FF488E">
        <w:t>3.1</w:t>
      </w:r>
      <w:r w:rsidRPr="00FF488E">
        <w:tab/>
        <w:t xml:space="preserve">Outputs and business processes of the regulatory charging activity </w:t>
      </w:r>
    </w:p>
    <w:p w14:paraId="1DF05EBC" w14:textId="3C8B4CA7" w:rsidR="00E212D8" w:rsidRPr="00F414C6" w:rsidRDefault="00E212D8" w:rsidP="00B61D25">
      <w:pPr>
        <w:pStyle w:val="CRISbodytext"/>
      </w:pPr>
      <w:r w:rsidRPr="00F414C6">
        <w:t xml:space="preserve">The </w:t>
      </w:r>
      <w:r w:rsidR="00F807EF" w:rsidRPr="00F414C6">
        <w:t>CRGs</w:t>
      </w:r>
      <w:r w:rsidRPr="00F414C6">
        <w:t xml:space="preserve"> note the need to break down the activity into distinct outputs and the key business processes that are used to produce those outputs. These outputs should have a discernible link with the costs, charges and performance of the activity.</w:t>
      </w:r>
    </w:p>
    <w:p w14:paraId="296F0C71" w14:textId="5D24417E" w:rsidR="00E212D8" w:rsidRPr="00F414C6" w:rsidRDefault="00E212D8" w:rsidP="00B61D25">
      <w:pPr>
        <w:pStyle w:val="CRISbodytext"/>
      </w:pPr>
      <w:r w:rsidRPr="00F414C6">
        <w:t>This section describes the outputs and business processes for TRA’s activities.</w:t>
      </w:r>
    </w:p>
    <w:p w14:paraId="243D2318" w14:textId="0F2958FD" w:rsidR="00E212D8" w:rsidRPr="00F414C6" w:rsidRDefault="00E212D8" w:rsidP="00961A73">
      <w:pPr>
        <w:pStyle w:val="CRISbodytext"/>
        <w:spacing w:after="120"/>
      </w:pPr>
      <w:r w:rsidRPr="00F414C6">
        <w:t>TRA has two activities, which are:</w:t>
      </w:r>
    </w:p>
    <w:p w14:paraId="5878139A" w14:textId="77777777" w:rsidR="00E212D8" w:rsidRPr="00BE2EA8" w:rsidRDefault="00E212D8" w:rsidP="00B61D25">
      <w:pPr>
        <w:pStyle w:val="CRISdotpoint"/>
      </w:pPr>
      <w:r w:rsidRPr="00BE2EA8">
        <w:t>assessing applications and reviews, which contains outputs and business processes that are assessment-based (initiated by an application to TRA for a skills assessment), and</w:t>
      </w:r>
    </w:p>
    <w:p w14:paraId="1194EA84" w14:textId="77777777" w:rsidR="00E212D8" w:rsidRPr="00BE2EA8" w:rsidRDefault="00E212D8" w:rsidP="00B61D25">
      <w:pPr>
        <w:pStyle w:val="CRISdotpoint"/>
      </w:pPr>
      <w:r w:rsidRPr="00BE2EA8">
        <w:t>program management and administration, which contains outputs and business processes that are non-assessment-based (initiated by TRA for business as usual operations)</w:t>
      </w:r>
    </w:p>
    <w:p w14:paraId="12823383" w14:textId="77777777" w:rsidR="00684205" w:rsidRDefault="00684205" w:rsidP="00684205">
      <w:pPr>
        <w:pStyle w:val="CRISbodytext"/>
        <w:spacing w:after="0"/>
      </w:pPr>
    </w:p>
    <w:p w14:paraId="7AF089BC" w14:textId="2F6360B8" w:rsidR="00FF488E" w:rsidRDefault="00E212D8" w:rsidP="00B61D25">
      <w:pPr>
        <w:pStyle w:val="CRISbodytext"/>
      </w:pPr>
      <w:r w:rsidRPr="00F414C6">
        <w:t xml:space="preserve">These activities are broken down into the outputs and business processes in Figures 1 and 2. The outputs and associated business processes are based on the </w:t>
      </w:r>
      <w:r w:rsidR="00DF6D76">
        <w:t>D</w:t>
      </w:r>
      <w:r w:rsidR="00B32779" w:rsidRPr="00F414C6">
        <w:t>epartment</w:t>
      </w:r>
      <w:r w:rsidRPr="00F414C6">
        <w:t>’s assessment of key regulatory impacts of the program.</w:t>
      </w:r>
    </w:p>
    <w:p w14:paraId="60DB8480" w14:textId="7E498BD1" w:rsidR="00FF488E" w:rsidRDefault="00E212D8" w:rsidP="00B61D25">
      <w:pPr>
        <w:pStyle w:val="CRISbodytext"/>
      </w:pPr>
      <w:r w:rsidRPr="00F414C6">
        <w:t xml:space="preserve">The business processes associated with effort expended on assessing applications and reviews are shown in Figure 1, while business processes associated with effort expended on program management and administration, including IT maintenance and compliance, are shown in Figure 2. These types of cost recovery activities, and their corresponding outputs and business processes, are consistent with the </w:t>
      </w:r>
      <w:r w:rsidR="00F807EF" w:rsidRPr="00F414C6">
        <w:t>CRGs</w:t>
      </w:r>
      <w:r w:rsidRPr="00F414C6">
        <w:t xml:space="preserve">. </w:t>
      </w:r>
      <w:r w:rsidR="00FF488E">
        <w:br w:type="page"/>
      </w:r>
    </w:p>
    <w:p w14:paraId="15A14B6C" w14:textId="490429F9" w:rsidR="00F414C6" w:rsidRDefault="00F414C6" w:rsidP="00F414C6">
      <w:pPr>
        <w:spacing w:before="240" w:after="40"/>
        <w:rPr>
          <w:rFonts w:ascii="Calibri" w:eastAsia="Calibri" w:hAnsi="Calibri" w:cs="Arial"/>
          <w:b/>
          <w:iCs/>
          <w:sz w:val="22"/>
          <w:szCs w:val="18"/>
        </w:rPr>
      </w:pPr>
      <w:r w:rsidRPr="00F414C6">
        <w:rPr>
          <w:rFonts w:ascii="Calibri" w:eastAsia="Calibri" w:hAnsi="Calibri" w:cs="Arial"/>
          <w:b/>
          <w:iCs/>
          <w:sz w:val="22"/>
          <w:szCs w:val="18"/>
        </w:rPr>
        <w:lastRenderedPageBreak/>
        <w:t>Figure 1. Activity 1 – assessing applications and reviews</w:t>
      </w:r>
    </w:p>
    <w:tbl>
      <w:tblPr>
        <w:tblStyle w:val="TableGrid3"/>
        <w:tblW w:w="105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2"/>
        <w:gridCol w:w="352"/>
        <w:gridCol w:w="2287"/>
        <w:gridCol w:w="352"/>
        <w:gridCol w:w="2463"/>
        <w:gridCol w:w="352"/>
        <w:gridCol w:w="2469"/>
      </w:tblGrid>
      <w:tr w:rsidR="00FF488E" w:rsidRPr="00FF488E" w14:paraId="654A1F20" w14:textId="77777777" w:rsidTr="00FF488E">
        <w:trPr>
          <w:trHeight w:val="227"/>
        </w:trPr>
        <w:tc>
          <w:tcPr>
            <w:tcW w:w="2282" w:type="dxa"/>
            <w:shd w:val="clear" w:color="auto" w:fill="4C83B9"/>
          </w:tcPr>
          <w:p w14:paraId="4878BEBD"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Output 1:</w:t>
            </w:r>
          </w:p>
          <w:p w14:paraId="5B3A369E"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Receive</w:t>
            </w:r>
          </w:p>
        </w:tc>
        <w:tc>
          <w:tcPr>
            <w:tcW w:w="352" w:type="dxa"/>
            <w:tcBorders>
              <w:left w:val="nil"/>
            </w:tcBorders>
          </w:tcPr>
          <w:p w14:paraId="634E430F"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p>
        </w:tc>
        <w:tc>
          <w:tcPr>
            <w:tcW w:w="2287" w:type="dxa"/>
            <w:shd w:val="clear" w:color="auto" w:fill="4C83B9"/>
          </w:tcPr>
          <w:p w14:paraId="4C6F735C"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Output 2:</w:t>
            </w:r>
          </w:p>
          <w:p w14:paraId="6AA97340"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Assess</w:t>
            </w:r>
          </w:p>
        </w:tc>
        <w:tc>
          <w:tcPr>
            <w:tcW w:w="352" w:type="dxa"/>
          </w:tcPr>
          <w:p w14:paraId="01B74E7F"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p>
        </w:tc>
        <w:tc>
          <w:tcPr>
            <w:tcW w:w="2463" w:type="dxa"/>
            <w:shd w:val="clear" w:color="auto" w:fill="4C83B9"/>
          </w:tcPr>
          <w:p w14:paraId="704B155B"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Output 3:</w:t>
            </w:r>
          </w:p>
          <w:p w14:paraId="0B7F3F3F"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Decide</w:t>
            </w:r>
          </w:p>
        </w:tc>
        <w:tc>
          <w:tcPr>
            <w:tcW w:w="352" w:type="dxa"/>
          </w:tcPr>
          <w:p w14:paraId="2BAA0FC2"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p>
        </w:tc>
        <w:tc>
          <w:tcPr>
            <w:tcW w:w="2469" w:type="dxa"/>
            <w:shd w:val="clear" w:color="auto" w:fill="4C83B9"/>
          </w:tcPr>
          <w:p w14:paraId="362B3DF9"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Output 4:</w:t>
            </w:r>
          </w:p>
          <w:p w14:paraId="33F551A6" w14:textId="77777777" w:rsidR="00FF488E" w:rsidRPr="00FD6ADE" w:rsidRDefault="00FF488E" w:rsidP="00FF488E">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Review</w:t>
            </w:r>
          </w:p>
        </w:tc>
      </w:tr>
      <w:tr w:rsidR="00FF488E" w:rsidRPr="00FF488E" w14:paraId="215E65B3" w14:textId="77777777" w:rsidTr="00FF488E">
        <w:trPr>
          <w:trHeight w:hRule="exact" w:val="112"/>
        </w:trPr>
        <w:tc>
          <w:tcPr>
            <w:tcW w:w="2282" w:type="dxa"/>
            <w:shd w:val="clear" w:color="auto" w:fill="auto"/>
          </w:tcPr>
          <w:p w14:paraId="6798F5F3" w14:textId="77777777" w:rsidR="00FF488E" w:rsidRPr="00FF488E" w:rsidRDefault="00FF488E" w:rsidP="00FF488E">
            <w:pPr>
              <w:spacing w:after="160" w:line="259" w:lineRule="auto"/>
              <w:jc w:val="center"/>
              <w:rPr>
                <w:rFonts w:ascii="Calibri" w:eastAsia="Calibri" w:hAnsi="Calibri" w:cs="Calibri"/>
                <w:b/>
              </w:rPr>
            </w:pPr>
          </w:p>
        </w:tc>
        <w:tc>
          <w:tcPr>
            <w:tcW w:w="352" w:type="dxa"/>
            <w:tcBorders>
              <w:left w:val="nil"/>
            </w:tcBorders>
          </w:tcPr>
          <w:p w14:paraId="7220579F" w14:textId="77777777" w:rsidR="00FF488E" w:rsidRPr="00FF488E" w:rsidRDefault="00FF488E" w:rsidP="00FF488E">
            <w:pPr>
              <w:spacing w:after="160" w:line="259" w:lineRule="auto"/>
              <w:jc w:val="center"/>
              <w:rPr>
                <w:rFonts w:ascii="Calibri" w:eastAsia="Calibri" w:hAnsi="Calibri" w:cs="Calibri"/>
                <w:b/>
                <w:sz w:val="22"/>
                <w:szCs w:val="22"/>
              </w:rPr>
            </w:pPr>
          </w:p>
        </w:tc>
        <w:tc>
          <w:tcPr>
            <w:tcW w:w="2287" w:type="dxa"/>
            <w:shd w:val="clear" w:color="auto" w:fill="auto"/>
          </w:tcPr>
          <w:p w14:paraId="5DCE61A0" w14:textId="77777777" w:rsidR="00FF488E" w:rsidRPr="00FF488E" w:rsidRDefault="00FF488E" w:rsidP="00FF488E">
            <w:pPr>
              <w:spacing w:after="160" w:line="259" w:lineRule="auto"/>
              <w:jc w:val="center"/>
              <w:rPr>
                <w:rFonts w:ascii="Calibri" w:eastAsia="Calibri" w:hAnsi="Calibri" w:cs="Calibri"/>
                <w:b/>
              </w:rPr>
            </w:pPr>
          </w:p>
        </w:tc>
        <w:tc>
          <w:tcPr>
            <w:tcW w:w="352" w:type="dxa"/>
          </w:tcPr>
          <w:p w14:paraId="5184227F" w14:textId="77777777" w:rsidR="00FF488E" w:rsidRPr="00FF488E" w:rsidRDefault="00FF488E" w:rsidP="00FF488E">
            <w:pPr>
              <w:spacing w:after="160" w:line="259" w:lineRule="auto"/>
              <w:jc w:val="center"/>
              <w:rPr>
                <w:rFonts w:ascii="Calibri" w:eastAsia="Calibri" w:hAnsi="Calibri" w:cs="Calibri"/>
                <w:b/>
                <w:sz w:val="22"/>
                <w:szCs w:val="22"/>
              </w:rPr>
            </w:pPr>
          </w:p>
        </w:tc>
        <w:tc>
          <w:tcPr>
            <w:tcW w:w="2463" w:type="dxa"/>
            <w:shd w:val="clear" w:color="auto" w:fill="auto"/>
          </w:tcPr>
          <w:p w14:paraId="552C4724" w14:textId="77777777" w:rsidR="00FF488E" w:rsidRPr="00FF488E" w:rsidRDefault="00FF488E" w:rsidP="00FF488E">
            <w:pPr>
              <w:spacing w:after="160" w:line="259" w:lineRule="auto"/>
              <w:jc w:val="center"/>
              <w:rPr>
                <w:rFonts w:ascii="Calibri" w:eastAsia="Calibri" w:hAnsi="Calibri" w:cs="Calibri"/>
                <w:b/>
              </w:rPr>
            </w:pPr>
          </w:p>
        </w:tc>
        <w:tc>
          <w:tcPr>
            <w:tcW w:w="352" w:type="dxa"/>
          </w:tcPr>
          <w:p w14:paraId="1EB2043A" w14:textId="77777777" w:rsidR="00FF488E" w:rsidRPr="00FF488E" w:rsidRDefault="00FF488E" w:rsidP="00FF488E">
            <w:pPr>
              <w:spacing w:after="160" w:line="259" w:lineRule="auto"/>
              <w:jc w:val="center"/>
              <w:rPr>
                <w:rFonts w:ascii="Calibri" w:eastAsia="Calibri" w:hAnsi="Calibri" w:cs="Calibri"/>
                <w:b/>
                <w:sz w:val="22"/>
                <w:szCs w:val="22"/>
              </w:rPr>
            </w:pPr>
          </w:p>
        </w:tc>
        <w:tc>
          <w:tcPr>
            <w:tcW w:w="2469" w:type="dxa"/>
            <w:shd w:val="clear" w:color="auto" w:fill="auto"/>
          </w:tcPr>
          <w:p w14:paraId="2E58D7E0" w14:textId="77777777" w:rsidR="00FF488E" w:rsidRPr="00FF488E" w:rsidRDefault="00FF488E" w:rsidP="00FF488E">
            <w:pPr>
              <w:spacing w:after="160" w:line="259" w:lineRule="auto"/>
              <w:jc w:val="center"/>
              <w:rPr>
                <w:rFonts w:ascii="Calibri" w:eastAsia="Calibri" w:hAnsi="Calibri" w:cs="Calibri"/>
                <w:b/>
              </w:rPr>
            </w:pPr>
          </w:p>
        </w:tc>
      </w:tr>
      <w:tr w:rsidR="00FF488E" w:rsidRPr="00FF488E" w14:paraId="0B055620" w14:textId="77777777" w:rsidTr="00BB7150">
        <w:trPr>
          <w:trHeight w:val="2356"/>
        </w:trPr>
        <w:tc>
          <w:tcPr>
            <w:tcW w:w="2282" w:type="dxa"/>
            <w:shd w:val="clear" w:color="auto" w:fill="EAF4FA"/>
          </w:tcPr>
          <w:p w14:paraId="3D7035C8" w14:textId="77777777" w:rsidR="00FF488E" w:rsidRPr="00FF488E" w:rsidRDefault="00FF488E" w:rsidP="00543333">
            <w:pPr>
              <w:numPr>
                <w:ilvl w:val="0"/>
                <w:numId w:val="3"/>
              </w:numPr>
              <w:spacing w:after="200" w:line="259" w:lineRule="auto"/>
              <w:ind w:left="179" w:right="27" w:hanging="179"/>
              <w:contextualSpacing/>
              <w:rPr>
                <w:rFonts w:ascii="Calibri" w:eastAsia="Calibri" w:hAnsi="Calibri" w:cs="Calibri"/>
                <w:bCs/>
                <w:sz w:val="22"/>
                <w:szCs w:val="22"/>
              </w:rPr>
            </w:pPr>
            <w:r w:rsidRPr="00FF488E">
              <w:rPr>
                <w:rFonts w:ascii="Calibri" w:eastAsia="Calibri" w:hAnsi="Calibri" w:cs="Calibri"/>
                <w:bCs/>
                <w:sz w:val="22"/>
                <w:szCs w:val="22"/>
              </w:rPr>
              <w:t>Mailbox management</w:t>
            </w:r>
          </w:p>
          <w:p w14:paraId="14CC0483" w14:textId="77777777" w:rsidR="00FF488E" w:rsidRPr="00FF488E" w:rsidRDefault="00FF488E" w:rsidP="00543333">
            <w:pPr>
              <w:numPr>
                <w:ilvl w:val="0"/>
                <w:numId w:val="3"/>
              </w:numPr>
              <w:spacing w:after="200" w:line="259" w:lineRule="auto"/>
              <w:ind w:left="179" w:right="27" w:hanging="179"/>
              <w:contextualSpacing/>
              <w:rPr>
                <w:rFonts w:ascii="Calibri" w:eastAsia="Calibri" w:hAnsi="Calibri" w:cs="Calibri"/>
                <w:bCs/>
                <w:sz w:val="22"/>
                <w:szCs w:val="22"/>
              </w:rPr>
            </w:pPr>
            <w:r w:rsidRPr="00FF488E">
              <w:rPr>
                <w:rFonts w:ascii="Calibri" w:eastAsia="Calibri" w:hAnsi="Calibri" w:cs="Calibri"/>
                <w:bCs/>
                <w:sz w:val="22"/>
                <w:szCs w:val="22"/>
              </w:rPr>
              <w:t>Case Officer allocation</w:t>
            </w:r>
          </w:p>
        </w:tc>
        <w:tc>
          <w:tcPr>
            <w:tcW w:w="352" w:type="dxa"/>
            <w:tcBorders>
              <w:left w:val="nil"/>
            </w:tcBorders>
          </w:tcPr>
          <w:p w14:paraId="71D5DAAC" w14:textId="77777777" w:rsidR="00FF488E" w:rsidRPr="00FF488E" w:rsidRDefault="00FF488E" w:rsidP="00FF488E">
            <w:pPr>
              <w:spacing w:after="200" w:line="259" w:lineRule="auto"/>
              <w:ind w:left="310"/>
              <w:contextualSpacing/>
              <w:rPr>
                <w:rFonts w:ascii="Calibri" w:eastAsia="Calibri" w:hAnsi="Calibri" w:cs="Calibri"/>
                <w:bCs/>
                <w:sz w:val="22"/>
                <w:szCs w:val="22"/>
              </w:rPr>
            </w:pPr>
          </w:p>
        </w:tc>
        <w:tc>
          <w:tcPr>
            <w:tcW w:w="2287" w:type="dxa"/>
            <w:shd w:val="clear" w:color="auto" w:fill="EAF4FA"/>
          </w:tcPr>
          <w:p w14:paraId="3432E475" w14:textId="77777777" w:rsidR="00FF488E" w:rsidRPr="00FF488E" w:rsidRDefault="00FF488E" w:rsidP="00543333">
            <w:pPr>
              <w:numPr>
                <w:ilvl w:val="0"/>
                <w:numId w:val="3"/>
              </w:numPr>
              <w:spacing w:after="200" w:line="259" w:lineRule="auto"/>
              <w:ind w:left="179" w:right="31" w:hanging="179"/>
              <w:contextualSpacing/>
              <w:rPr>
                <w:rFonts w:ascii="Calibri" w:eastAsia="Calibri" w:hAnsi="Calibri" w:cs="Calibri"/>
                <w:bCs/>
                <w:sz w:val="22"/>
                <w:szCs w:val="22"/>
              </w:rPr>
            </w:pPr>
            <w:r w:rsidRPr="00FF488E">
              <w:rPr>
                <w:rFonts w:ascii="Calibri" w:eastAsia="Calibri" w:hAnsi="Calibri" w:cs="Calibri"/>
                <w:bCs/>
                <w:sz w:val="22"/>
                <w:szCs w:val="22"/>
              </w:rPr>
              <w:t>Identity verification</w:t>
            </w:r>
          </w:p>
          <w:p w14:paraId="1F732C9B" w14:textId="77777777" w:rsidR="00FF488E" w:rsidRPr="00FF488E" w:rsidRDefault="00FF488E" w:rsidP="00543333">
            <w:pPr>
              <w:numPr>
                <w:ilvl w:val="0"/>
                <w:numId w:val="3"/>
              </w:numPr>
              <w:spacing w:after="200" w:line="276" w:lineRule="auto"/>
              <w:ind w:left="179" w:right="31" w:hanging="179"/>
              <w:contextualSpacing/>
              <w:rPr>
                <w:rFonts w:ascii="Calibri" w:eastAsia="Calibri" w:hAnsi="Calibri" w:cs="Calibri"/>
                <w:bCs/>
                <w:sz w:val="22"/>
                <w:szCs w:val="22"/>
              </w:rPr>
            </w:pPr>
            <w:r w:rsidRPr="00FF488E">
              <w:rPr>
                <w:rFonts w:ascii="Calibri" w:eastAsia="Calibri" w:hAnsi="Calibri" w:cs="Calibri"/>
                <w:bCs/>
                <w:sz w:val="22"/>
                <w:szCs w:val="22"/>
              </w:rPr>
              <w:t>Work experience or vocational placement experience</w:t>
            </w:r>
          </w:p>
          <w:p w14:paraId="2082F075" w14:textId="77777777" w:rsidR="00FF488E" w:rsidRPr="00FF488E" w:rsidRDefault="00FF488E" w:rsidP="00543333">
            <w:pPr>
              <w:numPr>
                <w:ilvl w:val="0"/>
                <w:numId w:val="3"/>
              </w:numPr>
              <w:spacing w:after="200" w:line="276" w:lineRule="auto"/>
              <w:ind w:left="179" w:right="31" w:hanging="179"/>
              <w:contextualSpacing/>
              <w:rPr>
                <w:rFonts w:ascii="Calibri" w:eastAsia="Calibri" w:hAnsi="Calibri" w:cs="Calibri"/>
                <w:bCs/>
                <w:sz w:val="22"/>
                <w:szCs w:val="22"/>
              </w:rPr>
            </w:pPr>
            <w:r w:rsidRPr="00FF488E">
              <w:rPr>
                <w:rFonts w:ascii="Calibri" w:eastAsia="Calibri" w:hAnsi="Calibri" w:cs="Calibri"/>
                <w:bCs/>
                <w:sz w:val="22"/>
                <w:szCs w:val="22"/>
              </w:rPr>
              <w:t>Qualifications verification</w:t>
            </w:r>
          </w:p>
        </w:tc>
        <w:tc>
          <w:tcPr>
            <w:tcW w:w="352" w:type="dxa"/>
          </w:tcPr>
          <w:p w14:paraId="5A4F6A2E" w14:textId="77777777" w:rsidR="00FF488E" w:rsidRPr="00FF488E" w:rsidRDefault="00FF488E" w:rsidP="00FF488E">
            <w:pPr>
              <w:spacing w:after="200" w:line="259" w:lineRule="auto"/>
              <w:ind w:left="310"/>
              <w:contextualSpacing/>
              <w:rPr>
                <w:rFonts w:ascii="Calibri" w:eastAsia="Calibri" w:hAnsi="Calibri" w:cs="Calibri"/>
                <w:bCs/>
                <w:sz w:val="22"/>
                <w:szCs w:val="22"/>
              </w:rPr>
            </w:pPr>
          </w:p>
        </w:tc>
        <w:tc>
          <w:tcPr>
            <w:tcW w:w="2463" w:type="dxa"/>
            <w:shd w:val="clear" w:color="auto" w:fill="EAF4FA"/>
          </w:tcPr>
          <w:p w14:paraId="33A950F6" w14:textId="77777777" w:rsidR="00FF488E" w:rsidRPr="00FF488E" w:rsidRDefault="00FF488E" w:rsidP="00543333">
            <w:pPr>
              <w:numPr>
                <w:ilvl w:val="0"/>
                <w:numId w:val="3"/>
              </w:numPr>
              <w:spacing w:after="200" w:line="259" w:lineRule="auto"/>
              <w:ind w:left="179" w:right="170" w:hanging="179"/>
              <w:contextualSpacing/>
              <w:rPr>
                <w:rFonts w:ascii="Calibri" w:eastAsia="Calibri" w:hAnsi="Calibri" w:cs="Calibri"/>
                <w:bCs/>
                <w:sz w:val="22"/>
                <w:szCs w:val="22"/>
              </w:rPr>
            </w:pPr>
            <w:r w:rsidRPr="00FF488E">
              <w:rPr>
                <w:rFonts w:ascii="Calibri" w:eastAsia="Calibri" w:hAnsi="Calibri" w:cs="Calibri"/>
                <w:bCs/>
                <w:sz w:val="22"/>
                <w:szCs w:val="22"/>
              </w:rPr>
              <w:t>Finalise application</w:t>
            </w:r>
          </w:p>
          <w:p w14:paraId="0193B694" w14:textId="77777777" w:rsidR="00FF488E" w:rsidRPr="00FF488E" w:rsidRDefault="00FF488E" w:rsidP="00543333">
            <w:pPr>
              <w:numPr>
                <w:ilvl w:val="0"/>
                <w:numId w:val="3"/>
              </w:numPr>
              <w:spacing w:after="200" w:line="259" w:lineRule="auto"/>
              <w:ind w:left="179" w:right="170" w:hanging="179"/>
              <w:contextualSpacing/>
              <w:rPr>
                <w:rFonts w:ascii="Calibri" w:eastAsia="Calibri" w:hAnsi="Calibri" w:cs="Calibri"/>
                <w:bCs/>
                <w:sz w:val="22"/>
                <w:szCs w:val="22"/>
              </w:rPr>
            </w:pPr>
            <w:r w:rsidRPr="00FF488E">
              <w:rPr>
                <w:rFonts w:ascii="Calibri" w:eastAsia="Calibri" w:hAnsi="Calibri" w:cs="Calibri"/>
                <w:bCs/>
                <w:sz w:val="22"/>
                <w:szCs w:val="22"/>
              </w:rPr>
              <w:t>Quality assurance</w:t>
            </w:r>
          </w:p>
          <w:p w14:paraId="1ACFEAA4" w14:textId="77777777" w:rsidR="00FF488E" w:rsidRPr="00FF488E" w:rsidRDefault="00FF488E" w:rsidP="00543333">
            <w:pPr>
              <w:numPr>
                <w:ilvl w:val="0"/>
                <w:numId w:val="3"/>
              </w:numPr>
              <w:spacing w:after="200" w:line="259" w:lineRule="auto"/>
              <w:ind w:left="179" w:right="170" w:hanging="179"/>
              <w:contextualSpacing/>
              <w:rPr>
                <w:rFonts w:ascii="Calibri" w:eastAsia="Calibri" w:hAnsi="Calibri" w:cs="Calibri"/>
                <w:bCs/>
                <w:sz w:val="22"/>
                <w:szCs w:val="22"/>
              </w:rPr>
            </w:pPr>
            <w:r w:rsidRPr="00FF488E">
              <w:rPr>
                <w:rFonts w:ascii="Calibri" w:eastAsia="Calibri" w:hAnsi="Calibri" w:cs="Calibri"/>
                <w:bCs/>
                <w:sz w:val="22"/>
                <w:szCs w:val="22"/>
              </w:rPr>
              <w:t>Notification of outcome</w:t>
            </w:r>
          </w:p>
        </w:tc>
        <w:tc>
          <w:tcPr>
            <w:tcW w:w="352" w:type="dxa"/>
          </w:tcPr>
          <w:p w14:paraId="356942C3" w14:textId="77777777" w:rsidR="00FF488E" w:rsidRPr="00FF488E" w:rsidRDefault="00FF488E" w:rsidP="00FF488E">
            <w:pPr>
              <w:spacing w:after="200" w:line="259" w:lineRule="auto"/>
              <w:ind w:left="310"/>
              <w:contextualSpacing/>
              <w:rPr>
                <w:rFonts w:ascii="Calibri" w:eastAsia="Calibri" w:hAnsi="Calibri" w:cs="Calibri"/>
                <w:bCs/>
                <w:sz w:val="22"/>
                <w:szCs w:val="22"/>
              </w:rPr>
            </w:pPr>
          </w:p>
        </w:tc>
        <w:tc>
          <w:tcPr>
            <w:tcW w:w="2469" w:type="dxa"/>
            <w:shd w:val="clear" w:color="auto" w:fill="EAF4FA"/>
          </w:tcPr>
          <w:p w14:paraId="22330620" w14:textId="77777777" w:rsidR="00FF488E" w:rsidRPr="00FF488E" w:rsidRDefault="00FF488E" w:rsidP="00543333">
            <w:pPr>
              <w:numPr>
                <w:ilvl w:val="0"/>
                <w:numId w:val="3"/>
              </w:numPr>
              <w:spacing w:after="200" w:line="259" w:lineRule="auto"/>
              <w:ind w:left="179" w:right="174" w:hanging="179"/>
              <w:contextualSpacing/>
              <w:rPr>
                <w:rFonts w:ascii="Calibri" w:eastAsia="Calibri" w:hAnsi="Calibri" w:cs="Calibri"/>
                <w:bCs/>
                <w:sz w:val="22"/>
                <w:szCs w:val="22"/>
              </w:rPr>
            </w:pPr>
            <w:r w:rsidRPr="00FF488E">
              <w:rPr>
                <w:rFonts w:ascii="Calibri" w:eastAsia="Calibri" w:hAnsi="Calibri" w:cs="Calibri"/>
                <w:bCs/>
                <w:sz w:val="22"/>
                <w:szCs w:val="22"/>
              </w:rPr>
              <w:t>Outcome management</w:t>
            </w:r>
          </w:p>
          <w:p w14:paraId="1A7EBC2A" w14:textId="77777777" w:rsidR="00FF488E" w:rsidRPr="00FF488E" w:rsidRDefault="00FF488E" w:rsidP="00543333">
            <w:pPr>
              <w:numPr>
                <w:ilvl w:val="0"/>
                <w:numId w:val="3"/>
              </w:numPr>
              <w:spacing w:after="200" w:line="259" w:lineRule="auto"/>
              <w:ind w:left="179" w:right="174" w:hanging="179"/>
              <w:contextualSpacing/>
              <w:rPr>
                <w:rFonts w:ascii="Calibri" w:eastAsia="Calibri" w:hAnsi="Calibri" w:cs="Calibri"/>
                <w:bCs/>
                <w:sz w:val="22"/>
                <w:szCs w:val="22"/>
              </w:rPr>
            </w:pPr>
            <w:r w:rsidRPr="00FF488E">
              <w:rPr>
                <w:rFonts w:ascii="Calibri" w:eastAsia="Calibri" w:hAnsi="Calibri" w:cs="Calibri"/>
                <w:bCs/>
                <w:sz w:val="22"/>
                <w:szCs w:val="22"/>
              </w:rPr>
              <w:t>Review of outcome decision</w:t>
            </w:r>
          </w:p>
        </w:tc>
      </w:tr>
    </w:tbl>
    <w:p w14:paraId="1FD3D285" w14:textId="77777777" w:rsidR="00F414C6" w:rsidRPr="00F414C6" w:rsidRDefault="00F414C6" w:rsidP="00F414C6">
      <w:pPr>
        <w:spacing w:before="240" w:after="40"/>
        <w:rPr>
          <w:rFonts w:ascii="Calibri" w:eastAsia="Calibri" w:hAnsi="Calibri" w:cs="Arial"/>
          <w:b/>
          <w:iCs/>
          <w:sz w:val="22"/>
          <w:szCs w:val="18"/>
        </w:rPr>
      </w:pPr>
      <w:r w:rsidRPr="00F414C6">
        <w:rPr>
          <w:rFonts w:ascii="Calibri" w:eastAsia="Calibri" w:hAnsi="Calibri" w:cs="Arial"/>
          <w:b/>
          <w:iCs/>
          <w:sz w:val="22"/>
          <w:szCs w:val="18"/>
        </w:rPr>
        <w:t>Figure 2. Activity 2 – program management and administration</w:t>
      </w:r>
    </w:p>
    <w:tbl>
      <w:tblPr>
        <w:tblStyle w:val="TableGrid2"/>
        <w:tblW w:w="105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1"/>
        <w:gridCol w:w="352"/>
        <w:gridCol w:w="2287"/>
        <w:gridCol w:w="352"/>
        <w:gridCol w:w="2464"/>
        <w:gridCol w:w="352"/>
        <w:gridCol w:w="2470"/>
      </w:tblGrid>
      <w:tr w:rsidR="00F414C6" w:rsidRPr="00F414C6" w14:paraId="505E1254" w14:textId="77777777" w:rsidTr="00FF488E">
        <w:trPr>
          <w:trHeight w:val="234"/>
        </w:trPr>
        <w:tc>
          <w:tcPr>
            <w:tcW w:w="2281" w:type="dxa"/>
            <w:shd w:val="clear" w:color="auto" w:fill="8063A3"/>
          </w:tcPr>
          <w:p w14:paraId="1C400977"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Output 1:</w:t>
            </w:r>
          </w:p>
          <w:p w14:paraId="5FB7E934"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Program administration</w:t>
            </w:r>
          </w:p>
        </w:tc>
        <w:tc>
          <w:tcPr>
            <w:tcW w:w="352" w:type="dxa"/>
            <w:tcBorders>
              <w:left w:val="nil"/>
            </w:tcBorders>
          </w:tcPr>
          <w:p w14:paraId="2D7A5AF7"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p>
        </w:tc>
        <w:tc>
          <w:tcPr>
            <w:tcW w:w="2287" w:type="dxa"/>
            <w:shd w:val="clear" w:color="auto" w:fill="8063A3"/>
          </w:tcPr>
          <w:p w14:paraId="4A007EDC"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 xml:space="preserve">Output 2: </w:t>
            </w:r>
          </w:p>
          <w:p w14:paraId="100FA28E"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IT support and maintenance</w:t>
            </w:r>
          </w:p>
        </w:tc>
        <w:tc>
          <w:tcPr>
            <w:tcW w:w="352" w:type="dxa"/>
          </w:tcPr>
          <w:p w14:paraId="42DBD2E4"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p>
        </w:tc>
        <w:tc>
          <w:tcPr>
            <w:tcW w:w="2464" w:type="dxa"/>
            <w:shd w:val="clear" w:color="auto" w:fill="8063A3"/>
          </w:tcPr>
          <w:p w14:paraId="06363C3D"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Output 3:</w:t>
            </w:r>
          </w:p>
          <w:p w14:paraId="69B1A79B"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Compliance and audit</w:t>
            </w:r>
          </w:p>
        </w:tc>
        <w:tc>
          <w:tcPr>
            <w:tcW w:w="352" w:type="dxa"/>
          </w:tcPr>
          <w:p w14:paraId="5F77CF08"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p>
        </w:tc>
        <w:tc>
          <w:tcPr>
            <w:tcW w:w="2470" w:type="dxa"/>
            <w:shd w:val="clear" w:color="auto" w:fill="8063A3"/>
          </w:tcPr>
          <w:p w14:paraId="124E4B10"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Output 4:</w:t>
            </w:r>
          </w:p>
          <w:p w14:paraId="60A26087" w14:textId="77777777" w:rsidR="00F414C6" w:rsidRPr="00FD6ADE" w:rsidRDefault="00F414C6" w:rsidP="00F414C6">
            <w:pPr>
              <w:spacing w:after="120" w:line="259" w:lineRule="auto"/>
              <w:jc w:val="center"/>
              <w:rPr>
                <w:rFonts w:asciiTheme="minorHAnsi" w:eastAsia="Calibri" w:hAnsiTheme="minorHAnsi" w:cstheme="minorHAnsi"/>
                <w:b/>
                <w:color w:val="FFFFFF"/>
                <w:sz w:val="22"/>
                <w:szCs w:val="22"/>
              </w:rPr>
            </w:pPr>
            <w:r w:rsidRPr="00FD6ADE">
              <w:rPr>
                <w:rFonts w:asciiTheme="minorHAnsi" w:eastAsia="Calibri" w:hAnsiTheme="minorHAnsi" w:cstheme="minorHAnsi"/>
                <w:b/>
                <w:color w:val="FFFFFF"/>
                <w:sz w:val="22"/>
                <w:szCs w:val="22"/>
              </w:rPr>
              <w:t>Policy</w:t>
            </w:r>
          </w:p>
        </w:tc>
      </w:tr>
      <w:tr w:rsidR="00F414C6" w:rsidRPr="00F414C6" w14:paraId="1535A6FF" w14:textId="77777777" w:rsidTr="00FF488E">
        <w:trPr>
          <w:trHeight w:hRule="exact" w:val="58"/>
        </w:trPr>
        <w:tc>
          <w:tcPr>
            <w:tcW w:w="2281" w:type="dxa"/>
            <w:shd w:val="clear" w:color="auto" w:fill="auto"/>
          </w:tcPr>
          <w:p w14:paraId="43F200F3" w14:textId="77777777" w:rsidR="00F414C6" w:rsidRPr="00F414C6" w:rsidRDefault="00F414C6" w:rsidP="00F414C6">
            <w:pPr>
              <w:spacing w:after="160" w:line="259" w:lineRule="auto"/>
              <w:ind w:right="27"/>
              <w:rPr>
                <w:rFonts w:ascii="Calibri" w:eastAsia="Calibri" w:hAnsi="Calibri" w:cs="Calibri"/>
                <w:bCs/>
                <w:sz w:val="22"/>
                <w:szCs w:val="22"/>
              </w:rPr>
            </w:pPr>
          </w:p>
        </w:tc>
        <w:tc>
          <w:tcPr>
            <w:tcW w:w="352" w:type="dxa"/>
            <w:tcBorders>
              <w:left w:val="nil"/>
            </w:tcBorders>
          </w:tcPr>
          <w:p w14:paraId="361B3B5A" w14:textId="77777777" w:rsidR="00F414C6" w:rsidRPr="00F414C6" w:rsidRDefault="00F414C6" w:rsidP="00F414C6">
            <w:pPr>
              <w:spacing w:after="160" w:line="259" w:lineRule="auto"/>
              <w:ind w:left="310"/>
              <w:contextualSpacing/>
              <w:rPr>
                <w:rFonts w:ascii="Calibri" w:eastAsia="Calibri" w:hAnsi="Calibri" w:cs="Calibri"/>
                <w:bCs/>
                <w:sz w:val="22"/>
                <w:szCs w:val="22"/>
              </w:rPr>
            </w:pPr>
          </w:p>
        </w:tc>
        <w:tc>
          <w:tcPr>
            <w:tcW w:w="2287" w:type="dxa"/>
            <w:shd w:val="clear" w:color="auto" w:fill="auto"/>
          </w:tcPr>
          <w:p w14:paraId="4DC0B3B3" w14:textId="77777777" w:rsidR="00F414C6" w:rsidRPr="00F414C6" w:rsidRDefault="00F414C6" w:rsidP="00F414C6">
            <w:pPr>
              <w:spacing w:after="160" w:line="259" w:lineRule="auto"/>
              <w:ind w:right="31"/>
              <w:rPr>
                <w:rFonts w:ascii="Calibri" w:eastAsia="Calibri" w:hAnsi="Calibri" w:cs="Calibri"/>
                <w:bCs/>
                <w:sz w:val="22"/>
                <w:szCs w:val="22"/>
              </w:rPr>
            </w:pPr>
          </w:p>
        </w:tc>
        <w:tc>
          <w:tcPr>
            <w:tcW w:w="352" w:type="dxa"/>
          </w:tcPr>
          <w:p w14:paraId="74BAC938" w14:textId="77777777" w:rsidR="00F414C6" w:rsidRPr="00F414C6" w:rsidRDefault="00F414C6" w:rsidP="00F414C6">
            <w:pPr>
              <w:spacing w:after="160" w:line="259" w:lineRule="auto"/>
              <w:ind w:left="310"/>
              <w:contextualSpacing/>
              <w:rPr>
                <w:rFonts w:ascii="Calibri" w:eastAsia="Calibri" w:hAnsi="Calibri" w:cs="Calibri"/>
                <w:bCs/>
                <w:sz w:val="22"/>
                <w:szCs w:val="22"/>
              </w:rPr>
            </w:pPr>
          </w:p>
        </w:tc>
        <w:tc>
          <w:tcPr>
            <w:tcW w:w="2464" w:type="dxa"/>
            <w:shd w:val="clear" w:color="auto" w:fill="auto"/>
          </w:tcPr>
          <w:p w14:paraId="3CC65877" w14:textId="77777777" w:rsidR="00F414C6" w:rsidRPr="00F414C6" w:rsidRDefault="00F414C6" w:rsidP="00F414C6">
            <w:pPr>
              <w:spacing w:after="160" w:line="259" w:lineRule="auto"/>
              <w:ind w:right="170"/>
              <w:rPr>
                <w:rFonts w:ascii="Calibri" w:eastAsia="Calibri" w:hAnsi="Calibri" w:cs="Calibri"/>
                <w:bCs/>
                <w:sz w:val="22"/>
                <w:szCs w:val="22"/>
              </w:rPr>
            </w:pPr>
          </w:p>
        </w:tc>
        <w:tc>
          <w:tcPr>
            <w:tcW w:w="352" w:type="dxa"/>
          </w:tcPr>
          <w:p w14:paraId="203C8F18" w14:textId="77777777" w:rsidR="00F414C6" w:rsidRPr="00F414C6" w:rsidRDefault="00F414C6" w:rsidP="00F414C6">
            <w:pPr>
              <w:spacing w:after="160" w:line="259" w:lineRule="auto"/>
              <w:ind w:left="310"/>
              <w:contextualSpacing/>
              <w:rPr>
                <w:rFonts w:ascii="Calibri" w:eastAsia="Calibri" w:hAnsi="Calibri" w:cs="Calibri"/>
                <w:bCs/>
                <w:sz w:val="22"/>
                <w:szCs w:val="22"/>
              </w:rPr>
            </w:pPr>
          </w:p>
        </w:tc>
        <w:tc>
          <w:tcPr>
            <w:tcW w:w="2470" w:type="dxa"/>
            <w:shd w:val="clear" w:color="auto" w:fill="auto"/>
          </w:tcPr>
          <w:p w14:paraId="4E4A5898" w14:textId="77777777" w:rsidR="00F414C6" w:rsidRPr="00F414C6" w:rsidRDefault="00F414C6" w:rsidP="00F414C6">
            <w:pPr>
              <w:spacing w:after="160" w:line="259" w:lineRule="auto"/>
              <w:ind w:right="174"/>
              <w:rPr>
                <w:rFonts w:ascii="Calibri" w:eastAsia="Calibri" w:hAnsi="Calibri" w:cs="Calibri"/>
                <w:bCs/>
                <w:sz w:val="22"/>
                <w:szCs w:val="22"/>
              </w:rPr>
            </w:pPr>
          </w:p>
        </w:tc>
      </w:tr>
      <w:tr w:rsidR="00F414C6" w:rsidRPr="00F414C6" w14:paraId="389AA541" w14:textId="77777777" w:rsidTr="00FF488E">
        <w:trPr>
          <w:trHeight w:hRule="exact" w:val="58"/>
        </w:trPr>
        <w:tc>
          <w:tcPr>
            <w:tcW w:w="2281" w:type="dxa"/>
            <w:shd w:val="clear" w:color="auto" w:fill="auto"/>
          </w:tcPr>
          <w:p w14:paraId="46544E11" w14:textId="77777777" w:rsidR="00F414C6" w:rsidRPr="00F414C6" w:rsidRDefault="00F414C6" w:rsidP="00F414C6">
            <w:pPr>
              <w:spacing w:after="160" w:line="259" w:lineRule="auto"/>
              <w:ind w:right="27"/>
              <w:rPr>
                <w:rFonts w:ascii="Calibri" w:eastAsia="Calibri" w:hAnsi="Calibri" w:cs="Calibri"/>
                <w:bCs/>
                <w:sz w:val="22"/>
                <w:szCs w:val="22"/>
              </w:rPr>
            </w:pPr>
          </w:p>
        </w:tc>
        <w:tc>
          <w:tcPr>
            <w:tcW w:w="352" w:type="dxa"/>
            <w:tcBorders>
              <w:left w:val="nil"/>
            </w:tcBorders>
          </w:tcPr>
          <w:p w14:paraId="2B43BC51" w14:textId="77777777" w:rsidR="00F414C6" w:rsidRPr="00F414C6" w:rsidRDefault="00F414C6" w:rsidP="00F414C6">
            <w:pPr>
              <w:spacing w:after="160" w:line="259" w:lineRule="auto"/>
              <w:ind w:left="310"/>
              <w:contextualSpacing/>
              <w:rPr>
                <w:rFonts w:ascii="Calibri" w:eastAsia="Calibri" w:hAnsi="Calibri" w:cs="Calibri"/>
                <w:bCs/>
                <w:sz w:val="22"/>
                <w:szCs w:val="22"/>
              </w:rPr>
            </w:pPr>
          </w:p>
        </w:tc>
        <w:tc>
          <w:tcPr>
            <w:tcW w:w="2287" w:type="dxa"/>
            <w:shd w:val="clear" w:color="auto" w:fill="auto"/>
          </w:tcPr>
          <w:p w14:paraId="609C369B" w14:textId="77777777" w:rsidR="00F414C6" w:rsidRPr="00F414C6" w:rsidRDefault="00F414C6" w:rsidP="00F414C6">
            <w:pPr>
              <w:spacing w:after="160" w:line="259" w:lineRule="auto"/>
              <w:ind w:right="31"/>
              <w:rPr>
                <w:rFonts w:ascii="Calibri" w:eastAsia="Calibri" w:hAnsi="Calibri" w:cs="Calibri"/>
                <w:bCs/>
                <w:sz w:val="22"/>
                <w:szCs w:val="22"/>
              </w:rPr>
            </w:pPr>
          </w:p>
        </w:tc>
        <w:tc>
          <w:tcPr>
            <w:tcW w:w="352" w:type="dxa"/>
          </w:tcPr>
          <w:p w14:paraId="63E7C793" w14:textId="77777777" w:rsidR="00F414C6" w:rsidRPr="00F414C6" w:rsidRDefault="00F414C6" w:rsidP="00F414C6">
            <w:pPr>
              <w:spacing w:after="160" w:line="259" w:lineRule="auto"/>
              <w:ind w:left="310"/>
              <w:contextualSpacing/>
              <w:rPr>
                <w:rFonts w:ascii="Calibri" w:eastAsia="Calibri" w:hAnsi="Calibri" w:cs="Calibri"/>
                <w:bCs/>
                <w:sz w:val="22"/>
                <w:szCs w:val="22"/>
              </w:rPr>
            </w:pPr>
          </w:p>
        </w:tc>
        <w:tc>
          <w:tcPr>
            <w:tcW w:w="2464" w:type="dxa"/>
            <w:shd w:val="clear" w:color="auto" w:fill="auto"/>
          </w:tcPr>
          <w:p w14:paraId="4DE0487D" w14:textId="77777777" w:rsidR="00F414C6" w:rsidRPr="00F414C6" w:rsidRDefault="00F414C6" w:rsidP="00F414C6">
            <w:pPr>
              <w:spacing w:after="160" w:line="259" w:lineRule="auto"/>
              <w:ind w:right="170"/>
              <w:rPr>
                <w:rFonts w:ascii="Calibri" w:eastAsia="Calibri" w:hAnsi="Calibri" w:cs="Calibri"/>
                <w:bCs/>
                <w:sz w:val="22"/>
                <w:szCs w:val="22"/>
              </w:rPr>
            </w:pPr>
          </w:p>
        </w:tc>
        <w:tc>
          <w:tcPr>
            <w:tcW w:w="352" w:type="dxa"/>
          </w:tcPr>
          <w:p w14:paraId="3049C771" w14:textId="77777777" w:rsidR="00F414C6" w:rsidRPr="00F414C6" w:rsidRDefault="00F414C6" w:rsidP="00F414C6">
            <w:pPr>
              <w:spacing w:after="160" w:line="259" w:lineRule="auto"/>
              <w:ind w:left="310"/>
              <w:contextualSpacing/>
              <w:rPr>
                <w:rFonts w:ascii="Calibri" w:eastAsia="Calibri" w:hAnsi="Calibri" w:cs="Calibri"/>
                <w:bCs/>
                <w:sz w:val="22"/>
                <w:szCs w:val="22"/>
              </w:rPr>
            </w:pPr>
          </w:p>
        </w:tc>
        <w:tc>
          <w:tcPr>
            <w:tcW w:w="2470" w:type="dxa"/>
            <w:shd w:val="clear" w:color="auto" w:fill="auto"/>
          </w:tcPr>
          <w:p w14:paraId="19750056" w14:textId="77777777" w:rsidR="00F414C6" w:rsidRPr="00F414C6" w:rsidRDefault="00F414C6" w:rsidP="00F414C6">
            <w:pPr>
              <w:spacing w:after="160" w:line="259" w:lineRule="auto"/>
              <w:ind w:right="174"/>
              <w:rPr>
                <w:rFonts w:ascii="Calibri" w:eastAsia="Calibri" w:hAnsi="Calibri" w:cs="Calibri"/>
                <w:bCs/>
                <w:sz w:val="22"/>
                <w:szCs w:val="22"/>
              </w:rPr>
            </w:pPr>
          </w:p>
        </w:tc>
      </w:tr>
      <w:tr w:rsidR="00F414C6" w:rsidRPr="00F414C6" w14:paraId="28EBCF60" w14:textId="77777777" w:rsidTr="00BB7150">
        <w:trPr>
          <w:trHeight w:val="3526"/>
        </w:trPr>
        <w:tc>
          <w:tcPr>
            <w:tcW w:w="2281" w:type="dxa"/>
            <w:shd w:val="clear" w:color="auto" w:fill="ECE9FB"/>
          </w:tcPr>
          <w:p w14:paraId="1FC2896E" w14:textId="77777777" w:rsidR="00F414C6" w:rsidRPr="00F414C6" w:rsidRDefault="00F414C6" w:rsidP="00543333">
            <w:pPr>
              <w:numPr>
                <w:ilvl w:val="0"/>
                <w:numId w:val="3"/>
              </w:numPr>
              <w:spacing w:after="200" w:line="259" w:lineRule="auto"/>
              <w:ind w:left="179" w:right="27" w:hanging="179"/>
              <w:contextualSpacing/>
              <w:rPr>
                <w:rFonts w:ascii="Calibri" w:eastAsia="Calibri" w:hAnsi="Calibri" w:cs="Calibri"/>
                <w:bCs/>
                <w:sz w:val="22"/>
                <w:szCs w:val="22"/>
              </w:rPr>
            </w:pPr>
            <w:r w:rsidRPr="00F414C6">
              <w:rPr>
                <w:rFonts w:ascii="Calibri" w:eastAsia="Calibri" w:hAnsi="Calibri" w:cs="Calibri"/>
                <w:bCs/>
                <w:sz w:val="22"/>
                <w:szCs w:val="22"/>
              </w:rPr>
              <w:t>Enquiry line</w:t>
            </w:r>
          </w:p>
          <w:p w14:paraId="051EFA23" w14:textId="77777777" w:rsidR="00F414C6" w:rsidRPr="00F414C6" w:rsidRDefault="00F414C6" w:rsidP="00543333">
            <w:pPr>
              <w:numPr>
                <w:ilvl w:val="0"/>
                <w:numId w:val="3"/>
              </w:numPr>
              <w:spacing w:after="200" w:line="259" w:lineRule="auto"/>
              <w:ind w:left="179" w:right="27" w:hanging="179"/>
              <w:contextualSpacing/>
              <w:rPr>
                <w:rFonts w:ascii="Calibri" w:eastAsia="Calibri" w:hAnsi="Calibri" w:cs="Calibri"/>
                <w:bCs/>
                <w:sz w:val="22"/>
                <w:szCs w:val="22"/>
              </w:rPr>
            </w:pPr>
            <w:r w:rsidRPr="00F414C6">
              <w:rPr>
                <w:rFonts w:ascii="Calibri" w:eastAsia="Calibri" w:hAnsi="Calibri" w:cs="Calibri"/>
                <w:bCs/>
                <w:sz w:val="22"/>
                <w:szCs w:val="22"/>
              </w:rPr>
              <w:t>Liaise with Home Affairs</w:t>
            </w:r>
          </w:p>
          <w:p w14:paraId="106EB489" w14:textId="77777777" w:rsidR="00F414C6" w:rsidRPr="00F414C6" w:rsidRDefault="00F414C6" w:rsidP="00543333">
            <w:pPr>
              <w:numPr>
                <w:ilvl w:val="0"/>
                <w:numId w:val="3"/>
              </w:numPr>
              <w:spacing w:after="200" w:line="259" w:lineRule="auto"/>
              <w:ind w:left="179" w:right="27" w:hanging="179"/>
              <w:contextualSpacing/>
              <w:rPr>
                <w:rFonts w:ascii="Calibri" w:eastAsia="Calibri" w:hAnsi="Calibri" w:cs="Calibri"/>
                <w:bCs/>
                <w:sz w:val="22"/>
                <w:szCs w:val="22"/>
              </w:rPr>
            </w:pPr>
            <w:r w:rsidRPr="00F414C6">
              <w:rPr>
                <w:rFonts w:ascii="Calibri" w:eastAsia="Calibri" w:hAnsi="Calibri" w:cs="Calibri"/>
                <w:bCs/>
                <w:sz w:val="22"/>
                <w:szCs w:val="22"/>
              </w:rPr>
              <w:t>RTO Contract management</w:t>
            </w:r>
          </w:p>
          <w:p w14:paraId="02109881" w14:textId="77777777" w:rsidR="00F414C6" w:rsidRPr="00F414C6" w:rsidRDefault="00F414C6" w:rsidP="00543333">
            <w:pPr>
              <w:numPr>
                <w:ilvl w:val="0"/>
                <w:numId w:val="3"/>
              </w:numPr>
              <w:spacing w:after="200" w:line="259" w:lineRule="auto"/>
              <w:ind w:left="179" w:right="27" w:hanging="179"/>
              <w:contextualSpacing/>
              <w:rPr>
                <w:rFonts w:ascii="Calibri" w:eastAsia="Calibri" w:hAnsi="Calibri" w:cs="Calibri"/>
                <w:bCs/>
                <w:sz w:val="22"/>
                <w:szCs w:val="22"/>
              </w:rPr>
            </w:pPr>
            <w:r w:rsidRPr="00F414C6">
              <w:rPr>
                <w:rFonts w:ascii="Calibri" w:eastAsia="Calibri" w:hAnsi="Calibri" w:cs="Calibri"/>
                <w:bCs/>
                <w:sz w:val="22"/>
                <w:szCs w:val="22"/>
              </w:rPr>
              <w:t>Liaise with RTOs</w:t>
            </w:r>
          </w:p>
          <w:p w14:paraId="51B75132" w14:textId="77777777" w:rsidR="00F414C6" w:rsidRPr="00F414C6" w:rsidRDefault="00F414C6" w:rsidP="00543333">
            <w:pPr>
              <w:numPr>
                <w:ilvl w:val="0"/>
                <w:numId w:val="3"/>
              </w:numPr>
              <w:spacing w:after="200" w:line="259" w:lineRule="auto"/>
              <w:ind w:left="179" w:right="27" w:hanging="179"/>
              <w:contextualSpacing/>
              <w:rPr>
                <w:rFonts w:ascii="Calibri" w:eastAsia="Calibri" w:hAnsi="Calibri" w:cs="Calibri"/>
                <w:bCs/>
                <w:sz w:val="22"/>
                <w:szCs w:val="22"/>
              </w:rPr>
            </w:pPr>
            <w:r w:rsidRPr="00F414C6">
              <w:rPr>
                <w:rFonts w:ascii="Calibri" w:eastAsia="Calibri" w:hAnsi="Calibri" w:cs="Calibri"/>
                <w:bCs/>
                <w:sz w:val="22"/>
                <w:szCs w:val="22"/>
              </w:rPr>
              <w:t>Preparation of fortnightly report to Home Affairs</w:t>
            </w:r>
          </w:p>
          <w:p w14:paraId="00B2DE2F" w14:textId="77777777" w:rsidR="00F414C6" w:rsidRPr="00F414C6" w:rsidRDefault="00F414C6" w:rsidP="00543333">
            <w:pPr>
              <w:numPr>
                <w:ilvl w:val="0"/>
                <w:numId w:val="3"/>
              </w:numPr>
              <w:spacing w:after="200" w:line="259" w:lineRule="auto"/>
              <w:ind w:left="179" w:right="27" w:hanging="179"/>
              <w:contextualSpacing/>
              <w:rPr>
                <w:rFonts w:ascii="Calibri" w:eastAsia="Calibri" w:hAnsi="Calibri" w:cs="Calibri"/>
                <w:bCs/>
                <w:sz w:val="22"/>
                <w:szCs w:val="22"/>
              </w:rPr>
            </w:pPr>
            <w:r w:rsidRPr="00F414C6">
              <w:rPr>
                <w:rFonts w:ascii="Calibri" w:eastAsia="Calibri" w:hAnsi="Calibri" w:cs="Calibri"/>
                <w:bCs/>
                <w:sz w:val="22"/>
                <w:szCs w:val="22"/>
              </w:rPr>
              <w:t>Finance</w:t>
            </w:r>
          </w:p>
          <w:p w14:paraId="69027495" w14:textId="77777777" w:rsidR="00F414C6" w:rsidRPr="00F414C6" w:rsidRDefault="00F414C6" w:rsidP="00543333">
            <w:pPr>
              <w:numPr>
                <w:ilvl w:val="0"/>
                <w:numId w:val="3"/>
              </w:numPr>
              <w:spacing w:after="200" w:line="259" w:lineRule="auto"/>
              <w:ind w:left="179" w:right="27" w:hanging="179"/>
              <w:contextualSpacing/>
              <w:rPr>
                <w:rFonts w:ascii="Calibri" w:eastAsia="Calibri" w:hAnsi="Calibri" w:cs="Calibri"/>
                <w:bCs/>
                <w:sz w:val="22"/>
                <w:szCs w:val="22"/>
              </w:rPr>
            </w:pPr>
            <w:r w:rsidRPr="00F414C6">
              <w:rPr>
                <w:rFonts w:ascii="Calibri" w:eastAsia="Calibri" w:hAnsi="Calibri" w:cs="Calibri"/>
                <w:bCs/>
                <w:sz w:val="22"/>
                <w:szCs w:val="22"/>
              </w:rPr>
              <w:t>Internal Reporting</w:t>
            </w:r>
          </w:p>
        </w:tc>
        <w:tc>
          <w:tcPr>
            <w:tcW w:w="352" w:type="dxa"/>
            <w:tcBorders>
              <w:left w:val="nil"/>
            </w:tcBorders>
          </w:tcPr>
          <w:p w14:paraId="1E3F6B39" w14:textId="77777777" w:rsidR="00F414C6" w:rsidRPr="00F414C6" w:rsidRDefault="00F414C6" w:rsidP="00F414C6">
            <w:pPr>
              <w:spacing w:after="200" w:line="259" w:lineRule="auto"/>
              <w:ind w:left="310"/>
              <w:contextualSpacing/>
              <w:rPr>
                <w:rFonts w:ascii="Calibri" w:eastAsia="Calibri" w:hAnsi="Calibri" w:cs="Calibri"/>
                <w:bCs/>
                <w:sz w:val="22"/>
                <w:szCs w:val="22"/>
              </w:rPr>
            </w:pPr>
          </w:p>
        </w:tc>
        <w:tc>
          <w:tcPr>
            <w:tcW w:w="2287" w:type="dxa"/>
            <w:shd w:val="clear" w:color="auto" w:fill="ECE9FB"/>
          </w:tcPr>
          <w:p w14:paraId="020128A7" w14:textId="77777777" w:rsidR="00F414C6" w:rsidRPr="00F414C6" w:rsidRDefault="00F414C6" w:rsidP="00543333">
            <w:pPr>
              <w:numPr>
                <w:ilvl w:val="0"/>
                <w:numId w:val="3"/>
              </w:numPr>
              <w:spacing w:after="200" w:line="259" w:lineRule="auto"/>
              <w:ind w:left="179" w:right="31" w:hanging="179"/>
              <w:contextualSpacing/>
              <w:rPr>
                <w:rFonts w:ascii="Calibri" w:eastAsia="Calibri" w:hAnsi="Calibri" w:cs="Calibri"/>
                <w:bCs/>
                <w:sz w:val="22"/>
                <w:szCs w:val="22"/>
              </w:rPr>
            </w:pPr>
            <w:r w:rsidRPr="00F414C6">
              <w:rPr>
                <w:rFonts w:ascii="Calibri" w:eastAsia="Calibri" w:hAnsi="Calibri" w:cs="Calibri"/>
                <w:bCs/>
                <w:sz w:val="22"/>
                <w:szCs w:val="22"/>
              </w:rPr>
              <w:t>Web publishing</w:t>
            </w:r>
          </w:p>
          <w:p w14:paraId="018131F7" w14:textId="77777777" w:rsidR="00F414C6" w:rsidRPr="00F414C6" w:rsidRDefault="00F414C6" w:rsidP="00543333">
            <w:pPr>
              <w:numPr>
                <w:ilvl w:val="0"/>
                <w:numId w:val="3"/>
              </w:numPr>
              <w:spacing w:after="200" w:line="276" w:lineRule="auto"/>
              <w:ind w:left="179" w:right="31" w:hanging="179"/>
              <w:contextualSpacing/>
              <w:rPr>
                <w:rFonts w:ascii="Calibri" w:eastAsia="Calibri" w:hAnsi="Calibri" w:cs="Calibri"/>
                <w:bCs/>
                <w:sz w:val="22"/>
                <w:szCs w:val="22"/>
              </w:rPr>
            </w:pPr>
            <w:r w:rsidRPr="00F414C6">
              <w:rPr>
                <w:rFonts w:ascii="Calibri" w:eastAsia="Calibri" w:hAnsi="Calibri" w:cs="Calibri"/>
                <w:bCs/>
                <w:sz w:val="22"/>
                <w:szCs w:val="22"/>
              </w:rPr>
              <w:t>IT System maintenance</w:t>
            </w:r>
          </w:p>
          <w:p w14:paraId="5466730D" w14:textId="77777777" w:rsidR="00F414C6" w:rsidRPr="00F414C6" w:rsidRDefault="00F414C6" w:rsidP="00543333">
            <w:pPr>
              <w:numPr>
                <w:ilvl w:val="0"/>
                <w:numId w:val="3"/>
              </w:numPr>
              <w:spacing w:after="200" w:line="276" w:lineRule="auto"/>
              <w:ind w:left="179" w:right="31" w:hanging="179"/>
              <w:contextualSpacing/>
              <w:rPr>
                <w:rFonts w:ascii="Calibri" w:eastAsia="Calibri" w:hAnsi="Calibri" w:cs="Calibri"/>
                <w:bCs/>
                <w:sz w:val="22"/>
                <w:szCs w:val="22"/>
              </w:rPr>
            </w:pPr>
            <w:r w:rsidRPr="00F414C6">
              <w:rPr>
                <w:rFonts w:ascii="Calibri" w:eastAsia="Calibri" w:hAnsi="Calibri" w:cs="Calibri"/>
                <w:bCs/>
                <w:sz w:val="22"/>
                <w:szCs w:val="22"/>
              </w:rPr>
              <w:t>Password resets</w:t>
            </w:r>
          </w:p>
          <w:p w14:paraId="79588B89" w14:textId="77777777" w:rsidR="00F414C6" w:rsidRPr="00F414C6" w:rsidRDefault="00F414C6" w:rsidP="00F414C6">
            <w:pPr>
              <w:spacing w:after="200" w:line="259" w:lineRule="auto"/>
              <w:ind w:left="310" w:right="31"/>
              <w:contextualSpacing/>
              <w:rPr>
                <w:rFonts w:ascii="Calibri" w:eastAsia="Calibri" w:hAnsi="Calibri" w:cs="Calibri"/>
                <w:bCs/>
                <w:sz w:val="22"/>
                <w:szCs w:val="22"/>
              </w:rPr>
            </w:pPr>
          </w:p>
        </w:tc>
        <w:tc>
          <w:tcPr>
            <w:tcW w:w="352" w:type="dxa"/>
          </w:tcPr>
          <w:p w14:paraId="54EE015A" w14:textId="77777777" w:rsidR="00F414C6" w:rsidRPr="00F414C6" w:rsidRDefault="00F414C6" w:rsidP="00F414C6">
            <w:pPr>
              <w:spacing w:after="200" w:line="259" w:lineRule="auto"/>
              <w:ind w:left="310"/>
              <w:contextualSpacing/>
              <w:rPr>
                <w:rFonts w:ascii="Calibri" w:eastAsia="Calibri" w:hAnsi="Calibri" w:cs="Calibri"/>
                <w:bCs/>
                <w:sz w:val="22"/>
                <w:szCs w:val="22"/>
              </w:rPr>
            </w:pPr>
          </w:p>
        </w:tc>
        <w:tc>
          <w:tcPr>
            <w:tcW w:w="2464" w:type="dxa"/>
            <w:shd w:val="clear" w:color="auto" w:fill="ECE9FB"/>
          </w:tcPr>
          <w:p w14:paraId="49B6B9D4" w14:textId="77777777" w:rsidR="00F414C6" w:rsidRPr="00F414C6" w:rsidRDefault="00F414C6" w:rsidP="00543333">
            <w:pPr>
              <w:numPr>
                <w:ilvl w:val="0"/>
                <w:numId w:val="3"/>
              </w:numPr>
              <w:spacing w:after="200" w:line="259" w:lineRule="auto"/>
              <w:ind w:left="179" w:right="170" w:hanging="179"/>
              <w:contextualSpacing/>
              <w:rPr>
                <w:rFonts w:ascii="Calibri" w:eastAsia="Calibri" w:hAnsi="Calibri" w:cs="Calibri"/>
                <w:bCs/>
                <w:sz w:val="22"/>
                <w:szCs w:val="22"/>
              </w:rPr>
            </w:pPr>
            <w:r w:rsidRPr="00F414C6">
              <w:rPr>
                <w:rFonts w:ascii="Calibri" w:eastAsia="Calibri" w:hAnsi="Calibri" w:cs="Calibri"/>
                <w:bCs/>
                <w:sz w:val="22"/>
                <w:szCs w:val="22"/>
              </w:rPr>
              <w:t>Quality assurance</w:t>
            </w:r>
          </w:p>
          <w:p w14:paraId="0203D595" w14:textId="77777777" w:rsidR="00F414C6" w:rsidRPr="00F414C6" w:rsidRDefault="00F414C6" w:rsidP="00543333">
            <w:pPr>
              <w:numPr>
                <w:ilvl w:val="0"/>
                <w:numId w:val="3"/>
              </w:numPr>
              <w:spacing w:after="200" w:line="259" w:lineRule="auto"/>
              <w:ind w:left="179" w:right="170" w:hanging="179"/>
              <w:contextualSpacing/>
              <w:rPr>
                <w:rFonts w:ascii="Calibri" w:eastAsia="Calibri" w:hAnsi="Calibri" w:cs="Calibri"/>
                <w:bCs/>
                <w:sz w:val="22"/>
                <w:szCs w:val="22"/>
              </w:rPr>
            </w:pPr>
            <w:r w:rsidRPr="00F414C6">
              <w:rPr>
                <w:rFonts w:ascii="Calibri" w:eastAsia="Calibri" w:hAnsi="Calibri" w:cs="Calibri"/>
                <w:bCs/>
                <w:sz w:val="22"/>
                <w:szCs w:val="22"/>
              </w:rPr>
              <w:t>Fraud and Integrity</w:t>
            </w:r>
          </w:p>
          <w:p w14:paraId="68256741" w14:textId="77777777" w:rsidR="00F414C6" w:rsidRPr="00F414C6" w:rsidRDefault="00F414C6" w:rsidP="00543333">
            <w:pPr>
              <w:numPr>
                <w:ilvl w:val="0"/>
                <w:numId w:val="3"/>
              </w:numPr>
              <w:spacing w:after="200" w:line="259" w:lineRule="auto"/>
              <w:ind w:left="179" w:right="170" w:hanging="179"/>
              <w:contextualSpacing/>
              <w:rPr>
                <w:rFonts w:ascii="Calibri" w:eastAsia="Calibri" w:hAnsi="Calibri" w:cs="Calibri"/>
                <w:bCs/>
                <w:sz w:val="22"/>
                <w:szCs w:val="22"/>
              </w:rPr>
            </w:pPr>
            <w:r w:rsidRPr="00F414C6">
              <w:rPr>
                <w:rFonts w:ascii="Calibri" w:eastAsia="Calibri" w:hAnsi="Calibri" w:cs="Calibri"/>
                <w:bCs/>
                <w:sz w:val="22"/>
                <w:szCs w:val="22"/>
              </w:rPr>
              <w:t>Risk management</w:t>
            </w:r>
          </w:p>
          <w:p w14:paraId="7DF7164F" w14:textId="77777777" w:rsidR="00F414C6" w:rsidRPr="00F414C6" w:rsidRDefault="00F414C6" w:rsidP="00543333">
            <w:pPr>
              <w:numPr>
                <w:ilvl w:val="0"/>
                <w:numId w:val="3"/>
              </w:numPr>
              <w:spacing w:after="200" w:line="276" w:lineRule="auto"/>
              <w:ind w:left="179" w:right="170" w:hanging="179"/>
              <w:contextualSpacing/>
              <w:rPr>
                <w:rFonts w:ascii="Calibri" w:eastAsia="Calibri" w:hAnsi="Calibri" w:cs="Calibri"/>
                <w:bCs/>
                <w:sz w:val="22"/>
                <w:szCs w:val="22"/>
              </w:rPr>
            </w:pPr>
            <w:r w:rsidRPr="00F414C6">
              <w:rPr>
                <w:rFonts w:ascii="Calibri" w:eastAsia="Calibri" w:hAnsi="Calibri" w:cs="Calibri"/>
                <w:bCs/>
                <w:sz w:val="22"/>
                <w:szCs w:val="22"/>
              </w:rPr>
              <w:t>RTO Compliance</w:t>
            </w:r>
          </w:p>
        </w:tc>
        <w:tc>
          <w:tcPr>
            <w:tcW w:w="352" w:type="dxa"/>
          </w:tcPr>
          <w:p w14:paraId="0B1FC28C" w14:textId="77777777" w:rsidR="00F414C6" w:rsidRPr="00F414C6" w:rsidRDefault="00F414C6" w:rsidP="00F414C6">
            <w:pPr>
              <w:spacing w:after="200" w:line="259" w:lineRule="auto"/>
              <w:ind w:left="310"/>
              <w:contextualSpacing/>
              <w:rPr>
                <w:rFonts w:ascii="Calibri" w:eastAsia="Calibri" w:hAnsi="Calibri" w:cs="Calibri"/>
                <w:bCs/>
                <w:sz w:val="22"/>
                <w:szCs w:val="22"/>
              </w:rPr>
            </w:pPr>
          </w:p>
        </w:tc>
        <w:tc>
          <w:tcPr>
            <w:tcW w:w="2470" w:type="dxa"/>
            <w:shd w:val="clear" w:color="auto" w:fill="ECE9FB"/>
          </w:tcPr>
          <w:p w14:paraId="5C77336C" w14:textId="77777777" w:rsidR="00F414C6" w:rsidRPr="00F414C6" w:rsidRDefault="00F414C6" w:rsidP="00543333">
            <w:pPr>
              <w:numPr>
                <w:ilvl w:val="0"/>
                <w:numId w:val="3"/>
              </w:numPr>
              <w:spacing w:after="200" w:line="259" w:lineRule="auto"/>
              <w:ind w:left="179" w:right="174" w:hanging="179"/>
              <w:contextualSpacing/>
              <w:rPr>
                <w:rFonts w:ascii="Calibri" w:eastAsia="Calibri" w:hAnsi="Calibri" w:cs="Calibri"/>
                <w:bCs/>
                <w:sz w:val="22"/>
                <w:szCs w:val="22"/>
              </w:rPr>
            </w:pPr>
            <w:r w:rsidRPr="00F414C6">
              <w:rPr>
                <w:rFonts w:ascii="Calibri" w:eastAsia="Calibri" w:hAnsi="Calibri" w:cs="Calibri"/>
                <w:bCs/>
                <w:sz w:val="22"/>
                <w:szCs w:val="22"/>
              </w:rPr>
              <w:t>Updates to program guidelines/web pages</w:t>
            </w:r>
          </w:p>
          <w:p w14:paraId="63FCA9C6" w14:textId="3A8CA54F" w:rsidR="00F414C6" w:rsidRPr="00F414C6" w:rsidRDefault="00F414C6" w:rsidP="00543333">
            <w:pPr>
              <w:numPr>
                <w:ilvl w:val="0"/>
                <w:numId w:val="3"/>
              </w:numPr>
              <w:spacing w:after="200" w:line="259" w:lineRule="auto"/>
              <w:ind w:left="179" w:right="174" w:hanging="179"/>
              <w:contextualSpacing/>
              <w:rPr>
                <w:rFonts w:ascii="Calibri" w:eastAsia="Calibri" w:hAnsi="Calibri" w:cs="Calibri"/>
                <w:bCs/>
                <w:sz w:val="22"/>
                <w:szCs w:val="22"/>
              </w:rPr>
            </w:pPr>
            <w:r w:rsidRPr="00F414C6">
              <w:rPr>
                <w:rFonts w:ascii="Calibri" w:eastAsia="Calibri" w:hAnsi="Calibri" w:cs="Calibri"/>
                <w:bCs/>
                <w:sz w:val="22"/>
                <w:szCs w:val="22"/>
              </w:rPr>
              <w:t>Co</w:t>
            </w:r>
            <w:r w:rsidR="00543333">
              <w:rPr>
                <w:rFonts w:ascii="Calibri" w:eastAsia="Calibri" w:hAnsi="Calibri" w:cs="Calibri"/>
                <w:bCs/>
                <w:sz w:val="22"/>
                <w:szCs w:val="22"/>
              </w:rPr>
              <w:t>ordination</w:t>
            </w:r>
            <w:r w:rsidRPr="00F414C6">
              <w:rPr>
                <w:rFonts w:ascii="Calibri" w:eastAsia="Calibri" w:hAnsi="Calibri" w:cs="Calibri"/>
                <w:bCs/>
                <w:sz w:val="22"/>
                <w:szCs w:val="22"/>
              </w:rPr>
              <w:t xml:space="preserve"> requests</w:t>
            </w:r>
          </w:p>
          <w:p w14:paraId="6F09EE36" w14:textId="77777777" w:rsidR="00F414C6" w:rsidRPr="00F414C6" w:rsidRDefault="00F414C6" w:rsidP="00543333">
            <w:pPr>
              <w:numPr>
                <w:ilvl w:val="0"/>
                <w:numId w:val="3"/>
              </w:numPr>
              <w:spacing w:after="200" w:line="259" w:lineRule="auto"/>
              <w:ind w:left="179" w:right="174" w:hanging="179"/>
              <w:contextualSpacing/>
              <w:rPr>
                <w:rFonts w:ascii="Calibri" w:eastAsia="Calibri" w:hAnsi="Calibri" w:cs="Calibri"/>
                <w:bCs/>
                <w:sz w:val="22"/>
                <w:szCs w:val="22"/>
              </w:rPr>
            </w:pPr>
            <w:r w:rsidRPr="00F414C6">
              <w:rPr>
                <w:rFonts w:ascii="Calibri" w:eastAsia="Calibri" w:hAnsi="Calibri" w:cs="Calibri"/>
                <w:bCs/>
                <w:sz w:val="22"/>
                <w:szCs w:val="22"/>
              </w:rPr>
              <w:t>Policy changes</w:t>
            </w:r>
          </w:p>
          <w:p w14:paraId="6B049349" w14:textId="77777777" w:rsidR="00F414C6" w:rsidRPr="00F414C6" w:rsidRDefault="00F414C6" w:rsidP="00543333">
            <w:pPr>
              <w:numPr>
                <w:ilvl w:val="0"/>
                <w:numId w:val="3"/>
              </w:numPr>
              <w:spacing w:after="200" w:line="259" w:lineRule="auto"/>
              <w:ind w:left="179" w:right="174" w:hanging="179"/>
              <w:contextualSpacing/>
              <w:rPr>
                <w:rFonts w:ascii="Calibri" w:eastAsia="Calibri" w:hAnsi="Calibri" w:cs="Calibri"/>
                <w:bCs/>
                <w:sz w:val="22"/>
                <w:szCs w:val="22"/>
              </w:rPr>
            </w:pPr>
            <w:r w:rsidRPr="00F414C6">
              <w:rPr>
                <w:rFonts w:ascii="Calibri" w:eastAsia="Calibri" w:hAnsi="Calibri" w:cs="Calibri"/>
                <w:bCs/>
                <w:sz w:val="22"/>
                <w:szCs w:val="22"/>
              </w:rPr>
              <w:t>Legal matters</w:t>
            </w:r>
          </w:p>
          <w:p w14:paraId="14DE22DA" w14:textId="77777777" w:rsidR="00F414C6" w:rsidRPr="00F414C6" w:rsidRDefault="00F414C6" w:rsidP="00CB0E22">
            <w:pPr>
              <w:spacing w:after="200" w:line="259" w:lineRule="auto"/>
              <w:ind w:right="174"/>
              <w:contextualSpacing/>
              <w:rPr>
                <w:rFonts w:ascii="Calibri" w:eastAsia="Calibri" w:hAnsi="Calibri" w:cs="Calibri"/>
                <w:bCs/>
                <w:sz w:val="22"/>
                <w:szCs w:val="22"/>
              </w:rPr>
            </w:pPr>
          </w:p>
        </w:tc>
      </w:tr>
    </w:tbl>
    <w:p w14:paraId="1299B4BC" w14:textId="2FA05708" w:rsidR="00C839BA" w:rsidRPr="00CB0E22" w:rsidRDefault="00C839BA" w:rsidP="00D53F6E">
      <w:pPr>
        <w:rPr>
          <w:rFonts w:asciiTheme="minorHAnsi" w:hAnsiTheme="minorHAnsi" w:cstheme="minorHAnsi"/>
          <w:b/>
          <w:sz w:val="22"/>
        </w:rPr>
      </w:pPr>
    </w:p>
    <w:p w14:paraId="2C5E5F59" w14:textId="115C86D9" w:rsidR="00FD0674" w:rsidRPr="00FF488E" w:rsidRDefault="00FD0674" w:rsidP="00684205">
      <w:pPr>
        <w:pStyle w:val="Heading2"/>
      </w:pPr>
      <w:r w:rsidRPr="00FF488E">
        <w:t>3.2</w:t>
      </w:r>
      <w:r w:rsidR="00FA7536">
        <w:tab/>
      </w:r>
      <w:r w:rsidR="00FA7536">
        <w:tab/>
      </w:r>
      <w:r w:rsidRPr="00FF488E">
        <w:t>Costs of the regulatory charging activity</w:t>
      </w:r>
    </w:p>
    <w:p w14:paraId="3B7C9414" w14:textId="55EF5E55" w:rsidR="000A20CD" w:rsidRPr="00F414C6" w:rsidRDefault="000A20CD" w:rsidP="00B61D25">
      <w:pPr>
        <w:pStyle w:val="CRISbodytext"/>
      </w:pPr>
      <w:r w:rsidRPr="00F414C6">
        <w:t xml:space="preserve">The </w:t>
      </w:r>
      <w:r w:rsidRPr="00BE2EA8">
        <w:rPr>
          <w:b/>
          <w:bCs/>
        </w:rPr>
        <w:t>cost driver</w:t>
      </w:r>
      <w:r w:rsidRPr="00F414C6">
        <w:t xml:space="preserve"> </w:t>
      </w:r>
      <w:r w:rsidR="0090058F" w:rsidRPr="00F414C6">
        <w:t xml:space="preserve">is the number of applications registered for </w:t>
      </w:r>
      <w:r w:rsidR="003C4D72" w:rsidRPr="00F414C6">
        <w:t xml:space="preserve">each step of </w:t>
      </w:r>
      <w:r w:rsidR="0090058F" w:rsidRPr="00F414C6">
        <w:t xml:space="preserve">the </w:t>
      </w:r>
      <w:r w:rsidR="003C4D72" w:rsidRPr="00F414C6">
        <w:t xml:space="preserve">JRP, </w:t>
      </w:r>
      <w:r w:rsidR="00AF1E19" w:rsidRPr="00F414C6">
        <w:t xml:space="preserve">MSA and MPA </w:t>
      </w:r>
      <w:r w:rsidR="003C4D72" w:rsidRPr="00F414C6">
        <w:t>pathways</w:t>
      </w:r>
      <w:r w:rsidRPr="00F414C6">
        <w:t xml:space="preserve">. </w:t>
      </w:r>
    </w:p>
    <w:p w14:paraId="35498654" w14:textId="4CD65922" w:rsidR="000A20CD" w:rsidRPr="00F414C6" w:rsidRDefault="000A20CD" w:rsidP="00520C6E">
      <w:pPr>
        <w:pStyle w:val="CRISbodytext"/>
        <w:spacing w:after="120"/>
      </w:pPr>
      <w:r w:rsidRPr="00F414C6">
        <w:t>The cost to conduct a skills assessment has been determined according to the following methodology:</w:t>
      </w:r>
    </w:p>
    <w:p w14:paraId="17FE4328" w14:textId="1708310E" w:rsidR="00CD7642" w:rsidRPr="00F414C6" w:rsidRDefault="00CD7642" w:rsidP="00B61D25">
      <w:pPr>
        <w:pStyle w:val="CRISdotpoint"/>
      </w:pPr>
      <w:r w:rsidRPr="00F414C6">
        <w:t xml:space="preserve">Identifying the </w:t>
      </w:r>
      <w:r w:rsidR="00E74EEB" w:rsidRPr="00F414C6">
        <w:t>business processes</w:t>
      </w:r>
      <w:r w:rsidRPr="00F414C6">
        <w:t xml:space="preserve"> that comprise a skills assessment for each applicant/participant</w:t>
      </w:r>
    </w:p>
    <w:p w14:paraId="10630EA1" w14:textId="77777777" w:rsidR="00CD7642" w:rsidRPr="00F414C6" w:rsidRDefault="00CD7642" w:rsidP="00B61D25">
      <w:pPr>
        <w:pStyle w:val="CRISdotpoint"/>
      </w:pPr>
      <w:r w:rsidRPr="00F414C6">
        <w:t>Estimating the effort (time) and skill level required to complete each activity</w:t>
      </w:r>
    </w:p>
    <w:p w14:paraId="4334F9B3" w14:textId="77777777" w:rsidR="00CD7642" w:rsidRPr="00F414C6" w:rsidRDefault="00CD7642" w:rsidP="00B61D25">
      <w:pPr>
        <w:pStyle w:val="CRISdotpoint"/>
      </w:pPr>
      <w:r w:rsidRPr="00F414C6">
        <w:t>Identifying whether these costs are direct, indirect or capital related</w:t>
      </w:r>
    </w:p>
    <w:p w14:paraId="625C1F3E" w14:textId="12DE0116" w:rsidR="00CD7642" w:rsidRPr="00F414C6" w:rsidRDefault="00CD7642" w:rsidP="00B61D25">
      <w:pPr>
        <w:pStyle w:val="CRISdotpoint"/>
      </w:pPr>
      <w:r w:rsidRPr="00F414C6">
        <w:t>Determining the annual cost of assessing each type of application</w:t>
      </w:r>
    </w:p>
    <w:p w14:paraId="032777DA" w14:textId="5F02B56B" w:rsidR="00CD7642" w:rsidRPr="00F414C6" w:rsidRDefault="00CD7642" w:rsidP="00B61D25">
      <w:pPr>
        <w:pStyle w:val="CRISdotpoint"/>
      </w:pPr>
      <w:r w:rsidRPr="00F414C6">
        <w:t>Multiplying the full cost of assessing each application by the demand gives the full cost price</w:t>
      </w:r>
    </w:p>
    <w:p w14:paraId="1C2D9002" w14:textId="59463E3D" w:rsidR="00CD7642" w:rsidRPr="00F414C6" w:rsidRDefault="00CD7642" w:rsidP="00B61D25">
      <w:pPr>
        <w:pStyle w:val="CRISdotpoint"/>
      </w:pPr>
      <w:r w:rsidRPr="00F414C6">
        <w:t>Determining the fee by averaging the total cost price for the business cycle and rounding this to the nearest</w:t>
      </w:r>
      <w:r w:rsidR="00BF4DFC">
        <w:t> </w:t>
      </w:r>
      <w:r w:rsidRPr="00F414C6">
        <w:t>$5.00.</w:t>
      </w:r>
    </w:p>
    <w:p w14:paraId="1CACCFDF" w14:textId="77777777" w:rsidR="00BE2EA8" w:rsidRDefault="00BE2EA8" w:rsidP="00FF488E">
      <w:pPr>
        <w:rPr>
          <w:rFonts w:asciiTheme="minorHAnsi" w:hAnsiTheme="minorHAnsi" w:cstheme="minorHAnsi"/>
          <w:sz w:val="22"/>
          <w:szCs w:val="22"/>
        </w:rPr>
      </w:pPr>
    </w:p>
    <w:p w14:paraId="2D466D2B" w14:textId="4BBD77F3" w:rsidR="00B3117E" w:rsidRDefault="00AC6D00" w:rsidP="00684205">
      <w:pPr>
        <w:pStyle w:val="CRISbodytext"/>
      </w:pPr>
      <w:r w:rsidRPr="00F414C6">
        <w:t xml:space="preserve">Table </w:t>
      </w:r>
      <w:r w:rsidR="00A86A25" w:rsidRPr="00F414C6">
        <w:t>1</w:t>
      </w:r>
      <w:r w:rsidRPr="00F414C6">
        <w:t xml:space="preserve"> </w:t>
      </w:r>
      <w:r w:rsidR="00F52921">
        <w:t xml:space="preserve">below </w:t>
      </w:r>
      <w:r w:rsidR="00A86A25" w:rsidRPr="00F414C6">
        <w:t xml:space="preserve">states the costs of regulatory activities for TRA and </w:t>
      </w:r>
      <w:r w:rsidRPr="00F414C6">
        <w:t xml:space="preserve">have </w:t>
      </w:r>
      <w:r w:rsidR="000E64BA" w:rsidRPr="00F414C6">
        <w:t xml:space="preserve">been derived </w:t>
      </w:r>
      <w:r w:rsidR="000A20CD" w:rsidRPr="00F414C6">
        <w:t xml:space="preserve">using the costs incurred by TRA to deliver the </w:t>
      </w:r>
      <w:r w:rsidRPr="00F414C6">
        <w:t>JRP</w:t>
      </w:r>
      <w:r w:rsidR="00503A2F" w:rsidRPr="00F414C6">
        <w:t>,</w:t>
      </w:r>
      <w:r w:rsidRPr="00F414C6">
        <w:t xml:space="preserve"> </w:t>
      </w:r>
      <w:r w:rsidR="000E64BA" w:rsidRPr="00F414C6">
        <w:t>MSA and MPA</w:t>
      </w:r>
      <w:r w:rsidRPr="00F414C6">
        <w:t xml:space="preserve"> pathways</w:t>
      </w:r>
      <w:r w:rsidR="001A5972">
        <w:t>.</w:t>
      </w:r>
    </w:p>
    <w:p w14:paraId="2E580D13" w14:textId="180FB2AE" w:rsidR="000A20CD" w:rsidRDefault="000A20CD" w:rsidP="00CF133D">
      <w:pPr>
        <w:pStyle w:val="CRISbodytext"/>
        <w:keepNext/>
      </w:pPr>
      <w:r w:rsidRPr="00F414C6">
        <w:lastRenderedPageBreak/>
        <w:t xml:space="preserve">The costs incurred in the delivery of </w:t>
      </w:r>
      <w:r w:rsidR="007C28FE" w:rsidRPr="00F414C6">
        <w:t xml:space="preserve">TRA </w:t>
      </w:r>
      <w:r w:rsidRPr="00F414C6">
        <w:t>include:</w:t>
      </w:r>
    </w:p>
    <w:p w14:paraId="5904AC39" w14:textId="77BDBD86" w:rsidR="000A20CD" w:rsidRPr="00F414C6" w:rsidRDefault="000A20CD" w:rsidP="00B61D25">
      <w:pPr>
        <w:pStyle w:val="CRISdotpoint"/>
      </w:pPr>
      <w:r w:rsidRPr="00BE2EA8">
        <w:rPr>
          <w:b/>
          <w:bCs/>
        </w:rPr>
        <w:t>Direct</w:t>
      </w:r>
      <w:r w:rsidRPr="00F414C6">
        <w:t xml:space="preserve"> costs are </w:t>
      </w:r>
      <w:r w:rsidR="00CB26B4" w:rsidRPr="00F414C6">
        <w:t xml:space="preserve">expenses </w:t>
      </w:r>
      <w:r w:rsidRPr="00F414C6">
        <w:t xml:space="preserve">attributable to </w:t>
      </w:r>
      <w:r w:rsidR="00CB26B4" w:rsidRPr="00F414C6">
        <w:t xml:space="preserve">the effort involved in undertaking business processes directly linked to </w:t>
      </w:r>
      <w:r w:rsidR="00E2703F" w:rsidRPr="00F414C6">
        <w:t xml:space="preserve">each individual </w:t>
      </w:r>
      <w:r w:rsidR="00CB26B4" w:rsidRPr="00F414C6">
        <w:t xml:space="preserve">applicant’s </w:t>
      </w:r>
      <w:r w:rsidRPr="00F414C6">
        <w:t>TRA</w:t>
      </w:r>
      <w:r w:rsidR="007D13E9" w:rsidRPr="00F414C6">
        <w:t xml:space="preserve"> skills assessment</w:t>
      </w:r>
      <w:r w:rsidR="00E2703F" w:rsidRPr="00F414C6">
        <w:t xml:space="preserve"> including, </w:t>
      </w:r>
      <w:r w:rsidR="007C28FE" w:rsidRPr="00F414C6">
        <w:t xml:space="preserve">salaries </w:t>
      </w:r>
      <w:r w:rsidRPr="00F414C6">
        <w:t xml:space="preserve">and </w:t>
      </w:r>
      <w:r w:rsidR="00B32779" w:rsidRPr="00F414C6">
        <w:t>department</w:t>
      </w:r>
      <w:r w:rsidRPr="00F414C6">
        <w:t xml:space="preserve">al on costs - these have been calculated using the </w:t>
      </w:r>
      <w:r w:rsidR="00DF6D76">
        <w:t>D</w:t>
      </w:r>
      <w:r w:rsidR="00B32779" w:rsidRPr="00F414C6">
        <w:t>epartment</w:t>
      </w:r>
      <w:r w:rsidR="00697BB3" w:rsidRPr="00F414C6">
        <w:t>’s</w:t>
      </w:r>
      <w:r w:rsidR="00334322" w:rsidRPr="00F414C6">
        <w:t xml:space="preserve"> </w:t>
      </w:r>
      <w:r w:rsidR="00697BB3" w:rsidRPr="00F414C6">
        <w:t>c</w:t>
      </w:r>
      <w:r w:rsidRPr="00F414C6">
        <w:t xml:space="preserve">osting </w:t>
      </w:r>
      <w:r w:rsidR="00697BB3" w:rsidRPr="00F414C6">
        <w:t>template</w:t>
      </w:r>
    </w:p>
    <w:p w14:paraId="4E40372D" w14:textId="4830BBB8" w:rsidR="000A20CD" w:rsidRPr="00FF488E" w:rsidRDefault="000A20CD" w:rsidP="00B61D25">
      <w:pPr>
        <w:pStyle w:val="CRISdotpoint"/>
      </w:pPr>
      <w:r w:rsidRPr="00BE2EA8">
        <w:rPr>
          <w:b/>
          <w:bCs/>
        </w:rPr>
        <w:t>Indirect</w:t>
      </w:r>
      <w:r w:rsidRPr="00FF488E">
        <w:t xml:space="preserve"> costs are</w:t>
      </w:r>
      <w:r w:rsidR="004F2EE8" w:rsidRPr="00FF488E">
        <w:t xml:space="preserve"> </w:t>
      </w:r>
      <w:r w:rsidR="001D3E33" w:rsidRPr="00FF488E">
        <w:t xml:space="preserve">expenses </w:t>
      </w:r>
      <w:r w:rsidR="00E2703F" w:rsidRPr="00FF488E">
        <w:t>related to</w:t>
      </w:r>
      <w:r w:rsidR="001D3E33" w:rsidRPr="00FF488E">
        <w:t xml:space="preserve"> </w:t>
      </w:r>
      <w:r w:rsidR="004F2EE8" w:rsidRPr="00FF488E">
        <w:t xml:space="preserve">IT </w:t>
      </w:r>
      <w:r w:rsidR="00E2703F" w:rsidRPr="00FF488E">
        <w:t xml:space="preserve">support and </w:t>
      </w:r>
      <w:r w:rsidR="004F2EE8" w:rsidRPr="00FF488E">
        <w:t>mainten</w:t>
      </w:r>
      <w:r w:rsidR="001D3E33" w:rsidRPr="00FF488E">
        <w:t>ance and general program management and administration</w:t>
      </w:r>
      <w:r w:rsidR="00E2703F" w:rsidRPr="00FF488E">
        <w:t xml:space="preserve"> including contract management, responding to enquires, compliance and quality assurance processes</w:t>
      </w:r>
      <w:r w:rsidRPr="00FF488E">
        <w:t xml:space="preserve"> </w:t>
      </w:r>
    </w:p>
    <w:p w14:paraId="78A31FFD" w14:textId="2290FA11" w:rsidR="00BE2EA8" w:rsidRDefault="001D3E33" w:rsidP="00B61D25">
      <w:pPr>
        <w:pStyle w:val="CRISdotpoint"/>
      </w:pPr>
      <w:r w:rsidRPr="00BE2EA8">
        <w:rPr>
          <w:b/>
          <w:bCs/>
        </w:rPr>
        <w:t>Capital</w:t>
      </w:r>
      <w:r w:rsidR="00082B3C" w:rsidRPr="00FF488E">
        <w:t xml:space="preserve"> </w:t>
      </w:r>
      <w:r w:rsidR="005544F8">
        <w:t>related</w:t>
      </w:r>
      <w:r w:rsidR="002C0F21" w:rsidRPr="00FF488E">
        <w:t xml:space="preserve"> </w:t>
      </w:r>
      <w:r w:rsidR="002212A3">
        <w:t xml:space="preserve">costs </w:t>
      </w:r>
      <w:r w:rsidRPr="00FF488E">
        <w:t xml:space="preserve">have not been incurred through this program. </w:t>
      </w:r>
    </w:p>
    <w:p w14:paraId="02502CAD" w14:textId="77777777" w:rsidR="00BE2EA8" w:rsidRDefault="00BE2EA8" w:rsidP="00B61D25">
      <w:pPr>
        <w:pStyle w:val="CRISdotpoint"/>
        <w:numPr>
          <w:ilvl w:val="0"/>
          <w:numId w:val="0"/>
        </w:numPr>
        <w:ind w:left="720"/>
      </w:pPr>
    </w:p>
    <w:p w14:paraId="10918F98" w14:textId="2D99DA15" w:rsidR="003F3653" w:rsidRPr="00BE2EA8" w:rsidRDefault="000A20CD" w:rsidP="00B61D25">
      <w:pPr>
        <w:pStyle w:val="CRISbodytext"/>
      </w:pPr>
      <w:r w:rsidRPr="00BE2EA8">
        <w:t>Th</w:t>
      </w:r>
      <w:r w:rsidR="00382EE7" w:rsidRPr="00BE2EA8">
        <w:t>e</w:t>
      </w:r>
      <w:r w:rsidRPr="00BE2EA8">
        <w:t xml:space="preserve"> </w:t>
      </w:r>
      <w:r w:rsidR="00AC6D00" w:rsidRPr="00BE2EA8">
        <w:t xml:space="preserve">regulatory </w:t>
      </w:r>
      <w:r w:rsidRPr="00BE2EA8">
        <w:t>charging activit</w:t>
      </w:r>
      <w:r w:rsidR="002C0F21" w:rsidRPr="00BE2EA8">
        <w:t>ies</w:t>
      </w:r>
      <w:r w:rsidRPr="00BE2EA8">
        <w:t xml:space="preserve"> will be reviewed </w:t>
      </w:r>
      <w:r w:rsidR="000013CA" w:rsidRPr="00BE2EA8">
        <w:t xml:space="preserve">on </w:t>
      </w:r>
      <w:r w:rsidR="00C62FEA" w:rsidRPr="00BE2EA8">
        <w:t>a regular</w:t>
      </w:r>
      <w:r w:rsidR="000013CA" w:rsidRPr="00BE2EA8">
        <w:t xml:space="preserve"> basis</w:t>
      </w:r>
      <w:r w:rsidRPr="00BE2EA8">
        <w:t xml:space="preserve">. This is to ensure costs are adjusted to reflect any changes in the cost drivers and ensure that the charges represent the minimum efficient costs of providing the service. </w:t>
      </w:r>
    </w:p>
    <w:p w14:paraId="711F8EF9" w14:textId="4D295091" w:rsidR="00AC6D00" w:rsidRPr="00F414C6" w:rsidRDefault="00AC6D00" w:rsidP="00AC6D00">
      <w:pPr>
        <w:spacing w:after="60"/>
        <w:rPr>
          <w:rFonts w:asciiTheme="minorHAnsi" w:hAnsiTheme="minorHAnsi" w:cstheme="minorHAnsi"/>
          <w:b/>
          <w:color w:val="FF0000"/>
          <w:sz w:val="22"/>
          <w:szCs w:val="22"/>
        </w:rPr>
      </w:pPr>
      <w:r w:rsidRPr="00F414C6">
        <w:rPr>
          <w:rFonts w:asciiTheme="minorHAnsi" w:hAnsiTheme="minorHAnsi" w:cstheme="minorHAnsi"/>
          <w:b/>
          <w:sz w:val="22"/>
          <w:szCs w:val="22"/>
        </w:rPr>
        <w:t xml:space="preserve">Table 1: Costs of regulatory charging </w:t>
      </w:r>
      <w:r w:rsidR="00A86A25" w:rsidRPr="00F414C6">
        <w:rPr>
          <w:rFonts w:asciiTheme="minorHAnsi" w:hAnsiTheme="minorHAnsi" w:cstheme="minorHAnsi"/>
          <w:b/>
          <w:sz w:val="22"/>
          <w:szCs w:val="22"/>
        </w:rPr>
        <w:t>activities for TRA</w:t>
      </w:r>
      <w:r w:rsidR="001D3E33" w:rsidRPr="00F414C6">
        <w:rPr>
          <w:rFonts w:asciiTheme="minorHAnsi" w:hAnsiTheme="minorHAnsi" w:cstheme="minorHAnsi"/>
          <w:b/>
          <w:sz w:val="22"/>
          <w:szCs w:val="22"/>
        </w:rPr>
        <w:t xml:space="preserve"> </w:t>
      </w:r>
      <w:r w:rsidR="004E6F8E">
        <w:rPr>
          <w:rFonts w:asciiTheme="minorHAnsi" w:hAnsiTheme="minorHAnsi" w:cstheme="minorHAnsi"/>
          <w:b/>
          <w:sz w:val="22"/>
          <w:szCs w:val="22"/>
        </w:rPr>
        <w:t>– (</w:t>
      </w:r>
      <w:r w:rsidR="004E6F8E" w:rsidRPr="00C876EE">
        <w:rPr>
          <w:rFonts w:asciiTheme="minorHAnsi" w:hAnsiTheme="minorHAnsi" w:cstheme="minorHAnsi"/>
          <w:b/>
          <w:sz w:val="22"/>
          <w:szCs w:val="20"/>
        </w:rPr>
        <w:t>Business cycle 1 July 2021 – 30 June 2025</w:t>
      </w:r>
      <w:r w:rsidR="004E6F8E">
        <w:rPr>
          <w:rFonts w:asciiTheme="minorHAnsi" w:hAnsiTheme="minorHAnsi" w:cstheme="minorHAnsi"/>
          <w:b/>
          <w:sz w:val="22"/>
          <w:szCs w:val="20"/>
        </w:rPr>
        <w:t>)</w:t>
      </w:r>
    </w:p>
    <w:tbl>
      <w:tblPr>
        <w:tblW w:w="105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539"/>
        <w:gridCol w:w="2410"/>
        <w:gridCol w:w="2410"/>
        <w:gridCol w:w="2195"/>
      </w:tblGrid>
      <w:tr w:rsidR="004E6F8E" w:rsidRPr="00C876EE" w14:paraId="1D7EDB01" w14:textId="77777777" w:rsidTr="003152A6">
        <w:trPr>
          <w:cantSplit/>
          <w:trHeight w:val="416"/>
        </w:trPr>
        <w:tc>
          <w:tcPr>
            <w:tcW w:w="3539" w:type="dxa"/>
            <w:shd w:val="clear" w:color="auto" w:fill="DBE5F1" w:themeFill="accent1" w:themeFillTint="33"/>
            <w:vAlign w:val="center"/>
          </w:tcPr>
          <w:p w14:paraId="625FCDEE" w14:textId="2750292A" w:rsidR="004E6F8E" w:rsidRPr="00C876EE" w:rsidRDefault="004E6F8E" w:rsidP="001343D8">
            <w:pPr>
              <w:spacing w:after="120"/>
              <w:jc w:val="both"/>
              <w:rPr>
                <w:rFonts w:asciiTheme="minorHAnsi" w:hAnsiTheme="minorHAnsi" w:cstheme="minorHAnsi"/>
                <w:b/>
                <w:sz w:val="22"/>
                <w:szCs w:val="20"/>
              </w:rPr>
            </w:pPr>
            <w:r w:rsidRPr="00C876EE">
              <w:rPr>
                <w:rFonts w:asciiTheme="minorHAnsi" w:hAnsiTheme="minorHAnsi" w:cstheme="minorHAnsi"/>
                <w:b/>
                <w:sz w:val="22"/>
                <w:szCs w:val="20"/>
              </w:rPr>
              <w:t>Output / business processes</w:t>
            </w:r>
          </w:p>
        </w:tc>
        <w:tc>
          <w:tcPr>
            <w:tcW w:w="2410" w:type="dxa"/>
            <w:shd w:val="clear" w:color="auto" w:fill="DBE5F1" w:themeFill="accent1" w:themeFillTint="33"/>
            <w:vAlign w:val="center"/>
          </w:tcPr>
          <w:p w14:paraId="5BBFCC00" w14:textId="77777777" w:rsidR="004E6F8E" w:rsidRDefault="004E6F8E" w:rsidP="004E6F8E">
            <w:pPr>
              <w:jc w:val="center"/>
              <w:rPr>
                <w:rFonts w:asciiTheme="minorHAnsi" w:hAnsiTheme="minorHAnsi" w:cstheme="minorHAnsi"/>
                <w:b/>
                <w:sz w:val="22"/>
                <w:szCs w:val="20"/>
              </w:rPr>
            </w:pPr>
            <w:r w:rsidRPr="00C876EE">
              <w:rPr>
                <w:rFonts w:asciiTheme="minorHAnsi" w:hAnsiTheme="minorHAnsi" w:cstheme="minorHAnsi"/>
                <w:b/>
                <w:sz w:val="22"/>
                <w:szCs w:val="20"/>
              </w:rPr>
              <w:t>Direct Costs</w:t>
            </w:r>
          </w:p>
          <w:p w14:paraId="506A3F80" w14:textId="6801FC0E" w:rsidR="004E6F8E" w:rsidRPr="00C876EE" w:rsidDel="004E6F8E" w:rsidRDefault="004E6F8E" w:rsidP="004E6F8E">
            <w:pPr>
              <w:jc w:val="center"/>
              <w:rPr>
                <w:rFonts w:asciiTheme="minorHAnsi" w:hAnsiTheme="minorHAnsi" w:cstheme="minorHAnsi"/>
                <w:b/>
                <w:sz w:val="22"/>
                <w:szCs w:val="20"/>
              </w:rPr>
            </w:pPr>
            <w:r>
              <w:rPr>
                <w:rFonts w:asciiTheme="minorHAnsi" w:hAnsiTheme="minorHAnsi" w:cstheme="minorHAnsi"/>
                <w:b/>
                <w:sz w:val="22"/>
                <w:szCs w:val="20"/>
              </w:rPr>
              <w:t>$‘000</w:t>
            </w:r>
          </w:p>
        </w:tc>
        <w:tc>
          <w:tcPr>
            <w:tcW w:w="2410" w:type="dxa"/>
            <w:shd w:val="clear" w:color="auto" w:fill="DBE5F1" w:themeFill="accent1" w:themeFillTint="33"/>
            <w:vAlign w:val="center"/>
          </w:tcPr>
          <w:p w14:paraId="2D8BC1A9" w14:textId="77777777" w:rsidR="004E6F8E" w:rsidRDefault="004E6F8E" w:rsidP="004E6F8E">
            <w:pPr>
              <w:jc w:val="center"/>
              <w:rPr>
                <w:rFonts w:asciiTheme="minorHAnsi" w:hAnsiTheme="minorHAnsi" w:cstheme="minorHAnsi"/>
                <w:b/>
                <w:sz w:val="22"/>
                <w:szCs w:val="20"/>
              </w:rPr>
            </w:pPr>
            <w:r w:rsidRPr="00C876EE">
              <w:rPr>
                <w:rFonts w:asciiTheme="minorHAnsi" w:hAnsiTheme="minorHAnsi" w:cstheme="minorHAnsi"/>
                <w:b/>
                <w:sz w:val="22"/>
                <w:szCs w:val="20"/>
              </w:rPr>
              <w:t>Indirect Costs</w:t>
            </w:r>
          </w:p>
          <w:p w14:paraId="1712FDED" w14:textId="659149DB" w:rsidR="004E6F8E" w:rsidRPr="00C876EE" w:rsidDel="004E6F8E" w:rsidRDefault="004E6F8E" w:rsidP="004E6F8E">
            <w:pPr>
              <w:jc w:val="center"/>
              <w:rPr>
                <w:rFonts w:asciiTheme="minorHAnsi" w:hAnsiTheme="minorHAnsi" w:cstheme="minorHAnsi"/>
                <w:b/>
                <w:sz w:val="22"/>
                <w:szCs w:val="20"/>
              </w:rPr>
            </w:pPr>
            <w:r>
              <w:rPr>
                <w:rFonts w:asciiTheme="minorHAnsi" w:hAnsiTheme="minorHAnsi" w:cstheme="minorHAnsi"/>
                <w:b/>
                <w:sz w:val="22"/>
                <w:szCs w:val="20"/>
              </w:rPr>
              <w:t>$‘000</w:t>
            </w:r>
          </w:p>
        </w:tc>
        <w:tc>
          <w:tcPr>
            <w:tcW w:w="2195" w:type="dxa"/>
            <w:shd w:val="clear" w:color="auto" w:fill="DBE5F1" w:themeFill="accent1" w:themeFillTint="33"/>
            <w:vAlign w:val="center"/>
          </w:tcPr>
          <w:p w14:paraId="477567B6" w14:textId="77777777" w:rsidR="004E6F8E" w:rsidRDefault="004E6F8E" w:rsidP="004E6F8E">
            <w:pPr>
              <w:jc w:val="center"/>
              <w:rPr>
                <w:rFonts w:asciiTheme="minorHAnsi" w:hAnsiTheme="minorHAnsi" w:cstheme="minorHAnsi"/>
                <w:b/>
                <w:sz w:val="22"/>
                <w:szCs w:val="20"/>
              </w:rPr>
            </w:pPr>
            <w:r>
              <w:rPr>
                <w:rFonts w:asciiTheme="minorHAnsi" w:hAnsiTheme="minorHAnsi" w:cstheme="minorHAnsi"/>
                <w:b/>
                <w:sz w:val="22"/>
                <w:szCs w:val="20"/>
              </w:rPr>
              <w:t>Total</w:t>
            </w:r>
          </w:p>
          <w:p w14:paraId="106C156E" w14:textId="7E18972B" w:rsidR="004E6F8E" w:rsidRPr="00C876EE" w:rsidDel="004E6F8E" w:rsidRDefault="004E6F8E" w:rsidP="004E6F8E">
            <w:pPr>
              <w:jc w:val="center"/>
              <w:rPr>
                <w:rFonts w:asciiTheme="minorHAnsi" w:hAnsiTheme="minorHAnsi" w:cstheme="minorHAnsi"/>
                <w:b/>
                <w:sz w:val="22"/>
                <w:szCs w:val="20"/>
              </w:rPr>
            </w:pPr>
            <w:r>
              <w:rPr>
                <w:rFonts w:asciiTheme="minorHAnsi" w:hAnsiTheme="minorHAnsi" w:cstheme="minorHAnsi"/>
                <w:b/>
                <w:sz w:val="22"/>
                <w:szCs w:val="20"/>
              </w:rPr>
              <w:t>$‘000</w:t>
            </w:r>
          </w:p>
        </w:tc>
      </w:tr>
      <w:tr w:rsidR="00662613" w:rsidRPr="00C876EE" w14:paraId="2F7DBA4C" w14:textId="0925468D" w:rsidTr="003152A6">
        <w:trPr>
          <w:cantSplit/>
          <w:trHeight w:val="290"/>
        </w:trPr>
        <w:tc>
          <w:tcPr>
            <w:tcW w:w="3539" w:type="dxa"/>
            <w:vAlign w:val="center"/>
          </w:tcPr>
          <w:p w14:paraId="4ADC0357" w14:textId="19AF503C" w:rsidR="00662613" w:rsidRPr="00C876EE" w:rsidRDefault="00662613" w:rsidP="00662613">
            <w:pPr>
              <w:rPr>
                <w:rFonts w:asciiTheme="minorHAnsi" w:hAnsiTheme="minorHAnsi" w:cstheme="minorHAnsi"/>
                <w:sz w:val="22"/>
                <w:szCs w:val="20"/>
              </w:rPr>
            </w:pPr>
            <w:r>
              <w:rPr>
                <w:rFonts w:ascii="Calibri" w:hAnsi="Calibri" w:cs="Calibri"/>
                <w:color w:val="000000"/>
                <w:sz w:val="22"/>
                <w:szCs w:val="22"/>
              </w:rPr>
              <w:t>Provisional Skills Assessment</w:t>
            </w:r>
          </w:p>
        </w:tc>
        <w:tc>
          <w:tcPr>
            <w:tcW w:w="2410" w:type="dxa"/>
            <w:vAlign w:val="bottom"/>
          </w:tcPr>
          <w:p w14:paraId="7578F32A" w14:textId="3FE42187" w:rsidR="00662613" w:rsidRPr="00CB26B4" w:rsidRDefault="00662613" w:rsidP="00662613">
            <w:pPr>
              <w:jc w:val="right"/>
              <w:rPr>
                <w:rFonts w:asciiTheme="minorHAnsi" w:hAnsiTheme="minorHAnsi" w:cstheme="minorHAnsi"/>
                <w:sz w:val="22"/>
                <w:szCs w:val="22"/>
              </w:rPr>
            </w:pPr>
            <w:r>
              <w:rPr>
                <w:rFonts w:ascii="Calibri" w:hAnsi="Calibri" w:cs="Calibri"/>
                <w:color w:val="000000"/>
                <w:sz w:val="22"/>
                <w:szCs w:val="22"/>
              </w:rPr>
              <w:t>5,720</w:t>
            </w:r>
          </w:p>
        </w:tc>
        <w:tc>
          <w:tcPr>
            <w:tcW w:w="2410" w:type="dxa"/>
            <w:vAlign w:val="bottom"/>
          </w:tcPr>
          <w:p w14:paraId="3C15899F" w14:textId="1566741D" w:rsidR="00662613" w:rsidRPr="00CB26B4" w:rsidRDefault="00662613" w:rsidP="00662613">
            <w:pPr>
              <w:jc w:val="right"/>
              <w:rPr>
                <w:rFonts w:asciiTheme="minorHAnsi" w:hAnsiTheme="minorHAnsi" w:cstheme="minorHAnsi"/>
                <w:sz w:val="22"/>
                <w:szCs w:val="22"/>
              </w:rPr>
            </w:pPr>
            <w:r>
              <w:rPr>
                <w:rFonts w:ascii="Calibri" w:hAnsi="Calibri" w:cs="Calibri"/>
                <w:color w:val="000000"/>
                <w:sz w:val="22"/>
                <w:szCs w:val="22"/>
              </w:rPr>
              <w:t>1,518</w:t>
            </w:r>
          </w:p>
        </w:tc>
        <w:tc>
          <w:tcPr>
            <w:tcW w:w="2195" w:type="dxa"/>
            <w:vAlign w:val="bottom"/>
          </w:tcPr>
          <w:p w14:paraId="214D59E0" w14:textId="73E82299" w:rsidR="00662613" w:rsidRPr="00CB26B4" w:rsidRDefault="00662613" w:rsidP="00662613">
            <w:pPr>
              <w:jc w:val="right"/>
              <w:rPr>
                <w:rFonts w:asciiTheme="minorHAnsi" w:hAnsiTheme="minorHAnsi" w:cstheme="minorHAnsi"/>
                <w:sz w:val="22"/>
                <w:szCs w:val="22"/>
              </w:rPr>
            </w:pPr>
            <w:r>
              <w:rPr>
                <w:rFonts w:ascii="Calibri" w:hAnsi="Calibri" w:cs="Calibri"/>
                <w:color w:val="000000"/>
                <w:sz w:val="22"/>
                <w:szCs w:val="22"/>
              </w:rPr>
              <w:t>7,238</w:t>
            </w:r>
          </w:p>
        </w:tc>
      </w:tr>
      <w:tr w:rsidR="00662613" w:rsidRPr="00C876EE" w14:paraId="72C58642" w14:textId="69573923" w:rsidTr="003152A6">
        <w:trPr>
          <w:cantSplit/>
          <w:trHeight w:val="290"/>
        </w:trPr>
        <w:tc>
          <w:tcPr>
            <w:tcW w:w="3539" w:type="dxa"/>
            <w:vAlign w:val="center"/>
          </w:tcPr>
          <w:p w14:paraId="0560B9DF" w14:textId="73D7895F" w:rsidR="00662613" w:rsidRPr="00C876EE" w:rsidRDefault="00662613" w:rsidP="00662613">
            <w:pPr>
              <w:rPr>
                <w:rFonts w:asciiTheme="minorHAnsi" w:hAnsiTheme="minorHAnsi" w:cstheme="minorHAnsi"/>
                <w:sz w:val="22"/>
                <w:szCs w:val="20"/>
              </w:rPr>
            </w:pPr>
            <w:r>
              <w:rPr>
                <w:rFonts w:ascii="Calibri" w:hAnsi="Calibri" w:cs="Calibri"/>
                <w:color w:val="000000"/>
                <w:sz w:val="22"/>
                <w:szCs w:val="22"/>
              </w:rPr>
              <w:t>Job Ready</w:t>
            </w:r>
            <w:r w:rsidR="005544F8">
              <w:rPr>
                <w:rFonts w:ascii="Calibri" w:hAnsi="Calibri" w:cs="Calibri"/>
                <w:color w:val="000000"/>
                <w:sz w:val="22"/>
                <w:szCs w:val="22"/>
              </w:rPr>
              <w:t xml:space="preserve"> Program</w:t>
            </w:r>
            <w:r>
              <w:rPr>
                <w:rFonts w:ascii="Calibri" w:hAnsi="Calibri" w:cs="Calibri"/>
                <w:color w:val="000000"/>
                <w:sz w:val="22"/>
                <w:szCs w:val="22"/>
              </w:rPr>
              <w:t xml:space="preserve"> Employment</w:t>
            </w:r>
          </w:p>
        </w:tc>
        <w:tc>
          <w:tcPr>
            <w:tcW w:w="2410" w:type="dxa"/>
            <w:vAlign w:val="bottom"/>
          </w:tcPr>
          <w:p w14:paraId="6AC765B1" w14:textId="09C8FE1E"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7,836</w:t>
            </w:r>
          </w:p>
        </w:tc>
        <w:tc>
          <w:tcPr>
            <w:tcW w:w="2410" w:type="dxa"/>
            <w:vAlign w:val="bottom"/>
          </w:tcPr>
          <w:p w14:paraId="7E9534A7" w14:textId="11107894"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3,630</w:t>
            </w:r>
          </w:p>
        </w:tc>
        <w:tc>
          <w:tcPr>
            <w:tcW w:w="2195" w:type="dxa"/>
            <w:vAlign w:val="bottom"/>
          </w:tcPr>
          <w:p w14:paraId="3D11E686" w14:textId="3A91527D" w:rsidR="00662613" w:rsidRPr="00CB26B4" w:rsidRDefault="00662613" w:rsidP="00662613">
            <w:pPr>
              <w:jc w:val="right"/>
              <w:rPr>
                <w:rFonts w:asciiTheme="minorHAnsi" w:hAnsiTheme="minorHAnsi" w:cstheme="minorHAnsi"/>
                <w:sz w:val="22"/>
                <w:szCs w:val="22"/>
              </w:rPr>
            </w:pPr>
            <w:r>
              <w:rPr>
                <w:rFonts w:ascii="Calibri" w:hAnsi="Calibri" w:cs="Calibri"/>
                <w:color w:val="000000"/>
                <w:sz w:val="22"/>
                <w:szCs w:val="22"/>
              </w:rPr>
              <w:t>11,466</w:t>
            </w:r>
          </w:p>
        </w:tc>
      </w:tr>
      <w:tr w:rsidR="00662613" w:rsidRPr="00C876EE" w14:paraId="50F5E1F8" w14:textId="43F7B9B0" w:rsidTr="003152A6">
        <w:trPr>
          <w:cantSplit/>
          <w:trHeight w:val="274"/>
        </w:trPr>
        <w:tc>
          <w:tcPr>
            <w:tcW w:w="3539" w:type="dxa"/>
            <w:vAlign w:val="center"/>
          </w:tcPr>
          <w:p w14:paraId="1EBC7B2E" w14:textId="7144AF7F" w:rsidR="00662613" w:rsidRPr="00C876EE" w:rsidRDefault="00662613" w:rsidP="00662613">
            <w:pPr>
              <w:rPr>
                <w:rFonts w:asciiTheme="minorHAnsi" w:hAnsiTheme="minorHAnsi" w:cstheme="minorHAnsi"/>
                <w:sz w:val="22"/>
                <w:szCs w:val="20"/>
              </w:rPr>
            </w:pPr>
            <w:r>
              <w:rPr>
                <w:rFonts w:ascii="Calibri" w:hAnsi="Calibri" w:cs="Calibri"/>
                <w:color w:val="000000"/>
                <w:sz w:val="22"/>
                <w:szCs w:val="22"/>
              </w:rPr>
              <w:t xml:space="preserve">Job Ready </w:t>
            </w:r>
            <w:r w:rsidR="005544F8">
              <w:rPr>
                <w:rFonts w:ascii="Calibri" w:hAnsi="Calibri" w:cs="Calibri"/>
                <w:color w:val="000000"/>
                <w:sz w:val="22"/>
                <w:szCs w:val="22"/>
              </w:rPr>
              <w:t xml:space="preserve">Program </w:t>
            </w:r>
            <w:r>
              <w:rPr>
                <w:rFonts w:ascii="Calibri" w:hAnsi="Calibri" w:cs="Calibri"/>
                <w:color w:val="000000"/>
                <w:sz w:val="22"/>
                <w:szCs w:val="22"/>
              </w:rPr>
              <w:t>Workplace Assessment</w:t>
            </w:r>
          </w:p>
        </w:tc>
        <w:tc>
          <w:tcPr>
            <w:tcW w:w="2410" w:type="dxa"/>
            <w:vAlign w:val="bottom"/>
          </w:tcPr>
          <w:p w14:paraId="3FCE4816" w14:textId="19ACE7C9"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47,146</w:t>
            </w:r>
          </w:p>
        </w:tc>
        <w:tc>
          <w:tcPr>
            <w:tcW w:w="2410" w:type="dxa"/>
            <w:vAlign w:val="bottom"/>
          </w:tcPr>
          <w:p w14:paraId="67B04C8E" w14:textId="0056DE16"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9,322</w:t>
            </w:r>
          </w:p>
        </w:tc>
        <w:tc>
          <w:tcPr>
            <w:tcW w:w="2195" w:type="dxa"/>
            <w:vAlign w:val="bottom"/>
          </w:tcPr>
          <w:p w14:paraId="7175D83F" w14:textId="54E620AB" w:rsidR="00662613" w:rsidRPr="00CB26B4" w:rsidRDefault="00662613" w:rsidP="00662613">
            <w:pPr>
              <w:jc w:val="right"/>
              <w:rPr>
                <w:rFonts w:asciiTheme="minorHAnsi" w:hAnsiTheme="minorHAnsi" w:cstheme="minorHAnsi"/>
                <w:sz w:val="22"/>
                <w:szCs w:val="22"/>
              </w:rPr>
            </w:pPr>
            <w:r>
              <w:rPr>
                <w:rFonts w:ascii="Calibri" w:hAnsi="Calibri" w:cs="Calibri"/>
                <w:color w:val="000000"/>
                <w:sz w:val="22"/>
                <w:szCs w:val="22"/>
              </w:rPr>
              <w:t>56,468</w:t>
            </w:r>
          </w:p>
        </w:tc>
      </w:tr>
      <w:tr w:rsidR="00662613" w:rsidRPr="00C876EE" w14:paraId="4EE0CF30" w14:textId="1088B5E7" w:rsidTr="003152A6">
        <w:trPr>
          <w:cantSplit/>
          <w:trHeight w:val="290"/>
        </w:trPr>
        <w:tc>
          <w:tcPr>
            <w:tcW w:w="3539" w:type="dxa"/>
            <w:vAlign w:val="center"/>
          </w:tcPr>
          <w:p w14:paraId="03EAD551" w14:textId="0B15D970" w:rsidR="00662613" w:rsidRPr="00C876EE" w:rsidRDefault="00662613" w:rsidP="00662613">
            <w:pPr>
              <w:rPr>
                <w:rFonts w:asciiTheme="minorHAnsi" w:hAnsiTheme="minorHAnsi" w:cstheme="minorHAnsi"/>
                <w:sz w:val="22"/>
                <w:szCs w:val="20"/>
              </w:rPr>
            </w:pPr>
            <w:r>
              <w:rPr>
                <w:rFonts w:ascii="Calibri" w:hAnsi="Calibri" w:cs="Calibri"/>
                <w:color w:val="000000"/>
                <w:sz w:val="22"/>
                <w:szCs w:val="22"/>
              </w:rPr>
              <w:t xml:space="preserve">Job Ready </w:t>
            </w:r>
            <w:r w:rsidR="005544F8">
              <w:rPr>
                <w:rFonts w:ascii="Calibri" w:hAnsi="Calibri" w:cs="Calibri"/>
                <w:color w:val="000000"/>
                <w:sz w:val="22"/>
                <w:szCs w:val="22"/>
              </w:rPr>
              <w:t xml:space="preserve">Program </w:t>
            </w:r>
            <w:r>
              <w:rPr>
                <w:rFonts w:ascii="Calibri" w:hAnsi="Calibri" w:cs="Calibri"/>
                <w:color w:val="000000"/>
                <w:sz w:val="22"/>
                <w:szCs w:val="22"/>
              </w:rPr>
              <w:t>Final Assessment</w:t>
            </w:r>
          </w:p>
        </w:tc>
        <w:tc>
          <w:tcPr>
            <w:tcW w:w="2410" w:type="dxa"/>
            <w:vAlign w:val="bottom"/>
          </w:tcPr>
          <w:p w14:paraId="63063F51" w14:textId="1C14C82E"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948</w:t>
            </w:r>
          </w:p>
        </w:tc>
        <w:tc>
          <w:tcPr>
            <w:tcW w:w="2410" w:type="dxa"/>
            <w:vAlign w:val="bottom"/>
          </w:tcPr>
          <w:p w14:paraId="01B7FDCA" w14:textId="782DE6EA"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441</w:t>
            </w:r>
          </w:p>
        </w:tc>
        <w:tc>
          <w:tcPr>
            <w:tcW w:w="2195" w:type="dxa"/>
            <w:vAlign w:val="bottom"/>
          </w:tcPr>
          <w:p w14:paraId="0A8FEF6D" w14:textId="747048D0"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1,389</w:t>
            </w:r>
          </w:p>
        </w:tc>
      </w:tr>
      <w:tr w:rsidR="00662613" w:rsidRPr="00C876EE" w14:paraId="3478462F" w14:textId="77777777" w:rsidTr="003152A6">
        <w:trPr>
          <w:cantSplit/>
          <w:trHeight w:val="274"/>
        </w:trPr>
        <w:tc>
          <w:tcPr>
            <w:tcW w:w="3539" w:type="dxa"/>
            <w:vAlign w:val="center"/>
          </w:tcPr>
          <w:p w14:paraId="7737611D" w14:textId="2F7D948B" w:rsidR="00662613" w:rsidRPr="00C876EE" w:rsidRDefault="00662613" w:rsidP="00662613">
            <w:pPr>
              <w:rPr>
                <w:rFonts w:asciiTheme="minorHAnsi" w:hAnsiTheme="minorHAnsi" w:cstheme="minorHAnsi"/>
                <w:sz w:val="22"/>
                <w:szCs w:val="22"/>
              </w:rPr>
            </w:pPr>
            <w:r>
              <w:rPr>
                <w:rFonts w:ascii="Calibri" w:hAnsi="Calibri" w:cs="Calibri"/>
                <w:color w:val="000000"/>
                <w:sz w:val="22"/>
                <w:szCs w:val="22"/>
              </w:rPr>
              <w:t>Migration Skills Assessment</w:t>
            </w:r>
          </w:p>
        </w:tc>
        <w:tc>
          <w:tcPr>
            <w:tcW w:w="2410" w:type="dxa"/>
            <w:vAlign w:val="bottom"/>
          </w:tcPr>
          <w:p w14:paraId="22958C99" w14:textId="10C60517"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3,575</w:t>
            </w:r>
          </w:p>
        </w:tc>
        <w:tc>
          <w:tcPr>
            <w:tcW w:w="2410" w:type="dxa"/>
            <w:vAlign w:val="bottom"/>
          </w:tcPr>
          <w:p w14:paraId="5E3F952F" w14:textId="6EDB2DBA"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1,365</w:t>
            </w:r>
          </w:p>
        </w:tc>
        <w:tc>
          <w:tcPr>
            <w:tcW w:w="2195" w:type="dxa"/>
            <w:vAlign w:val="bottom"/>
          </w:tcPr>
          <w:p w14:paraId="484B107A" w14:textId="76FCBAA4" w:rsidR="00662613" w:rsidRPr="00CB26B4" w:rsidRDefault="00662613" w:rsidP="00662613">
            <w:pPr>
              <w:jc w:val="right"/>
              <w:rPr>
                <w:rFonts w:asciiTheme="minorHAnsi" w:hAnsiTheme="minorHAnsi" w:cstheme="minorHAnsi"/>
                <w:sz w:val="22"/>
                <w:szCs w:val="22"/>
              </w:rPr>
            </w:pPr>
            <w:r>
              <w:rPr>
                <w:rFonts w:ascii="Calibri" w:hAnsi="Calibri" w:cs="Calibri"/>
                <w:color w:val="000000"/>
                <w:sz w:val="22"/>
                <w:szCs w:val="22"/>
              </w:rPr>
              <w:t>4,941</w:t>
            </w:r>
          </w:p>
        </w:tc>
      </w:tr>
      <w:tr w:rsidR="00662613" w:rsidRPr="00C876EE" w14:paraId="40A41E4B" w14:textId="77777777" w:rsidTr="003152A6">
        <w:trPr>
          <w:cantSplit/>
          <w:trHeight w:val="290"/>
        </w:trPr>
        <w:tc>
          <w:tcPr>
            <w:tcW w:w="3539" w:type="dxa"/>
            <w:vAlign w:val="center"/>
          </w:tcPr>
          <w:p w14:paraId="1F0C010E" w14:textId="18BAA82A" w:rsidR="00662613" w:rsidRPr="00C876EE" w:rsidRDefault="00662613" w:rsidP="00662613">
            <w:pPr>
              <w:rPr>
                <w:rFonts w:asciiTheme="minorHAnsi" w:hAnsiTheme="minorHAnsi" w:cstheme="minorHAnsi"/>
                <w:sz w:val="22"/>
                <w:szCs w:val="22"/>
              </w:rPr>
            </w:pPr>
            <w:r>
              <w:rPr>
                <w:rFonts w:ascii="Calibri" w:hAnsi="Calibri" w:cs="Calibri"/>
                <w:color w:val="000000"/>
                <w:sz w:val="22"/>
                <w:szCs w:val="22"/>
              </w:rPr>
              <w:t>Migration Skills Assessment Review</w:t>
            </w:r>
          </w:p>
        </w:tc>
        <w:tc>
          <w:tcPr>
            <w:tcW w:w="2410" w:type="dxa"/>
            <w:vAlign w:val="bottom"/>
          </w:tcPr>
          <w:p w14:paraId="2A914224" w14:textId="5468CFB5"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8</w:t>
            </w:r>
          </w:p>
        </w:tc>
        <w:tc>
          <w:tcPr>
            <w:tcW w:w="2410" w:type="dxa"/>
            <w:vAlign w:val="bottom"/>
          </w:tcPr>
          <w:p w14:paraId="21A32091" w14:textId="030C8EBE"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2</w:t>
            </w:r>
          </w:p>
        </w:tc>
        <w:tc>
          <w:tcPr>
            <w:tcW w:w="2195" w:type="dxa"/>
            <w:vAlign w:val="bottom"/>
          </w:tcPr>
          <w:p w14:paraId="0A252B14" w14:textId="33064663"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10</w:t>
            </w:r>
          </w:p>
        </w:tc>
      </w:tr>
      <w:tr w:rsidR="00662613" w:rsidRPr="00C876EE" w14:paraId="214FA9F2" w14:textId="77777777" w:rsidTr="003152A6">
        <w:trPr>
          <w:cantSplit/>
          <w:trHeight w:val="274"/>
        </w:trPr>
        <w:tc>
          <w:tcPr>
            <w:tcW w:w="3539" w:type="dxa"/>
            <w:vAlign w:val="center"/>
          </w:tcPr>
          <w:p w14:paraId="67D7329C" w14:textId="12B86463" w:rsidR="00662613" w:rsidRPr="00C876EE" w:rsidRDefault="00662613" w:rsidP="00662613">
            <w:pPr>
              <w:rPr>
                <w:rFonts w:asciiTheme="minorHAnsi" w:hAnsiTheme="minorHAnsi" w:cstheme="minorHAnsi"/>
                <w:sz w:val="22"/>
                <w:szCs w:val="22"/>
              </w:rPr>
            </w:pPr>
            <w:r>
              <w:rPr>
                <w:rFonts w:ascii="Calibri" w:hAnsi="Calibri" w:cs="Calibri"/>
                <w:color w:val="000000"/>
                <w:sz w:val="22"/>
                <w:szCs w:val="22"/>
              </w:rPr>
              <w:t>Migration Points Advice</w:t>
            </w:r>
          </w:p>
        </w:tc>
        <w:tc>
          <w:tcPr>
            <w:tcW w:w="2410" w:type="dxa"/>
            <w:vAlign w:val="bottom"/>
          </w:tcPr>
          <w:p w14:paraId="45BD76A5" w14:textId="7CAF6F6B"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359</w:t>
            </w:r>
          </w:p>
        </w:tc>
        <w:tc>
          <w:tcPr>
            <w:tcW w:w="2410" w:type="dxa"/>
            <w:vAlign w:val="bottom"/>
          </w:tcPr>
          <w:p w14:paraId="107D67F8" w14:textId="7D643083"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131</w:t>
            </w:r>
          </w:p>
        </w:tc>
        <w:tc>
          <w:tcPr>
            <w:tcW w:w="2195" w:type="dxa"/>
            <w:vAlign w:val="bottom"/>
          </w:tcPr>
          <w:p w14:paraId="360A4845" w14:textId="070B8142" w:rsidR="00662613" w:rsidRPr="00CB26B4" w:rsidRDefault="00662613" w:rsidP="00662613">
            <w:pPr>
              <w:jc w:val="right"/>
              <w:rPr>
                <w:rFonts w:asciiTheme="minorHAnsi" w:hAnsiTheme="minorHAnsi" w:cstheme="minorHAnsi"/>
                <w:sz w:val="22"/>
                <w:szCs w:val="22"/>
              </w:rPr>
            </w:pPr>
            <w:r>
              <w:rPr>
                <w:rFonts w:ascii="Calibri" w:hAnsi="Calibri" w:cs="Calibri"/>
                <w:color w:val="000000"/>
                <w:sz w:val="22"/>
                <w:szCs w:val="22"/>
              </w:rPr>
              <w:t>490</w:t>
            </w:r>
          </w:p>
        </w:tc>
      </w:tr>
      <w:tr w:rsidR="00662613" w:rsidRPr="00C876EE" w14:paraId="613A9C93" w14:textId="77777777" w:rsidTr="003152A6">
        <w:trPr>
          <w:cantSplit/>
          <w:trHeight w:val="290"/>
        </w:trPr>
        <w:tc>
          <w:tcPr>
            <w:tcW w:w="3539" w:type="dxa"/>
            <w:tcBorders>
              <w:bottom w:val="single" w:sz="4" w:space="0" w:color="auto"/>
            </w:tcBorders>
            <w:vAlign w:val="center"/>
          </w:tcPr>
          <w:p w14:paraId="31B082B3" w14:textId="4560B503" w:rsidR="00662613" w:rsidRPr="00C876EE" w:rsidRDefault="00662613" w:rsidP="00662613">
            <w:pPr>
              <w:rPr>
                <w:rFonts w:asciiTheme="minorHAnsi" w:hAnsiTheme="minorHAnsi" w:cstheme="minorHAnsi"/>
                <w:sz w:val="22"/>
                <w:szCs w:val="22"/>
              </w:rPr>
            </w:pPr>
            <w:r>
              <w:rPr>
                <w:rFonts w:ascii="Calibri" w:hAnsi="Calibri" w:cs="Calibri"/>
                <w:color w:val="000000"/>
                <w:sz w:val="22"/>
                <w:szCs w:val="22"/>
              </w:rPr>
              <w:t>Migration Points Advice Review</w:t>
            </w:r>
          </w:p>
        </w:tc>
        <w:tc>
          <w:tcPr>
            <w:tcW w:w="2410" w:type="dxa"/>
            <w:tcBorders>
              <w:bottom w:val="single" w:sz="4" w:space="0" w:color="auto"/>
            </w:tcBorders>
            <w:vAlign w:val="bottom"/>
          </w:tcPr>
          <w:p w14:paraId="5B92CC31" w14:textId="127272C6"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2</w:t>
            </w:r>
          </w:p>
        </w:tc>
        <w:tc>
          <w:tcPr>
            <w:tcW w:w="2410" w:type="dxa"/>
            <w:tcBorders>
              <w:bottom w:val="single" w:sz="4" w:space="0" w:color="auto"/>
            </w:tcBorders>
            <w:vAlign w:val="bottom"/>
          </w:tcPr>
          <w:p w14:paraId="29B0525D" w14:textId="4A7859C6"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0.5</w:t>
            </w:r>
          </w:p>
        </w:tc>
        <w:tc>
          <w:tcPr>
            <w:tcW w:w="2195" w:type="dxa"/>
            <w:tcBorders>
              <w:bottom w:val="single" w:sz="4" w:space="0" w:color="auto"/>
            </w:tcBorders>
            <w:vAlign w:val="bottom"/>
          </w:tcPr>
          <w:p w14:paraId="6C54761A" w14:textId="02DB25C0" w:rsidR="00662613" w:rsidRPr="003D4532" w:rsidRDefault="00662613" w:rsidP="00662613">
            <w:pPr>
              <w:jc w:val="right"/>
              <w:rPr>
                <w:rFonts w:asciiTheme="minorHAnsi" w:hAnsiTheme="minorHAnsi" w:cstheme="minorHAnsi"/>
                <w:sz w:val="22"/>
                <w:szCs w:val="22"/>
              </w:rPr>
            </w:pPr>
            <w:r>
              <w:rPr>
                <w:rFonts w:ascii="Calibri" w:hAnsi="Calibri" w:cs="Calibri"/>
                <w:color w:val="000000"/>
                <w:sz w:val="22"/>
                <w:szCs w:val="22"/>
              </w:rPr>
              <w:t>3</w:t>
            </w:r>
          </w:p>
        </w:tc>
      </w:tr>
      <w:tr w:rsidR="00662613" w:rsidRPr="00C876EE" w14:paraId="692C3FF8" w14:textId="766331B0" w:rsidTr="003152A6">
        <w:trPr>
          <w:cantSplit/>
          <w:trHeight w:val="274"/>
        </w:trPr>
        <w:tc>
          <w:tcPr>
            <w:tcW w:w="3539" w:type="dxa"/>
            <w:tcBorders>
              <w:top w:val="single" w:sz="4" w:space="0" w:color="auto"/>
              <w:left w:val="single" w:sz="4" w:space="0" w:color="auto"/>
              <w:bottom w:val="single" w:sz="4" w:space="0" w:color="auto"/>
              <w:right w:val="single" w:sz="4" w:space="0" w:color="auto"/>
            </w:tcBorders>
            <w:vAlign w:val="center"/>
          </w:tcPr>
          <w:p w14:paraId="217943D0" w14:textId="44FEDEED" w:rsidR="00662613" w:rsidRPr="00C876EE" w:rsidRDefault="00662613" w:rsidP="00662613">
            <w:pPr>
              <w:rPr>
                <w:rFonts w:asciiTheme="minorHAnsi" w:hAnsiTheme="minorHAnsi" w:cstheme="minorHAnsi"/>
                <w:b/>
                <w:sz w:val="22"/>
                <w:szCs w:val="20"/>
              </w:rPr>
            </w:pPr>
            <w:r>
              <w:rPr>
                <w:rFonts w:ascii="Calibri" w:hAnsi="Calibri" w:cs="Calibri"/>
                <w:b/>
                <w:bCs/>
                <w:color w:val="000000"/>
                <w:sz w:val="22"/>
                <w:szCs w:val="22"/>
              </w:rPr>
              <w:t>TOTAL</w:t>
            </w:r>
          </w:p>
        </w:tc>
        <w:tc>
          <w:tcPr>
            <w:tcW w:w="2410" w:type="dxa"/>
            <w:tcBorders>
              <w:top w:val="single" w:sz="4" w:space="0" w:color="auto"/>
              <w:left w:val="single" w:sz="4" w:space="0" w:color="auto"/>
              <w:bottom w:val="single" w:sz="4" w:space="0" w:color="auto"/>
              <w:right w:val="single" w:sz="4" w:space="0" w:color="auto"/>
            </w:tcBorders>
            <w:vAlign w:val="bottom"/>
          </w:tcPr>
          <w:p w14:paraId="442B55E2" w14:textId="2028B028" w:rsidR="00662613" w:rsidRPr="00BB7150" w:rsidRDefault="00662613" w:rsidP="00662613">
            <w:pPr>
              <w:jc w:val="right"/>
              <w:rPr>
                <w:rFonts w:ascii="Calibri" w:hAnsi="Calibri" w:cs="Calibri"/>
                <w:b/>
                <w:bCs/>
                <w:color w:val="000000"/>
                <w:sz w:val="22"/>
                <w:szCs w:val="22"/>
              </w:rPr>
            </w:pPr>
            <w:r>
              <w:rPr>
                <w:rFonts w:ascii="Calibri" w:hAnsi="Calibri" w:cs="Calibri"/>
                <w:b/>
                <w:bCs/>
                <w:color w:val="000000"/>
                <w:sz w:val="22"/>
                <w:szCs w:val="22"/>
              </w:rPr>
              <w:t>65,595</w:t>
            </w:r>
          </w:p>
        </w:tc>
        <w:tc>
          <w:tcPr>
            <w:tcW w:w="2410" w:type="dxa"/>
            <w:tcBorders>
              <w:top w:val="single" w:sz="4" w:space="0" w:color="auto"/>
              <w:left w:val="single" w:sz="4" w:space="0" w:color="auto"/>
              <w:bottom w:val="single" w:sz="4" w:space="0" w:color="auto"/>
              <w:right w:val="single" w:sz="4" w:space="0" w:color="auto"/>
            </w:tcBorders>
            <w:vAlign w:val="bottom"/>
          </w:tcPr>
          <w:p w14:paraId="4D8A9857" w14:textId="5428613D" w:rsidR="00662613" w:rsidRPr="00240F73" w:rsidRDefault="00662613" w:rsidP="00662613">
            <w:pPr>
              <w:jc w:val="right"/>
              <w:rPr>
                <w:rFonts w:asciiTheme="minorHAnsi" w:hAnsiTheme="minorHAnsi" w:cstheme="minorHAnsi"/>
                <w:b/>
                <w:bCs/>
                <w:sz w:val="22"/>
                <w:szCs w:val="22"/>
              </w:rPr>
            </w:pPr>
            <w:r w:rsidRPr="00CA588A">
              <w:rPr>
                <w:rFonts w:ascii="Calibri" w:hAnsi="Calibri" w:cs="Calibri"/>
                <w:b/>
                <w:bCs/>
                <w:color w:val="000000"/>
                <w:sz w:val="22"/>
                <w:szCs w:val="22"/>
              </w:rPr>
              <w:t>16,410</w:t>
            </w:r>
          </w:p>
        </w:tc>
        <w:tc>
          <w:tcPr>
            <w:tcW w:w="2195" w:type="dxa"/>
            <w:tcBorders>
              <w:top w:val="single" w:sz="4" w:space="0" w:color="auto"/>
              <w:left w:val="single" w:sz="4" w:space="0" w:color="auto"/>
              <w:bottom w:val="single" w:sz="4" w:space="0" w:color="auto"/>
              <w:right w:val="single" w:sz="4" w:space="0" w:color="auto"/>
            </w:tcBorders>
            <w:vAlign w:val="bottom"/>
          </w:tcPr>
          <w:p w14:paraId="59032842" w14:textId="7B64FA42" w:rsidR="00662613" w:rsidRPr="00662613" w:rsidRDefault="00662613" w:rsidP="00662613">
            <w:pPr>
              <w:jc w:val="right"/>
              <w:rPr>
                <w:rFonts w:asciiTheme="minorHAnsi" w:hAnsiTheme="minorHAnsi" w:cstheme="minorHAnsi"/>
                <w:b/>
                <w:bCs/>
                <w:sz w:val="22"/>
                <w:szCs w:val="22"/>
              </w:rPr>
            </w:pPr>
            <w:r w:rsidRPr="00CA588A">
              <w:rPr>
                <w:rFonts w:ascii="Calibri" w:hAnsi="Calibri" w:cs="Calibri"/>
                <w:b/>
                <w:bCs/>
                <w:color w:val="000000"/>
                <w:sz w:val="22"/>
                <w:szCs w:val="22"/>
              </w:rPr>
              <w:t>82,00</w:t>
            </w:r>
            <w:r w:rsidR="00581A50">
              <w:rPr>
                <w:rFonts w:ascii="Calibri" w:hAnsi="Calibri" w:cs="Calibri"/>
                <w:b/>
                <w:bCs/>
                <w:color w:val="000000"/>
                <w:sz w:val="22"/>
                <w:szCs w:val="22"/>
              </w:rPr>
              <w:t>5</w:t>
            </w:r>
          </w:p>
        </w:tc>
      </w:tr>
    </w:tbl>
    <w:p w14:paraId="4F932916" w14:textId="77777777" w:rsidR="00FF488E" w:rsidRPr="00CB0E22" w:rsidRDefault="00FF488E" w:rsidP="00CA588A">
      <w:pPr>
        <w:rPr>
          <w:rFonts w:asciiTheme="minorHAnsi" w:hAnsiTheme="minorHAnsi" w:cstheme="minorHAnsi"/>
          <w:sz w:val="22"/>
          <w:szCs w:val="22"/>
        </w:rPr>
      </w:pPr>
    </w:p>
    <w:p w14:paraId="4BD03A8C" w14:textId="15BFFD19" w:rsidR="00FD0674" w:rsidRPr="00FF488E" w:rsidRDefault="00FD0674" w:rsidP="00684205">
      <w:pPr>
        <w:pStyle w:val="Heading2"/>
      </w:pPr>
      <w:r w:rsidRPr="00FF488E">
        <w:t>3.3</w:t>
      </w:r>
      <w:r w:rsidRPr="00FF488E">
        <w:tab/>
        <w:t xml:space="preserve">Design of </w:t>
      </w:r>
      <w:r w:rsidR="00133CB0" w:rsidRPr="00FF488E">
        <w:t>regulatory charges</w:t>
      </w:r>
    </w:p>
    <w:p w14:paraId="0289DA98" w14:textId="77777777" w:rsidR="0044782B" w:rsidRPr="00B61D25" w:rsidRDefault="0044782B" w:rsidP="00B61D25">
      <w:pPr>
        <w:pStyle w:val="CRISbodytext"/>
        <w:rPr>
          <w:b/>
          <w:bCs/>
        </w:rPr>
      </w:pPr>
      <w:r w:rsidRPr="00B61D25">
        <w:rPr>
          <w:b/>
          <w:bCs/>
        </w:rPr>
        <w:t>Skills Assessments</w:t>
      </w:r>
    </w:p>
    <w:p w14:paraId="0A474FAF" w14:textId="1559064F" w:rsidR="002707E8" w:rsidRDefault="002707E8" w:rsidP="00B61D25">
      <w:pPr>
        <w:pStyle w:val="CRISbodytext"/>
      </w:pPr>
      <w:r w:rsidRPr="00FF488E">
        <w:t>The costs of delivering the different steps of a skills assessment have been determined using the costs in</w:t>
      </w:r>
      <w:r w:rsidR="00641A88" w:rsidRPr="00FF488E">
        <w:t xml:space="preserve">curred by TRA to deliver the </w:t>
      </w:r>
      <w:r w:rsidR="006E00C9" w:rsidRPr="00FF488E">
        <w:t>JRP</w:t>
      </w:r>
      <w:r w:rsidR="00A86A25" w:rsidRPr="00FF488E">
        <w:t>,</w:t>
      </w:r>
      <w:r w:rsidR="006E00C9" w:rsidRPr="00FF488E">
        <w:t xml:space="preserve"> </w:t>
      </w:r>
      <w:r w:rsidR="00641A88" w:rsidRPr="00FF488E">
        <w:t>MSA</w:t>
      </w:r>
      <w:r w:rsidR="00A86A25" w:rsidRPr="00FF488E">
        <w:t xml:space="preserve"> and </w:t>
      </w:r>
      <w:r w:rsidR="00641A88" w:rsidRPr="00FF488E">
        <w:t xml:space="preserve">MPA </w:t>
      </w:r>
      <w:r w:rsidR="006E00C9" w:rsidRPr="00FF488E">
        <w:t>pathways</w:t>
      </w:r>
      <w:r w:rsidRPr="00FF488E">
        <w:t>.</w:t>
      </w:r>
    </w:p>
    <w:p w14:paraId="371354AF" w14:textId="5F600A1F" w:rsidR="002707E8" w:rsidRPr="00FF488E" w:rsidRDefault="002707E8" w:rsidP="00B61D25">
      <w:pPr>
        <w:pStyle w:val="CRISbodytext"/>
      </w:pPr>
      <w:r w:rsidRPr="00FF488E">
        <w:t>Each business process has been broken down into various activities. Business processes have been calculated per activity by staffing level, effort (time) and demand.</w:t>
      </w:r>
    </w:p>
    <w:p w14:paraId="6EF287FE" w14:textId="327A6B0C" w:rsidR="0069120B" w:rsidRPr="0069120B" w:rsidRDefault="002707E8" w:rsidP="00B61D25">
      <w:pPr>
        <w:pStyle w:val="CRISbodytext"/>
        <w:rPr>
          <w:rFonts w:ascii="Calibri" w:eastAsia="Calibri" w:hAnsi="Calibri"/>
        </w:rPr>
      </w:pPr>
      <w:r w:rsidRPr="00BE2EA8">
        <w:t xml:space="preserve">Table </w:t>
      </w:r>
      <w:r w:rsidR="00A86A25" w:rsidRPr="00BE2EA8">
        <w:t xml:space="preserve">2 </w:t>
      </w:r>
      <w:r w:rsidRPr="00BE2EA8">
        <w:t>list</w:t>
      </w:r>
      <w:r w:rsidR="00503A2F" w:rsidRPr="00BE2EA8">
        <w:t>s</w:t>
      </w:r>
      <w:r w:rsidRPr="00BE2EA8">
        <w:t xml:space="preserve"> the proposed applicant fees under the charging model</w:t>
      </w:r>
      <w:r w:rsidR="00A001B3">
        <w:t xml:space="preserve"> to recover the costs of regulatory activities</w:t>
      </w:r>
      <w:r w:rsidRPr="00BE2EA8">
        <w:t xml:space="preserve">, which will be fixed for the business cycle. The business cycle aligns with portfolio government processes and the obligations of the Portfolio Charging Review. </w:t>
      </w:r>
      <w:r w:rsidR="007C28FE" w:rsidRPr="00BE2EA8">
        <w:t>TRA</w:t>
      </w:r>
      <w:r w:rsidRPr="00BE2EA8">
        <w:t xml:space="preserve"> fees will be published on the TRA website</w:t>
      </w:r>
      <w:r w:rsidR="00BE2EA8">
        <w:t xml:space="preserve"> </w:t>
      </w:r>
      <w:hyperlink r:id="rId17" w:history="1">
        <w:r w:rsidR="0069120B" w:rsidRPr="0069120B">
          <w:rPr>
            <w:rFonts w:ascii="Calibri" w:eastAsia="Calibri" w:hAnsi="Calibri"/>
            <w:color w:val="0563C1"/>
            <w:u w:val="single"/>
          </w:rPr>
          <w:t>www.tradesrecognitionaustralia.gov.au</w:t>
        </w:r>
      </w:hyperlink>
      <w:r w:rsidR="0069120B">
        <w:rPr>
          <w:rFonts w:ascii="Calibri" w:eastAsia="Calibri" w:hAnsi="Calibri"/>
        </w:rPr>
        <w:t>.</w:t>
      </w:r>
      <w:r w:rsidR="0069120B" w:rsidRPr="0069120B">
        <w:rPr>
          <w:rFonts w:ascii="Calibri" w:eastAsia="Calibri" w:hAnsi="Calibri"/>
        </w:rPr>
        <w:t xml:space="preserve"> </w:t>
      </w:r>
    </w:p>
    <w:p w14:paraId="13289CAF" w14:textId="77777777" w:rsidR="00B3117E" w:rsidRDefault="00B3117E">
      <w:pPr>
        <w:spacing w:after="200" w:line="276" w:lineRule="auto"/>
        <w:rPr>
          <w:rFonts w:asciiTheme="minorHAnsi" w:hAnsiTheme="minorHAnsi" w:cstheme="minorHAnsi"/>
          <w:b/>
          <w:sz w:val="22"/>
          <w:szCs w:val="22"/>
        </w:rPr>
      </w:pPr>
      <w:r>
        <w:rPr>
          <w:rFonts w:asciiTheme="minorHAnsi" w:hAnsiTheme="minorHAnsi" w:cstheme="minorHAnsi"/>
          <w:b/>
          <w:sz w:val="22"/>
          <w:szCs w:val="22"/>
        </w:rPr>
        <w:br w:type="page"/>
      </w:r>
    </w:p>
    <w:p w14:paraId="3F7F2DD2" w14:textId="509F87C6" w:rsidR="006E00C9" w:rsidRPr="00FA7536" w:rsidRDefault="006E00C9" w:rsidP="00CA588A">
      <w:pPr>
        <w:keepNext/>
        <w:spacing w:after="60"/>
        <w:rPr>
          <w:rFonts w:asciiTheme="minorHAnsi" w:hAnsiTheme="minorHAnsi" w:cstheme="minorHAnsi"/>
          <w:b/>
          <w:sz w:val="22"/>
          <w:szCs w:val="22"/>
        </w:rPr>
      </w:pPr>
      <w:r w:rsidRPr="00FA7536">
        <w:rPr>
          <w:rFonts w:asciiTheme="minorHAnsi" w:hAnsiTheme="minorHAnsi" w:cstheme="minorHAnsi"/>
          <w:b/>
          <w:sz w:val="22"/>
          <w:szCs w:val="22"/>
        </w:rPr>
        <w:lastRenderedPageBreak/>
        <w:t xml:space="preserve">Table </w:t>
      </w:r>
      <w:r w:rsidR="00503A2F" w:rsidRPr="00FA7536">
        <w:rPr>
          <w:rFonts w:asciiTheme="minorHAnsi" w:hAnsiTheme="minorHAnsi" w:cstheme="minorHAnsi"/>
          <w:b/>
          <w:sz w:val="22"/>
          <w:szCs w:val="22"/>
        </w:rPr>
        <w:t>2</w:t>
      </w:r>
      <w:r w:rsidRPr="00FA7536">
        <w:rPr>
          <w:rFonts w:asciiTheme="minorHAnsi" w:hAnsiTheme="minorHAnsi" w:cstheme="minorHAnsi"/>
          <w:b/>
          <w:sz w:val="22"/>
          <w:szCs w:val="22"/>
        </w:rPr>
        <w:t>: Charge rates and revenue estimates for the 1 July 2021 - 30 June 2025 business cycle</w:t>
      </w:r>
    </w:p>
    <w:tbl>
      <w:tblPr>
        <w:tblStyle w:val="TableGrid"/>
        <w:tblW w:w="4675" w:type="pct"/>
        <w:tblLook w:val="04A0" w:firstRow="1" w:lastRow="0" w:firstColumn="1" w:lastColumn="0" w:noHBand="0" w:noVBand="1"/>
      </w:tblPr>
      <w:tblGrid>
        <w:gridCol w:w="4531"/>
        <w:gridCol w:w="1419"/>
        <w:gridCol w:w="1701"/>
        <w:gridCol w:w="2125"/>
      </w:tblGrid>
      <w:tr w:rsidR="00D53F6E" w:rsidRPr="00C876EE" w14:paraId="1D0A8893" w14:textId="77777777" w:rsidTr="003152A6">
        <w:trPr>
          <w:cantSplit/>
          <w:tblHeader/>
        </w:trPr>
        <w:tc>
          <w:tcPr>
            <w:tcW w:w="2317" w:type="pct"/>
            <w:shd w:val="clear" w:color="auto" w:fill="DBE5F1" w:themeFill="accent1" w:themeFillTint="33"/>
          </w:tcPr>
          <w:p w14:paraId="0D0DA0F1" w14:textId="77777777" w:rsidR="00D53F6E" w:rsidRPr="00C876EE" w:rsidRDefault="00D53F6E" w:rsidP="00BA2B2E">
            <w:pPr>
              <w:keepNext/>
              <w:rPr>
                <w:rFonts w:asciiTheme="minorHAnsi" w:hAnsiTheme="minorHAnsi" w:cstheme="minorHAnsi"/>
                <w:b/>
                <w:sz w:val="22"/>
                <w:szCs w:val="22"/>
              </w:rPr>
            </w:pPr>
            <w:r w:rsidRPr="00C876EE">
              <w:rPr>
                <w:rFonts w:asciiTheme="minorHAnsi" w:hAnsiTheme="minorHAnsi" w:cstheme="minorHAnsi"/>
                <w:b/>
                <w:sz w:val="22"/>
                <w:szCs w:val="22"/>
              </w:rPr>
              <w:t>Charge title</w:t>
            </w:r>
          </w:p>
        </w:tc>
        <w:tc>
          <w:tcPr>
            <w:tcW w:w="726" w:type="pct"/>
            <w:shd w:val="clear" w:color="auto" w:fill="DBE5F1" w:themeFill="accent1" w:themeFillTint="33"/>
          </w:tcPr>
          <w:p w14:paraId="2DA66A5D" w14:textId="05B8161C" w:rsidR="00D53F6E" w:rsidRDefault="00D53F6E" w:rsidP="007C28FE">
            <w:pPr>
              <w:keepNext/>
              <w:jc w:val="center"/>
              <w:rPr>
                <w:rFonts w:asciiTheme="minorHAnsi" w:hAnsiTheme="minorHAnsi" w:cstheme="minorHAnsi"/>
                <w:b/>
                <w:sz w:val="22"/>
                <w:szCs w:val="22"/>
              </w:rPr>
            </w:pPr>
            <w:r>
              <w:rPr>
                <w:rFonts w:asciiTheme="minorHAnsi" w:hAnsiTheme="minorHAnsi" w:cstheme="minorHAnsi"/>
                <w:b/>
                <w:sz w:val="22"/>
                <w:szCs w:val="22"/>
              </w:rPr>
              <w:t>Fee</w:t>
            </w:r>
          </w:p>
          <w:p w14:paraId="6A1E05A7" w14:textId="644B3059" w:rsidR="00D53F6E" w:rsidRPr="00C876EE" w:rsidRDefault="00D53F6E" w:rsidP="007C28FE">
            <w:pPr>
              <w:keepNext/>
              <w:jc w:val="center"/>
              <w:rPr>
                <w:rFonts w:asciiTheme="minorHAnsi" w:hAnsiTheme="minorHAnsi" w:cstheme="minorHAnsi"/>
                <w:b/>
                <w:sz w:val="22"/>
                <w:szCs w:val="22"/>
              </w:rPr>
            </w:pPr>
            <w:r>
              <w:rPr>
                <w:rFonts w:asciiTheme="minorHAnsi" w:hAnsiTheme="minorHAnsi" w:cstheme="minorHAnsi"/>
                <w:b/>
                <w:sz w:val="22"/>
                <w:szCs w:val="22"/>
              </w:rPr>
              <w:t>$</w:t>
            </w:r>
          </w:p>
        </w:tc>
        <w:tc>
          <w:tcPr>
            <w:tcW w:w="870" w:type="pct"/>
            <w:shd w:val="clear" w:color="auto" w:fill="DBE5F1" w:themeFill="accent1" w:themeFillTint="33"/>
          </w:tcPr>
          <w:p w14:paraId="1CCBBFAC" w14:textId="77777777" w:rsidR="00D53F6E" w:rsidRPr="00C876EE" w:rsidRDefault="00D53F6E" w:rsidP="007C28FE">
            <w:pPr>
              <w:keepNext/>
              <w:jc w:val="center"/>
              <w:rPr>
                <w:rFonts w:asciiTheme="minorHAnsi" w:hAnsiTheme="minorHAnsi" w:cstheme="minorHAnsi"/>
                <w:b/>
                <w:sz w:val="22"/>
                <w:szCs w:val="22"/>
              </w:rPr>
            </w:pPr>
            <w:r w:rsidRPr="00C876EE">
              <w:rPr>
                <w:rFonts w:asciiTheme="minorHAnsi" w:hAnsiTheme="minorHAnsi" w:cstheme="minorHAnsi"/>
                <w:b/>
                <w:sz w:val="22"/>
                <w:szCs w:val="22"/>
              </w:rPr>
              <w:t>Estimated</w:t>
            </w:r>
          </w:p>
          <w:p w14:paraId="4F84E175" w14:textId="77777777" w:rsidR="00D53F6E" w:rsidRPr="00C876EE" w:rsidRDefault="00D53F6E" w:rsidP="007C28FE">
            <w:pPr>
              <w:keepNext/>
              <w:jc w:val="center"/>
              <w:rPr>
                <w:rFonts w:asciiTheme="minorHAnsi" w:hAnsiTheme="minorHAnsi" w:cstheme="minorHAnsi"/>
                <w:b/>
                <w:sz w:val="22"/>
                <w:szCs w:val="22"/>
              </w:rPr>
            </w:pPr>
            <w:r w:rsidRPr="00C876EE">
              <w:rPr>
                <w:rFonts w:asciiTheme="minorHAnsi" w:hAnsiTheme="minorHAnsi" w:cstheme="minorHAnsi"/>
                <w:b/>
                <w:sz w:val="22"/>
                <w:szCs w:val="22"/>
              </w:rPr>
              <w:t>Volume</w:t>
            </w:r>
          </w:p>
        </w:tc>
        <w:tc>
          <w:tcPr>
            <w:tcW w:w="1087" w:type="pct"/>
            <w:shd w:val="clear" w:color="auto" w:fill="DBE5F1" w:themeFill="accent1" w:themeFillTint="33"/>
          </w:tcPr>
          <w:p w14:paraId="47CB89F7" w14:textId="77777777" w:rsidR="00D53F6E" w:rsidRDefault="00D53F6E" w:rsidP="007C28FE">
            <w:pPr>
              <w:keepNext/>
              <w:jc w:val="center"/>
              <w:rPr>
                <w:rFonts w:asciiTheme="minorHAnsi" w:hAnsiTheme="minorHAnsi" w:cstheme="minorHAnsi"/>
                <w:b/>
                <w:sz w:val="22"/>
                <w:szCs w:val="22"/>
              </w:rPr>
            </w:pPr>
            <w:r w:rsidRPr="00C876EE">
              <w:rPr>
                <w:rFonts w:asciiTheme="minorHAnsi" w:hAnsiTheme="minorHAnsi" w:cstheme="minorHAnsi"/>
                <w:b/>
                <w:sz w:val="22"/>
                <w:szCs w:val="22"/>
              </w:rPr>
              <w:t>Estimated total revenue</w:t>
            </w:r>
          </w:p>
          <w:p w14:paraId="37CA1348" w14:textId="3ACC6E8E" w:rsidR="00D53F6E" w:rsidRPr="00C876EE" w:rsidRDefault="00D53F6E" w:rsidP="007C28FE">
            <w:pPr>
              <w:keepNext/>
              <w:jc w:val="center"/>
              <w:rPr>
                <w:rFonts w:asciiTheme="minorHAnsi" w:hAnsiTheme="minorHAnsi" w:cstheme="minorHAnsi"/>
                <w:b/>
                <w:sz w:val="22"/>
                <w:szCs w:val="22"/>
              </w:rPr>
            </w:pPr>
            <w:r>
              <w:rPr>
                <w:rFonts w:asciiTheme="minorHAnsi" w:hAnsiTheme="minorHAnsi" w:cstheme="minorHAnsi"/>
                <w:b/>
                <w:sz w:val="22"/>
                <w:szCs w:val="22"/>
              </w:rPr>
              <w:t>$’000</w:t>
            </w:r>
          </w:p>
        </w:tc>
      </w:tr>
      <w:tr w:rsidR="00D53F6E" w:rsidRPr="00C876EE" w14:paraId="53F84A1A" w14:textId="77777777" w:rsidTr="003152A6">
        <w:trPr>
          <w:cantSplit/>
        </w:trPr>
        <w:tc>
          <w:tcPr>
            <w:tcW w:w="2317" w:type="pct"/>
            <w:tcBorders>
              <w:bottom w:val="single" w:sz="4" w:space="0" w:color="auto"/>
            </w:tcBorders>
            <w:shd w:val="clear" w:color="auto" w:fill="auto"/>
            <w:vAlign w:val="center"/>
          </w:tcPr>
          <w:p w14:paraId="382627AD" w14:textId="0234E6E0" w:rsidR="00D53F6E" w:rsidRPr="00C876EE" w:rsidRDefault="00D53F6E" w:rsidP="00581A50">
            <w:pPr>
              <w:rPr>
                <w:rFonts w:asciiTheme="minorHAnsi" w:hAnsiTheme="minorHAnsi" w:cstheme="minorHAnsi"/>
                <w:sz w:val="22"/>
                <w:szCs w:val="22"/>
              </w:rPr>
            </w:pPr>
            <w:r w:rsidRPr="0069120B">
              <w:rPr>
                <w:rFonts w:ascii="Calibri" w:hAnsi="Calibri" w:cs="Calibri"/>
                <w:color w:val="000000"/>
                <w:sz w:val="22"/>
                <w:szCs w:val="22"/>
              </w:rPr>
              <w:t>Provisional Skills Assessment</w:t>
            </w:r>
          </w:p>
        </w:tc>
        <w:tc>
          <w:tcPr>
            <w:tcW w:w="726" w:type="pct"/>
            <w:tcBorders>
              <w:bottom w:val="single" w:sz="4" w:space="0" w:color="auto"/>
            </w:tcBorders>
            <w:shd w:val="clear" w:color="auto" w:fill="auto"/>
            <w:vAlign w:val="center"/>
          </w:tcPr>
          <w:p w14:paraId="0FFF858A" w14:textId="2AB2ED91" w:rsidR="00D53F6E" w:rsidRPr="00315AC4" w:rsidRDefault="00D53F6E" w:rsidP="00581A50">
            <w:pPr>
              <w:jc w:val="right"/>
              <w:rPr>
                <w:rFonts w:ascii="Calibri" w:hAnsi="Calibri" w:cs="Calibri"/>
                <w:color w:val="000000"/>
                <w:sz w:val="22"/>
                <w:szCs w:val="22"/>
              </w:rPr>
            </w:pPr>
            <w:r>
              <w:rPr>
                <w:rFonts w:ascii="Calibri" w:hAnsi="Calibri" w:cs="Calibri"/>
                <w:color w:val="000000"/>
                <w:sz w:val="22"/>
                <w:szCs w:val="22"/>
              </w:rPr>
              <w:t xml:space="preserve">200 </w:t>
            </w:r>
          </w:p>
        </w:tc>
        <w:tc>
          <w:tcPr>
            <w:tcW w:w="870" w:type="pct"/>
            <w:tcBorders>
              <w:bottom w:val="single" w:sz="4" w:space="0" w:color="auto"/>
            </w:tcBorders>
            <w:shd w:val="clear" w:color="auto" w:fill="auto"/>
            <w:vAlign w:val="center"/>
          </w:tcPr>
          <w:p w14:paraId="58B2BEF8" w14:textId="32990E8F"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36,813</w:t>
            </w:r>
          </w:p>
        </w:tc>
        <w:tc>
          <w:tcPr>
            <w:tcW w:w="1087" w:type="pct"/>
            <w:tcBorders>
              <w:bottom w:val="single" w:sz="4" w:space="0" w:color="auto"/>
            </w:tcBorders>
            <w:vAlign w:val="bottom"/>
          </w:tcPr>
          <w:p w14:paraId="5C552701" w14:textId="0A32985A"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7,363</w:t>
            </w:r>
          </w:p>
        </w:tc>
      </w:tr>
      <w:tr w:rsidR="00D53F6E" w:rsidRPr="00C876EE" w14:paraId="156189DC" w14:textId="77777777" w:rsidTr="003152A6">
        <w:trPr>
          <w:cantSplit/>
        </w:trPr>
        <w:tc>
          <w:tcPr>
            <w:tcW w:w="2317" w:type="pct"/>
            <w:shd w:val="clear" w:color="auto" w:fill="auto"/>
            <w:vAlign w:val="center"/>
          </w:tcPr>
          <w:p w14:paraId="773FB3F0" w14:textId="520B65FF" w:rsidR="00D53F6E" w:rsidRPr="00C876EE" w:rsidRDefault="00D53F6E" w:rsidP="00581A50">
            <w:pPr>
              <w:rPr>
                <w:rFonts w:asciiTheme="minorHAnsi" w:hAnsiTheme="minorHAnsi" w:cstheme="minorHAnsi"/>
                <w:sz w:val="22"/>
                <w:szCs w:val="22"/>
              </w:rPr>
            </w:pPr>
            <w:r w:rsidRPr="0069120B">
              <w:rPr>
                <w:rFonts w:ascii="Calibri" w:hAnsi="Calibri" w:cs="Calibri"/>
                <w:color w:val="000000"/>
                <w:sz w:val="22"/>
                <w:szCs w:val="22"/>
              </w:rPr>
              <w:t>Job Ready Employment</w:t>
            </w:r>
          </w:p>
        </w:tc>
        <w:tc>
          <w:tcPr>
            <w:tcW w:w="726" w:type="pct"/>
            <w:shd w:val="clear" w:color="auto" w:fill="auto"/>
            <w:vAlign w:val="center"/>
          </w:tcPr>
          <w:p w14:paraId="75D1130A" w14:textId="1A54D569" w:rsidR="00D53F6E" w:rsidRPr="00315AC4" w:rsidRDefault="00D53F6E" w:rsidP="00581A50">
            <w:pPr>
              <w:jc w:val="right"/>
              <w:rPr>
                <w:rFonts w:ascii="Calibri" w:hAnsi="Calibri" w:cs="Calibri"/>
                <w:color w:val="000000"/>
                <w:sz w:val="22"/>
                <w:szCs w:val="22"/>
              </w:rPr>
            </w:pPr>
            <w:r>
              <w:rPr>
                <w:rFonts w:ascii="Calibri" w:hAnsi="Calibri" w:cs="Calibri"/>
                <w:color w:val="000000"/>
                <w:sz w:val="22"/>
                <w:szCs w:val="22"/>
              </w:rPr>
              <w:t>450</w:t>
            </w:r>
          </w:p>
        </w:tc>
        <w:tc>
          <w:tcPr>
            <w:tcW w:w="870" w:type="pct"/>
            <w:shd w:val="clear" w:color="auto" w:fill="auto"/>
            <w:vAlign w:val="center"/>
          </w:tcPr>
          <w:p w14:paraId="70D44C62" w14:textId="3D5525EC"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25,671</w:t>
            </w:r>
          </w:p>
        </w:tc>
        <w:tc>
          <w:tcPr>
            <w:tcW w:w="1087" w:type="pct"/>
            <w:shd w:val="clear" w:color="auto" w:fill="auto"/>
            <w:vAlign w:val="bottom"/>
          </w:tcPr>
          <w:p w14:paraId="1B833F38" w14:textId="438BD497"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11,552</w:t>
            </w:r>
          </w:p>
        </w:tc>
      </w:tr>
      <w:tr w:rsidR="00D53F6E" w:rsidRPr="00C876EE" w14:paraId="1CB55E31" w14:textId="77777777" w:rsidTr="003152A6">
        <w:trPr>
          <w:cantSplit/>
        </w:trPr>
        <w:tc>
          <w:tcPr>
            <w:tcW w:w="2317" w:type="pct"/>
            <w:shd w:val="clear" w:color="auto" w:fill="auto"/>
            <w:vAlign w:val="center"/>
          </w:tcPr>
          <w:p w14:paraId="59F26E73" w14:textId="66678E94" w:rsidR="00D53F6E" w:rsidRPr="00C876EE" w:rsidRDefault="00D53F6E" w:rsidP="00581A50">
            <w:pPr>
              <w:rPr>
                <w:rFonts w:asciiTheme="minorHAnsi" w:hAnsiTheme="minorHAnsi" w:cstheme="minorHAnsi"/>
                <w:sz w:val="22"/>
                <w:szCs w:val="22"/>
              </w:rPr>
            </w:pPr>
            <w:r w:rsidRPr="0069120B">
              <w:rPr>
                <w:rFonts w:ascii="Calibri" w:hAnsi="Calibri" w:cs="Calibri"/>
                <w:color w:val="000000"/>
                <w:sz w:val="22"/>
                <w:szCs w:val="22"/>
              </w:rPr>
              <w:t>Job Ready Workplace Assessment</w:t>
            </w:r>
          </w:p>
        </w:tc>
        <w:tc>
          <w:tcPr>
            <w:tcW w:w="726" w:type="pct"/>
            <w:shd w:val="clear" w:color="auto" w:fill="auto"/>
            <w:vAlign w:val="center"/>
          </w:tcPr>
          <w:p w14:paraId="191D59CE" w14:textId="2DD5A8EC" w:rsidR="00D53F6E" w:rsidRPr="00315AC4" w:rsidRDefault="00D53F6E" w:rsidP="00581A50">
            <w:pPr>
              <w:jc w:val="right"/>
              <w:rPr>
                <w:rFonts w:ascii="Calibri" w:hAnsi="Calibri" w:cs="Calibri"/>
                <w:color w:val="000000"/>
                <w:sz w:val="22"/>
                <w:szCs w:val="22"/>
              </w:rPr>
            </w:pPr>
            <w:r>
              <w:rPr>
                <w:rFonts w:ascii="Calibri" w:hAnsi="Calibri" w:cs="Calibri"/>
                <w:color w:val="000000"/>
                <w:sz w:val="22"/>
                <w:szCs w:val="22"/>
              </w:rPr>
              <w:t>2,540</w:t>
            </w:r>
          </w:p>
        </w:tc>
        <w:tc>
          <w:tcPr>
            <w:tcW w:w="870" w:type="pct"/>
            <w:shd w:val="clear" w:color="auto" w:fill="auto"/>
            <w:vAlign w:val="center"/>
          </w:tcPr>
          <w:p w14:paraId="160AF853" w14:textId="1A9410CC"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22,369</w:t>
            </w:r>
          </w:p>
        </w:tc>
        <w:tc>
          <w:tcPr>
            <w:tcW w:w="1087" w:type="pct"/>
            <w:shd w:val="clear" w:color="auto" w:fill="auto"/>
            <w:vAlign w:val="bottom"/>
          </w:tcPr>
          <w:p w14:paraId="3DE53C61" w14:textId="78BE2173"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56,816</w:t>
            </w:r>
          </w:p>
        </w:tc>
      </w:tr>
      <w:tr w:rsidR="00D53F6E" w:rsidRPr="00C876EE" w14:paraId="4FC6DAD8" w14:textId="77777777" w:rsidTr="003152A6">
        <w:trPr>
          <w:cantSplit/>
        </w:trPr>
        <w:tc>
          <w:tcPr>
            <w:tcW w:w="2317" w:type="pct"/>
            <w:shd w:val="clear" w:color="auto" w:fill="auto"/>
            <w:vAlign w:val="center"/>
          </w:tcPr>
          <w:p w14:paraId="74EB4FC5" w14:textId="31163010" w:rsidR="00D53F6E" w:rsidRPr="00C876EE" w:rsidRDefault="00D53F6E" w:rsidP="00581A50">
            <w:pPr>
              <w:rPr>
                <w:rFonts w:asciiTheme="minorHAnsi" w:hAnsiTheme="minorHAnsi" w:cstheme="minorHAnsi"/>
                <w:sz w:val="22"/>
                <w:szCs w:val="22"/>
              </w:rPr>
            </w:pPr>
            <w:r>
              <w:rPr>
                <w:rFonts w:ascii="Calibri" w:hAnsi="Calibri" w:cs="Calibri"/>
                <w:color w:val="000000"/>
                <w:sz w:val="22"/>
                <w:szCs w:val="22"/>
              </w:rPr>
              <w:t>Job Ready Final Assessment</w:t>
            </w:r>
          </w:p>
        </w:tc>
        <w:tc>
          <w:tcPr>
            <w:tcW w:w="726" w:type="pct"/>
            <w:shd w:val="clear" w:color="auto" w:fill="auto"/>
            <w:vAlign w:val="center"/>
          </w:tcPr>
          <w:p w14:paraId="3ECB0232" w14:textId="3B3EB63F" w:rsidR="00D53F6E" w:rsidRPr="00315AC4" w:rsidRDefault="00D53F6E" w:rsidP="00581A50">
            <w:pPr>
              <w:jc w:val="right"/>
              <w:rPr>
                <w:rFonts w:ascii="Calibri" w:hAnsi="Calibri" w:cs="Calibri"/>
                <w:color w:val="000000"/>
                <w:sz w:val="22"/>
                <w:szCs w:val="22"/>
              </w:rPr>
            </w:pPr>
            <w:r>
              <w:rPr>
                <w:rFonts w:ascii="Calibri" w:hAnsi="Calibri" w:cs="Calibri"/>
                <w:color w:val="000000"/>
                <w:sz w:val="22"/>
                <w:szCs w:val="22"/>
              </w:rPr>
              <w:t>65</w:t>
            </w:r>
          </w:p>
        </w:tc>
        <w:tc>
          <w:tcPr>
            <w:tcW w:w="870" w:type="pct"/>
            <w:shd w:val="clear" w:color="auto" w:fill="auto"/>
            <w:vAlign w:val="center"/>
          </w:tcPr>
          <w:p w14:paraId="0D200C64" w14:textId="76B50BD6"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20,815</w:t>
            </w:r>
          </w:p>
        </w:tc>
        <w:tc>
          <w:tcPr>
            <w:tcW w:w="1087" w:type="pct"/>
            <w:shd w:val="clear" w:color="auto" w:fill="auto"/>
            <w:vAlign w:val="bottom"/>
          </w:tcPr>
          <w:p w14:paraId="218802BD" w14:textId="6FE25FF5"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1,353</w:t>
            </w:r>
          </w:p>
        </w:tc>
      </w:tr>
      <w:tr w:rsidR="00D53F6E" w:rsidRPr="00C876EE" w14:paraId="0D2D0483" w14:textId="77777777" w:rsidTr="003152A6">
        <w:trPr>
          <w:cantSplit/>
        </w:trPr>
        <w:tc>
          <w:tcPr>
            <w:tcW w:w="2317" w:type="pct"/>
            <w:shd w:val="clear" w:color="auto" w:fill="auto"/>
            <w:vAlign w:val="center"/>
          </w:tcPr>
          <w:p w14:paraId="264D85F8" w14:textId="5A88285F" w:rsidR="00D53F6E" w:rsidRPr="00C876EE" w:rsidRDefault="00D53F6E" w:rsidP="00581A50">
            <w:pPr>
              <w:rPr>
                <w:rFonts w:asciiTheme="minorHAnsi" w:hAnsiTheme="minorHAnsi" w:cstheme="minorHAnsi"/>
                <w:sz w:val="22"/>
                <w:szCs w:val="22"/>
              </w:rPr>
            </w:pPr>
            <w:r>
              <w:rPr>
                <w:rFonts w:ascii="Calibri" w:hAnsi="Calibri" w:cs="Calibri"/>
                <w:color w:val="000000"/>
                <w:sz w:val="22"/>
                <w:szCs w:val="22"/>
              </w:rPr>
              <w:t>Migration Skills Assessment</w:t>
            </w:r>
          </w:p>
        </w:tc>
        <w:tc>
          <w:tcPr>
            <w:tcW w:w="726" w:type="pct"/>
            <w:shd w:val="clear" w:color="auto" w:fill="auto"/>
            <w:vAlign w:val="center"/>
          </w:tcPr>
          <w:p w14:paraId="7060B790" w14:textId="3481B3C8"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720</w:t>
            </w:r>
          </w:p>
        </w:tc>
        <w:tc>
          <w:tcPr>
            <w:tcW w:w="870" w:type="pct"/>
            <w:shd w:val="clear" w:color="auto" w:fill="auto"/>
            <w:vAlign w:val="center"/>
          </w:tcPr>
          <w:p w14:paraId="496F15F5" w14:textId="3F36EFDD"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6,851</w:t>
            </w:r>
          </w:p>
        </w:tc>
        <w:tc>
          <w:tcPr>
            <w:tcW w:w="1087" w:type="pct"/>
            <w:shd w:val="clear" w:color="auto" w:fill="auto"/>
            <w:vAlign w:val="bottom"/>
          </w:tcPr>
          <w:p w14:paraId="45AA4194" w14:textId="6EDACF61" w:rsidR="00D53F6E" w:rsidRPr="00713CC2" w:rsidRDefault="00D53F6E" w:rsidP="00581A50">
            <w:pPr>
              <w:jc w:val="right"/>
              <w:rPr>
                <w:rFonts w:asciiTheme="minorHAnsi" w:hAnsiTheme="minorHAnsi" w:cstheme="minorHAnsi"/>
                <w:color w:val="000000"/>
                <w:sz w:val="22"/>
                <w:szCs w:val="22"/>
              </w:rPr>
            </w:pPr>
            <w:r>
              <w:rPr>
                <w:rFonts w:ascii="Calibri" w:hAnsi="Calibri" w:cs="Calibri"/>
                <w:color w:val="000000"/>
                <w:sz w:val="22"/>
                <w:szCs w:val="22"/>
              </w:rPr>
              <w:t>4,933</w:t>
            </w:r>
          </w:p>
        </w:tc>
      </w:tr>
      <w:tr w:rsidR="00D53F6E" w:rsidRPr="00C876EE" w14:paraId="697DBB42" w14:textId="77777777" w:rsidTr="003152A6">
        <w:trPr>
          <w:cantSplit/>
        </w:trPr>
        <w:tc>
          <w:tcPr>
            <w:tcW w:w="2317" w:type="pct"/>
            <w:shd w:val="clear" w:color="auto" w:fill="auto"/>
            <w:vAlign w:val="center"/>
          </w:tcPr>
          <w:p w14:paraId="50A443D0" w14:textId="5B52A044" w:rsidR="00D53F6E" w:rsidRPr="00C876EE" w:rsidRDefault="00D53F6E" w:rsidP="00581A50">
            <w:pPr>
              <w:rPr>
                <w:rFonts w:asciiTheme="minorHAnsi" w:hAnsiTheme="minorHAnsi" w:cstheme="minorHAnsi"/>
                <w:sz w:val="22"/>
                <w:szCs w:val="22"/>
              </w:rPr>
            </w:pPr>
            <w:r>
              <w:rPr>
                <w:rFonts w:ascii="Calibri" w:hAnsi="Calibri" w:cs="Calibri"/>
                <w:color w:val="000000"/>
                <w:sz w:val="22"/>
                <w:szCs w:val="22"/>
              </w:rPr>
              <w:t>Migration Skills Assessment Review</w:t>
            </w:r>
          </w:p>
        </w:tc>
        <w:tc>
          <w:tcPr>
            <w:tcW w:w="726" w:type="pct"/>
            <w:shd w:val="clear" w:color="auto" w:fill="auto"/>
            <w:vAlign w:val="center"/>
          </w:tcPr>
          <w:p w14:paraId="17DA1AFD" w14:textId="0BDB3D6D"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645</w:t>
            </w:r>
          </w:p>
        </w:tc>
        <w:tc>
          <w:tcPr>
            <w:tcW w:w="870" w:type="pct"/>
            <w:shd w:val="clear" w:color="auto" w:fill="auto"/>
            <w:vAlign w:val="center"/>
          </w:tcPr>
          <w:p w14:paraId="254A0D71" w14:textId="3C307FF6"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16</w:t>
            </w:r>
          </w:p>
        </w:tc>
        <w:tc>
          <w:tcPr>
            <w:tcW w:w="1087" w:type="pct"/>
            <w:shd w:val="clear" w:color="auto" w:fill="auto"/>
            <w:vAlign w:val="bottom"/>
          </w:tcPr>
          <w:p w14:paraId="24F25E00" w14:textId="74D04793" w:rsidR="00D53F6E" w:rsidRPr="00713CC2" w:rsidRDefault="00D53F6E" w:rsidP="00581A50">
            <w:pPr>
              <w:jc w:val="right"/>
              <w:rPr>
                <w:rFonts w:asciiTheme="minorHAnsi" w:hAnsiTheme="minorHAnsi" w:cstheme="minorHAnsi"/>
                <w:color w:val="000000"/>
                <w:sz w:val="22"/>
                <w:szCs w:val="22"/>
              </w:rPr>
            </w:pPr>
            <w:r>
              <w:rPr>
                <w:rFonts w:ascii="Calibri" w:hAnsi="Calibri" w:cs="Calibri"/>
                <w:color w:val="000000"/>
                <w:sz w:val="22"/>
                <w:szCs w:val="22"/>
              </w:rPr>
              <w:t>10</w:t>
            </w:r>
          </w:p>
        </w:tc>
      </w:tr>
      <w:tr w:rsidR="00D53F6E" w:rsidRPr="00C876EE" w14:paraId="2A766DAB" w14:textId="77777777" w:rsidTr="003152A6">
        <w:trPr>
          <w:cantSplit/>
        </w:trPr>
        <w:tc>
          <w:tcPr>
            <w:tcW w:w="2317" w:type="pct"/>
            <w:shd w:val="clear" w:color="auto" w:fill="auto"/>
            <w:vAlign w:val="center"/>
          </w:tcPr>
          <w:p w14:paraId="71CECD7F" w14:textId="7556CF74" w:rsidR="00D53F6E" w:rsidRPr="00C876EE" w:rsidRDefault="00D53F6E" w:rsidP="00581A50">
            <w:pPr>
              <w:rPr>
                <w:rFonts w:asciiTheme="minorHAnsi" w:hAnsiTheme="minorHAnsi" w:cstheme="minorHAnsi"/>
                <w:sz w:val="22"/>
                <w:szCs w:val="22"/>
              </w:rPr>
            </w:pPr>
            <w:r>
              <w:rPr>
                <w:rFonts w:ascii="Calibri" w:hAnsi="Calibri" w:cs="Calibri"/>
                <w:color w:val="000000"/>
                <w:sz w:val="22"/>
                <w:szCs w:val="22"/>
              </w:rPr>
              <w:t>Migration Points Advice</w:t>
            </w:r>
          </w:p>
        </w:tc>
        <w:tc>
          <w:tcPr>
            <w:tcW w:w="726" w:type="pct"/>
            <w:shd w:val="clear" w:color="auto" w:fill="auto"/>
            <w:vAlign w:val="center"/>
          </w:tcPr>
          <w:p w14:paraId="328DB963" w14:textId="1E619B7D"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410</w:t>
            </w:r>
          </w:p>
        </w:tc>
        <w:tc>
          <w:tcPr>
            <w:tcW w:w="870" w:type="pct"/>
            <w:shd w:val="clear" w:color="auto" w:fill="auto"/>
            <w:vAlign w:val="center"/>
          </w:tcPr>
          <w:p w14:paraId="020DE5EF" w14:textId="76B5EC20"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1,195</w:t>
            </w:r>
          </w:p>
        </w:tc>
        <w:tc>
          <w:tcPr>
            <w:tcW w:w="1087" w:type="pct"/>
            <w:shd w:val="clear" w:color="auto" w:fill="auto"/>
            <w:vAlign w:val="bottom"/>
          </w:tcPr>
          <w:p w14:paraId="6A3AA291" w14:textId="2196D81D" w:rsidR="00D53F6E" w:rsidRPr="00713CC2" w:rsidRDefault="00D53F6E" w:rsidP="00581A50">
            <w:pPr>
              <w:jc w:val="right"/>
              <w:rPr>
                <w:rFonts w:asciiTheme="minorHAnsi" w:hAnsiTheme="minorHAnsi" w:cstheme="minorHAnsi"/>
                <w:color w:val="000000"/>
                <w:sz w:val="22"/>
                <w:szCs w:val="22"/>
              </w:rPr>
            </w:pPr>
            <w:r>
              <w:rPr>
                <w:rFonts w:ascii="Calibri" w:hAnsi="Calibri" w:cs="Calibri"/>
                <w:color w:val="000000"/>
                <w:sz w:val="22"/>
                <w:szCs w:val="22"/>
              </w:rPr>
              <w:t>490</w:t>
            </w:r>
          </w:p>
        </w:tc>
      </w:tr>
      <w:tr w:rsidR="00D53F6E" w:rsidRPr="00C876EE" w14:paraId="4C296A87" w14:textId="77777777" w:rsidTr="003152A6">
        <w:trPr>
          <w:cantSplit/>
        </w:trPr>
        <w:tc>
          <w:tcPr>
            <w:tcW w:w="2317" w:type="pct"/>
            <w:tcBorders>
              <w:bottom w:val="single" w:sz="4" w:space="0" w:color="auto"/>
            </w:tcBorders>
            <w:shd w:val="clear" w:color="auto" w:fill="auto"/>
            <w:vAlign w:val="center"/>
          </w:tcPr>
          <w:p w14:paraId="20FB300F" w14:textId="32ED91E0" w:rsidR="00D53F6E" w:rsidRPr="00C876EE" w:rsidRDefault="00D53F6E" w:rsidP="00581A50">
            <w:pPr>
              <w:rPr>
                <w:rFonts w:asciiTheme="minorHAnsi" w:hAnsiTheme="minorHAnsi" w:cstheme="minorHAnsi"/>
                <w:sz w:val="22"/>
                <w:szCs w:val="22"/>
              </w:rPr>
            </w:pPr>
            <w:r>
              <w:rPr>
                <w:rFonts w:ascii="Calibri" w:hAnsi="Calibri" w:cs="Calibri"/>
                <w:color w:val="000000"/>
                <w:sz w:val="22"/>
                <w:szCs w:val="22"/>
              </w:rPr>
              <w:t>Migration Points Advice Review</w:t>
            </w:r>
          </w:p>
        </w:tc>
        <w:tc>
          <w:tcPr>
            <w:tcW w:w="726" w:type="pct"/>
            <w:tcBorders>
              <w:bottom w:val="single" w:sz="4" w:space="0" w:color="auto"/>
            </w:tcBorders>
            <w:shd w:val="clear" w:color="auto" w:fill="auto"/>
            <w:vAlign w:val="center"/>
          </w:tcPr>
          <w:p w14:paraId="5044037C" w14:textId="5F0200D6" w:rsidR="00D53F6E" w:rsidRPr="00713CC2" w:rsidRDefault="00D53F6E" w:rsidP="00581A50">
            <w:pPr>
              <w:jc w:val="right"/>
              <w:rPr>
                <w:rFonts w:asciiTheme="minorHAnsi" w:hAnsiTheme="minorHAnsi" w:cstheme="minorHAnsi"/>
                <w:sz w:val="22"/>
                <w:szCs w:val="22"/>
              </w:rPr>
            </w:pPr>
            <w:r>
              <w:rPr>
                <w:rFonts w:ascii="Calibri" w:hAnsi="Calibri" w:cs="Calibri"/>
                <w:color w:val="000000"/>
                <w:sz w:val="22"/>
                <w:szCs w:val="22"/>
              </w:rPr>
              <w:t>350</w:t>
            </w:r>
          </w:p>
        </w:tc>
        <w:tc>
          <w:tcPr>
            <w:tcW w:w="870" w:type="pct"/>
            <w:tcBorders>
              <w:bottom w:val="single" w:sz="4" w:space="0" w:color="auto"/>
            </w:tcBorders>
            <w:shd w:val="clear" w:color="auto" w:fill="auto"/>
            <w:vAlign w:val="center"/>
          </w:tcPr>
          <w:p w14:paraId="5C467D91" w14:textId="364E7500" w:rsidR="00D53F6E" w:rsidRPr="00713CC2" w:rsidRDefault="00D53F6E" w:rsidP="00581A50">
            <w:pPr>
              <w:jc w:val="right"/>
              <w:rPr>
                <w:rFonts w:asciiTheme="minorHAnsi" w:hAnsiTheme="minorHAnsi" w:cstheme="minorHAnsi"/>
                <w:sz w:val="22"/>
                <w:szCs w:val="22"/>
              </w:rPr>
            </w:pPr>
            <w:r>
              <w:rPr>
                <w:rFonts w:ascii="Calibri" w:hAnsi="Calibri" w:cs="Calibri"/>
                <w:sz w:val="22"/>
                <w:szCs w:val="22"/>
              </w:rPr>
              <w:t>8</w:t>
            </w:r>
          </w:p>
        </w:tc>
        <w:tc>
          <w:tcPr>
            <w:tcW w:w="1087" w:type="pct"/>
            <w:shd w:val="clear" w:color="auto" w:fill="auto"/>
            <w:vAlign w:val="bottom"/>
          </w:tcPr>
          <w:p w14:paraId="174C157F" w14:textId="6AE6F000" w:rsidR="00D53F6E" w:rsidRPr="00713CC2" w:rsidRDefault="00D53F6E" w:rsidP="00581A50">
            <w:pPr>
              <w:jc w:val="right"/>
              <w:rPr>
                <w:rFonts w:asciiTheme="minorHAnsi" w:hAnsiTheme="minorHAnsi" w:cstheme="minorHAnsi"/>
                <w:color w:val="000000"/>
                <w:sz w:val="22"/>
                <w:szCs w:val="22"/>
              </w:rPr>
            </w:pPr>
            <w:r>
              <w:rPr>
                <w:rFonts w:ascii="Calibri" w:hAnsi="Calibri" w:cs="Calibri"/>
                <w:color w:val="000000"/>
                <w:sz w:val="22"/>
                <w:szCs w:val="22"/>
              </w:rPr>
              <w:t>3</w:t>
            </w:r>
          </w:p>
        </w:tc>
      </w:tr>
      <w:tr w:rsidR="00D53F6E" w:rsidRPr="00C876EE" w14:paraId="533348D5" w14:textId="77777777" w:rsidTr="003152A6">
        <w:trPr>
          <w:cantSplit/>
        </w:trPr>
        <w:tc>
          <w:tcPr>
            <w:tcW w:w="2317" w:type="pct"/>
            <w:tcBorders>
              <w:bottom w:val="single" w:sz="4" w:space="0" w:color="auto"/>
            </w:tcBorders>
            <w:shd w:val="clear" w:color="auto" w:fill="auto"/>
            <w:vAlign w:val="center"/>
          </w:tcPr>
          <w:p w14:paraId="11CB783D" w14:textId="0FA32F60" w:rsidR="00D53F6E" w:rsidRPr="00CA588A" w:rsidRDefault="00D53F6E" w:rsidP="00581A50">
            <w:pPr>
              <w:rPr>
                <w:rFonts w:ascii="Calibri" w:hAnsi="Calibri" w:cs="Calibri"/>
                <w:b/>
                <w:bCs/>
                <w:color w:val="000000"/>
                <w:sz w:val="22"/>
                <w:szCs w:val="22"/>
              </w:rPr>
            </w:pPr>
            <w:r w:rsidRPr="00CA588A">
              <w:rPr>
                <w:rFonts w:ascii="Calibri" w:hAnsi="Calibri" w:cs="Calibri"/>
                <w:b/>
                <w:bCs/>
                <w:color w:val="000000"/>
                <w:sz w:val="22"/>
                <w:szCs w:val="22"/>
              </w:rPr>
              <w:t>Total revenue</w:t>
            </w:r>
          </w:p>
        </w:tc>
        <w:tc>
          <w:tcPr>
            <w:tcW w:w="726" w:type="pct"/>
            <w:tcBorders>
              <w:bottom w:val="single" w:sz="4" w:space="0" w:color="auto"/>
            </w:tcBorders>
            <w:shd w:val="clear" w:color="auto" w:fill="auto"/>
            <w:vAlign w:val="center"/>
          </w:tcPr>
          <w:p w14:paraId="45D07076" w14:textId="77777777" w:rsidR="00D53F6E" w:rsidRDefault="00D53F6E" w:rsidP="00581A50">
            <w:pPr>
              <w:jc w:val="right"/>
              <w:rPr>
                <w:rFonts w:ascii="Calibri" w:hAnsi="Calibri" w:cs="Calibri"/>
                <w:color w:val="000000"/>
                <w:sz w:val="22"/>
                <w:szCs w:val="22"/>
              </w:rPr>
            </w:pPr>
          </w:p>
        </w:tc>
        <w:tc>
          <w:tcPr>
            <w:tcW w:w="870" w:type="pct"/>
            <w:tcBorders>
              <w:bottom w:val="single" w:sz="4" w:space="0" w:color="auto"/>
            </w:tcBorders>
            <w:shd w:val="clear" w:color="auto" w:fill="auto"/>
            <w:vAlign w:val="center"/>
          </w:tcPr>
          <w:p w14:paraId="68773076" w14:textId="77777777" w:rsidR="00D53F6E" w:rsidRDefault="00D53F6E" w:rsidP="00581A50">
            <w:pPr>
              <w:jc w:val="right"/>
              <w:rPr>
                <w:rFonts w:ascii="Calibri" w:hAnsi="Calibri" w:cs="Calibri"/>
                <w:sz w:val="22"/>
                <w:szCs w:val="22"/>
              </w:rPr>
            </w:pPr>
          </w:p>
        </w:tc>
        <w:tc>
          <w:tcPr>
            <w:tcW w:w="1087" w:type="pct"/>
            <w:shd w:val="clear" w:color="auto" w:fill="auto"/>
            <w:vAlign w:val="bottom"/>
          </w:tcPr>
          <w:p w14:paraId="3F8B17A7" w14:textId="1A8F45B0" w:rsidR="00D53F6E" w:rsidRDefault="00D53F6E" w:rsidP="00581A50">
            <w:pPr>
              <w:jc w:val="right"/>
              <w:rPr>
                <w:rFonts w:ascii="Calibri" w:hAnsi="Calibri" w:cs="Calibri"/>
                <w:color w:val="000000"/>
                <w:sz w:val="22"/>
                <w:szCs w:val="22"/>
              </w:rPr>
            </w:pPr>
            <w:r>
              <w:rPr>
                <w:rFonts w:ascii="Calibri" w:hAnsi="Calibri" w:cs="Calibri"/>
                <w:color w:val="000000"/>
                <w:sz w:val="22"/>
                <w:szCs w:val="22"/>
              </w:rPr>
              <w:t>82,519</w:t>
            </w:r>
          </w:p>
        </w:tc>
      </w:tr>
    </w:tbl>
    <w:p w14:paraId="2B63F464" w14:textId="77777777" w:rsidR="00E8198E" w:rsidRDefault="00E8198E" w:rsidP="00E8198E">
      <w:pPr>
        <w:pStyle w:val="Heading1"/>
        <w:spacing w:before="0" w:line="240" w:lineRule="auto"/>
      </w:pPr>
      <w:bookmarkStart w:id="8" w:name="calculationofcosts"/>
      <w:bookmarkEnd w:id="5"/>
      <w:bookmarkEnd w:id="6"/>
      <w:bookmarkEnd w:id="7"/>
    </w:p>
    <w:p w14:paraId="1B91835D" w14:textId="24494EE2" w:rsidR="008B679D" w:rsidRPr="00FF488E" w:rsidRDefault="008B679D" w:rsidP="00684205">
      <w:pPr>
        <w:pStyle w:val="Heading1"/>
      </w:pPr>
      <w:r w:rsidRPr="00FF488E">
        <w:t xml:space="preserve">4. </w:t>
      </w:r>
      <w:r w:rsidRPr="00FF488E">
        <w:tab/>
        <w:t>RISK ASSESSMENT</w:t>
      </w:r>
    </w:p>
    <w:p w14:paraId="7DB595FF" w14:textId="05B5EB68" w:rsidR="00E71266" w:rsidRPr="00FF488E" w:rsidRDefault="009C5846" w:rsidP="00B61D25">
      <w:pPr>
        <w:pStyle w:val="CRISbodytext"/>
      </w:pPr>
      <w:r w:rsidRPr="00FF488E">
        <w:t xml:space="preserve">Demand estimates are based on current registration numbers, which is the best available data; however, actuals for any given year may differ. </w:t>
      </w:r>
      <w:r w:rsidR="002D67D1" w:rsidRPr="00FF488E">
        <w:t xml:space="preserve">A risk for TRA is that if actual demand varies significantly from the forecast, the fees may over or under recover the delivery costs of the activity. </w:t>
      </w:r>
      <w:r w:rsidR="00E71266" w:rsidRPr="00FF488E">
        <w:t>This may occur due to external factors such as changes to global migration patterns, skilled migration reforms, and the unemployment rate, both in Australia and globally. These factors are harder to predict due to COVID</w:t>
      </w:r>
      <w:r w:rsidR="00E71266" w:rsidRPr="00FF488E">
        <w:noBreakHyphen/>
        <w:t xml:space="preserve">19 and its continued </w:t>
      </w:r>
      <w:r w:rsidR="00995A70" w:rsidRPr="00FF488E">
        <w:t>effect</w:t>
      </w:r>
      <w:r w:rsidR="00E71266" w:rsidRPr="00FF488E">
        <w:t xml:space="preserve"> on global markets.</w:t>
      </w:r>
    </w:p>
    <w:p w14:paraId="0EF54814" w14:textId="085C9902" w:rsidR="00BB7150" w:rsidRDefault="002D0A71" w:rsidP="00B61D25">
      <w:pPr>
        <w:pStyle w:val="CRISbodytext"/>
      </w:pPr>
      <w:r w:rsidRPr="00FF488E">
        <w:t xml:space="preserve">As part of the design of the </w:t>
      </w:r>
      <w:r w:rsidR="0057094D" w:rsidRPr="00FF488E">
        <w:t>CRIS</w:t>
      </w:r>
      <w:r w:rsidR="002C0F21" w:rsidRPr="00FF488E">
        <w:t>,</w:t>
      </w:r>
      <w:r w:rsidR="008B752C" w:rsidRPr="00FF488E">
        <w:t xml:space="preserve"> </w:t>
      </w:r>
      <w:r w:rsidRPr="00FF488E">
        <w:t xml:space="preserve">TRA completed </w:t>
      </w:r>
      <w:r w:rsidRPr="00FD58C1">
        <w:t>a Charging Risk Assessment (CRA)</w:t>
      </w:r>
      <w:r w:rsidR="005544F8">
        <w:t>, pursuant to the Charging Framework.</w:t>
      </w:r>
      <w:r w:rsidRPr="00FF488E">
        <w:t xml:space="preserve"> According to the CRA methodology, </w:t>
      </w:r>
      <w:r w:rsidR="00804E0B" w:rsidRPr="00FF488E">
        <w:t>the overall rating for the</w:t>
      </w:r>
      <w:r w:rsidR="00FF48D3" w:rsidRPr="00FF488E">
        <w:t xml:space="preserve"> proposed cost recovery model for</w:t>
      </w:r>
      <w:r w:rsidR="00804E0B" w:rsidRPr="00FF488E">
        <w:t xml:space="preserve"> </w:t>
      </w:r>
      <w:r w:rsidR="00FF48D3" w:rsidRPr="00FF488E">
        <w:t>TRA</w:t>
      </w:r>
      <w:r w:rsidR="00804E0B" w:rsidRPr="00FF488E">
        <w:t xml:space="preserve"> </w:t>
      </w:r>
      <w:r w:rsidR="001842D0" w:rsidRPr="00FF488E">
        <w:t>i</w:t>
      </w:r>
      <w:r w:rsidR="00804E0B" w:rsidRPr="00FF488E">
        <w:t xml:space="preserve">s </w:t>
      </w:r>
      <w:r w:rsidR="000C18C6" w:rsidRPr="00FF488E">
        <w:t>high</w:t>
      </w:r>
      <w:r w:rsidR="008B752C" w:rsidRPr="00FF488E">
        <w:t xml:space="preserve">. </w:t>
      </w:r>
      <w:r w:rsidR="00DF0060" w:rsidRPr="00F414C6">
        <w:t xml:space="preserve">There is an inherent risk that, over time, these fees may not capture the efficient cost of service delivery. </w:t>
      </w:r>
    </w:p>
    <w:p w14:paraId="0EC80E8C" w14:textId="72DAD1AC" w:rsidR="00BB7150" w:rsidRPr="00FF488E" w:rsidRDefault="00BB7150" w:rsidP="00B61D25">
      <w:pPr>
        <w:pStyle w:val="CRISbodytext"/>
      </w:pPr>
      <w:r w:rsidRPr="00FF488E">
        <w:t>If actual demand varies from the forecast by more than 20 per cent, the CRIS will be reviewed for the following year and fees changed based on revised expectations if needed.</w:t>
      </w:r>
      <w:r>
        <w:t xml:space="preserve"> </w:t>
      </w:r>
      <w:r w:rsidRPr="00FF488E">
        <w:t>TRA will inform applicants of any changes by publishing notifications on the TRA website.</w:t>
      </w:r>
    </w:p>
    <w:p w14:paraId="0F383D1B" w14:textId="1F8B22D2" w:rsidR="006F5745" w:rsidRPr="006F5745" w:rsidRDefault="006F5745" w:rsidP="00B61D25">
      <w:pPr>
        <w:pStyle w:val="CRISbodytext"/>
      </w:pPr>
      <w:bookmarkStart w:id="9" w:name="_Hlk73950999"/>
      <w:bookmarkStart w:id="10" w:name="_Hlk73965926"/>
      <w:bookmarkStart w:id="11" w:name="_Hlk73965848"/>
      <w:r w:rsidRPr="006F5745">
        <w:t xml:space="preserve">The department </w:t>
      </w:r>
      <w:r w:rsidR="005544F8">
        <w:t xml:space="preserve">will </w:t>
      </w:r>
      <w:r w:rsidRPr="006F5745">
        <w:t xml:space="preserve">undertake an initial review of the JRP, MSA and MPA cost model </w:t>
      </w:r>
      <w:r>
        <w:t xml:space="preserve">in July </w:t>
      </w:r>
      <w:r w:rsidRPr="006F5745">
        <w:t xml:space="preserve">2022. A review of the OSAP and TSS cost model will also be undertaken at this time, allowing both updated models to be amalgamated to reflect a single TRA cost recovery model. An initial review in July 2022 will allow any fee changes required as a result of new contracting arrangements that TRA enters into with providers to deliver services on its behalf, to be made and take effect by around September 2022. Following this initial review, the single TRA cost recovery model will be reviewed biennially, commencing in 2024-25.  </w:t>
      </w:r>
    </w:p>
    <w:bookmarkEnd w:id="9"/>
    <w:bookmarkEnd w:id="10"/>
    <w:bookmarkEnd w:id="11"/>
    <w:p w14:paraId="05D6EE41" w14:textId="77777777" w:rsidR="008B679D" w:rsidRPr="00684205" w:rsidRDefault="008B679D" w:rsidP="00684205">
      <w:pPr>
        <w:pStyle w:val="Heading1"/>
      </w:pPr>
      <w:r w:rsidRPr="00684205">
        <w:t xml:space="preserve">5. </w:t>
      </w:r>
      <w:r w:rsidRPr="00684205">
        <w:tab/>
        <w:t>STAKEHOLDER ENGAGEMENT</w:t>
      </w:r>
    </w:p>
    <w:p w14:paraId="039E8026" w14:textId="3EF68AEF" w:rsidR="000436A0" w:rsidRDefault="00703546" w:rsidP="00B61D25">
      <w:pPr>
        <w:pStyle w:val="CRISbodytext"/>
      </w:pPr>
      <w:bookmarkStart w:id="12" w:name="_Hlk73611495"/>
      <w:r>
        <w:t>To</w:t>
      </w:r>
      <w:r w:rsidR="00696D25" w:rsidRPr="00FF488E">
        <w:t xml:space="preserve"> provide applicants and other stakeholders</w:t>
      </w:r>
      <w:r w:rsidR="006067DF" w:rsidRPr="00FF488E">
        <w:t xml:space="preserve">, such as migration agents and </w:t>
      </w:r>
      <w:r w:rsidR="00DF6D76">
        <w:t>RTOs</w:t>
      </w:r>
      <w:r w:rsidR="006067DF" w:rsidRPr="00FF488E">
        <w:t>,</w:t>
      </w:r>
      <w:r w:rsidR="00696D25" w:rsidRPr="00FF488E">
        <w:t xml:space="preserve"> the opportunity to comment on the cost recovery arrangements, </w:t>
      </w:r>
      <w:r w:rsidR="000436A0">
        <w:t>TRA released a Consultation Paper on the Department’s</w:t>
      </w:r>
      <w:r w:rsidR="00ED48B9">
        <w:t xml:space="preserve"> website. An</w:t>
      </w:r>
      <w:r w:rsidR="000436A0">
        <w:t xml:space="preserve"> </w:t>
      </w:r>
      <w:r w:rsidR="000D5D70">
        <w:t>a</w:t>
      </w:r>
      <w:r w:rsidR="000436A0">
        <w:t xml:space="preserve">nnouncement </w:t>
      </w:r>
      <w:r w:rsidR="00ED48B9">
        <w:t xml:space="preserve">about the consultation process </w:t>
      </w:r>
      <w:r w:rsidR="000436A0">
        <w:t>was made o</w:t>
      </w:r>
      <w:r w:rsidR="00ED48B9">
        <w:t>n</w:t>
      </w:r>
      <w:r w:rsidR="000436A0">
        <w:t xml:space="preserve"> the TRA page of the Department’s website</w:t>
      </w:r>
      <w:r w:rsidR="00CD29C2">
        <w:t>,</w:t>
      </w:r>
      <w:r w:rsidR="000436A0">
        <w:t xml:space="preserve"> as well as a </w:t>
      </w:r>
      <w:r w:rsidR="000D5D70">
        <w:t>news item on</w:t>
      </w:r>
      <w:r w:rsidR="000436A0">
        <w:t xml:space="preserve"> the TRA website with a link to the paper. </w:t>
      </w:r>
      <w:r w:rsidR="00ED48B9">
        <w:t>The Department also emailed key stakeholders directly to advise them of the consultation process and invite their feedback.</w:t>
      </w:r>
      <w:r w:rsidR="00ED48B9" w:rsidRPr="00ED48B9">
        <w:t xml:space="preserve"> </w:t>
      </w:r>
      <w:r w:rsidR="00ED48B9">
        <w:t>The consultation ran from 12 May 2021 to 28 May 2021.</w:t>
      </w:r>
    </w:p>
    <w:p w14:paraId="232E26EB" w14:textId="0C9E230C" w:rsidR="000436A0" w:rsidRPr="00FF488E" w:rsidRDefault="00A51528" w:rsidP="00B61D25">
      <w:pPr>
        <w:pStyle w:val="CRISbodytext"/>
      </w:pPr>
      <w:r>
        <w:t>Only o</w:t>
      </w:r>
      <w:r w:rsidR="00ED48B9">
        <w:t>ne submission was received</w:t>
      </w:r>
      <w:r w:rsidR="004E506C">
        <w:t xml:space="preserve"> </w:t>
      </w:r>
      <w:r>
        <w:t xml:space="preserve">during the consultation period </w:t>
      </w:r>
      <w:r w:rsidR="004E506C">
        <w:t>which support</w:t>
      </w:r>
      <w:r>
        <w:t>ed</w:t>
      </w:r>
      <w:r w:rsidR="004E506C">
        <w:t xml:space="preserve"> the TRA cost recovery model. The lack of submissions </w:t>
      </w:r>
      <w:r>
        <w:t>is</w:t>
      </w:r>
      <w:r w:rsidR="00ED48B9">
        <w:t xml:space="preserve"> </w:t>
      </w:r>
      <w:r w:rsidR="000436A0" w:rsidRPr="000436A0">
        <w:t xml:space="preserve">a </w:t>
      </w:r>
      <w:r w:rsidR="004E506C">
        <w:t>clear</w:t>
      </w:r>
      <w:r w:rsidR="000436A0" w:rsidRPr="000436A0">
        <w:t xml:space="preserve"> signal the proposal is non-</w:t>
      </w:r>
      <w:r w:rsidRPr="000436A0">
        <w:t>contentious,</w:t>
      </w:r>
      <w:r w:rsidR="000436A0" w:rsidRPr="000436A0">
        <w:t xml:space="preserve"> and the underpinning cost model </w:t>
      </w:r>
      <w:r w:rsidR="00CB0E22">
        <w:t xml:space="preserve">is considered to </w:t>
      </w:r>
      <w:r w:rsidR="000436A0" w:rsidRPr="000436A0">
        <w:t>reflect fair and reasonable fees</w:t>
      </w:r>
      <w:r w:rsidR="00D53F6E">
        <w:t>.</w:t>
      </w:r>
      <w:r w:rsidR="004E506C">
        <w:t xml:space="preserve"> </w:t>
      </w:r>
    </w:p>
    <w:bookmarkEnd w:id="12"/>
    <w:p w14:paraId="2D64EBB6" w14:textId="10F702D7" w:rsidR="00D53F6E" w:rsidRPr="00684205" w:rsidRDefault="008B679D" w:rsidP="00684205">
      <w:pPr>
        <w:pStyle w:val="Heading1"/>
      </w:pPr>
      <w:r w:rsidRPr="00684205">
        <w:t>6.</w:t>
      </w:r>
      <w:r w:rsidRPr="00684205">
        <w:tab/>
      </w:r>
      <w:r w:rsidR="00A136B9" w:rsidRPr="00684205">
        <w:t xml:space="preserve">FINANCIAL &amp; NON-FINANCIAL PERFORMANCE </w:t>
      </w:r>
      <w:r w:rsidR="00ED48B9" w:rsidRPr="00684205">
        <w:tab/>
      </w:r>
    </w:p>
    <w:p w14:paraId="371DA9C8" w14:textId="3D8A579D" w:rsidR="00AD0E42" w:rsidRDefault="008E4C36" w:rsidP="00B61D25">
      <w:pPr>
        <w:pStyle w:val="CRISbodytext"/>
      </w:pPr>
      <w:r w:rsidRPr="000141F9">
        <w:t xml:space="preserve">Financial performance for the TRA charging arrangement for the JRP, MSA and MPA pathways is </w:t>
      </w:r>
      <w:r w:rsidR="009D103D" w:rsidRPr="000141F9">
        <w:t xml:space="preserve">provided at Table 3 below. The 2021-22 financial year and three forward years will be updated each year as financial information becomes available. </w:t>
      </w:r>
    </w:p>
    <w:p w14:paraId="7E2BC143" w14:textId="281E36E4" w:rsidR="00893F3F" w:rsidRPr="00FF488E" w:rsidRDefault="00893F3F" w:rsidP="00B61D25">
      <w:pPr>
        <w:pStyle w:val="CRISbodytext"/>
      </w:pPr>
      <w:bookmarkStart w:id="13" w:name="_Hlk73956375"/>
      <w:r w:rsidRPr="00FF488E">
        <w:lastRenderedPageBreak/>
        <w:t xml:space="preserve">The key </w:t>
      </w:r>
      <w:r w:rsidR="005F69E0">
        <w:t xml:space="preserve">non-financial </w:t>
      </w:r>
      <w:r w:rsidRPr="00FF488E">
        <w:t>driver</w:t>
      </w:r>
      <w:r w:rsidR="00AD0E42">
        <w:t xml:space="preserve"> for applicant fees</w:t>
      </w:r>
      <w:r w:rsidRPr="00FF488E">
        <w:t xml:space="preserve"> will be the number of registered applications. </w:t>
      </w:r>
      <w:r w:rsidR="00AD0E42" w:rsidRPr="000141F9">
        <w:t xml:space="preserve">The applicant fee assumes demand will increase year on year, as outlined in Table 4 below. </w:t>
      </w:r>
      <w:r w:rsidR="00DB1E7C">
        <w:t>Demand</w:t>
      </w:r>
      <w:r w:rsidR="00AD0E42" w:rsidRPr="000141F9">
        <w:t xml:space="preserve"> for the forward years</w:t>
      </w:r>
      <w:r w:rsidR="00DB1E7C">
        <w:t xml:space="preserve"> is based on a linear forecast method using actual historical data</w:t>
      </w:r>
      <w:r w:rsidR="00AD0E42">
        <w:t xml:space="preserve">. </w:t>
      </w:r>
      <w:bookmarkEnd w:id="13"/>
      <w:r w:rsidR="00AD0E42" w:rsidRPr="00FF488E">
        <w:t xml:space="preserve">The estimated </w:t>
      </w:r>
      <w:r w:rsidR="005F69E0">
        <w:t xml:space="preserve">non-financial </w:t>
      </w:r>
      <w:r w:rsidR="00AD0E42" w:rsidRPr="00FF488E">
        <w:t>volume in Table 4 drive th</w:t>
      </w:r>
      <w:r w:rsidR="00AD0E42">
        <w:t xml:space="preserve">e </w:t>
      </w:r>
      <w:r w:rsidR="00AD0E42" w:rsidRPr="00FF488E">
        <w:t>estimated revenue outlined in Table 3.</w:t>
      </w:r>
      <w:r w:rsidR="00AD0E42">
        <w:t xml:space="preserve"> </w:t>
      </w:r>
    </w:p>
    <w:p w14:paraId="33D22A61" w14:textId="303EF881" w:rsidR="00BB7150" w:rsidRDefault="00893F3F" w:rsidP="00B61D25">
      <w:pPr>
        <w:pStyle w:val="CRISbodytext"/>
      </w:pPr>
      <w:r w:rsidRPr="00FF488E">
        <w:t xml:space="preserve">There is the potential for a significant variation from the estimated revenue. Therefore, as per the </w:t>
      </w:r>
      <w:r w:rsidR="005544F8">
        <w:t>CRA</w:t>
      </w:r>
      <w:r w:rsidRPr="00FF488E">
        <w:t>, TRA will accept up to and including a 20 per</w:t>
      </w:r>
      <w:r>
        <w:t xml:space="preserve"> </w:t>
      </w:r>
      <w:r w:rsidRPr="00FF488E">
        <w:t>cent variation from the amount of applicant registrations for the JRP, MSA and MPA pathways. Any variation greater than 20 per</w:t>
      </w:r>
      <w:r>
        <w:t xml:space="preserve"> </w:t>
      </w:r>
      <w:r w:rsidRPr="00FF488E">
        <w:t>cent will prompt a review of the charging activities and any changes will be reflected in the subsequent financial year.</w:t>
      </w:r>
    </w:p>
    <w:p w14:paraId="4C58778D" w14:textId="3C5BE245" w:rsidR="007C28FE" w:rsidRPr="00543333" w:rsidRDefault="007C28FE" w:rsidP="00FC6EF7">
      <w:pPr>
        <w:keepNext/>
        <w:spacing w:after="60"/>
        <w:rPr>
          <w:rFonts w:asciiTheme="minorHAnsi" w:hAnsiTheme="minorHAnsi" w:cstheme="minorHAnsi"/>
          <w:b/>
          <w:sz w:val="22"/>
          <w:szCs w:val="22"/>
        </w:rPr>
      </w:pPr>
      <w:r w:rsidRPr="00543333">
        <w:rPr>
          <w:rFonts w:asciiTheme="minorHAnsi" w:hAnsiTheme="minorHAnsi" w:cstheme="minorHAnsi"/>
          <w:b/>
          <w:sz w:val="22"/>
          <w:szCs w:val="22"/>
        </w:rPr>
        <w:t xml:space="preserve">Table </w:t>
      </w:r>
      <w:r w:rsidR="00503A2F" w:rsidRPr="00543333">
        <w:rPr>
          <w:rFonts w:asciiTheme="minorHAnsi" w:hAnsiTheme="minorHAnsi" w:cstheme="minorHAnsi"/>
          <w:b/>
          <w:sz w:val="22"/>
          <w:szCs w:val="22"/>
        </w:rPr>
        <w:t>3</w:t>
      </w:r>
      <w:r w:rsidRPr="00543333">
        <w:rPr>
          <w:rFonts w:asciiTheme="minorHAnsi" w:hAnsiTheme="minorHAnsi" w:cstheme="minorHAnsi"/>
          <w:b/>
          <w:sz w:val="22"/>
          <w:szCs w:val="22"/>
        </w:rPr>
        <w:t xml:space="preserve">: Financial estimates 1 July 2021 – 30 June 2025 </w:t>
      </w:r>
    </w:p>
    <w:tbl>
      <w:tblPr>
        <w:tblW w:w="5000" w:type="pct"/>
        <w:tblLook w:val="04A0" w:firstRow="1" w:lastRow="0" w:firstColumn="1" w:lastColumn="0" w:noHBand="0" w:noVBand="1"/>
      </w:tblPr>
      <w:tblGrid>
        <w:gridCol w:w="3116"/>
        <w:gridCol w:w="1834"/>
        <w:gridCol w:w="1836"/>
        <w:gridCol w:w="1836"/>
        <w:gridCol w:w="1834"/>
      </w:tblGrid>
      <w:tr w:rsidR="004E6F8E" w:rsidRPr="00C876EE" w14:paraId="4502F6D1" w14:textId="77777777" w:rsidTr="00B52E31">
        <w:trPr>
          <w:trHeight w:val="315"/>
        </w:trPr>
        <w:tc>
          <w:tcPr>
            <w:tcW w:w="1490" w:type="pct"/>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14:paraId="78EF4C9D" w14:textId="2756582D" w:rsidR="004E6F8E" w:rsidRPr="003152A6" w:rsidRDefault="00B52E31" w:rsidP="00B52E31">
            <w:pPr>
              <w:jc w:val="center"/>
              <w:rPr>
                <w:rFonts w:asciiTheme="minorHAnsi" w:hAnsiTheme="minorHAnsi" w:cstheme="minorHAnsi"/>
                <w:b/>
                <w:bCs/>
                <w:i/>
                <w:iCs/>
                <w:color w:val="000000"/>
                <w:sz w:val="22"/>
                <w:szCs w:val="22"/>
                <w:u w:val="single"/>
                <w:lang w:eastAsia="en-AU"/>
              </w:rPr>
            </w:pPr>
            <w:r>
              <w:rPr>
                <w:rFonts w:asciiTheme="minorHAnsi" w:hAnsiTheme="minorHAnsi" w:cstheme="minorHAnsi"/>
                <w:b/>
                <w:bCs/>
                <w:color w:val="000000"/>
                <w:sz w:val="22"/>
                <w:szCs w:val="22"/>
                <w:lang w:eastAsia="en-AU"/>
              </w:rPr>
              <w:t>Financial Item</w:t>
            </w:r>
          </w:p>
        </w:tc>
        <w:tc>
          <w:tcPr>
            <w:tcW w:w="877" w:type="pct"/>
            <w:tcBorders>
              <w:top w:val="single" w:sz="4" w:space="0" w:color="auto"/>
              <w:left w:val="nil"/>
              <w:bottom w:val="single" w:sz="4" w:space="0" w:color="auto"/>
              <w:right w:val="single" w:sz="4" w:space="0" w:color="auto"/>
            </w:tcBorders>
            <w:shd w:val="clear" w:color="auto" w:fill="DBE5F1" w:themeFill="accent1" w:themeFillTint="33"/>
            <w:vAlign w:val="center"/>
            <w:hideMark/>
          </w:tcPr>
          <w:p w14:paraId="3961056C" w14:textId="77777777" w:rsidR="004E6F8E" w:rsidRDefault="004E6F8E" w:rsidP="00FC6EF7">
            <w:pPr>
              <w:keepNext/>
              <w:jc w:val="center"/>
              <w:rPr>
                <w:rFonts w:asciiTheme="minorHAnsi" w:hAnsiTheme="minorHAnsi" w:cstheme="minorHAnsi"/>
                <w:b/>
                <w:bCs/>
                <w:color w:val="000000"/>
                <w:sz w:val="22"/>
                <w:szCs w:val="22"/>
                <w:lang w:eastAsia="en-AU"/>
              </w:rPr>
            </w:pPr>
            <w:r w:rsidRPr="00C876EE">
              <w:rPr>
                <w:rFonts w:asciiTheme="minorHAnsi" w:hAnsiTheme="minorHAnsi" w:cstheme="minorHAnsi"/>
                <w:b/>
                <w:bCs/>
                <w:color w:val="000000"/>
                <w:sz w:val="22"/>
                <w:szCs w:val="22"/>
                <w:lang w:eastAsia="en-AU"/>
              </w:rPr>
              <w:t>Budget Year</w:t>
            </w:r>
          </w:p>
          <w:p w14:paraId="45BEDDFF" w14:textId="77777777" w:rsidR="004E6F8E" w:rsidRDefault="004E6F8E" w:rsidP="00FC6EF7">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2021-22</w:t>
            </w:r>
          </w:p>
          <w:p w14:paraId="0F5B0E90" w14:textId="5826C69C" w:rsidR="004E6F8E" w:rsidRPr="00C876EE" w:rsidRDefault="004E6F8E" w:rsidP="00FC6EF7">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$’000</w:t>
            </w:r>
          </w:p>
        </w:tc>
        <w:tc>
          <w:tcPr>
            <w:tcW w:w="878" w:type="pct"/>
            <w:tcBorders>
              <w:top w:val="single" w:sz="4" w:space="0" w:color="auto"/>
              <w:left w:val="nil"/>
              <w:bottom w:val="single" w:sz="4" w:space="0" w:color="auto"/>
              <w:right w:val="single" w:sz="4" w:space="0" w:color="000000"/>
            </w:tcBorders>
            <w:shd w:val="clear" w:color="auto" w:fill="DBE5F1" w:themeFill="accent1" w:themeFillTint="33"/>
            <w:vAlign w:val="center"/>
            <w:hideMark/>
          </w:tcPr>
          <w:p w14:paraId="6BDD94B8" w14:textId="77777777" w:rsidR="004E6F8E" w:rsidRDefault="004E6F8E" w:rsidP="00FC6EF7">
            <w:pPr>
              <w:keepNext/>
              <w:jc w:val="center"/>
              <w:rPr>
                <w:rFonts w:asciiTheme="minorHAnsi" w:hAnsiTheme="minorHAnsi" w:cstheme="minorHAnsi"/>
                <w:b/>
                <w:bCs/>
                <w:color w:val="000000"/>
                <w:sz w:val="22"/>
                <w:szCs w:val="22"/>
                <w:lang w:eastAsia="en-AU"/>
              </w:rPr>
            </w:pPr>
            <w:r w:rsidRPr="00C876EE">
              <w:rPr>
                <w:rFonts w:asciiTheme="minorHAnsi" w:hAnsiTheme="minorHAnsi" w:cstheme="minorHAnsi"/>
                <w:b/>
                <w:bCs/>
                <w:color w:val="000000"/>
                <w:sz w:val="22"/>
                <w:szCs w:val="22"/>
                <w:lang w:eastAsia="en-AU"/>
              </w:rPr>
              <w:t>Forward Estimates</w:t>
            </w:r>
          </w:p>
          <w:p w14:paraId="0F938A66" w14:textId="77777777" w:rsidR="004E6F8E" w:rsidRDefault="004E6F8E" w:rsidP="00FC6EF7">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2022-23</w:t>
            </w:r>
          </w:p>
          <w:p w14:paraId="179247F9" w14:textId="269F51E5" w:rsidR="004E6F8E" w:rsidRPr="00C876EE" w:rsidRDefault="004E6F8E" w:rsidP="00FC6EF7">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$’000</w:t>
            </w:r>
          </w:p>
        </w:tc>
        <w:tc>
          <w:tcPr>
            <w:tcW w:w="878" w:type="pct"/>
            <w:tcBorders>
              <w:top w:val="single" w:sz="4" w:space="0" w:color="auto"/>
              <w:left w:val="nil"/>
              <w:bottom w:val="single" w:sz="4" w:space="0" w:color="auto"/>
              <w:right w:val="single" w:sz="4" w:space="0" w:color="000000"/>
            </w:tcBorders>
            <w:shd w:val="clear" w:color="auto" w:fill="DBE5F1" w:themeFill="accent1" w:themeFillTint="33"/>
            <w:vAlign w:val="center"/>
          </w:tcPr>
          <w:p w14:paraId="612B3E30" w14:textId="77777777" w:rsidR="004E6F8E" w:rsidRDefault="004E6F8E" w:rsidP="004E6F8E">
            <w:pPr>
              <w:keepNext/>
              <w:jc w:val="center"/>
              <w:rPr>
                <w:rFonts w:asciiTheme="minorHAnsi" w:hAnsiTheme="minorHAnsi" w:cstheme="minorHAnsi"/>
                <w:b/>
                <w:bCs/>
                <w:color w:val="000000"/>
                <w:sz w:val="22"/>
                <w:szCs w:val="22"/>
                <w:lang w:eastAsia="en-AU"/>
              </w:rPr>
            </w:pPr>
            <w:r w:rsidRPr="00C876EE">
              <w:rPr>
                <w:rFonts w:asciiTheme="minorHAnsi" w:hAnsiTheme="minorHAnsi" w:cstheme="minorHAnsi"/>
                <w:b/>
                <w:bCs/>
                <w:color w:val="000000"/>
                <w:sz w:val="22"/>
                <w:szCs w:val="22"/>
                <w:lang w:eastAsia="en-AU"/>
              </w:rPr>
              <w:t>Forward Estimates</w:t>
            </w:r>
          </w:p>
          <w:p w14:paraId="52FD9FA9" w14:textId="72754321" w:rsidR="004E6F8E" w:rsidRDefault="004E6F8E" w:rsidP="004E6F8E">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2023-24</w:t>
            </w:r>
          </w:p>
          <w:p w14:paraId="61DFE08A" w14:textId="66E309A2" w:rsidR="004E6F8E" w:rsidRPr="00C876EE" w:rsidRDefault="004E6F8E" w:rsidP="004E6F8E">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$’000</w:t>
            </w:r>
          </w:p>
        </w:tc>
        <w:tc>
          <w:tcPr>
            <w:tcW w:w="878" w:type="pct"/>
            <w:tcBorders>
              <w:top w:val="single" w:sz="4" w:space="0" w:color="auto"/>
              <w:left w:val="nil"/>
              <w:bottom w:val="single" w:sz="4" w:space="0" w:color="auto"/>
              <w:right w:val="single" w:sz="4" w:space="0" w:color="000000"/>
            </w:tcBorders>
            <w:shd w:val="clear" w:color="auto" w:fill="DBE5F1" w:themeFill="accent1" w:themeFillTint="33"/>
            <w:vAlign w:val="center"/>
          </w:tcPr>
          <w:p w14:paraId="2EF573A1" w14:textId="77777777" w:rsidR="004E6F8E" w:rsidRDefault="004E6F8E" w:rsidP="004E6F8E">
            <w:pPr>
              <w:keepNext/>
              <w:jc w:val="center"/>
              <w:rPr>
                <w:rFonts w:asciiTheme="minorHAnsi" w:hAnsiTheme="minorHAnsi" w:cstheme="minorHAnsi"/>
                <w:b/>
                <w:bCs/>
                <w:color w:val="000000"/>
                <w:sz w:val="22"/>
                <w:szCs w:val="22"/>
                <w:lang w:eastAsia="en-AU"/>
              </w:rPr>
            </w:pPr>
            <w:r w:rsidRPr="00C876EE">
              <w:rPr>
                <w:rFonts w:asciiTheme="minorHAnsi" w:hAnsiTheme="minorHAnsi" w:cstheme="minorHAnsi"/>
                <w:b/>
                <w:bCs/>
                <w:color w:val="000000"/>
                <w:sz w:val="22"/>
                <w:szCs w:val="22"/>
                <w:lang w:eastAsia="en-AU"/>
              </w:rPr>
              <w:t>Forward Estimates</w:t>
            </w:r>
          </w:p>
          <w:p w14:paraId="1961B0EC" w14:textId="28E45B60" w:rsidR="004E6F8E" w:rsidRDefault="004E6F8E" w:rsidP="004E6F8E">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2024-25</w:t>
            </w:r>
          </w:p>
          <w:p w14:paraId="334A509A" w14:textId="53CD0182" w:rsidR="004E6F8E" w:rsidRPr="00C876EE" w:rsidRDefault="004E6F8E" w:rsidP="004E6F8E">
            <w:pPr>
              <w:keepNext/>
              <w:jc w:val="center"/>
              <w:rPr>
                <w:rFonts w:asciiTheme="minorHAnsi" w:hAnsiTheme="minorHAnsi" w:cstheme="minorHAnsi"/>
                <w:b/>
                <w:bCs/>
                <w:color w:val="000000"/>
                <w:sz w:val="22"/>
                <w:szCs w:val="22"/>
                <w:lang w:eastAsia="en-AU"/>
              </w:rPr>
            </w:pPr>
            <w:r>
              <w:rPr>
                <w:rFonts w:asciiTheme="minorHAnsi" w:hAnsiTheme="minorHAnsi" w:cstheme="minorHAnsi"/>
                <w:b/>
                <w:bCs/>
                <w:color w:val="000000"/>
                <w:sz w:val="22"/>
                <w:szCs w:val="22"/>
                <w:lang w:eastAsia="en-AU"/>
              </w:rPr>
              <w:t>$’000</w:t>
            </w:r>
          </w:p>
        </w:tc>
      </w:tr>
      <w:tr w:rsidR="00A9443A" w:rsidRPr="00C876EE" w14:paraId="02276EE7" w14:textId="77777777" w:rsidTr="00B52E31">
        <w:trPr>
          <w:trHeight w:val="315"/>
        </w:trPr>
        <w:tc>
          <w:tcPr>
            <w:tcW w:w="1490"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65A84C0C" w14:textId="2239B946" w:rsidR="000262BB" w:rsidRPr="00C876EE" w:rsidRDefault="000262BB" w:rsidP="000262BB">
            <w:pPr>
              <w:rPr>
                <w:rFonts w:asciiTheme="minorHAnsi" w:hAnsiTheme="minorHAnsi" w:cstheme="minorHAnsi"/>
                <w:b/>
                <w:bCs/>
                <w:color w:val="000000"/>
                <w:sz w:val="22"/>
                <w:szCs w:val="22"/>
                <w:lang w:eastAsia="en-AU"/>
              </w:rPr>
            </w:pPr>
            <w:r>
              <w:rPr>
                <w:rFonts w:ascii="Calibri" w:hAnsi="Calibri" w:cs="Calibri"/>
                <w:b/>
                <w:bCs/>
                <w:color w:val="000000"/>
                <w:sz w:val="22"/>
                <w:szCs w:val="22"/>
              </w:rPr>
              <w:t>Total expenses</w:t>
            </w:r>
          </w:p>
        </w:tc>
        <w:tc>
          <w:tcPr>
            <w:tcW w:w="877" w:type="pct"/>
            <w:tcBorders>
              <w:top w:val="single" w:sz="4" w:space="0" w:color="auto"/>
              <w:left w:val="nil"/>
              <w:bottom w:val="double" w:sz="6" w:space="0" w:color="auto"/>
              <w:right w:val="single" w:sz="4" w:space="0" w:color="auto"/>
            </w:tcBorders>
            <w:shd w:val="clear" w:color="auto" w:fill="auto"/>
            <w:vAlign w:val="center"/>
            <w:hideMark/>
          </w:tcPr>
          <w:p w14:paraId="047A5BE7" w14:textId="0E22E255" w:rsidR="000262BB" w:rsidRPr="005874DD" w:rsidRDefault="00A9443A" w:rsidP="000262BB">
            <w:pPr>
              <w:jc w:val="right"/>
              <w:rPr>
                <w:rFonts w:asciiTheme="minorHAnsi" w:hAnsiTheme="minorHAnsi" w:cstheme="minorHAnsi"/>
                <w:b/>
                <w:bCs/>
                <w:color w:val="000000"/>
                <w:sz w:val="22"/>
                <w:szCs w:val="22"/>
                <w:lang w:eastAsia="en-AU"/>
              </w:rPr>
            </w:pPr>
            <w:r>
              <w:rPr>
                <w:rFonts w:ascii="Calibri" w:hAnsi="Calibri" w:cs="Calibri"/>
                <w:b/>
                <w:bCs/>
                <w:color w:val="000000"/>
                <w:sz w:val="22"/>
                <w:szCs w:val="22"/>
              </w:rPr>
              <w:t>23,470</w:t>
            </w:r>
          </w:p>
        </w:tc>
        <w:tc>
          <w:tcPr>
            <w:tcW w:w="878" w:type="pct"/>
            <w:tcBorders>
              <w:top w:val="single" w:sz="4" w:space="0" w:color="auto"/>
              <w:left w:val="single" w:sz="4" w:space="0" w:color="auto"/>
              <w:bottom w:val="double" w:sz="6" w:space="0" w:color="auto"/>
              <w:right w:val="single" w:sz="4" w:space="0" w:color="BFBFBF"/>
            </w:tcBorders>
            <w:shd w:val="clear" w:color="auto" w:fill="auto"/>
            <w:vAlign w:val="center"/>
            <w:hideMark/>
          </w:tcPr>
          <w:p w14:paraId="652463D7" w14:textId="35A52F28" w:rsidR="000262BB" w:rsidRPr="005874DD" w:rsidRDefault="00A9443A" w:rsidP="000262BB">
            <w:pPr>
              <w:jc w:val="right"/>
              <w:rPr>
                <w:rFonts w:asciiTheme="minorHAnsi" w:hAnsiTheme="minorHAnsi" w:cstheme="minorHAnsi"/>
                <w:b/>
                <w:bCs/>
                <w:color w:val="000000"/>
                <w:sz w:val="22"/>
                <w:szCs w:val="22"/>
                <w:lang w:eastAsia="en-AU"/>
              </w:rPr>
            </w:pPr>
            <w:r>
              <w:rPr>
                <w:rFonts w:ascii="Calibri" w:hAnsi="Calibri" w:cs="Calibri"/>
                <w:b/>
                <w:bCs/>
                <w:color w:val="000000"/>
                <w:sz w:val="22"/>
                <w:szCs w:val="22"/>
              </w:rPr>
              <w:t>20,03</w:t>
            </w:r>
            <w:r w:rsidR="00E742CA">
              <w:rPr>
                <w:rFonts w:ascii="Calibri" w:hAnsi="Calibri" w:cs="Calibri"/>
                <w:b/>
                <w:bCs/>
                <w:color w:val="000000"/>
                <w:sz w:val="22"/>
                <w:szCs w:val="22"/>
              </w:rPr>
              <w:t>0</w:t>
            </w:r>
          </w:p>
        </w:tc>
        <w:tc>
          <w:tcPr>
            <w:tcW w:w="878" w:type="pct"/>
            <w:tcBorders>
              <w:top w:val="single" w:sz="4" w:space="0" w:color="auto"/>
              <w:left w:val="nil"/>
              <w:bottom w:val="double" w:sz="6" w:space="0" w:color="auto"/>
              <w:right w:val="single" w:sz="4" w:space="0" w:color="BFBFBF"/>
            </w:tcBorders>
            <w:shd w:val="clear" w:color="auto" w:fill="auto"/>
            <w:vAlign w:val="center"/>
            <w:hideMark/>
          </w:tcPr>
          <w:p w14:paraId="40170E6A" w14:textId="1D0EEFDE" w:rsidR="000262BB" w:rsidRPr="005874DD" w:rsidRDefault="00A9443A" w:rsidP="000262BB">
            <w:pPr>
              <w:jc w:val="right"/>
              <w:rPr>
                <w:rFonts w:asciiTheme="minorHAnsi" w:hAnsiTheme="minorHAnsi" w:cstheme="minorHAnsi"/>
                <w:b/>
                <w:bCs/>
                <w:color w:val="000000"/>
                <w:sz w:val="22"/>
                <w:szCs w:val="22"/>
                <w:lang w:eastAsia="en-AU"/>
              </w:rPr>
            </w:pPr>
            <w:r>
              <w:rPr>
                <w:rFonts w:ascii="Calibri" w:hAnsi="Calibri" w:cs="Calibri"/>
                <w:b/>
                <w:bCs/>
                <w:color w:val="000000"/>
                <w:sz w:val="22"/>
                <w:szCs w:val="22"/>
              </w:rPr>
              <w:t>23,5</w:t>
            </w:r>
            <w:r w:rsidR="00E742CA">
              <w:rPr>
                <w:rFonts w:ascii="Calibri" w:hAnsi="Calibri" w:cs="Calibri"/>
                <w:b/>
                <w:bCs/>
                <w:color w:val="000000"/>
                <w:sz w:val="22"/>
                <w:szCs w:val="22"/>
              </w:rPr>
              <w:t>90</w:t>
            </w:r>
          </w:p>
        </w:tc>
        <w:tc>
          <w:tcPr>
            <w:tcW w:w="878" w:type="pct"/>
            <w:tcBorders>
              <w:top w:val="single" w:sz="4" w:space="0" w:color="auto"/>
              <w:left w:val="nil"/>
              <w:bottom w:val="double" w:sz="6" w:space="0" w:color="auto"/>
              <w:right w:val="single" w:sz="4" w:space="0" w:color="auto"/>
            </w:tcBorders>
            <w:shd w:val="clear" w:color="auto" w:fill="auto"/>
            <w:vAlign w:val="center"/>
            <w:hideMark/>
          </w:tcPr>
          <w:p w14:paraId="4F90D425" w14:textId="6114E56C" w:rsidR="000262BB" w:rsidRPr="005874DD" w:rsidRDefault="00A9443A" w:rsidP="000262BB">
            <w:pPr>
              <w:jc w:val="right"/>
              <w:rPr>
                <w:rFonts w:asciiTheme="minorHAnsi" w:hAnsiTheme="minorHAnsi" w:cstheme="minorHAnsi"/>
                <w:b/>
                <w:bCs/>
                <w:color w:val="000000"/>
                <w:sz w:val="22"/>
                <w:szCs w:val="22"/>
                <w:lang w:eastAsia="en-AU"/>
              </w:rPr>
            </w:pPr>
            <w:r>
              <w:rPr>
                <w:rFonts w:ascii="Calibri" w:hAnsi="Calibri" w:cs="Calibri"/>
                <w:b/>
                <w:bCs/>
                <w:color w:val="000000"/>
                <w:sz w:val="22"/>
                <w:szCs w:val="22"/>
              </w:rPr>
              <w:t>22,5</w:t>
            </w:r>
            <w:r w:rsidR="00E742CA">
              <w:rPr>
                <w:rFonts w:ascii="Calibri" w:hAnsi="Calibri" w:cs="Calibri"/>
                <w:b/>
                <w:bCs/>
                <w:color w:val="000000"/>
                <w:sz w:val="22"/>
                <w:szCs w:val="22"/>
              </w:rPr>
              <w:t>70</w:t>
            </w:r>
          </w:p>
        </w:tc>
      </w:tr>
      <w:tr w:rsidR="00A9443A" w:rsidRPr="00C876EE" w14:paraId="7A8E7CD1" w14:textId="77777777" w:rsidTr="003152A6">
        <w:trPr>
          <w:trHeight w:val="315"/>
        </w:trPr>
        <w:tc>
          <w:tcPr>
            <w:tcW w:w="1490" w:type="pct"/>
            <w:tcBorders>
              <w:top w:val="single" w:sz="4" w:space="0" w:color="auto"/>
              <w:left w:val="single" w:sz="4" w:space="0" w:color="auto"/>
              <w:bottom w:val="double" w:sz="6" w:space="0" w:color="auto"/>
              <w:right w:val="single" w:sz="4" w:space="0" w:color="auto"/>
            </w:tcBorders>
            <w:shd w:val="clear" w:color="auto" w:fill="auto"/>
            <w:vAlign w:val="center"/>
            <w:hideMark/>
          </w:tcPr>
          <w:p w14:paraId="3C5109D1" w14:textId="39D23945" w:rsidR="00A9443A" w:rsidRPr="00C876EE" w:rsidRDefault="00A9443A" w:rsidP="00A9443A">
            <w:pPr>
              <w:rPr>
                <w:rFonts w:asciiTheme="minorHAnsi" w:hAnsiTheme="minorHAnsi" w:cstheme="minorHAnsi"/>
                <w:b/>
                <w:bCs/>
                <w:color w:val="000000"/>
                <w:sz w:val="22"/>
                <w:szCs w:val="22"/>
                <w:lang w:eastAsia="en-AU"/>
              </w:rPr>
            </w:pPr>
            <w:r>
              <w:rPr>
                <w:rFonts w:ascii="Calibri" w:hAnsi="Calibri" w:cs="Calibri"/>
                <w:b/>
                <w:bCs/>
                <w:color w:val="000000"/>
                <w:sz w:val="22"/>
                <w:szCs w:val="22"/>
              </w:rPr>
              <w:t>Total revenue</w:t>
            </w:r>
          </w:p>
        </w:tc>
        <w:tc>
          <w:tcPr>
            <w:tcW w:w="877" w:type="pct"/>
            <w:tcBorders>
              <w:top w:val="single" w:sz="4" w:space="0" w:color="auto"/>
              <w:left w:val="nil"/>
              <w:bottom w:val="double" w:sz="6" w:space="0" w:color="auto"/>
              <w:right w:val="single" w:sz="4" w:space="0" w:color="auto"/>
            </w:tcBorders>
            <w:shd w:val="clear" w:color="auto" w:fill="auto"/>
            <w:hideMark/>
          </w:tcPr>
          <w:p w14:paraId="0BF27723" w14:textId="79B24EE6" w:rsidR="00A9443A" w:rsidRPr="00A9443A" w:rsidRDefault="00A9443A" w:rsidP="00A9443A">
            <w:pPr>
              <w:jc w:val="right"/>
              <w:rPr>
                <w:rFonts w:asciiTheme="minorHAnsi" w:hAnsiTheme="minorHAnsi" w:cstheme="minorHAnsi"/>
                <w:b/>
                <w:bCs/>
                <w:color w:val="000000"/>
                <w:sz w:val="22"/>
                <w:szCs w:val="22"/>
                <w:lang w:eastAsia="en-AU"/>
              </w:rPr>
            </w:pPr>
            <w:r w:rsidRPr="00A9443A">
              <w:rPr>
                <w:rFonts w:ascii="Calibri" w:hAnsi="Calibri" w:cs="Calibri"/>
                <w:b/>
                <w:bCs/>
                <w:color w:val="000000"/>
                <w:sz w:val="22"/>
                <w:szCs w:val="22"/>
              </w:rPr>
              <w:t>17,27</w:t>
            </w:r>
            <w:r w:rsidR="00E742CA">
              <w:rPr>
                <w:rFonts w:ascii="Calibri" w:hAnsi="Calibri" w:cs="Calibri"/>
                <w:b/>
                <w:bCs/>
                <w:color w:val="000000"/>
                <w:sz w:val="22"/>
                <w:szCs w:val="22"/>
              </w:rPr>
              <w:t>0</w:t>
            </w:r>
          </w:p>
        </w:tc>
        <w:tc>
          <w:tcPr>
            <w:tcW w:w="878" w:type="pct"/>
            <w:tcBorders>
              <w:top w:val="single" w:sz="4" w:space="0" w:color="auto"/>
              <w:left w:val="single" w:sz="4" w:space="0" w:color="auto"/>
              <w:bottom w:val="double" w:sz="6" w:space="0" w:color="auto"/>
              <w:right w:val="single" w:sz="4" w:space="0" w:color="BFBFBF"/>
            </w:tcBorders>
            <w:shd w:val="clear" w:color="auto" w:fill="auto"/>
            <w:vAlign w:val="center"/>
            <w:hideMark/>
          </w:tcPr>
          <w:p w14:paraId="6FD135E1" w14:textId="4889D89F" w:rsidR="00A9443A" w:rsidRPr="00A9443A" w:rsidRDefault="00A9443A" w:rsidP="00A9443A">
            <w:pPr>
              <w:jc w:val="right"/>
              <w:rPr>
                <w:rFonts w:asciiTheme="minorHAnsi" w:hAnsiTheme="minorHAnsi" w:cstheme="minorHAnsi"/>
                <w:b/>
                <w:bCs/>
                <w:sz w:val="22"/>
                <w:szCs w:val="22"/>
              </w:rPr>
            </w:pPr>
            <w:r w:rsidRPr="004B7DAD">
              <w:rPr>
                <w:rFonts w:ascii="Calibri" w:hAnsi="Calibri" w:cs="Calibri"/>
                <w:b/>
                <w:bCs/>
                <w:color w:val="000000"/>
                <w:sz w:val="22"/>
                <w:szCs w:val="22"/>
              </w:rPr>
              <w:t>19,510</w:t>
            </w:r>
          </w:p>
        </w:tc>
        <w:tc>
          <w:tcPr>
            <w:tcW w:w="878" w:type="pct"/>
            <w:tcBorders>
              <w:top w:val="single" w:sz="4" w:space="0" w:color="auto"/>
              <w:left w:val="nil"/>
              <w:bottom w:val="double" w:sz="6" w:space="0" w:color="auto"/>
              <w:right w:val="single" w:sz="4" w:space="0" w:color="BFBFBF"/>
            </w:tcBorders>
            <w:shd w:val="clear" w:color="auto" w:fill="auto"/>
            <w:vAlign w:val="center"/>
            <w:hideMark/>
          </w:tcPr>
          <w:p w14:paraId="480CF378" w14:textId="6B482A65" w:rsidR="00A9443A" w:rsidRPr="00A9443A" w:rsidRDefault="00A9443A" w:rsidP="00A9443A">
            <w:pPr>
              <w:jc w:val="right"/>
              <w:rPr>
                <w:rFonts w:asciiTheme="minorHAnsi" w:hAnsiTheme="minorHAnsi" w:cstheme="minorHAnsi"/>
                <w:b/>
                <w:bCs/>
                <w:sz w:val="22"/>
                <w:szCs w:val="22"/>
              </w:rPr>
            </w:pPr>
            <w:r w:rsidRPr="004B7DAD">
              <w:rPr>
                <w:rFonts w:ascii="Calibri" w:hAnsi="Calibri" w:cs="Calibri"/>
                <w:b/>
                <w:bCs/>
                <w:color w:val="000000"/>
                <w:sz w:val="22"/>
                <w:szCs w:val="22"/>
              </w:rPr>
              <w:t>21,7</w:t>
            </w:r>
            <w:r w:rsidR="00E742CA">
              <w:rPr>
                <w:rFonts w:ascii="Calibri" w:hAnsi="Calibri" w:cs="Calibri"/>
                <w:b/>
                <w:bCs/>
                <w:color w:val="000000"/>
                <w:sz w:val="22"/>
                <w:szCs w:val="22"/>
              </w:rPr>
              <w:t>50</w:t>
            </w:r>
          </w:p>
        </w:tc>
        <w:tc>
          <w:tcPr>
            <w:tcW w:w="878" w:type="pct"/>
            <w:tcBorders>
              <w:top w:val="single" w:sz="4" w:space="0" w:color="auto"/>
              <w:left w:val="nil"/>
              <w:bottom w:val="double" w:sz="6" w:space="0" w:color="auto"/>
              <w:right w:val="single" w:sz="4" w:space="0" w:color="auto"/>
            </w:tcBorders>
            <w:shd w:val="clear" w:color="auto" w:fill="auto"/>
            <w:vAlign w:val="center"/>
            <w:hideMark/>
          </w:tcPr>
          <w:p w14:paraId="33E530D0" w14:textId="4A8F4E57" w:rsidR="00A9443A" w:rsidRPr="00A9443A" w:rsidRDefault="00A9443A" w:rsidP="00A9443A">
            <w:pPr>
              <w:jc w:val="right"/>
              <w:rPr>
                <w:rFonts w:asciiTheme="minorHAnsi" w:hAnsiTheme="minorHAnsi" w:cstheme="minorHAnsi"/>
                <w:b/>
                <w:bCs/>
                <w:sz w:val="22"/>
                <w:szCs w:val="22"/>
              </w:rPr>
            </w:pPr>
            <w:r w:rsidRPr="004B7DAD">
              <w:rPr>
                <w:rFonts w:ascii="Calibri" w:hAnsi="Calibri" w:cs="Calibri"/>
                <w:b/>
                <w:bCs/>
                <w:color w:val="000000"/>
                <w:sz w:val="22"/>
                <w:szCs w:val="22"/>
              </w:rPr>
              <w:t>23,9</w:t>
            </w:r>
            <w:r w:rsidR="00E742CA">
              <w:rPr>
                <w:rFonts w:ascii="Calibri" w:hAnsi="Calibri" w:cs="Calibri"/>
                <w:b/>
                <w:bCs/>
                <w:color w:val="000000"/>
                <w:sz w:val="22"/>
                <w:szCs w:val="22"/>
              </w:rPr>
              <w:t>90</w:t>
            </w:r>
          </w:p>
        </w:tc>
      </w:tr>
      <w:tr w:rsidR="00A9443A" w:rsidRPr="00C876EE" w14:paraId="473A2EB0" w14:textId="77777777" w:rsidTr="003152A6">
        <w:trPr>
          <w:trHeight w:val="300"/>
        </w:trPr>
        <w:tc>
          <w:tcPr>
            <w:tcW w:w="1490" w:type="pct"/>
            <w:tcBorders>
              <w:top w:val="nil"/>
              <w:left w:val="single" w:sz="4" w:space="0" w:color="auto"/>
              <w:bottom w:val="single" w:sz="4" w:space="0" w:color="BFBFBF"/>
              <w:right w:val="single" w:sz="4" w:space="0" w:color="auto"/>
            </w:tcBorders>
            <w:shd w:val="clear" w:color="auto" w:fill="auto"/>
            <w:vAlign w:val="center"/>
            <w:hideMark/>
          </w:tcPr>
          <w:p w14:paraId="5FD0BA26" w14:textId="05043994" w:rsidR="00633618" w:rsidRPr="00C876EE" w:rsidRDefault="00633618" w:rsidP="00633618">
            <w:pPr>
              <w:rPr>
                <w:rFonts w:asciiTheme="minorHAnsi" w:hAnsiTheme="minorHAnsi" w:cstheme="minorHAnsi"/>
                <w:color w:val="000000"/>
                <w:sz w:val="22"/>
                <w:szCs w:val="22"/>
                <w:lang w:eastAsia="en-AU"/>
              </w:rPr>
            </w:pPr>
            <w:r>
              <w:rPr>
                <w:rFonts w:ascii="Calibri" w:hAnsi="Calibri" w:cs="Calibri"/>
                <w:color w:val="000000"/>
                <w:sz w:val="22"/>
                <w:szCs w:val="22"/>
              </w:rPr>
              <w:t>Balance = revenue - expenses</w:t>
            </w:r>
            <w:r>
              <w:rPr>
                <w:rFonts w:ascii="Calibri" w:hAnsi="Calibri" w:cs="Calibri"/>
                <w:color w:val="000000"/>
                <w:sz w:val="22"/>
                <w:szCs w:val="22"/>
                <w:vertAlign w:val="superscript"/>
              </w:rPr>
              <w:t xml:space="preserve"> </w:t>
            </w:r>
          </w:p>
        </w:tc>
        <w:tc>
          <w:tcPr>
            <w:tcW w:w="877" w:type="pct"/>
            <w:tcBorders>
              <w:top w:val="nil"/>
              <w:left w:val="single" w:sz="4" w:space="0" w:color="auto"/>
              <w:bottom w:val="single" w:sz="4" w:space="0" w:color="BFBFBF"/>
              <w:right w:val="single" w:sz="4" w:space="0" w:color="auto"/>
            </w:tcBorders>
            <w:shd w:val="clear" w:color="auto" w:fill="auto"/>
            <w:vAlign w:val="center"/>
          </w:tcPr>
          <w:p w14:paraId="65822057" w14:textId="54FE1453" w:rsidR="00633618" w:rsidRPr="00A73F5F" w:rsidRDefault="00633618" w:rsidP="00633618">
            <w:pPr>
              <w:jc w:val="right"/>
              <w:rPr>
                <w:rFonts w:asciiTheme="minorHAnsi" w:hAnsiTheme="minorHAnsi" w:cstheme="minorHAnsi"/>
                <w:sz w:val="22"/>
                <w:szCs w:val="22"/>
              </w:rPr>
            </w:pPr>
            <w:r>
              <w:rPr>
                <w:rFonts w:ascii="Calibri" w:hAnsi="Calibri" w:cs="Calibri"/>
                <w:color w:val="000000"/>
                <w:sz w:val="22"/>
                <w:szCs w:val="22"/>
              </w:rPr>
              <w:t>-</w:t>
            </w:r>
            <w:r w:rsidR="00A9443A">
              <w:rPr>
                <w:rFonts w:ascii="Calibri" w:hAnsi="Calibri" w:cs="Calibri"/>
                <w:color w:val="000000"/>
                <w:sz w:val="22"/>
                <w:szCs w:val="22"/>
              </w:rPr>
              <w:t>6,</w:t>
            </w:r>
            <w:r w:rsidR="00E742CA">
              <w:rPr>
                <w:rFonts w:ascii="Calibri" w:hAnsi="Calibri" w:cs="Calibri"/>
                <w:color w:val="000000"/>
                <w:sz w:val="22"/>
                <w:szCs w:val="22"/>
              </w:rPr>
              <w:t>200</w:t>
            </w:r>
          </w:p>
        </w:tc>
        <w:tc>
          <w:tcPr>
            <w:tcW w:w="878" w:type="pct"/>
            <w:tcBorders>
              <w:top w:val="nil"/>
              <w:left w:val="nil"/>
              <w:bottom w:val="single" w:sz="4" w:space="0" w:color="BFBFBF"/>
              <w:right w:val="single" w:sz="4" w:space="0" w:color="BFBFBF"/>
            </w:tcBorders>
            <w:shd w:val="clear" w:color="auto" w:fill="auto"/>
            <w:vAlign w:val="center"/>
          </w:tcPr>
          <w:p w14:paraId="4C1F8FF5" w14:textId="325EA2F9" w:rsidR="00633618" w:rsidRPr="00A73F5F" w:rsidRDefault="00A9443A" w:rsidP="00633618">
            <w:pPr>
              <w:jc w:val="right"/>
              <w:rPr>
                <w:rFonts w:asciiTheme="minorHAnsi" w:hAnsiTheme="minorHAnsi" w:cstheme="minorHAnsi"/>
                <w:sz w:val="22"/>
                <w:szCs w:val="22"/>
              </w:rPr>
            </w:pPr>
            <w:r>
              <w:rPr>
                <w:rFonts w:ascii="Calibri" w:hAnsi="Calibri" w:cs="Calibri"/>
                <w:color w:val="000000"/>
                <w:sz w:val="22"/>
                <w:szCs w:val="22"/>
              </w:rPr>
              <w:t>-52</w:t>
            </w:r>
            <w:r w:rsidR="00E742CA">
              <w:rPr>
                <w:rFonts w:ascii="Calibri" w:hAnsi="Calibri" w:cs="Calibri"/>
                <w:color w:val="000000"/>
                <w:sz w:val="22"/>
                <w:szCs w:val="22"/>
              </w:rPr>
              <w:t>0</w:t>
            </w:r>
          </w:p>
        </w:tc>
        <w:tc>
          <w:tcPr>
            <w:tcW w:w="878" w:type="pct"/>
            <w:tcBorders>
              <w:top w:val="nil"/>
              <w:left w:val="nil"/>
              <w:bottom w:val="single" w:sz="4" w:space="0" w:color="BFBFBF"/>
              <w:right w:val="single" w:sz="4" w:space="0" w:color="BFBFBF"/>
            </w:tcBorders>
            <w:shd w:val="clear" w:color="auto" w:fill="auto"/>
            <w:vAlign w:val="center"/>
          </w:tcPr>
          <w:p w14:paraId="71E2887C" w14:textId="739EF6BB" w:rsidR="00633618" w:rsidRPr="00A73F5F" w:rsidRDefault="00A9443A" w:rsidP="00633618">
            <w:pPr>
              <w:jc w:val="right"/>
              <w:rPr>
                <w:rFonts w:asciiTheme="minorHAnsi" w:hAnsiTheme="minorHAnsi" w:cstheme="minorHAnsi"/>
                <w:sz w:val="22"/>
                <w:szCs w:val="22"/>
              </w:rPr>
            </w:pPr>
            <w:r>
              <w:rPr>
                <w:rFonts w:ascii="Calibri" w:hAnsi="Calibri" w:cs="Calibri"/>
                <w:color w:val="000000"/>
                <w:sz w:val="22"/>
                <w:szCs w:val="22"/>
              </w:rPr>
              <w:t>1,160</w:t>
            </w:r>
          </w:p>
        </w:tc>
        <w:tc>
          <w:tcPr>
            <w:tcW w:w="878" w:type="pct"/>
            <w:tcBorders>
              <w:top w:val="nil"/>
              <w:left w:val="nil"/>
              <w:bottom w:val="single" w:sz="4" w:space="0" w:color="BFBFBF"/>
              <w:right w:val="single" w:sz="4" w:space="0" w:color="auto"/>
            </w:tcBorders>
            <w:shd w:val="clear" w:color="auto" w:fill="auto"/>
            <w:vAlign w:val="center"/>
          </w:tcPr>
          <w:p w14:paraId="1A9AFF20" w14:textId="346C60B1" w:rsidR="00633618" w:rsidRPr="00A73F5F" w:rsidRDefault="00A9443A" w:rsidP="00633618">
            <w:pPr>
              <w:jc w:val="right"/>
              <w:rPr>
                <w:rFonts w:asciiTheme="minorHAnsi" w:hAnsiTheme="minorHAnsi" w:cstheme="minorHAnsi"/>
                <w:sz w:val="22"/>
                <w:szCs w:val="22"/>
              </w:rPr>
            </w:pPr>
            <w:r>
              <w:rPr>
                <w:rFonts w:ascii="Calibri" w:hAnsi="Calibri" w:cs="Calibri"/>
                <w:color w:val="000000"/>
                <w:sz w:val="22"/>
                <w:szCs w:val="22"/>
              </w:rPr>
              <w:t>1,4</w:t>
            </w:r>
            <w:r w:rsidR="00E742CA">
              <w:rPr>
                <w:rFonts w:ascii="Calibri" w:hAnsi="Calibri" w:cs="Calibri"/>
                <w:color w:val="000000"/>
                <w:sz w:val="22"/>
                <w:szCs w:val="22"/>
              </w:rPr>
              <w:t>20</w:t>
            </w:r>
          </w:p>
        </w:tc>
      </w:tr>
      <w:tr w:rsidR="00A9443A" w:rsidRPr="00C876EE" w14:paraId="115596BD" w14:textId="77777777" w:rsidTr="003152A6">
        <w:trPr>
          <w:trHeight w:val="300"/>
        </w:trPr>
        <w:tc>
          <w:tcPr>
            <w:tcW w:w="1490" w:type="pct"/>
            <w:tcBorders>
              <w:top w:val="nil"/>
              <w:left w:val="single" w:sz="4" w:space="0" w:color="auto"/>
              <w:bottom w:val="single" w:sz="4" w:space="0" w:color="auto"/>
              <w:right w:val="single" w:sz="4" w:space="0" w:color="auto"/>
            </w:tcBorders>
            <w:shd w:val="clear" w:color="auto" w:fill="auto"/>
            <w:vAlign w:val="center"/>
            <w:hideMark/>
          </w:tcPr>
          <w:p w14:paraId="1E1DFB65" w14:textId="4145AB25" w:rsidR="00633618" w:rsidRPr="005874DD" w:rsidRDefault="00633618" w:rsidP="00633618">
            <w:pPr>
              <w:rPr>
                <w:rFonts w:asciiTheme="minorHAnsi" w:hAnsiTheme="minorHAnsi" w:cstheme="minorHAnsi"/>
                <w:b/>
                <w:bCs/>
                <w:color w:val="000000"/>
                <w:sz w:val="22"/>
                <w:szCs w:val="22"/>
                <w:lang w:eastAsia="en-AU"/>
              </w:rPr>
            </w:pPr>
            <w:r>
              <w:rPr>
                <w:rFonts w:ascii="Calibri" w:hAnsi="Calibri" w:cs="Calibri"/>
                <w:color w:val="000000"/>
                <w:sz w:val="22"/>
                <w:szCs w:val="22"/>
              </w:rPr>
              <w:t>Cumulative balance</w:t>
            </w:r>
          </w:p>
        </w:tc>
        <w:tc>
          <w:tcPr>
            <w:tcW w:w="877" w:type="pct"/>
            <w:tcBorders>
              <w:top w:val="nil"/>
              <w:left w:val="nil"/>
              <w:bottom w:val="single" w:sz="4" w:space="0" w:color="auto"/>
              <w:right w:val="single" w:sz="4" w:space="0" w:color="auto"/>
            </w:tcBorders>
            <w:shd w:val="clear" w:color="auto" w:fill="auto"/>
            <w:vAlign w:val="center"/>
            <w:hideMark/>
          </w:tcPr>
          <w:p w14:paraId="7F4202EA" w14:textId="3CC62A69" w:rsidR="00633618" w:rsidRPr="00A73F5F" w:rsidRDefault="00633618" w:rsidP="00633618">
            <w:pPr>
              <w:jc w:val="right"/>
              <w:rPr>
                <w:rFonts w:asciiTheme="minorHAnsi" w:hAnsiTheme="minorHAnsi" w:cstheme="minorHAnsi"/>
                <w:b/>
                <w:bCs/>
                <w:sz w:val="22"/>
                <w:szCs w:val="22"/>
              </w:rPr>
            </w:pPr>
            <w:r>
              <w:rPr>
                <w:rFonts w:ascii="Calibri" w:hAnsi="Calibri" w:cs="Calibri"/>
                <w:b/>
                <w:bCs/>
                <w:color w:val="000000"/>
                <w:sz w:val="22"/>
                <w:szCs w:val="22"/>
              </w:rPr>
              <w:t>-</w:t>
            </w:r>
            <w:r w:rsidR="00A9443A">
              <w:rPr>
                <w:rFonts w:ascii="Calibri" w:hAnsi="Calibri" w:cs="Calibri"/>
                <w:b/>
                <w:bCs/>
                <w:color w:val="000000"/>
                <w:sz w:val="22"/>
                <w:szCs w:val="22"/>
              </w:rPr>
              <w:t>6,</w:t>
            </w:r>
            <w:r w:rsidR="00E742CA">
              <w:rPr>
                <w:rFonts w:ascii="Calibri" w:hAnsi="Calibri" w:cs="Calibri"/>
                <w:b/>
                <w:bCs/>
                <w:color w:val="000000"/>
                <w:sz w:val="22"/>
                <w:szCs w:val="22"/>
              </w:rPr>
              <w:t>200</w:t>
            </w:r>
          </w:p>
        </w:tc>
        <w:tc>
          <w:tcPr>
            <w:tcW w:w="878" w:type="pct"/>
            <w:tcBorders>
              <w:top w:val="nil"/>
              <w:left w:val="single" w:sz="4" w:space="0" w:color="auto"/>
              <w:bottom w:val="single" w:sz="4" w:space="0" w:color="auto"/>
              <w:right w:val="single" w:sz="4" w:space="0" w:color="BFBFBF"/>
            </w:tcBorders>
            <w:shd w:val="clear" w:color="auto" w:fill="auto"/>
            <w:vAlign w:val="center"/>
            <w:hideMark/>
          </w:tcPr>
          <w:p w14:paraId="2276D82D" w14:textId="1955DC42" w:rsidR="00633618" w:rsidRPr="00A73F5F" w:rsidRDefault="00633618" w:rsidP="00633618">
            <w:pPr>
              <w:jc w:val="right"/>
              <w:rPr>
                <w:rFonts w:asciiTheme="minorHAnsi" w:hAnsiTheme="minorHAnsi" w:cstheme="minorHAnsi"/>
                <w:b/>
                <w:bCs/>
                <w:sz w:val="22"/>
                <w:szCs w:val="22"/>
              </w:rPr>
            </w:pPr>
            <w:r>
              <w:rPr>
                <w:rFonts w:ascii="Calibri" w:hAnsi="Calibri" w:cs="Calibri"/>
                <w:b/>
                <w:bCs/>
                <w:color w:val="000000"/>
                <w:sz w:val="22"/>
                <w:szCs w:val="22"/>
              </w:rPr>
              <w:t>-</w:t>
            </w:r>
            <w:r w:rsidR="00A9443A">
              <w:rPr>
                <w:rFonts w:ascii="Calibri" w:hAnsi="Calibri" w:cs="Calibri"/>
                <w:b/>
                <w:bCs/>
                <w:color w:val="000000"/>
                <w:sz w:val="22"/>
                <w:szCs w:val="22"/>
              </w:rPr>
              <w:t>6,72</w:t>
            </w:r>
            <w:r w:rsidR="00E742CA">
              <w:rPr>
                <w:rFonts w:ascii="Calibri" w:hAnsi="Calibri" w:cs="Calibri"/>
                <w:b/>
                <w:bCs/>
                <w:color w:val="000000"/>
                <w:sz w:val="22"/>
                <w:szCs w:val="22"/>
              </w:rPr>
              <w:t>0</w:t>
            </w:r>
          </w:p>
        </w:tc>
        <w:tc>
          <w:tcPr>
            <w:tcW w:w="878" w:type="pct"/>
            <w:tcBorders>
              <w:top w:val="nil"/>
              <w:left w:val="nil"/>
              <w:bottom w:val="single" w:sz="4" w:space="0" w:color="auto"/>
              <w:right w:val="single" w:sz="4" w:space="0" w:color="BFBFBF"/>
            </w:tcBorders>
            <w:shd w:val="clear" w:color="auto" w:fill="auto"/>
            <w:vAlign w:val="center"/>
            <w:hideMark/>
          </w:tcPr>
          <w:p w14:paraId="444FF1EA" w14:textId="0DEF88DA" w:rsidR="00633618" w:rsidRPr="00A73F5F" w:rsidRDefault="00633618" w:rsidP="00633618">
            <w:pPr>
              <w:jc w:val="right"/>
              <w:rPr>
                <w:rFonts w:asciiTheme="minorHAnsi" w:hAnsiTheme="minorHAnsi" w:cstheme="minorHAnsi"/>
                <w:b/>
                <w:bCs/>
                <w:sz w:val="22"/>
                <w:szCs w:val="22"/>
              </w:rPr>
            </w:pPr>
            <w:r>
              <w:rPr>
                <w:rFonts w:ascii="Calibri" w:hAnsi="Calibri" w:cs="Calibri"/>
                <w:b/>
                <w:bCs/>
                <w:color w:val="000000"/>
                <w:sz w:val="22"/>
                <w:szCs w:val="22"/>
              </w:rPr>
              <w:t>-</w:t>
            </w:r>
            <w:r w:rsidR="00A9443A">
              <w:rPr>
                <w:rFonts w:ascii="Calibri" w:hAnsi="Calibri" w:cs="Calibri"/>
                <w:b/>
                <w:bCs/>
                <w:color w:val="000000"/>
                <w:sz w:val="22"/>
                <w:szCs w:val="22"/>
              </w:rPr>
              <w:t>5,56</w:t>
            </w:r>
            <w:r w:rsidR="00E742CA">
              <w:rPr>
                <w:rFonts w:ascii="Calibri" w:hAnsi="Calibri" w:cs="Calibri"/>
                <w:b/>
                <w:bCs/>
                <w:color w:val="000000"/>
                <w:sz w:val="22"/>
                <w:szCs w:val="22"/>
              </w:rPr>
              <w:t>0</w:t>
            </w:r>
          </w:p>
        </w:tc>
        <w:tc>
          <w:tcPr>
            <w:tcW w:w="878" w:type="pct"/>
            <w:tcBorders>
              <w:top w:val="nil"/>
              <w:left w:val="nil"/>
              <w:bottom w:val="single" w:sz="4" w:space="0" w:color="auto"/>
              <w:right w:val="single" w:sz="4" w:space="0" w:color="auto"/>
            </w:tcBorders>
            <w:shd w:val="clear" w:color="auto" w:fill="auto"/>
            <w:vAlign w:val="center"/>
            <w:hideMark/>
          </w:tcPr>
          <w:p w14:paraId="4A00875B" w14:textId="3961C180" w:rsidR="00633618" w:rsidRPr="00A73F5F" w:rsidRDefault="00A9443A" w:rsidP="00633618">
            <w:pPr>
              <w:jc w:val="right"/>
              <w:rPr>
                <w:rFonts w:asciiTheme="minorHAnsi" w:hAnsiTheme="minorHAnsi" w:cstheme="minorHAnsi"/>
                <w:b/>
                <w:bCs/>
                <w:sz w:val="22"/>
                <w:szCs w:val="22"/>
              </w:rPr>
            </w:pPr>
            <w:r>
              <w:rPr>
                <w:rFonts w:ascii="Calibri" w:hAnsi="Calibri" w:cs="Calibri"/>
                <w:b/>
                <w:bCs/>
                <w:color w:val="000000"/>
                <w:sz w:val="22"/>
                <w:szCs w:val="22"/>
              </w:rPr>
              <w:t>-4,14</w:t>
            </w:r>
            <w:r w:rsidR="00E742CA">
              <w:rPr>
                <w:rFonts w:ascii="Calibri" w:hAnsi="Calibri" w:cs="Calibri"/>
                <w:b/>
                <w:bCs/>
                <w:color w:val="000000"/>
                <w:sz w:val="22"/>
                <w:szCs w:val="22"/>
              </w:rPr>
              <w:t>0</w:t>
            </w:r>
          </w:p>
        </w:tc>
      </w:tr>
    </w:tbl>
    <w:p w14:paraId="29A560AA" w14:textId="77777777" w:rsidR="00FC6EF7" w:rsidRPr="00FF488E" w:rsidRDefault="00FC6EF7" w:rsidP="00BE2EA8">
      <w:pPr>
        <w:rPr>
          <w:rFonts w:asciiTheme="minorHAnsi" w:hAnsiTheme="minorHAnsi" w:cstheme="minorHAnsi"/>
          <w:sz w:val="22"/>
          <w:szCs w:val="22"/>
        </w:rPr>
      </w:pPr>
    </w:p>
    <w:p w14:paraId="51589556" w14:textId="2313EA84" w:rsidR="00503A2F" w:rsidRPr="00543333" w:rsidRDefault="00503A2F" w:rsidP="00503A2F">
      <w:pPr>
        <w:spacing w:after="60"/>
        <w:rPr>
          <w:rFonts w:asciiTheme="minorHAnsi" w:hAnsiTheme="minorHAnsi" w:cstheme="minorHAnsi"/>
          <w:b/>
          <w:iCs/>
          <w:sz w:val="22"/>
          <w:szCs w:val="22"/>
        </w:rPr>
      </w:pPr>
      <w:bookmarkStart w:id="14" w:name="_Hlk73956262"/>
      <w:r w:rsidRPr="00543333">
        <w:rPr>
          <w:rFonts w:asciiTheme="minorHAnsi" w:hAnsiTheme="minorHAnsi" w:cstheme="minorHAnsi"/>
          <w:b/>
          <w:iCs/>
          <w:sz w:val="22"/>
          <w:szCs w:val="22"/>
        </w:rPr>
        <w:t xml:space="preserve">Table </w:t>
      </w:r>
      <w:r w:rsidR="007C2161" w:rsidRPr="00543333">
        <w:rPr>
          <w:rFonts w:asciiTheme="minorHAnsi" w:hAnsiTheme="minorHAnsi" w:cstheme="minorHAnsi"/>
          <w:b/>
          <w:iCs/>
          <w:sz w:val="22"/>
          <w:szCs w:val="22"/>
        </w:rPr>
        <w:t>4</w:t>
      </w:r>
      <w:r w:rsidRPr="00543333">
        <w:rPr>
          <w:rFonts w:asciiTheme="minorHAnsi" w:hAnsiTheme="minorHAnsi" w:cstheme="minorHAnsi"/>
          <w:b/>
          <w:iCs/>
          <w:sz w:val="22"/>
          <w:szCs w:val="22"/>
        </w:rPr>
        <w:t xml:space="preserve">: Historical and forecast </w:t>
      </w:r>
      <w:r w:rsidR="00DB1E7C">
        <w:rPr>
          <w:rFonts w:asciiTheme="minorHAnsi" w:hAnsiTheme="minorHAnsi" w:cstheme="minorHAnsi"/>
          <w:b/>
          <w:iCs/>
          <w:sz w:val="22"/>
          <w:szCs w:val="22"/>
        </w:rPr>
        <w:t>demand -</w:t>
      </w:r>
      <w:r w:rsidRPr="00543333">
        <w:rPr>
          <w:rFonts w:asciiTheme="minorHAnsi" w:hAnsiTheme="minorHAnsi" w:cstheme="minorHAnsi"/>
          <w:b/>
          <w:iCs/>
          <w:sz w:val="22"/>
          <w:szCs w:val="22"/>
        </w:rPr>
        <w:t xml:space="preserve"> actuals and estimates</w:t>
      </w: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Look w:val="04A0" w:firstRow="1" w:lastRow="0" w:firstColumn="1" w:lastColumn="0" w:noHBand="0" w:noVBand="1"/>
      </w:tblPr>
      <w:tblGrid>
        <w:gridCol w:w="1263"/>
        <w:gridCol w:w="1557"/>
        <w:gridCol w:w="952"/>
        <w:gridCol w:w="952"/>
        <w:gridCol w:w="952"/>
        <w:gridCol w:w="952"/>
        <w:gridCol w:w="952"/>
        <w:gridCol w:w="952"/>
        <w:gridCol w:w="952"/>
        <w:gridCol w:w="952"/>
      </w:tblGrid>
      <w:tr w:rsidR="001E3B75" w:rsidRPr="00503A2F" w14:paraId="6C8ED589" w14:textId="77777777" w:rsidTr="00633D14">
        <w:trPr>
          <w:trHeight w:val="615"/>
        </w:trPr>
        <w:tc>
          <w:tcPr>
            <w:tcW w:w="605" w:type="pct"/>
            <w:tcBorders>
              <w:top w:val="single" w:sz="12" w:space="0" w:color="auto"/>
              <w:bottom w:val="single" w:sz="12" w:space="0" w:color="auto"/>
            </w:tcBorders>
            <w:shd w:val="clear" w:color="auto" w:fill="DBE5F1" w:themeFill="accent1" w:themeFillTint="33"/>
            <w:hideMark/>
          </w:tcPr>
          <w:p w14:paraId="3F232C3A" w14:textId="77777777" w:rsidR="00503A2F" w:rsidRPr="00503A2F" w:rsidRDefault="00503A2F" w:rsidP="00503A2F">
            <w:pPr>
              <w:rPr>
                <w:rFonts w:ascii="Calibri" w:hAnsi="Calibri" w:cs="Calibri"/>
                <w:b/>
                <w:bCs/>
                <w:color w:val="000000"/>
                <w:sz w:val="22"/>
                <w:szCs w:val="22"/>
                <w:lang w:eastAsia="en-AU"/>
              </w:rPr>
            </w:pPr>
            <w:r w:rsidRPr="00503A2F">
              <w:rPr>
                <w:rFonts w:ascii="Calibri" w:hAnsi="Calibri" w:cs="Calibri"/>
                <w:b/>
                <w:bCs/>
                <w:color w:val="000000"/>
                <w:sz w:val="22"/>
                <w:szCs w:val="22"/>
                <w:lang w:eastAsia="en-AU"/>
              </w:rPr>
              <w:t>Pathway Stage</w:t>
            </w:r>
          </w:p>
        </w:tc>
        <w:tc>
          <w:tcPr>
            <w:tcW w:w="746" w:type="pct"/>
            <w:tcBorders>
              <w:top w:val="single" w:sz="12" w:space="0" w:color="auto"/>
              <w:bottom w:val="single" w:sz="12" w:space="0" w:color="auto"/>
            </w:tcBorders>
            <w:shd w:val="clear" w:color="auto" w:fill="DBE5F1" w:themeFill="accent1" w:themeFillTint="33"/>
            <w:vAlign w:val="center"/>
            <w:hideMark/>
          </w:tcPr>
          <w:p w14:paraId="43647095" w14:textId="77777777" w:rsidR="00503A2F" w:rsidRPr="00503A2F" w:rsidRDefault="00503A2F" w:rsidP="00503A2F">
            <w:pPr>
              <w:rPr>
                <w:rFonts w:ascii="Calibri" w:hAnsi="Calibri" w:cs="Calibri"/>
                <w:b/>
                <w:bCs/>
                <w:color w:val="000000"/>
                <w:sz w:val="22"/>
                <w:szCs w:val="22"/>
                <w:lang w:eastAsia="en-AU"/>
              </w:rPr>
            </w:pPr>
            <w:r w:rsidRPr="00503A2F">
              <w:rPr>
                <w:rFonts w:ascii="Calibri" w:hAnsi="Calibri" w:cs="Calibri"/>
                <w:b/>
                <w:bCs/>
                <w:color w:val="000000"/>
                <w:sz w:val="22"/>
                <w:szCs w:val="22"/>
                <w:lang w:eastAsia="en-AU"/>
              </w:rPr>
              <w:t>Total registrations</w:t>
            </w:r>
          </w:p>
        </w:tc>
        <w:tc>
          <w:tcPr>
            <w:tcW w:w="456" w:type="pct"/>
            <w:tcBorders>
              <w:top w:val="single" w:sz="12" w:space="0" w:color="auto"/>
              <w:bottom w:val="single" w:sz="12" w:space="0" w:color="auto"/>
            </w:tcBorders>
            <w:shd w:val="clear" w:color="auto" w:fill="DBE5F1" w:themeFill="accent1" w:themeFillTint="33"/>
            <w:vAlign w:val="center"/>
            <w:hideMark/>
          </w:tcPr>
          <w:p w14:paraId="7F3FD0DA" w14:textId="77777777" w:rsidR="00503A2F" w:rsidRPr="00FC6EF7" w:rsidRDefault="00503A2F" w:rsidP="00503A2F">
            <w:pPr>
              <w:jc w:val="center"/>
              <w:rPr>
                <w:rFonts w:ascii="Calibri" w:hAnsi="Calibri" w:cs="Calibri"/>
                <w:b/>
                <w:bCs/>
                <w:color w:val="000000"/>
                <w:sz w:val="21"/>
                <w:szCs w:val="21"/>
                <w:lang w:eastAsia="en-AU"/>
              </w:rPr>
            </w:pPr>
            <w:r w:rsidRPr="00FC6EF7">
              <w:rPr>
                <w:rFonts w:ascii="Calibri" w:hAnsi="Calibri" w:cs="Calibri"/>
                <w:b/>
                <w:bCs/>
                <w:color w:val="000000"/>
                <w:sz w:val="21"/>
                <w:szCs w:val="21"/>
                <w:lang w:eastAsia="en-AU"/>
              </w:rPr>
              <w:t>2017-18</w:t>
            </w:r>
          </w:p>
        </w:tc>
        <w:tc>
          <w:tcPr>
            <w:tcW w:w="456" w:type="pct"/>
            <w:tcBorders>
              <w:top w:val="single" w:sz="12" w:space="0" w:color="auto"/>
              <w:bottom w:val="single" w:sz="12" w:space="0" w:color="auto"/>
            </w:tcBorders>
            <w:shd w:val="clear" w:color="auto" w:fill="DBE5F1" w:themeFill="accent1" w:themeFillTint="33"/>
            <w:vAlign w:val="center"/>
            <w:hideMark/>
          </w:tcPr>
          <w:p w14:paraId="4E3C3B66" w14:textId="77777777" w:rsidR="00503A2F" w:rsidRPr="00FC6EF7" w:rsidRDefault="00503A2F" w:rsidP="00503A2F">
            <w:pPr>
              <w:jc w:val="center"/>
              <w:rPr>
                <w:rFonts w:ascii="Calibri" w:hAnsi="Calibri" w:cs="Calibri"/>
                <w:b/>
                <w:bCs/>
                <w:color w:val="000000"/>
                <w:sz w:val="21"/>
                <w:szCs w:val="21"/>
                <w:lang w:eastAsia="en-AU"/>
              </w:rPr>
            </w:pPr>
            <w:r w:rsidRPr="00FC6EF7">
              <w:rPr>
                <w:rFonts w:ascii="Calibri" w:hAnsi="Calibri" w:cs="Calibri"/>
                <w:b/>
                <w:bCs/>
                <w:color w:val="000000"/>
                <w:sz w:val="21"/>
                <w:szCs w:val="21"/>
                <w:lang w:eastAsia="en-AU"/>
              </w:rPr>
              <w:t>2018-19</w:t>
            </w:r>
          </w:p>
        </w:tc>
        <w:tc>
          <w:tcPr>
            <w:tcW w:w="456" w:type="pct"/>
            <w:tcBorders>
              <w:top w:val="single" w:sz="12" w:space="0" w:color="auto"/>
              <w:bottom w:val="single" w:sz="12" w:space="0" w:color="auto"/>
            </w:tcBorders>
            <w:shd w:val="clear" w:color="auto" w:fill="DBE5F1" w:themeFill="accent1" w:themeFillTint="33"/>
            <w:vAlign w:val="center"/>
            <w:hideMark/>
          </w:tcPr>
          <w:p w14:paraId="77BF89CC" w14:textId="77777777" w:rsidR="00503A2F" w:rsidRPr="00FC6EF7" w:rsidRDefault="00503A2F" w:rsidP="00503A2F">
            <w:pPr>
              <w:jc w:val="center"/>
              <w:rPr>
                <w:rFonts w:ascii="Calibri" w:hAnsi="Calibri" w:cs="Calibri"/>
                <w:b/>
                <w:bCs/>
                <w:color w:val="000000"/>
                <w:sz w:val="21"/>
                <w:szCs w:val="21"/>
                <w:lang w:eastAsia="en-AU"/>
              </w:rPr>
            </w:pPr>
            <w:r w:rsidRPr="00FC6EF7">
              <w:rPr>
                <w:rFonts w:ascii="Calibri" w:hAnsi="Calibri" w:cs="Calibri"/>
                <w:b/>
                <w:bCs/>
                <w:color w:val="000000"/>
                <w:sz w:val="21"/>
                <w:szCs w:val="21"/>
                <w:lang w:eastAsia="en-AU"/>
              </w:rPr>
              <w:t>2019-20</w:t>
            </w:r>
          </w:p>
        </w:tc>
        <w:tc>
          <w:tcPr>
            <w:tcW w:w="456" w:type="pct"/>
            <w:tcBorders>
              <w:top w:val="single" w:sz="12" w:space="0" w:color="auto"/>
              <w:bottom w:val="single" w:sz="12" w:space="0" w:color="auto"/>
            </w:tcBorders>
            <w:shd w:val="clear" w:color="auto" w:fill="DBE5F1" w:themeFill="accent1" w:themeFillTint="33"/>
            <w:vAlign w:val="center"/>
            <w:hideMark/>
          </w:tcPr>
          <w:p w14:paraId="0A165DD6" w14:textId="77777777" w:rsidR="00503A2F" w:rsidRPr="00FC6EF7" w:rsidRDefault="00503A2F" w:rsidP="00503A2F">
            <w:pPr>
              <w:jc w:val="center"/>
              <w:rPr>
                <w:rFonts w:ascii="Calibri" w:hAnsi="Calibri" w:cs="Calibri"/>
                <w:b/>
                <w:bCs/>
                <w:color w:val="000000"/>
                <w:sz w:val="21"/>
                <w:szCs w:val="21"/>
                <w:lang w:eastAsia="en-AU"/>
              </w:rPr>
            </w:pPr>
            <w:r w:rsidRPr="00FC6EF7">
              <w:rPr>
                <w:rFonts w:ascii="Calibri" w:hAnsi="Calibri" w:cs="Calibri"/>
                <w:b/>
                <w:bCs/>
                <w:color w:val="000000"/>
                <w:sz w:val="21"/>
                <w:szCs w:val="21"/>
                <w:lang w:eastAsia="en-AU"/>
              </w:rPr>
              <w:t>2020-21</w:t>
            </w:r>
          </w:p>
        </w:tc>
        <w:tc>
          <w:tcPr>
            <w:tcW w:w="456" w:type="pct"/>
            <w:tcBorders>
              <w:top w:val="single" w:sz="12" w:space="0" w:color="auto"/>
              <w:bottom w:val="single" w:sz="12" w:space="0" w:color="auto"/>
            </w:tcBorders>
            <w:shd w:val="clear" w:color="auto" w:fill="DBE5F1" w:themeFill="accent1" w:themeFillTint="33"/>
            <w:vAlign w:val="center"/>
            <w:hideMark/>
          </w:tcPr>
          <w:p w14:paraId="171A7EA3" w14:textId="77777777" w:rsidR="00503A2F" w:rsidRPr="00503A2F" w:rsidRDefault="00503A2F" w:rsidP="00503A2F">
            <w:pPr>
              <w:jc w:val="center"/>
              <w:rPr>
                <w:rFonts w:ascii="Calibri" w:hAnsi="Calibri" w:cs="Calibri"/>
                <w:b/>
                <w:bCs/>
                <w:color w:val="000000"/>
                <w:sz w:val="21"/>
                <w:szCs w:val="21"/>
                <w:lang w:eastAsia="en-AU"/>
              </w:rPr>
            </w:pPr>
            <w:r w:rsidRPr="00503A2F">
              <w:rPr>
                <w:rFonts w:ascii="Calibri" w:hAnsi="Calibri" w:cs="Calibri"/>
                <w:b/>
                <w:bCs/>
                <w:color w:val="000000"/>
                <w:sz w:val="21"/>
                <w:szCs w:val="21"/>
                <w:lang w:eastAsia="en-AU"/>
              </w:rPr>
              <w:t>2021-22</w:t>
            </w:r>
          </w:p>
        </w:tc>
        <w:tc>
          <w:tcPr>
            <w:tcW w:w="456" w:type="pct"/>
            <w:tcBorders>
              <w:top w:val="single" w:sz="12" w:space="0" w:color="auto"/>
              <w:bottom w:val="single" w:sz="12" w:space="0" w:color="auto"/>
            </w:tcBorders>
            <w:shd w:val="clear" w:color="auto" w:fill="DBE5F1" w:themeFill="accent1" w:themeFillTint="33"/>
            <w:vAlign w:val="center"/>
            <w:hideMark/>
          </w:tcPr>
          <w:p w14:paraId="6E78E6EA" w14:textId="77777777" w:rsidR="00503A2F" w:rsidRPr="00503A2F" w:rsidRDefault="00503A2F" w:rsidP="00503A2F">
            <w:pPr>
              <w:jc w:val="center"/>
              <w:rPr>
                <w:rFonts w:ascii="Calibri" w:hAnsi="Calibri" w:cs="Calibri"/>
                <w:b/>
                <w:bCs/>
                <w:color w:val="000000"/>
                <w:sz w:val="21"/>
                <w:szCs w:val="21"/>
                <w:lang w:eastAsia="en-AU"/>
              </w:rPr>
            </w:pPr>
            <w:r w:rsidRPr="00503A2F">
              <w:rPr>
                <w:rFonts w:ascii="Calibri" w:hAnsi="Calibri" w:cs="Calibri"/>
                <w:b/>
                <w:bCs/>
                <w:color w:val="000000"/>
                <w:sz w:val="21"/>
                <w:szCs w:val="21"/>
                <w:lang w:eastAsia="en-AU"/>
              </w:rPr>
              <w:t>2022-23</w:t>
            </w:r>
          </w:p>
        </w:tc>
        <w:tc>
          <w:tcPr>
            <w:tcW w:w="456" w:type="pct"/>
            <w:tcBorders>
              <w:top w:val="single" w:sz="12" w:space="0" w:color="auto"/>
              <w:bottom w:val="single" w:sz="12" w:space="0" w:color="auto"/>
            </w:tcBorders>
            <w:shd w:val="clear" w:color="auto" w:fill="DBE5F1" w:themeFill="accent1" w:themeFillTint="33"/>
            <w:vAlign w:val="center"/>
            <w:hideMark/>
          </w:tcPr>
          <w:p w14:paraId="2F3F8596" w14:textId="77777777" w:rsidR="00503A2F" w:rsidRPr="00503A2F" w:rsidRDefault="00503A2F" w:rsidP="00503A2F">
            <w:pPr>
              <w:jc w:val="center"/>
              <w:rPr>
                <w:rFonts w:ascii="Calibri" w:hAnsi="Calibri" w:cs="Calibri"/>
                <w:b/>
                <w:bCs/>
                <w:color w:val="000000"/>
                <w:sz w:val="21"/>
                <w:szCs w:val="21"/>
                <w:lang w:eastAsia="en-AU"/>
              </w:rPr>
            </w:pPr>
            <w:r w:rsidRPr="00503A2F">
              <w:rPr>
                <w:rFonts w:ascii="Calibri" w:hAnsi="Calibri" w:cs="Calibri"/>
                <w:b/>
                <w:bCs/>
                <w:color w:val="000000"/>
                <w:sz w:val="21"/>
                <w:szCs w:val="21"/>
                <w:lang w:eastAsia="en-AU"/>
              </w:rPr>
              <w:t>2023-24</w:t>
            </w:r>
          </w:p>
        </w:tc>
        <w:tc>
          <w:tcPr>
            <w:tcW w:w="456" w:type="pct"/>
            <w:tcBorders>
              <w:top w:val="single" w:sz="12" w:space="0" w:color="auto"/>
              <w:bottom w:val="single" w:sz="12" w:space="0" w:color="auto"/>
            </w:tcBorders>
            <w:shd w:val="clear" w:color="auto" w:fill="DBE5F1" w:themeFill="accent1" w:themeFillTint="33"/>
            <w:vAlign w:val="center"/>
            <w:hideMark/>
          </w:tcPr>
          <w:p w14:paraId="32F49898" w14:textId="77777777" w:rsidR="00503A2F" w:rsidRPr="00503A2F" w:rsidRDefault="00503A2F" w:rsidP="00503A2F">
            <w:pPr>
              <w:jc w:val="center"/>
              <w:rPr>
                <w:rFonts w:ascii="Calibri" w:hAnsi="Calibri" w:cs="Calibri"/>
                <w:b/>
                <w:bCs/>
                <w:color w:val="000000"/>
                <w:sz w:val="21"/>
                <w:szCs w:val="21"/>
                <w:lang w:eastAsia="en-AU"/>
              </w:rPr>
            </w:pPr>
            <w:r w:rsidRPr="00503A2F">
              <w:rPr>
                <w:rFonts w:ascii="Calibri" w:hAnsi="Calibri" w:cs="Calibri"/>
                <w:b/>
                <w:bCs/>
                <w:color w:val="000000"/>
                <w:sz w:val="21"/>
                <w:szCs w:val="21"/>
                <w:lang w:eastAsia="en-AU"/>
              </w:rPr>
              <w:t>2024-25</w:t>
            </w:r>
          </w:p>
        </w:tc>
      </w:tr>
      <w:tr w:rsidR="007B624F" w:rsidRPr="00503A2F" w14:paraId="507614A4" w14:textId="77777777" w:rsidTr="007B624F">
        <w:trPr>
          <w:trHeight w:val="315"/>
        </w:trPr>
        <w:tc>
          <w:tcPr>
            <w:tcW w:w="605" w:type="pct"/>
            <w:tcBorders>
              <w:top w:val="single" w:sz="12" w:space="0" w:color="auto"/>
              <w:bottom w:val="single" w:sz="4" w:space="0" w:color="auto"/>
            </w:tcBorders>
            <w:shd w:val="clear" w:color="auto" w:fill="auto"/>
            <w:vAlign w:val="center"/>
            <w:hideMark/>
          </w:tcPr>
          <w:p w14:paraId="3EA2CC33"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PSA</w:t>
            </w:r>
          </w:p>
        </w:tc>
        <w:tc>
          <w:tcPr>
            <w:tcW w:w="746" w:type="pct"/>
            <w:tcBorders>
              <w:top w:val="single" w:sz="12" w:space="0" w:color="auto"/>
              <w:bottom w:val="single" w:sz="8" w:space="0" w:color="auto"/>
            </w:tcBorders>
            <w:shd w:val="clear" w:color="auto" w:fill="auto"/>
            <w:vAlign w:val="center"/>
            <w:hideMark/>
          </w:tcPr>
          <w:p w14:paraId="06809BDE"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Actuals</w:t>
            </w:r>
            <w:r w:rsidRPr="00503A2F">
              <w:rPr>
                <w:rFonts w:ascii="Calibri" w:hAnsi="Calibri" w:cs="Calibri"/>
                <w:color w:val="000000"/>
                <w:sz w:val="16"/>
                <w:szCs w:val="16"/>
                <w:lang w:eastAsia="en-AU"/>
              </w:rPr>
              <w:t xml:space="preserve"> (a)</w:t>
            </w:r>
          </w:p>
        </w:tc>
        <w:tc>
          <w:tcPr>
            <w:tcW w:w="456" w:type="pct"/>
            <w:tcBorders>
              <w:top w:val="single" w:sz="12" w:space="0" w:color="auto"/>
              <w:bottom w:val="single" w:sz="8" w:space="0" w:color="auto"/>
            </w:tcBorders>
            <w:shd w:val="clear" w:color="auto" w:fill="auto"/>
            <w:vAlign w:val="center"/>
            <w:hideMark/>
          </w:tcPr>
          <w:p w14:paraId="0EE8573D"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4,800</w:t>
            </w:r>
          </w:p>
        </w:tc>
        <w:tc>
          <w:tcPr>
            <w:tcW w:w="456" w:type="pct"/>
            <w:tcBorders>
              <w:top w:val="single" w:sz="12" w:space="0" w:color="auto"/>
              <w:bottom w:val="single" w:sz="8" w:space="0" w:color="auto"/>
            </w:tcBorders>
            <w:shd w:val="clear" w:color="auto" w:fill="auto"/>
            <w:vAlign w:val="center"/>
            <w:hideMark/>
          </w:tcPr>
          <w:p w14:paraId="02676C7F" w14:textId="62F30932"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6,475</w:t>
            </w:r>
          </w:p>
        </w:tc>
        <w:tc>
          <w:tcPr>
            <w:tcW w:w="456" w:type="pct"/>
            <w:tcBorders>
              <w:top w:val="single" w:sz="12" w:space="0" w:color="auto"/>
              <w:bottom w:val="single" w:sz="8" w:space="0" w:color="auto"/>
            </w:tcBorders>
            <w:shd w:val="clear" w:color="auto" w:fill="auto"/>
            <w:vAlign w:val="center"/>
            <w:hideMark/>
          </w:tcPr>
          <w:p w14:paraId="54B9F37E" w14:textId="79F48696"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6,119</w:t>
            </w:r>
          </w:p>
        </w:tc>
        <w:tc>
          <w:tcPr>
            <w:tcW w:w="456" w:type="pct"/>
            <w:tcBorders>
              <w:top w:val="single" w:sz="12" w:space="0" w:color="auto"/>
              <w:bottom w:val="single" w:sz="8" w:space="0" w:color="auto"/>
            </w:tcBorders>
            <w:shd w:val="clear" w:color="000000" w:fill="D9D9D9"/>
            <w:vAlign w:val="center"/>
            <w:hideMark/>
          </w:tcPr>
          <w:p w14:paraId="7CBEFAD2"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45A93729"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07B5F6E4"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6ACD37E1"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5DE5B5A3"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74507026" w14:textId="77777777" w:rsidTr="007B624F">
        <w:trPr>
          <w:trHeight w:val="315"/>
        </w:trPr>
        <w:tc>
          <w:tcPr>
            <w:tcW w:w="605" w:type="pct"/>
            <w:tcBorders>
              <w:top w:val="single" w:sz="4" w:space="0" w:color="auto"/>
              <w:bottom w:val="single" w:sz="12" w:space="0" w:color="auto"/>
            </w:tcBorders>
            <w:shd w:val="clear" w:color="auto" w:fill="auto"/>
            <w:vAlign w:val="center"/>
            <w:hideMark/>
          </w:tcPr>
          <w:p w14:paraId="5D02BD08" w14:textId="4FBED4D1" w:rsidR="007B624F" w:rsidRPr="00503A2F" w:rsidRDefault="007B624F" w:rsidP="00503A2F">
            <w:pPr>
              <w:rPr>
                <w:rFonts w:ascii="Calibri" w:hAnsi="Calibri" w:cs="Calibri"/>
                <w:color w:val="000000"/>
                <w:sz w:val="22"/>
                <w:szCs w:val="22"/>
                <w:lang w:eastAsia="en-AU"/>
              </w:rPr>
            </w:pPr>
            <w:r>
              <w:rPr>
                <w:rFonts w:ascii="Calibri" w:hAnsi="Calibri" w:cs="Calibri"/>
                <w:color w:val="000000"/>
                <w:sz w:val="22"/>
                <w:szCs w:val="22"/>
                <w:lang w:eastAsia="en-AU"/>
              </w:rPr>
              <w:t>PSA</w:t>
            </w:r>
          </w:p>
        </w:tc>
        <w:tc>
          <w:tcPr>
            <w:tcW w:w="746" w:type="pct"/>
            <w:tcBorders>
              <w:top w:val="single" w:sz="8" w:space="0" w:color="auto"/>
              <w:bottom w:val="single" w:sz="12" w:space="0" w:color="auto"/>
            </w:tcBorders>
            <w:shd w:val="clear" w:color="auto" w:fill="auto"/>
            <w:vAlign w:val="center"/>
            <w:hideMark/>
          </w:tcPr>
          <w:p w14:paraId="4D1AB37F"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 xml:space="preserve">Forecast </w:t>
            </w:r>
            <w:r w:rsidRPr="00503A2F">
              <w:rPr>
                <w:rFonts w:ascii="Calibri" w:hAnsi="Calibri" w:cs="Calibri"/>
                <w:color w:val="000000"/>
                <w:sz w:val="16"/>
                <w:szCs w:val="16"/>
                <w:lang w:eastAsia="en-AU"/>
              </w:rPr>
              <w:t>(b)</w:t>
            </w:r>
          </w:p>
        </w:tc>
        <w:tc>
          <w:tcPr>
            <w:tcW w:w="456" w:type="pct"/>
            <w:tcBorders>
              <w:top w:val="single" w:sz="8" w:space="0" w:color="auto"/>
              <w:bottom w:val="single" w:sz="12" w:space="0" w:color="auto"/>
            </w:tcBorders>
            <w:shd w:val="clear" w:color="000000" w:fill="D9D9D9"/>
            <w:vAlign w:val="center"/>
            <w:hideMark/>
          </w:tcPr>
          <w:p w14:paraId="1464F5F1"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003BDA1F"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132B9A40"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0AC94B91" w14:textId="6EDA469D"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6,400</w:t>
            </w:r>
          </w:p>
        </w:tc>
        <w:tc>
          <w:tcPr>
            <w:tcW w:w="456" w:type="pct"/>
            <w:tcBorders>
              <w:top w:val="single" w:sz="8" w:space="0" w:color="auto"/>
              <w:bottom w:val="single" w:sz="12" w:space="0" w:color="auto"/>
            </w:tcBorders>
            <w:shd w:val="clear" w:color="auto" w:fill="auto"/>
            <w:vAlign w:val="center"/>
            <w:hideMark/>
          </w:tcPr>
          <w:p w14:paraId="6764B200" w14:textId="46D3EAF9"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7,5</w:t>
            </w:r>
            <w:r>
              <w:rPr>
                <w:rFonts w:ascii="Calibri" w:hAnsi="Calibri" w:cs="Calibri"/>
                <w:color w:val="000000"/>
                <w:sz w:val="22"/>
                <w:szCs w:val="22"/>
                <w:lang w:eastAsia="en-AU"/>
              </w:rPr>
              <w:t>00</w:t>
            </w:r>
          </w:p>
        </w:tc>
        <w:tc>
          <w:tcPr>
            <w:tcW w:w="456" w:type="pct"/>
            <w:tcBorders>
              <w:top w:val="single" w:sz="8" w:space="0" w:color="auto"/>
              <w:bottom w:val="single" w:sz="12" w:space="0" w:color="auto"/>
            </w:tcBorders>
            <w:shd w:val="clear" w:color="auto" w:fill="auto"/>
            <w:vAlign w:val="center"/>
            <w:hideMark/>
          </w:tcPr>
          <w:p w14:paraId="1D0DA278" w14:textId="4AEA28B3"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8,6</w:t>
            </w:r>
            <w:r>
              <w:rPr>
                <w:rFonts w:ascii="Calibri" w:hAnsi="Calibri" w:cs="Calibri"/>
                <w:color w:val="000000"/>
                <w:sz w:val="22"/>
                <w:szCs w:val="22"/>
                <w:lang w:eastAsia="en-AU"/>
              </w:rPr>
              <w:t>00</w:t>
            </w:r>
          </w:p>
        </w:tc>
        <w:tc>
          <w:tcPr>
            <w:tcW w:w="456" w:type="pct"/>
            <w:tcBorders>
              <w:top w:val="single" w:sz="8" w:space="0" w:color="auto"/>
              <w:bottom w:val="single" w:sz="12" w:space="0" w:color="auto"/>
            </w:tcBorders>
            <w:shd w:val="clear" w:color="auto" w:fill="auto"/>
            <w:vAlign w:val="center"/>
            <w:hideMark/>
          </w:tcPr>
          <w:p w14:paraId="2F1E93EF" w14:textId="1428377E"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9,</w:t>
            </w:r>
            <w:r>
              <w:rPr>
                <w:rFonts w:ascii="Calibri" w:hAnsi="Calibri" w:cs="Calibri"/>
                <w:color w:val="000000"/>
                <w:sz w:val="22"/>
                <w:szCs w:val="22"/>
                <w:lang w:eastAsia="en-AU"/>
              </w:rPr>
              <w:t>800</w:t>
            </w:r>
          </w:p>
        </w:tc>
        <w:tc>
          <w:tcPr>
            <w:tcW w:w="456" w:type="pct"/>
            <w:tcBorders>
              <w:top w:val="single" w:sz="8" w:space="0" w:color="auto"/>
              <w:bottom w:val="single" w:sz="12" w:space="0" w:color="auto"/>
            </w:tcBorders>
            <w:shd w:val="clear" w:color="auto" w:fill="auto"/>
            <w:vAlign w:val="center"/>
            <w:hideMark/>
          </w:tcPr>
          <w:p w14:paraId="431E1675" w14:textId="65E595CB"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10,</w:t>
            </w:r>
            <w:r>
              <w:rPr>
                <w:rFonts w:ascii="Calibri" w:hAnsi="Calibri" w:cs="Calibri"/>
                <w:color w:val="000000"/>
                <w:sz w:val="22"/>
                <w:szCs w:val="22"/>
                <w:lang w:eastAsia="en-AU"/>
              </w:rPr>
              <w:t>900</w:t>
            </w:r>
          </w:p>
        </w:tc>
      </w:tr>
      <w:tr w:rsidR="007B624F" w:rsidRPr="00503A2F" w14:paraId="7BE45A7C" w14:textId="77777777" w:rsidTr="00F62D67">
        <w:trPr>
          <w:trHeight w:val="315"/>
        </w:trPr>
        <w:tc>
          <w:tcPr>
            <w:tcW w:w="605" w:type="pct"/>
            <w:tcBorders>
              <w:top w:val="single" w:sz="12" w:space="0" w:color="auto"/>
            </w:tcBorders>
            <w:shd w:val="clear" w:color="auto" w:fill="auto"/>
            <w:vAlign w:val="center"/>
            <w:hideMark/>
          </w:tcPr>
          <w:p w14:paraId="4CEB665A"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JRE</w:t>
            </w:r>
          </w:p>
        </w:tc>
        <w:tc>
          <w:tcPr>
            <w:tcW w:w="746" w:type="pct"/>
            <w:tcBorders>
              <w:top w:val="single" w:sz="12" w:space="0" w:color="auto"/>
              <w:bottom w:val="single" w:sz="8" w:space="0" w:color="auto"/>
            </w:tcBorders>
            <w:shd w:val="clear" w:color="auto" w:fill="auto"/>
            <w:vAlign w:val="center"/>
            <w:hideMark/>
          </w:tcPr>
          <w:p w14:paraId="7DC270F8"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 xml:space="preserve">Actuals </w:t>
            </w:r>
            <w:r w:rsidRPr="00503A2F">
              <w:rPr>
                <w:rFonts w:ascii="Calibri" w:hAnsi="Calibri" w:cs="Calibri"/>
                <w:color w:val="000000"/>
                <w:sz w:val="16"/>
                <w:szCs w:val="16"/>
                <w:lang w:eastAsia="en-AU"/>
              </w:rPr>
              <w:t>(a)</w:t>
            </w:r>
          </w:p>
        </w:tc>
        <w:tc>
          <w:tcPr>
            <w:tcW w:w="456" w:type="pct"/>
            <w:tcBorders>
              <w:top w:val="single" w:sz="12" w:space="0" w:color="auto"/>
              <w:bottom w:val="single" w:sz="8" w:space="0" w:color="auto"/>
            </w:tcBorders>
            <w:shd w:val="clear" w:color="auto" w:fill="auto"/>
            <w:vAlign w:val="center"/>
            <w:hideMark/>
          </w:tcPr>
          <w:p w14:paraId="2774D7FA" w14:textId="4CC91455"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2,016</w:t>
            </w:r>
          </w:p>
        </w:tc>
        <w:tc>
          <w:tcPr>
            <w:tcW w:w="456" w:type="pct"/>
            <w:tcBorders>
              <w:top w:val="single" w:sz="12" w:space="0" w:color="auto"/>
              <w:bottom w:val="single" w:sz="8" w:space="0" w:color="auto"/>
            </w:tcBorders>
            <w:shd w:val="clear" w:color="auto" w:fill="auto"/>
            <w:vAlign w:val="center"/>
            <w:hideMark/>
          </w:tcPr>
          <w:p w14:paraId="488E4B4A" w14:textId="3B2FA9B9"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3,983</w:t>
            </w:r>
          </w:p>
        </w:tc>
        <w:tc>
          <w:tcPr>
            <w:tcW w:w="456" w:type="pct"/>
            <w:tcBorders>
              <w:top w:val="single" w:sz="12" w:space="0" w:color="auto"/>
              <w:bottom w:val="single" w:sz="8" w:space="0" w:color="auto"/>
            </w:tcBorders>
            <w:shd w:val="clear" w:color="auto" w:fill="auto"/>
            <w:vAlign w:val="center"/>
            <w:hideMark/>
          </w:tcPr>
          <w:p w14:paraId="15EB3BF0" w14:textId="15485CB9"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3,986</w:t>
            </w:r>
          </w:p>
        </w:tc>
        <w:tc>
          <w:tcPr>
            <w:tcW w:w="456" w:type="pct"/>
            <w:tcBorders>
              <w:top w:val="single" w:sz="12" w:space="0" w:color="auto"/>
              <w:bottom w:val="single" w:sz="8" w:space="0" w:color="auto"/>
            </w:tcBorders>
            <w:shd w:val="clear" w:color="000000" w:fill="D9D9D9"/>
            <w:vAlign w:val="center"/>
            <w:hideMark/>
          </w:tcPr>
          <w:p w14:paraId="7C6728CC"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1C95064F"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1C1FC344"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0992D4E2"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60FD9906"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3C994AC6" w14:textId="77777777" w:rsidTr="007B624F">
        <w:trPr>
          <w:trHeight w:val="315"/>
        </w:trPr>
        <w:tc>
          <w:tcPr>
            <w:tcW w:w="605" w:type="pct"/>
            <w:tcBorders>
              <w:bottom w:val="single" w:sz="12" w:space="0" w:color="auto"/>
            </w:tcBorders>
            <w:shd w:val="clear" w:color="auto" w:fill="auto"/>
            <w:vAlign w:val="center"/>
            <w:hideMark/>
          </w:tcPr>
          <w:p w14:paraId="0270490D" w14:textId="63706B56" w:rsidR="007B624F" w:rsidRPr="00503A2F" w:rsidRDefault="007B624F" w:rsidP="00B80F5A">
            <w:pPr>
              <w:rPr>
                <w:rFonts w:ascii="Calibri" w:hAnsi="Calibri" w:cs="Calibri"/>
                <w:color w:val="000000"/>
                <w:sz w:val="22"/>
                <w:szCs w:val="22"/>
                <w:lang w:eastAsia="en-AU"/>
              </w:rPr>
            </w:pPr>
            <w:r>
              <w:rPr>
                <w:rFonts w:ascii="Calibri" w:hAnsi="Calibri" w:cs="Calibri"/>
                <w:color w:val="000000"/>
                <w:sz w:val="22"/>
                <w:szCs w:val="22"/>
                <w:lang w:eastAsia="en-AU"/>
              </w:rPr>
              <w:t>JRE</w:t>
            </w:r>
          </w:p>
        </w:tc>
        <w:tc>
          <w:tcPr>
            <w:tcW w:w="746" w:type="pct"/>
            <w:tcBorders>
              <w:top w:val="single" w:sz="8" w:space="0" w:color="auto"/>
              <w:bottom w:val="single" w:sz="12" w:space="0" w:color="auto"/>
            </w:tcBorders>
            <w:shd w:val="clear" w:color="auto" w:fill="auto"/>
            <w:vAlign w:val="center"/>
            <w:hideMark/>
          </w:tcPr>
          <w:p w14:paraId="28AF30E5" w14:textId="77777777" w:rsidR="007B624F" w:rsidRPr="00503A2F" w:rsidRDefault="007B624F" w:rsidP="00B80F5A">
            <w:pPr>
              <w:rPr>
                <w:rFonts w:ascii="Calibri" w:hAnsi="Calibri" w:cs="Calibri"/>
                <w:color w:val="000000"/>
                <w:sz w:val="22"/>
                <w:szCs w:val="22"/>
                <w:lang w:eastAsia="en-AU"/>
              </w:rPr>
            </w:pPr>
            <w:r w:rsidRPr="00503A2F">
              <w:rPr>
                <w:rFonts w:ascii="Calibri" w:hAnsi="Calibri" w:cs="Calibri"/>
                <w:color w:val="000000"/>
                <w:sz w:val="22"/>
                <w:szCs w:val="22"/>
                <w:lang w:eastAsia="en-AU"/>
              </w:rPr>
              <w:t xml:space="preserve">Forecast </w:t>
            </w:r>
            <w:r w:rsidRPr="00503A2F">
              <w:rPr>
                <w:rFonts w:ascii="Calibri" w:hAnsi="Calibri" w:cs="Calibri"/>
                <w:color w:val="000000"/>
                <w:sz w:val="16"/>
                <w:szCs w:val="16"/>
                <w:lang w:eastAsia="en-AU"/>
              </w:rPr>
              <w:t>(b)</w:t>
            </w:r>
          </w:p>
        </w:tc>
        <w:tc>
          <w:tcPr>
            <w:tcW w:w="456" w:type="pct"/>
            <w:tcBorders>
              <w:top w:val="single" w:sz="8" w:space="0" w:color="auto"/>
              <w:bottom w:val="single" w:sz="12" w:space="0" w:color="auto"/>
            </w:tcBorders>
            <w:shd w:val="clear" w:color="000000" w:fill="D9D9D9"/>
            <w:vAlign w:val="center"/>
            <w:hideMark/>
          </w:tcPr>
          <w:p w14:paraId="63F38B5F" w14:textId="77777777"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1136A59D" w14:textId="77777777"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787C334D" w14:textId="77777777"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4FC904D0" w14:textId="29B1A9ED"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rPr>
              <w:t>4,500</w:t>
            </w:r>
          </w:p>
        </w:tc>
        <w:tc>
          <w:tcPr>
            <w:tcW w:w="456" w:type="pct"/>
            <w:tcBorders>
              <w:top w:val="single" w:sz="8" w:space="0" w:color="auto"/>
              <w:bottom w:val="single" w:sz="12" w:space="0" w:color="auto"/>
            </w:tcBorders>
            <w:shd w:val="clear" w:color="auto" w:fill="auto"/>
            <w:vAlign w:val="center"/>
            <w:hideMark/>
          </w:tcPr>
          <w:p w14:paraId="6DCA7281" w14:textId="1FD0BEF8"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5,300</w:t>
            </w:r>
          </w:p>
        </w:tc>
        <w:tc>
          <w:tcPr>
            <w:tcW w:w="456" w:type="pct"/>
            <w:tcBorders>
              <w:top w:val="single" w:sz="8" w:space="0" w:color="auto"/>
              <w:bottom w:val="single" w:sz="12" w:space="0" w:color="auto"/>
            </w:tcBorders>
            <w:shd w:val="clear" w:color="auto" w:fill="auto"/>
            <w:vAlign w:val="center"/>
            <w:hideMark/>
          </w:tcPr>
          <w:p w14:paraId="0A97C1FE" w14:textId="263B00B8"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6,000</w:t>
            </w:r>
          </w:p>
        </w:tc>
        <w:tc>
          <w:tcPr>
            <w:tcW w:w="456" w:type="pct"/>
            <w:tcBorders>
              <w:top w:val="single" w:sz="8" w:space="0" w:color="auto"/>
              <w:bottom w:val="single" w:sz="12" w:space="0" w:color="auto"/>
            </w:tcBorders>
            <w:shd w:val="clear" w:color="auto" w:fill="auto"/>
            <w:vAlign w:val="center"/>
            <w:hideMark/>
          </w:tcPr>
          <w:p w14:paraId="7AF9DBF3" w14:textId="40975767"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6,800</w:t>
            </w:r>
          </w:p>
        </w:tc>
        <w:tc>
          <w:tcPr>
            <w:tcW w:w="456" w:type="pct"/>
            <w:tcBorders>
              <w:top w:val="single" w:sz="8" w:space="0" w:color="auto"/>
              <w:bottom w:val="single" w:sz="12" w:space="0" w:color="auto"/>
            </w:tcBorders>
            <w:shd w:val="clear" w:color="auto" w:fill="auto"/>
            <w:vAlign w:val="center"/>
            <w:hideMark/>
          </w:tcPr>
          <w:p w14:paraId="5E77FFB2" w14:textId="0900EBFA"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7,600</w:t>
            </w:r>
          </w:p>
        </w:tc>
      </w:tr>
      <w:tr w:rsidR="007B624F" w:rsidRPr="00503A2F" w14:paraId="65B53661" w14:textId="77777777" w:rsidTr="00F62D67">
        <w:trPr>
          <w:trHeight w:val="315"/>
        </w:trPr>
        <w:tc>
          <w:tcPr>
            <w:tcW w:w="605" w:type="pct"/>
            <w:tcBorders>
              <w:top w:val="single" w:sz="12" w:space="0" w:color="auto"/>
            </w:tcBorders>
            <w:shd w:val="clear" w:color="auto" w:fill="auto"/>
            <w:vAlign w:val="center"/>
            <w:hideMark/>
          </w:tcPr>
          <w:p w14:paraId="5FD6521D"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JRWA</w:t>
            </w:r>
          </w:p>
        </w:tc>
        <w:tc>
          <w:tcPr>
            <w:tcW w:w="746" w:type="pct"/>
            <w:tcBorders>
              <w:top w:val="single" w:sz="12" w:space="0" w:color="auto"/>
              <w:bottom w:val="single" w:sz="8" w:space="0" w:color="auto"/>
            </w:tcBorders>
            <w:shd w:val="clear" w:color="auto" w:fill="auto"/>
            <w:vAlign w:val="center"/>
            <w:hideMark/>
          </w:tcPr>
          <w:p w14:paraId="3C19079D"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 xml:space="preserve">Actuals </w:t>
            </w:r>
            <w:r w:rsidRPr="00503A2F">
              <w:rPr>
                <w:rFonts w:ascii="Calibri" w:hAnsi="Calibri" w:cs="Calibri"/>
                <w:color w:val="000000"/>
                <w:sz w:val="16"/>
                <w:szCs w:val="16"/>
                <w:lang w:eastAsia="en-AU"/>
              </w:rPr>
              <w:t>(a)</w:t>
            </w:r>
          </w:p>
        </w:tc>
        <w:tc>
          <w:tcPr>
            <w:tcW w:w="456" w:type="pct"/>
            <w:tcBorders>
              <w:top w:val="single" w:sz="12" w:space="0" w:color="auto"/>
              <w:bottom w:val="single" w:sz="8" w:space="0" w:color="auto"/>
            </w:tcBorders>
            <w:shd w:val="clear" w:color="auto" w:fill="auto"/>
            <w:vAlign w:val="center"/>
            <w:hideMark/>
          </w:tcPr>
          <w:p w14:paraId="2745ED26" w14:textId="58911DB5"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851</w:t>
            </w:r>
          </w:p>
        </w:tc>
        <w:tc>
          <w:tcPr>
            <w:tcW w:w="456" w:type="pct"/>
            <w:tcBorders>
              <w:top w:val="single" w:sz="12" w:space="0" w:color="auto"/>
              <w:bottom w:val="single" w:sz="8" w:space="0" w:color="auto"/>
            </w:tcBorders>
            <w:shd w:val="clear" w:color="auto" w:fill="auto"/>
            <w:vAlign w:val="center"/>
            <w:hideMark/>
          </w:tcPr>
          <w:p w14:paraId="40A79FD9" w14:textId="056B03C8"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1,931</w:t>
            </w:r>
          </w:p>
        </w:tc>
        <w:tc>
          <w:tcPr>
            <w:tcW w:w="456" w:type="pct"/>
            <w:tcBorders>
              <w:top w:val="single" w:sz="12" w:space="0" w:color="auto"/>
              <w:bottom w:val="single" w:sz="8" w:space="0" w:color="auto"/>
            </w:tcBorders>
            <w:shd w:val="clear" w:color="auto" w:fill="auto"/>
            <w:vAlign w:val="center"/>
            <w:hideMark/>
          </w:tcPr>
          <w:p w14:paraId="79AC27E3" w14:textId="64DFC929"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3,347</w:t>
            </w:r>
          </w:p>
        </w:tc>
        <w:tc>
          <w:tcPr>
            <w:tcW w:w="456" w:type="pct"/>
            <w:tcBorders>
              <w:top w:val="single" w:sz="12" w:space="0" w:color="auto"/>
              <w:bottom w:val="single" w:sz="8" w:space="0" w:color="auto"/>
            </w:tcBorders>
            <w:shd w:val="clear" w:color="000000" w:fill="D9D9D9"/>
            <w:vAlign w:val="center"/>
            <w:hideMark/>
          </w:tcPr>
          <w:p w14:paraId="5C832A6C"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2EFF4DEC"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135D24AA"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77543DA2"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75CD72AC"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0076B201" w14:textId="77777777" w:rsidTr="007B624F">
        <w:trPr>
          <w:trHeight w:val="315"/>
        </w:trPr>
        <w:tc>
          <w:tcPr>
            <w:tcW w:w="605" w:type="pct"/>
            <w:tcBorders>
              <w:bottom w:val="single" w:sz="12" w:space="0" w:color="auto"/>
            </w:tcBorders>
            <w:shd w:val="clear" w:color="auto" w:fill="auto"/>
            <w:vAlign w:val="center"/>
            <w:hideMark/>
          </w:tcPr>
          <w:p w14:paraId="73F417DA" w14:textId="519B0799" w:rsidR="007B624F" w:rsidRPr="00503A2F" w:rsidRDefault="007B624F" w:rsidP="00B80F5A">
            <w:pPr>
              <w:rPr>
                <w:rFonts w:ascii="Calibri" w:hAnsi="Calibri" w:cs="Calibri"/>
                <w:color w:val="000000"/>
                <w:sz w:val="22"/>
                <w:szCs w:val="22"/>
                <w:lang w:eastAsia="en-AU"/>
              </w:rPr>
            </w:pPr>
            <w:r w:rsidRPr="00503A2F">
              <w:rPr>
                <w:rFonts w:ascii="Calibri" w:hAnsi="Calibri" w:cs="Calibri"/>
                <w:color w:val="000000"/>
                <w:sz w:val="22"/>
                <w:szCs w:val="22"/>
                <w:lang w:eastAsia="en-AU"/>
              </w:rPr>
              <w:t>JRWA</w:t>
            </w:r>
          </w:p>
        </w:tc>
        <w:tc>
          <w:tcPr>
            <w:tcW w:w="746" w:type="pct"/>
            <w:tcBorders>
              <w:top w:val="single" w:sz="8" w:space="0" w:color="auto"/>
              <w:bottom w:val="single" w:sz="12" w:space="0" w:color="auto"/>
            </w:tcBorders>
            <w:shd w:val="clear" w:color="auto" w:fill="auto"/>
            <w:vAlign w:val="center"/>
            <w:hideMark/>
          </w:tcPr>
          <w:p w14:paraId="7644069F" w14:textId="77777777" w:rsidR="007B624F" w:rsidRPr="00503A2F" w:rsidRDefault="007B624F" w:rsidP="00B80F5A">
            <w:pPr>
              <w:rPr>
                <w:rFonts w:ascii="Calibri" w:hAnsi="Calibri" w:cs="Calibri"/>
                <w:color w:val="000000"/>
                <w:sz w:val="22"/>
                <w:szCs w:val="22"/>
                <w:lang w:eastAsia="en-AU"/>
              </w:rPr>
            </w:pPr>
            <w:r w:rsidRPr="00503A2F">
              <w:rPr>
                <w:rFonts w:ascii="Calibri" w:hAnsi="Calibri" w:cs="Calibri"/>
                <w:color w:val="000000"/>
                <w:sz w:val="22"/>
                <w:szCs w:val="22"/>
                <w:lang w:eastAsia="en-AU"/>
              </w:rPr>
              <w:t xml:space="preserve">Forecast </w:t>
            </w:r>
            <w:r w:rsidRPr="00503A2F">
              <w:rPr>
                <w:rFonts w:ascii="Calibri" w:hAnsi="Calibri" w:cs="Calibri"/>
                <w:color w:val="000000"/>
                <w:sz w:val="16"/>
                <w:szCs w:val="16"/>
                <w:lang w:eastAsia="en-AU"/>
              </w:rPr>
              <w:t>(b)</w:t>
            </w:r>
          </w:p>
        </w:tc>
        <w:tc>
          <w:tcPr>
            <w:tcW w:w="456" w:type="pct"/>
            <w:tcBorders>
              <w:top w:val="single" w:sz="8" w:space="0" w:color="auto"/>
              <w:bottom w:val="single" w:sz="12" w:space="0" w:color="auto"/>
            </w:tcBorders>
            <w:shd w:val="clear" w:color="000000" w:fill="D9D9D9"/>
            <w:vAlign w:val="center"/>
            <w:hideMark/>
          </w:tcPr>
          <w:p w14:paraId="2ABEE87D" w14:textId="77777777"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78E9DE72" w14:textId="77777777"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3F07AFDA" w14:textId="77777777"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24F22287" w14:textId="59DBDD96" w:rsidR="007B624F" w:rsidRPr="00FC6EF7" w:rsidRDefault="007B624F" w:rsidP="00B80F5A">
            <w:pPr>
              <w:jc w:val="right"/>
              <w:rPr>
                <w:rFonts w:ascii="Calibri" w:hAnsi="Calibri" w:cs="Calibri"/>
                <w:color w:val="000000"/>
                <w:sz w:val="22"/>
                <w:szCs w:val="22"/>
                <w:lang w:eastAsia="en-AU"/>
              </w:rPr>
            </w:pPr>
            <w:r w:rsidRPr="00FC6EF7">
              <w:rPr>
                <w:rFonts w:ascii="Calibri" w:hAnsi="Calibri" w:cs="Calibri"/>
                <w:color w:val="000000"/>
                <w:sz w:val="22"/>
                <w:szCs w:val="22"/>
              </w:rPr>
              <w:t>4,000</w:t>
            </w:r>
          </w:p>
        </w:tc>
        <w:tc>
          <w:tcPr>
            <w:tcW w:w="456" w:type="pct"/>
            <w:tcBorders>
              <w:top w:val="single" w:sz="8" w:space="0" w:color="auto"/>
              <w:bottom w:val="single" w:sz="12" w:space="0" w:color="auto"/>
            </w:tcBorders>
            <w:shd w:val="clear" w:color="auto" w:fill="auto"/>
            <w:vAlign w:val="center"/>
            <w:hideMark/>
          </w:tcPr>
          <w:p w14:paraId="782350D5" w14:textId="62D0A978"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4,700</w:t>
            </w:r>
          </w:p>
        </w:tc>
        <w:tc>
          <w:tcPr>
            <w:tcW w:w="456" w:type="pct"/>
            <w:tcBorders>
              <w:top w:val="single" w:sz="8" w:space="0" w:color="auto"/>
              <w:bottom w:val="single" w:sz="12" w:space="0" w:color="auto"/>
            </w:tcBorders>
            <w:shd w:val="clear" w:color="auto" w:fill="auto"/>
            <w:vAlign w:val="center"/>
            <w:hideMark/>
          </w:tcPr>
          <w:p w14:paraId="7DE0F9A1" w14:textId="7A024299"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5,300</w:t>
            </w:r>
          </w:p>
        </w:tc>
        <w:tc>
          <w:tcPr>
            <w:tcW w:w="456" w:type="pct"/>
            <w:tcBorders>
              <w:top w:val="single" w:sz="8" w:space="0" w:color="auto"/>
              <w:bottom w:val="single" w:sz="12" w:space="0" w:color="auto"/>
            </w:tcBorders>
            <w:shd w:val="clear" w:color="auto" w:fill="auto"/>
            <w:vAlign w:val="center"/>
            <w:hideMark/>
          </w:tcPr>
          <w:p w14:paraId="3AD5983D" w14:textId="43C1D7E6"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5,900</w:t>
            </w:r>
          </w:p>
        </w:tc>
        <w:tc>
          <w:tcPr>
            <w:tcW w:w="456" w:type="pct"/>
            <w:tcBorders>
              <w:top w:val="single" w:sz="8" w:space="0" w:color="auto"/>
              <w:bottom w:val="single" w:sz="12" w:space="0" w:color="auto"/>
            </w:tcBorders>
            <w:shd w:val="clear" w:color="auto" w:fill="auto"/>
            <w:vAlign w:val="center"/>
            <w:hideMark/>
          </w:tcPr>
          <w:p w14:paraId="2F3E34A7" w14:textId="7E84772E" w:rsidR="007B624F" w:rsidRPr="00503A2F" w:rsidRDefault="007B624F" w:rsidP="00B80F5A">
            <w:pPr>
              <w:jc w:val="right"/>
              <w:rPr>
                <w:rFonts w:ascii="Calibri" w:hAnsi="Calibri" w:cs="Calibri"/>
                <w:color w:val="000000"/>
                <w:sz w:val="22"/>
                <w:szCs w:val="22"/>
                <w:lang w:eastAsia="en-AU"/>
              </w:rPr>
            </w:pPr>
            <w:r>
              <w:rPr>
                <w:rFonts w:ascii="Calibri" w:hAnsi="Calibri" w:cs="Calibri"/>
                <w:color w:val="000000"/>
                <w:sz w:val="22"/>
                <w:szCs w:val="22"/>
              </w:rPr>
              <w:t>6,500</w:t>
            </w:r>
          </w:p>
        </w:tc>
      </w:tr>
      <w:tr w:rsidR="007B624F" w:rsidRPr="00503A2F" w14:paraId="2BB9FDFE" w14:textId="77777777" w:rsidTr="00F62D67">
        <w:trPr>
          <w:trHeight w:val="315"/>
        </w:trPr>
        <w:tc>
          <w:tcPr>
            <w:tcW w:w="605" w:type="pct"/>
            <w:tcBorders>
              <w:top w:val="single" w:sz="12" w:space="0" w:color="auto"/>
            </w:tcBorders>
            <w:shd w:val="clear" w:color="auto" w:fill="auto"/>
            <w:vAlign w:val="center"/>
            <w:hideMark/>
          </w:tcPr>
          <w:p w14:paraId="649780D7"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JRFA</w:t>
            </w:r>
          </w:p>
        </w:tc>
        <w:tc>
          <w:tcPr>
            <w:tcW w:w="746" w:type="pct"/>
            <w:tcBorders>
              <w:top w:val="single" w:sz="12" w:space="0" w:color="auto"/>
              <w:bottom w:val="single" w:sz="8" w:space="0" w:color="auto"/>
            </w:tcBorders>
            <w:shd w:val="clear" w:color="auto" w:fill="auto"/>
            <w:vAlign w:val="center"/>
            <w:hideMark/>
          </w:tcPr>
          <w:p w14:paraId="2336A5F4" w14:textId="77777777" w:rsidR="007B624F" w:rsidRPr="00503A2F" w:rsidRDefault="007B624F" w:rsidP="00503A2F">
            <w:pPr>
              <w:rPr>
                <w:rFonts w:ascii="Calibri" w:hAnsi="Calibri" w:cs="Calibri"/>
                <w:color w:val="000000"/>
                <w:sz w:val="22"/>
                <w:szCs w:val="22"/>
                <w:lang w:eastAsia="en-AU"/>
              </w:rPr>
            </w:pPr>
            <w:r w:rsidRPr="00503A2F">
              <w:rPr>
                <w:rFonts w:ascii="Calibri" w:hAnsi="Calibri" w:cs="Calibri"/>
                <w:color w:val="000000"/>
                <w:sz w:val="22"/>
                <w:szCs w:val="22"/>
                <w:lang w:eastAsia="en-AU"/>
              </w:rPr>
              <w:t xml:space="preserve">Actuals </w:t>
            </w:r>
            <w:r w:rsidRPr="00503A2F">
              <w:rPr>
                <w:rFonts w:ascii="Calibri" w:hAnsi="Calibri" w:cs="Calibri"/>
                <w:color w:val="000000"/>
                <w:sz w:val="16"/>
                <w:szCs w:val="16"/>
                <w:lang w:eastAsia="en-AU"/>
              </w:rPr>
              <w:t>(a)</w:t>
            </w:r>
          </w:p>
        </w:tc>
        <w:tc>
          <w:tcPr>
            <w:tcW w:w="456" w:type="pct"/>
            <w:tcBorders>
              <w:top w:val="single" w:sz="12" w:space="0" w:color="auto"/>
              <w:bottom w:val="single" w:sz="8" w:space="0" w:color="auto"/>
            </w:tcBorders>
            <w:shd w:val="clear" w:color="auto" w:fill="auto"/>
            <w:vAlign w:val="center"/>
            <w:hideMark/>
          </w:tcPr>
          <w:p w14:paraId="02894B86" w14:textId="27B7341F"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609</w:t>
            </w:r>
          </w:p>
        </w:tc>
        <w:tc>
          <w:tcPr>
            <w:tcW w:w="456" w:type="pct"/>
            <w:tcBorders>
              <w:top w:val="single" w:sz="12" w:space="0" w:color="auto"/>
              <w:bottom w:val="single" w:sz="8" w:space="0" w:color="auto"/>
            </w:tcBorders>
            <w:shd w:val="clear" w:color="auto" w:fill="auto"/>
            <w:vAlign w:val="center"/>
            <w:hideMark/>
          </w:tcPr>
          <w:p w14:paraId="68230AE6" w14:textId="43CCC1C6"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1,401</w:t>
            </w:r>
          </w:p>
        </w:tc>
        <w:tc>
          <w:tcPr>
            <w:tcW w:w="456" w:type="pct"/>
            <w:tcBorders>
              <w:top w:val="single" w:sz="12" w:space="0" w:color="auto"/>
              <w:bottom w:val="single" w:sz="8" w:space="0" w:color="auto"/>
            </w:tcBorders>
            <w:shd w:val="clear" w:color="auto" w:fill="auto"/>
            <w:vAlign w:val="center"/>
            <w:hideMark/>
          </w:tcPr>
          <w:p w14:paraId="236614BE" w14:textId="7D7F9681"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3183</w:t>
            </w:r>
          </w:p>
        </w:tc>
        <w:tc>
          <w:tcPr>
            <w:tcW w:w="456" w:type="pct"/>
            <w:tcBorders>
              <w:top w:val="single" w:sz="12" w:space="0" w:color="auto"/>
              <w:bottom w:val="single" w:sz="8" w:space="0" w:color="auto"/>
            </w:tcBorders>
            <w:shd w:val="clear" w:color="000000" w:fill="D9D9D9"/>
            <w:vAlign w:val="center"/>
            <w:hideMark/>
          </w:tcPr>
          <w:p w14:paraId="1E3678D2" w14:textId="77777777" w:rsidR="007B624F" w:rsidRPr="00FC6EF7" w:rsidRDefault="007B624F" w:rsidP="00503A2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2AC5C1D1"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7FA94B3C"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1CB8349C"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61C7093B" w14:textId="77777777" w:rsidR="007B624F" w:rsidRPr="00503A2F" w:rsidRDefault="007B624F" w:rsidP="00503A2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481F6212" w14:textId="77777777" w:rsidTr="007B624F">
        <w:trPr>
          <w:trHeight w:val="315"/>
        </w:trPr>
        <w:tc>
          <w:tcPr>
            <w:tcW w:w="605" w:type="pct"/>
            <w:tcBorders>
              <w:bottom w:val="single" w:sz="12" w:space="0" w:color="auto"/>
            </w:tcBorders>
            <w:shd w:val="clear" w:color="auto" w:fill="auto"/>
            <w:vAlign w:val="center"/>
            <w:hideMark/>
          </w:tcPr>
          <w:p w14:paraId="1951BFC9" w14:textId="7A86BD3E"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JRFA</w:t>
            </w:r>
          </w:p>
        </w:tc>
        <w:tc>
          <w:tcPr>
            <w:tcW w:w="746" w:type="pct"/>
            <w:tcBorders>
              <w:top w:val="single" w:sz="8" w:space="0" w:color="auto"/>
              <w:bottom w:val="single" w:sz="12" w:space="0" w:color="auto"/>
            </w:tcBorders>
            <w:shd w:val="clear" w:color="auto" w:fill="auto"/>
            <w:vAlign w:val="center"/>
            <w:hideMark/>
          </w:tcPr>
          <w:p w14:paraId="70373292"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 xml:space="preserve">Forecast </w:t>
            </w:r>
            <w:r w:rsidRPr="00503A2F">
              <w:rPr>
                <w:rFonts w:ascii="Calibri" w:hAnsi="Calibri" w:cs="Calibri"/>
                <w:color w:val="000000"/>
                <w:sz w:val="16"/>
                <w:szCs w:val="16"/>
                <w:lang w:eastAsia="en-AU"/>
              </w:rPr>
              <w:t>(b)</w:t>
            </w:r>
          </w:p>
        </w:tc>
        <w:tc>
          <w:tcPr>
            <w:tcW w:w="456" w:type="pct"/>
            <w:tcBorders>
              <w:top w:val="single" w:sz="8" w:space="0" w:color="auto"/>
              <w:bottom w:val="single" w:sz="12" w:space="0" w:color="auto"/>
            </w:tcBorders>
            <w:shd w:val="clear" w:color="000000" w:fill="D9D9D9"/>
            <w:vAlign w:val="center"/>
            <w:hideMark/>
          </w:tcPr>
          <w:p w14:paraId="109BFFDB"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4BB32EED"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341C270B"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3712AEE2" w14:textId="00336913"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3,500</w:t>
            </w:r>
          </w:p>
        </w:tc>
        <w:tc>
          <w:tcPr>
            <w:tcW w:w="456" w:type="pct"/>
            <w:tcBorders>
              <w:top w:val="single" w:sz="8" w:space="0" w:color="auto"/>
              <w:bottom w:val="single" w:sz="12" w:space="0" w:color="auto"/>
            </w:tcBorders>
            <w:shd w:val="clear" w:color="auto" w:fill="auto"/>
            <w:vAlign w:val="center"/>
            <w:hideMark/>
          </w:tcPr>
          <w:p w14:paraId="62CBDE6E" w14:textId="4F52BD71"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4,</w:t>
            </w:r>
            <w:r>
              <w:rPr>
                <w:rFonts w:ascii="Calibri" w:hAnsi="Calibri" w:cs="Calibri"/>
                <w:color w:val="000000"/>
                <w:sz w:val="22"/>
                <w:szCs w:val="22"/>
                <w:lang w:eastAsia="en-AU"/>
              </w:rPr>
              <w:t>200</w:t>
            </w:r>
          </w:p>
        </w:tc>
        <w:tc>
          <w:tcPr>
            <w:tcW w:w="456" w:type="pct"/>
            <w:tcBorders>
              <w:top w:val="single" w:sz="8" w:space="0" w:color="auto"/>
              <w:bottom w:val="single" w:sz="12" w:space="0" w:color="auto"/>
            </w:tcBorders>
            <w:shd w:val="clear" w:color="auto" w:fill="auto"/>
            <w:vAlign w:val="center"/>
            <w:hideMark/>
          </w:tcPr>
          <w:p w14:paraId="422102FE" w14:textId="343A731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4,</w:t>
            </w:r>
            <w:r>
              <w:rPr>
                <w:rFonts w:ascii="Calibri" w:hAnsi="Calibri" w:cs="Calibri"/>
                <w:color w:val="000000"/>
                <w:sz w:val="22"/>
                <w:szCs w:val="22"/>
                <w:lang w:eastAsia="en-AU"/>
              </w:rPr>
              <w:t>900</w:t>
            </w:r>
          </w:p>
        </w:tc>
        <w:tc>
          <w:tcPr>
            <w:tcW w:w="456" w:type="pct"/>
            <w:tcBorders>
              <w:top w:val="single" w:sz="8" w:space="0" w:color="auto"/>
              <w:bottom w:val="single" w:sz="12" w:space="0" w:color="auto"/>
            </w:tcBorders>
            <w:shd w:val="clear" w:color="auto" w:fill="auto"/>
            <w:vAlign w:val="center"/>
            <w:hideMark/>
          </w:tcPr>
          <w:p w14:paraId="077CACBC" w14:textId="415E15D1"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5,5</w:t>
            </w:r>
            <w:r>
              <w:rPr>
                <w:rFonts w:ascii="Calibri" w:hAnsi="Calibri" w:cs="Calibri"/>
                <w:color w:val="000000"/>
                <w:sz w:val="22"/>
                <w:szCs w:val="22"/>
                <w:lang w:eastAsia="en-AU"/>
              </w:rPr>
              <w:t>00</w:t>
            </w:r>
          </w:p>
        </w:tc>
        <w:tc>
          <w:tcPr>
            <w:tcW w:w="456" w:type="pct"/>
            <w:tcBorders>
              <w:top w:val="single" w:sz="8" w:space="0" w:color="auto"/>
              <w:bottom w:val="single" w:sz="12" w:space="0" w:color="auto"/>
            </w:tcBorders>
            <w:shd w:val="clear" w:color="auto" w:fill="auto"/>
            <w:vAlign w:val="center"/>
            <w:hideMark/>
          </w:tcPr>
          <w:p w14:paraId="54FB4F55" w14:textId="5177D24F"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6,2</w:t>
            </w:r>
            <w:r>
              <w:rPr>
                <w:rFonts w:ascii="Calibri" w:hAnsi="Calibri" w:cs="Calibri"/>
                <w:color w:val="000000"/>
                <w:sz w:val="22"/>
                <w:szCs w:val="22"/>
                <w:lang w:eastAsia="en-AU"/>
              </w:rPr>
              <w:t>00</w:t>
            </w:r>
          </w:p>
        </w:tc>
      </w:tr>
      <w:tr w:rsidR="007B624F" w:rsidRPr="00503A2F" w14:paraId="71D0EAA6" w14:textId="77777777" w:rsidTr="00F62D67">
        <w:trPr>
          <w:trHeight w:val="315"/>
        </w:trPr>
        <w:tc>
          <w:tcPr>
            <w:tcW w:w="605" w:type="pct"/>
            <w:tcBorders>
              <w:top w:val="single" w:sz="12" w:space="0" w:color="auto"/>
            </w:tcBorders>
            <w:shd w:val="clear" w:color="auto" w:fill="auto"/>
            <w:vAlign w:val="center"/>
            <w:hideMark/>
          </w:tcPr>
          <w:p w14:paraId="77021F7B"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MSA</w:t>
            </w:r>
          </w:p>
        </w:tc>
        <w:tc>
          <w:tcPr>
            <w:tcW w:w="746" w:type="pct"/>
            <w:tcBorders>
              <w:top w:val="single" w:sz="12" w:space="0" w:color="auto"/>
              <w:bottom w:val="single" w:sz="8" w:space="0" w:color="auto"/>
            </w:tcBorders>
            <w:shd w:val="clear" w:color="auto" w:fill="auto"/>
            <w:vAlign w:val="center"/>
            <w:hideMark/>
          </w:tcPr>
          <w:p w14:paraId="277EB4CF"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Actuals</w:t>
            </w:r>
          </w:p>
        </w:tc>
        <w:tc>
          <w:tcPr>
            <w:tcW w:w="456" w:type="pct"/>
            <w:tcBorders>
              <w:top w:val="single" w:sz="12" w:space="0" w:color="auto"/>
              <w:bottom w:val="single" w:sz="8" w:space="0" w:color="auto"/>
            </w:tcBorders>
            <w:shd w:val="clear" w:color="auto" w:fill="auto"/>
            <w:vAlign w:val="center"/>
            <w:hideMark/>
          </w:tcPr>
          <w:p w14:paraId="42EB3E3E" w14:textId="2DEC336A"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1,828</w:t>
            </w:r>
          </w:p>
        </w:tc>
        <w:tc>
          <w:tcPr>
            <w:tcW w:w="456" w:type="pct"/>
            <w:tcBorders>
              <w:top w:val="single" w:sz="12" w:space="0" w:color="auto"/>
              <w:bottom w:val="single" w:sz="8" w:space="0" w:color="auto"/>
            </w:tcBorders>
            <w:shd w:val="clear" w:color="auto" w:fill="auto"/>
            <w:vAlign w:val="center"/>
            <w:hideMark/>
          </w:tcPr>
          <w:p w14:paraId="55BFB095" w14:textId="421F132A"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1,293</w:t>
            </w:r>
          </w:p>
        </w:tc>
        <w:tc>
          <w:tcPr>
            <w:tcW w:w="456" w:type="pct"/>
            <w:tcBorders>
              <w:top w:val="single" w:sz="12" w:space="0" w:color="auto"/>
              <w:bottom w:val="single" w:sz="8" w:space="0" w:color="auto"/>
            </w:tcBorders>
            <w:shd w:val="clear" w:color="auto" w:fill="auto"/>
            <w:vAlign w:val="center"/>
            <w:hideMark/>
          </w:tcPr>
          <w:p w14:paraId="35E618B9" w14:textId="50EFECC1"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1,404</w:t>
            </w:r>
          </w:p>
        </w:tc>
        <w:tc>
          <w:tcPr>
            <w:tcW w:w="456" w:type="pct"/>
            <w:tcBorders>
              <w:top w:val="single" w:sz="12" w:space="0" w:color="auto"/>
              <w:bottom w:val="single" w:sz="8" w:space="0" w:color="auto"/>
            </w:tcBorders>
            <w:shd w:val="clear" w:color="000000" w:fill="D9D9D9"/>
            <w:vAlign w:val="center"/>
            <w:hideMark/>
          </w:tcPr>
          <w:p w14:paraId="574F4DD1"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18693840"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179FA341"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6246AA56"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4C018826"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67C7AA13" w14:textId="77777777" w:rsidTr="007B624F">
        <w:trPr>
          <w:trHeight w:val="315"/>
        </w:trPr>
        <w:tc>
          <w:tcPr>
            <w:tcW w:w="605" w:type="pct"/>
            <w:tcBorders>
              <w:bottom w:val="single" w:sz="12" w:space="0" w:color="auto"/>
            </w:tcBorders>
            <w:shd w:val="clear" w:color="auto" w:fill="auto"/>
            <w:vAlign w:val="center"/>
            <w:hideMark/>
          </w:tcPr>
          <w:p w14:paraId="76C6E221" w14:textId="64F2B84E"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MSA</w:t>
            </w:r>
          </w:p>
        </w:tc>
        <w:tc>
          <w:tcPr>
            <w:tcW w:w="746" w:type="pct"/>
            <w:tcBorders>
              <w:top w:val="single" w:sz="8" w:space="0" w:color="auto"/>
              <w:bottom w:val="single" w:sz="12" w:space="0" w:color="auto"/>
            </w:tcBorders>
            <w:shd w:val="clear" w:color="auto" w:fill="auto"/>
            <w:vAlign w:val="center"/>
            <w:hideMark/>
          </w:tcPr>
          <w:p w14:paraId="46DE07B2"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Forecast</w:t>
            </w:r>
          </w:p>
        </w:tc>
        <w:tc>
          <w:tcPr>
            <w:tcW w:w="456" w:type="pct"/>
            <w:tcBorders>
              <w:top w:val="single" w:sz="8" w:space="0" w:color="auto"/>
              <w:bottom w:val="single" w:sz="12" w:space="0" w:color="auto"/>
            </w:tcBorders>
            <w:shd w:val="clear" w:color="000000" w:fill="D9D9D9"/>
            <w:vAlign w:val="center"/>
            <w:hideMark/>
          </w:tcPr>
          <w:p w14:paraId="4EDA0D4E"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1E3D5AC8"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32D05E48"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7EBDCFC3" w14:textId="1B8677E4"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1,600</w:t>
            </w:r>
          </w:p>
        </w:tc>
        <w:tc>
          <w:tcPr>
            <w:tcW w:w="456" w:type="pct"/>
            <w:tcBorders>
              <w:top w:val="single" w:sz="8" w:space="0" w:color="auto"/>
              <w:bottom w:val="single" w:sz="12" w:space="0" w:color="auto"/>
            </w:tcBorders>
            <w:shd w:val="clear" w:color="auto" w:fill="auto"/>
            <w:vAlign w:val="center"/>
            <w:hideMark/>
          </w:tcPr>
          <w:p w14:paraId="52D8635A" w14:textId="10B23794"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1,6</w:t>
            </w:r>
            <w:r>
              <w:rPr>
                <w:rFonts w:ascii="Calibri" w:hAnsi="Calibri" w:cs="Calibri"/>
                <w:color w:val="000000"/>
                <w:sz w:val="22"/>
                <w:szCs w:val="22"/>
                <w:lang w:eastAsia="en-AU"/>
              </w:rPr>
              <w:t>00</w:t>
            </w:r>
          </w:p>
        </w:tc>
        <w:tc>
          <w:tcPr>
            <w:tcW w:w="456" w:type="pct"/>
            <w:tcBorders>
              <w:top w:val="single" w:sz="8" w:space="0" w:color="auto"/>
              <w:bottom w:val="single" w:sz="12" w:space="0" w:color="auto"/>
            </w:tcBorders>
            <w:shd w:val="clear" w:color="auto" w:fill="auto"/>
            <w:vAlign w:val="center"/>
            <w:hideMark/>
          </w:tcPr>
          <w:p w14:paraId="526842BE" w14:textId="200AE2C3"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1,</w:t>
            </w:r>
            <w:r>
              <w:rPr>
                <w:rFonts w:ascii="Calibri" w:hAnsi="Calibri" w:cs="Calibri"/>
                <w:color w:val="000000"/>
                <w:sz w:val="22"/>
                <w:szCs w:val="22"/>
                <w:lang w:eastAsia="en-AU"/>
              </w:rPr>
              <w:t>700</w:t>
            </w:r>
          </w:p>
        </w:tc>
        <w:tc>
          <w:tcPr>
            <w:tcW w:w="456" w:type="pct"/>
            <w:tcBorders>
              <w:top w:val="single" w:sz="8" w:space="0" w:color="auto"/>
              <w:bottom w:val="single" w:sz="12" w:space="0" w:color="auto"/>
            </w:tcBorders>
            <w:shd w:val="clear" w:color="auto" w:fill="auto"/>
            <w:vAlign w:val="center"/>
            <w:hideMark/>
          </w:tcPr>
          <w:p w14:paraId="04D56511" w14:textId="5CAA1CF1"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1,7</w:t>
            </w:r>
            <w:r>
              <w:rPr>
                <w:rFonts w:ascii="Calibri" w:hAnsi="Calibri" w:cs="Calibri"/>
                <w:color w:val="000000"/>
                <w:sz w:val="22"/>
                <w:szCs w:val="22"/>
                <w:lang w:eastAsia="en-AU"/>
              </w:rPr>
              <w:t>00</w:t>
            </w:r>
          </w:p>
        </w:tc>
        <w:tc>
          <w:tcPr>
            <w:tcW w:w="456" w:type="pct"/>
            <w:tcBorders>
              <w:top w:val="single" w:sz="8" w:space="0" w:color="auto"/>
              <w:bottom w:val="single" w:sz="12" w:space="0" w:color="auto"/>
            </w:tcBorders>
            <w:shd w:val="clear" w:color="auto" w:fill="auto"/>
            <w:vAlign w:val="center"/>
            <w:hideMark/>
          </w:tcPr>
          <w:p w14:paraId="09930230" w14:textId="05253C0C"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1,</w:t>
            </w:r>
            <w:r>
              <w:rPr>
                <w:rFonts w:ascii="Calibri" w:hAnsi="Calibri" w:cs="Calibri"/>
                <w:color w:val="000000"/>
                <w:sz w:val="22"/>
                <w:szCs w:val="22"/>
                <w:lang w:eastAsia="en-AU"/>
              </w:rPr>
              <w:t>800</w:t>
            </w:r>
          </w:p>
        </w:tc>
      </w:tr>
      <w:tr w:rsidR="007B624F" w:rsidRPr="00503A2F" w14:paraId="4E97C8E9" w14:textId="77777777" w:rsidTr="00F62D67">
        <w:trPr>
          <w:trHeight w:val="315"/>
        </w:trPr>
        <w:tc>
          <w:tcPr>
            <w:tcW w:w="605" w:type="pct"/>
            <w:tcBorders>
              <w:top w:val="single" w:sz="12" w:space="0" w:color="auto"/>
            </w:tcBorders>
            <w:shd w:val="clear" w:color="auto" w:fill="auto"/>
            <w:vAlign w:val="center"/>
            <w:hideMark/>
          </w:tcPr>
          <w:p w14:paraId="71D49568"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MSA Review</w:t>
            </w:r>
          </w:p>
        </w:tc>
        <w:tc>
          <w:tcPr>
            <w:tcW w:w="746" w:type="pct"/>
            <w:tcBorders>
              <w:top w:val="single" w:sz="12" w:space="0" w:color="auto"/>
              <w:bottom w:val="single" w:sz="8" w:space="0" w:color="auto"/>
            </w:tcBorders>
            <w:shd w:val="clear" w:color="auto" w:fill="auto"/>
            <w:vAlign w:val="center"/>
            <w:hideMark/>
          </w:tcPr>
          <w:p w14:paraId="0374B650"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Actuals</w:t>
            </w:r>
          </w:p>
        </w:tc>
        <w:tc>
          <w:tcPr>
            <w:tcW w:w="456" w:type="pct"/>
            <w:tcBorders>
              <w:top w:val="single" w:sz="12" w:space="0" w:color="auto"/>
              <w:bottom w:val="single" w:sz="8" w:space="0" w:color="auto"/>
            </w:tcBorders>
            <w:shd w:val="clear" w:color="auto" w:fill="auto"/>
            <w:vAlign w:val="center"/>
            <w:hideMark/>
          </w:tcPr>
          <w:p w14:paraId="2F82D489"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2</w:t>
            </w:r>
          </w:p>
        </w:tc>
        <w:tc>
          <w:tcPr>
            <w:tcW w:w="456" w:type="pct"/>
            <w:tcBorders>
              <w:top w:val="single" w:sz="12" w:space="0" w:color="auto"/>
              <w:bottom w:val="single" w:sz="8" w:space="0" w:color="auto"/>
            </w:tcBorders>
            <w:shd w:val="clear" w:color="auto" w:fill="auto"/>
            <w:vAlign w:val="center"/>
            <w:hideMark/>
          </w:tcPr>
          <w:p w14:paraId="49204B75"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6</w:t>
            </w:r>
          </w:p>
        </w:tc>
        <w:tc>
          <w:tcPr>
            <w:tcW w:w="456" w:type="pct"/>
            <w:tcBorders>
              <w:top w:val="single" w:sz="12" w:space="0" w:color="auto"/>
              <w:bottom w:val="single" w:sz="8" w:space="0" w:color="auto"/>
            </w:tcBorders>
            <w:shd w:val="clear" w:color="auto" w:fill="auto"/>
            <w:vAlign w:val="center"/>
            <w:hideMark/>
          </w:tcPr>
          <w:p w14:paraId="76FBB07A"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4</w:t>
            </w:r>
          </w:p>
        </w:tc>
        <w:tc>
          <w:tcPr>
            <w:tcW w:w="456" w:type="pct"/>
            <w:tcBorders>
              <w:top w:val="single" w:sz="12" w:space="0" w:color="auto"/>
              <w:bottom w:val="single" w:sz="8" w:space="0" w:color="auto"/>
            </w:tcBorders>
            <w:shd w:val="clear" w:color="000000" w:fill="D9D9D9"/>
            <w:vAlign w:val="center"/>
            <w:hideMark/>
          </w:tcPr>
          <w:p w14:paraId="30AE2485"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23BBC0E2"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74E36B46"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53976014"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714DBEA6"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22541E9E" w14:textId="77777777" w:rsidTr="007B624F">
        <w:trPr>
          <w:trHeight w:val="315"/>
        </w:trPr>
        <w:tc>
          <w:tcPr>
            <w:tcW w:w="605" w:type="pct"/>
            <w:tcBorders>
              <w:bottom w:val="single" w:sz="12" w:space="0" w:color="auto"/>
            </w:tcBorders>
            <w:shd w:val="clear" w:color="auto" w:fill="auto"/>
            <w:vAlign w:val="center"/>
            <w:hideMark/>
          </w:tcPr>
          <w:p w14:paraId="30036DFC" w14:textId="4C7B9029"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MSA Review</w:t>
            </w:r>
          </w:p>
        </w:tc>
        <w:tc>
          <w:tcPr>
            <w:tcW w:w="746" w:type="pct"/>
            <w:tcBorders>
              <w:top w:val="single" w:sz="8" w:space="0" w:color="auto"/>
              <w:bottom w:val="single" w:sz="12" w:space="0" w:color="auto"/>
            </w:tcBorders>
            <w:shd w:val="clear" w:color="auto" w:fill="auto"/>
            <w:vAlign w:val="center"/>
            <w:hideMark/>
          </w:tcPr>
          <w:p w14:paraId="0E9F2023"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Forecast</w:t>
            </w:r>
          </w:p>
        </w:tc>
        <w:tc>
          <w:tcPr>
            <w:tcW w:w="456" w:type="pct"/>
            <w:tcBorders>
              <w:top w:val="single" w:sz="8" w:space="0" w:color="auto"/>
              <w:bottom w:val="single" w:sz="12" w:space="0" w:color="auto"/>
            </w:tcBorders>
            <w:shd w:val="clear" w:color="000000" w:fill="D9D9D9"/>
            <w:vAlign w:val="center"/>
            <w:hideMark/>
          </w:tcPr>
          <w:p w14:paraId="09A08C0D"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6F297E13"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25D69750"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3477AE02"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4</w:t>
            </w:r>
          </w:p>
        </w:tc>
        <w:tc>
          <w:tcPr>
            <w:tcW w:w="456" w:type="pct"/>
            <w:tcBorders>
              <w:top w:val="single" w:sz="8" w:space="0" w:color="auto"/>
              <w:bottom w:val="single" w:sz="12" w:space="0" w:color="auto"/>
            </w:tcBorders>
            <w:shd w:val="clear" w:color="auto" w:fill="auto"/>
            <w:vAlign w:val="center"/>
            <w:hideMark/>
          </w:tcPr>
          <w:p w14:paraId="6E5B4350"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4</w:t>
            </w:r>
          </w:p>
        </w:tc>
        <w:tc>
          <w:tcPr>
            <w:tcW w:w="456" w:type="pct"/>
            <w:tcBorders>
              <w:top w:val="single" w:sz="8" w:space="0" w:color="auto"/>
              <w:bottom w:val="single" w:sz="12" w:space="0" w:color="auto"/>
            </w:tcBorders>
            <w:shd w:val="clear" w:color="auto" w:fill="auto"/>
            <w:vAlign w:val="center"/>
            <w:hideMark/>
          </w:tcPr>
          <w:p w14:paraId="3E3243EE"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4</w:t>
            </w:r>
          </w:p>
        </w:tc>
        <w:tc>
          <w:tcPr>
            <w:tcW w:w="456" w:type="pct"/>
            <w:tcBorders>
              <w:top w:val="single" w:sz="8" w:space="0" w:color="auto"/>
              <w:bottom w:val="single" w:sz="12" w:space="0" w:color="auto"/>
            </w:tcBorders>
            <w:shd w:val="clear" w:color="auto" w:fill="auto"/>
            <w:vAlign w:val="center"/>
            <w:hideMark/>
          </w:tcPr>
          <w:p w14:paraId="2964E2A5"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4</w:t>
            </w:r>
          </w:p>
        </w:tc>
        <w:tc>
          <w:tcPr>
            <w:tcW w:w="456" w:type="pct"/>
            <w:tcBorders>
              <w:top w:val="single" w:sz="8" w:space="0" w:color="auto"/>
              <w:bottom w:val="single" w:sz="12" w:space="0" w:color="auto"/>
            </w:tcBorders>
            <w:shd w:val="clear" w:color="auto" w:fill="auto"/>
            <w:vAlign w:val="center"/>
            <w:hideMark/>
          </w:tcPr>
          <w:p w14:paraId="1E579DF9"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4</w:t>
            </w:r>
          </w:p>
        </w:tc>
      </w:tr>
      <w:tr w:rsidR="007B624F" w:rsidRPr="00503A2F" w14:paraId="463775C5" w14:textId="77777777" w:rsidTr="00F62D67">
        <w:trPr>
          <w:trHeight w:val="315"/>
        </w:trPr>
        <w:tc>
          <w:tcPr>
            <w:tcW w:w="605" w:type="pct"/>
            <w:tcBorders>
              <w:top w:val="single" w:sz="12" w:space="0" w:color="auto"/>
            </w:tcBorders>
            <w:shd w:val="clear" w:color="auto" w:fill="auto"/>
            <w:vAlign w:val="center"/>
            <w:hideMark/>
          </w:tcPr>
          <w:p w14:paraId="10275FFA"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MPA</w:t>
            </w:r>
          </w:p>
        </w:tc>
        <w:tc>
          <w:tcPr>
            <w:tcW w:w="746" w:type="pct"/>
            <w:tcBorders>
              <w:top w:val="single" w:sz="12" w:space="0" w:color="auto"/>
              <w:bottom w:val="single" w:sz="8" w:space="0" w:color="auto"/>
            </w:tcBorders>
            <w:shd w:val="clear" w:color="auto" w:fill="auto"/>
            <w:vAlign w:val="center"/>
            <w:hideMark/>
          </w:tcPr>
          <w:p w14:paraId="5199C5B9"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Actuals</w:t>
            </w:r>
          </w:p>
        </w:tc>
        <w:tc>
          <w:tcPr>
            <w:tcW w:w="456" w:type="pct"/>
            <w:tcBorders>
              <w:top w:val="single" w:sz="12" w:space="0" w:color="auto"/>
              <w:bottom w:val="single" w:sz="8" w:space="0" w:color="auto"/>
            </w:tcBorders>
            <w:shd w:val="clear" w:color="auto" w:fill="auto"/>
            <w:vAlign w:val="center"/>
            <w:hideMark/>
          </w:tcPr>
          <w:p w14:paraId="13432420" w14:textId="6E270016"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209</w:t>
            </w:r>
          </w:p>
        </w:tc>
        <w:tc>
          <w:tcPr>
            <w:tcW w:w="456" w:type="pct"/>
            <w:tcBorders>
              <w:top w:val="single" w:sz="12" w:space="0" w:color="auto"/>
              <w:bottom w:val="single" w:sz="8" w:space="0" w:color="auto"/>
            </w:tcBorders>
            <w:shd w:val="clear" w:color="auto" w:fill="auto"/>
            <w:vAlign w:val="center"/>
            <w:hideMark/>
          </w:tcPr>
          <w:p w14:paraId="11CD91E8" w14:textId="5F4E4C58"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220</w:t>
            </w:r>
          </w:p>
        </w:tc>
        <w:tc>
          <w:tcPr>
            <w:tcW w:w="456" w:type="pct"/>
            <w:tcBorders>
              <w:top w:val="single" w:sz="12" w:space="0" w:color="auto"/>
              <w:bottom w:val="single" w:sz="8" w:space="0" w:color="auto"/>
            </w:tcBorders>
            <w:shd w:val="clear" w:color="auto" w:fill="auto"/>
            <w:vAlign w:val="center"/>
            <w:hideMark/>
          </w:tcPr>
          <w:p w14:paraId="16632030" w14:textId="15EBD562"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175</w:t>
            </w:r>
          </w:p>
        </w:tc>
        <w:tc>
          <w:tcPr>
            <w:tcW w:w="456" w:type="pct"/>
            <w:tcBorders>
              <w:top w:val="single" w:sz="12" w:space="0" w:color="auto"/>
              <w:bottom w:val="single" w:sz="8" w:space="0" w:color="auto"/>
            </w:tcBorders>
            <w:shd w:val="clear" w:color="000000" w:fill="D9D9D9"/>
            <w:vAlign w:val="center"/>
            <w:hideMark/>
          </w:tcPr>
          <w:p w14:paraId="73D6A009" w14:textId="77777777" w:rsidR="007B624F" w:rsidRPr="00FC6EF7" w:rsidRDefault="007B624F" w:rsidP="007B624F">
            <w:pPr>
              <w:jc w:val="right"/>
              <w:rPr>
                <w:rFonts w:ascii="Calibri" w:hAnsi="Calibri" w:cs="Calibri"/>
                <w:color w:val="000000"/>
                <w:sz w:val="22"/>
                <w:szCs w:val="22"/>
                <w:lang w:eastAsia="en-AU"/>
              </w:rPr>
            </w:pPr>
            <w:r w:rsidRPr="00FC6EF7">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0BC667DE"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558B6705"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5FFC0D92"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63A18350"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5746050D" w14:textId="77777777" w:rsidTr="007B624F">
        <w:trPr>
          <w:trHeight w:val="315"/>
        </w:trPr>
        <w:tc>
          <w:tcPr>
            <w:tcW w:w="605" w:type="pct"/>
            <w:tcBorders>
              <w:bottom w:val="single" w:sz="12" w:space="0" w:color="auto"/>
            </w:tcBorders>
            <w:shd w:val="clear" w:color="auto" w:fill="auto"/>
            <w:vAlign w:val="center"/>
            <w:hideMark/>
          </w:tcPr>
          <w:p w14:paraId="58ADDB02" w14:textId="48D491D4"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MPA</w:t>
            </w:r>
          </w:p>
        </w:tc>
        <w:tc>
          <w:tcPr>
            <w:tcW w:w="746" w:type="pct"/>
            <w:tcBorders>
              <w:top w:val="single" w:sz="8" w:space="0" w:color="auto"/>
              <w:bottom w:val="single" w:sz="12" w:space="0" w:color="auto"/>
            </w:tcBorders>
            <w:shd w:val="clear" w:color="auto" w:fill="auto"/>
            <w:vAlign w:val="center"/>
            <w:hideMark/>
          </w:tcPr>
          <w:p w14:paraId="20B7D0C4"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Forecast</w:t>
            </w:r>
          </w:p>
        </w:tc>
        <w:tc>
          <w:tcPr>
            <w:tcW w:w="456" w:type="pct"/>
            <w:tcBorders>
              <w:top w:val="single" w:sz="8" w:space="0" w:color="auto"/>
              <w:bottom w:val="single" w:sz="12" w:space="0" w:color="auto"/>
            </w:tcBorders>
            <w:shd w:val="clear" w:color="000000" w:fill="D9D9D9"/>
            <w:vAlign w:val="center"/>
            <w:hideMark/>
          </w:tcPr>
          <w:p w14:paraId="46D0BE67"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51254F08"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1F55C90A"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390E4406" w14:textId="48184334"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r>
              <w:rPr>
                <w:rFonts w:ascii="Calibri" w:hAnsi="Calibri" w:cs="Calibri"/>
                <w:color w:val="000000"/>
                <w:sz w:val="22"/>
                <w:szCs w:val="22"/>
                <w:lang w:eastAsia="en-AU"/>
              </w:rPr>
              <w:t>00</w:t>
            </w:r>
          </w:p>
        </w:tc>
        <w:tc>
          <w:tcPr>
            <w:tcW w:w="456" w:type="pct"/>
            <w:tcBorders>
              <w:top w:val="single" w:sz="8" w:space="0" w:color="auto"/>
              <w:bottom w:val="single" w:sz="12" w:space="0" w:color="auto"/>
            </w:tcBorders>
            <w:shd w:val="clear" w:color="auto" w:fill="auto"/>
            <w:vAlign w:val="center"/>
            <w:hideMark/>
          </w:tcPr>
          <w:p w14:paraId="73546747" w14:textId="65D6F103" w:rsidR="007B624F" w:rsidRPr="00503A2F" w:rsidRDefault="007B624F" w:rsidP="007B624F">
            <w:pPr>
              <w:jc w:val="right"/>
              <w:rPr>
                <w:rFonts w:ascii="Calibri" w:hAnsi="Calibri" w:cs="Calibri"/>
                <w:color w:val="000000"/>
                <w:sz w:val="22"/>
                <w:szCs w:val="22"/>
                <w:lang w:eastAsia="en-AU"/>
              </w:rPr>
            </w:pPr>
            <w:r>
              <w:rPr>
                <w:rFonts w:ascii="Calibri" w:hAnsi="Calibri" w:cs="Calibri"/>
                <w:color w:val="000000"/>
                <w:sz w:val="22"/>
                <w:szCs w:val="22"/>
                <w:lang w:eastAsia="en-AU"/>
              </w:rPr>
              <w:t>300</w:t>
            </w:r>
          </w:p>
        </w:tc>
        <w:tc>
          <w:tcPr>
            <w:tcW w:w="456" w:type="pct"/>
            <w:tcBorders>
              <w:top w:val="single" w:sz="8" w:space="0" w:color="auto"/>
              <w:bottom w:val="single" w:sz="12" w:space="0" w:color="auto"/>
            </w:tcBorders>
            <w:shd w:val="clear" w:color="auto" w:fill="auto"/>
            <w:vAlign w:val="center"/>
            <w:hideMark/>
          </w:tcPr>
          <w:p w14:paraId="080B0B7A" w14:textId="01E8F91A" w:rsidR="007B624F" w:rsidRPr="00503A2F" w:rsidRDefault="007B624F" w:rsidP="007B624F">
            <w:pPr>
              <w:jc w:val="right"/>
              <w:rPr>
                <w:rFonts w:ascii="Calibri" w:hAnsi="Calibri" w:cs="Calibri"/>
                <w:color w:val="000000"/>
                <w:sz w:val="22"/>
                <w:szCs w:val="22"/>
                <w:lang w:eastAsia="en-AU"/>
              </w:rPr>
            </w:pPr>
            <w:r>
              <w:rPr>
                <w:rFonts w:ascii="Calibri" w:hAnsi="Calibri" w:cs="Calibri"/>
                <w:color w:val="000000"/>
                <w:sz w:val="22"/>
                <w:szCs w:val="22"/>
                <w:lang w:eastAsia="en-AU"/>
              </w:rPr>
              <w:t>300</w:t>
            </w:r>
          </w:p>
        </w:tc>
        <w:tc>
          <w:tcPr>
            <w:tcW w:w="456" w:type="pct"/>
            <w:tcBorders>
              <w:top w:val="single" w:sz="8" w:space="0" w:color="auto"/>
              <w:bottom w:val="single" w:sz="12" w:space="0" w:color="auto"/>
            </w:tcBorders>
            <w:shd w:val="clear" w:color="auto" w:fill="auto"/>
            <w:vAlign w:val="center"/>
            <w:hideMark/>
          </w:tcPr>
          <w:p w14:paraId="2AC40463" w14:textId="61A91B55" w:rsidR="007B624F" w:rsidRPr="00503A2F" w:rsidRDefault="007B624F" w:rsidP="007B624F">
            <w:pPr>
              <w:jc w:val="right"/>
              <w:rPr>
                <w:rFonts w:ascii="Calibri" w:hAnsi="Calibri" w:cs="Calibri"/>
                <w:color w:val="000000"/>
                <w:sz w:val="22"/>
                <w:szCs w:val="22"/>
                <w:lang w:eastAsia="en-AU"/>
              </w:rPr>
            </w:pPr>
            <w:r>
              <w:rPr>
                <w:rFonts w:ascii="Calibri" w:hAnsi="Calibri" w:cs="Calibri"/>
                <w:color w:val="000000"/>
                <w:sz w:val="22"/>
                <w:szCs w:val="22"/>
                <w:lang w:eastAsia="en-AU"/>
              </w:rPr>
              <w:t>300</w:t>
            </w:r>
          </w:p>
        </w:tc>
        <w:tc>
          <w:tcPr>
            <w:tcW w:w="456" w:type="pct"/>
            <w:tcBorders>
              <w:top w:val="single" w:sz="8" w:space="0" w:color="auto"/>
              <w:bottom w:val="single" w:sz="12" w:space="0" w:color="auto"/>
            </w:tcBorders>
            <w:shd w:val="clear" w:color="auto" w:fill="auto"/>
            <w:vAlign w:val="center"/>
            <w:hideMark/>
          </w:tcPr>
          <w:p w14:paraId="3CE9253A" w14:textId="2F8A7143"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3</w:t>
            </w:r>
            <w:r>
              <w:rPr>
                <w:rFonts w:ascii="Calibri" w:hAnsi="Calibri" w:cs="Calibri"/>
                <w:color w:val="000000"/>
                <w:sz w:val="22"/>
                <w:szCs w:val="22"/>
                <w:lang w:eastAsia="en-AU"/>
              </w:rPr>
              <w:t>00</w:t>
            </w:r>
          </w:p>
        </w:tc>
      </w:tr>
      <w:tr w:rsidR="007B624F" w:rsidRPr="00503A2F" w14:paraId="34C60F1B" w14:textId="77777777" w:rsidTr="00F62D67">
        <w:trPr>
          <w:trHeight w:val="315"/>
        </w:trPr>
        <w:tc>
          <w:tcPr>
            <w:tcW w:w="605" w:type="pct"/>
            <w:tcBorders>
              <w:top w:val="single" w:sz="12" w:space="0" w:color="auto"/>
            </w:tcBorders>
            <w:shd w:val="clear" w:color="auto" w:fill="auto"/>
            <w:vAlign w:val="center"/>
            <w:hideMark/>
          </w:tcPr>
          <w:p w14:paraId="343C9B8A"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MPA Review</w:t>
            </w:r>
          </w:p>
        </w:tc>
        <w:tc>
          <w:tcPr>
            <w:tcW w:w="746" w:type="pct"/>
            <w:tcBorders>
              <w:top w:val="single" w:sz="12" w:space="0" w:color="auto"/>
              <w:bottom w:val="single" w:sz="8" w:space="0" w:color="auto"/>
            </w:tcBorders>
            <w:shd w:val="clear" w:color="auto" w:fill="auto"/>
            <w:vAlign w:val="center"/>
            <w:hideMark/>
          </w:tcPr>
          <w:p w14:paraId="1427D27B"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Actuals</w:t>
            </w:r>
          </w:p>
        </w:tc>
        <w:tc>
          <w:tcPr>
            <w:tcW w:w="456" w:type="pct"/>
            <w:tcBorders>
              <w:top w:val="single" w:sz="12" w:space="0" w:color="auto"/>
              <w:bottom w:val="single" w:sz="8" w:space="0" w:color="auto"/>
            </w:tcBorders>
            <w:shd w:val="clear" w:color="auto" w:fill="auto"/>
            <w:vAlign w:val="center"/>
            <w:hideMark/>
          </w:tcPr>
          <w:p w14:paraId="56C267E3"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0</w:t>
            </w:r>
          </w:p>
        </w:tc>
        <w:tc>
          <w:tcPr>
            <w:tcW w:w="456" w:type="pct"/>
            <w:tcBorders>
              <w:top w:val="single" w:sz="12" w:space="0" w:color="auto"/>
              <w:bottom w:val="single" w:sz="8" w:space="0" w:color="auto"/>
            </w:tcBorders>
            <w:shd w:val="clear" w:color="auto" w:fill="auto"/>
            <w:vAlign w:val="center"/>
            <w:hideMark/>
          </w:tcPr>
          <w:p w14:paraId="7B1859EF"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p>
        </w:tc>
        <w:tc>
          <w:tcPr>
            <w:tcW w:w="456" w:type="pct"/>
            <w:tcBorders>
              <w:top w:val="single" w:sz="12" w:space="0" w:color="auto"/>
              <w:bottom w:val="single" w:sz="8" w:space="0" w:color="auto"/>
            </w:tcBorders>
            <w:shd w:val="clear" w:color="auto" w:fill="auto"/>
            <w:vAlign w:val="center"/>
            <w:hideMark/>
          </w:tcPr>
          <w:p w14:paraId="703F2A4B"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p>
        </w:tc>
        <w:tc>
          <w:tcPr>
            <w:tcW w:w="456" w:type="pct"/>
            <w:tcBorders>
              <w:top w:val="single" w:sz="12" w:space="0" w:color="auto"/>
              <w:bottom w:val="single" w:sz="8" w:space="0" w:color="auto"/>
            </w:tcBorders>
            <w:shd w:val="clear" w:color="000000" w:fill="D9D9D9"/>
            <w:vAlign w:val="center"/>
            <w:hideMark/>
          </w:tcPr>
          <w:p w14:paraId="424684D8"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26632737"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44E42D2A"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00A58957"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12" w:space="0" w:color="auto"/>
              <w:bottom w:val="single" w:sz="8" w:space="0" w:color="auto"/>
            </w:tcBorders>
            <w:shd w:val="clear" w:color="000000" w:fill="D9D9D9"/>
            <w:vAlign w:val="center"/>
            <w:hideMark/>
          </w:tcPr>
          <w:p w14:paraId="6992835A"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r>
      <w:tr w:rsidR="007B624F" w:rsidRPr="00503A2F" w14:paraId="2FD0F1F8" w14:textId="77777777" w:rsidTr="007B624F">
        <w:trPr>
          <w:trHeight w:val="138"/>
        </w:trPr>
        <w:tc>
          <w:tcPr>
            <w:tcW w:w="605" w:type="pct"/>
            <w:tcBorders>
              <w:bottom w:val="single" w:sz="12" w:space="0" w:color="auto"/>
            </w:tcBorders>
            <w:shd w:val="clear" w:color="auto" w:fill="auto"/>
            <w:vAlign w:val="center"/>
            <w:hideMark/>
          </w:tcPr>
          <w:p w14:paraId="2D3E43F8" w14:textId="26722E38"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MPA Review</w:t>
            </w:r>
          </w:p>
        </w:tc>
        <w:tc>
          <w:tcPr>
            <w:tcW w:w="746" w:type="pct"/>
            <w:tcBorders>
              <w:top w:val="single" w:sz="8" w:space="0" w:color="auto"/>
              <w:bottom w:val="single" w:sz="12" w:space="0" w:color="auto"/>
            </w:tcBorders>
            <w:shd w:val="clear" w:color="auto" w:fill="auto"/>
            <w:vAlign w:val="center"/>
            <w:hideMark/>
          </w:tcPr>
          <w:p w14:paraId="48C24DAC" w14:textId="77777777" w:rsidR="007B624F" w:rsidRPr="00503A2F" w:rsidRDefault="007B624F" w:rsidP="007B624F">
            <w:pPr>
              <w:rPr>
                <w:rFonts w:ascii="Calibri" w:hAnsi="Calibri" w:cs="Calibri"/>
                <w:color w:val="000000"/>
                <w:sz w:val="22"/>
                <w:szCs w:val="22"/>
                <w:lang w:eastAsia="en-AU"/>
              </w:rPr>
            </w:pPr>
            <w:r w:rsidRPr="00503A2F">
              <w:rPr>
                <w:rFonts w:ascii="Calibri" w:hAnsi="Calibri" w:cs="Calibri"/>
                <w:color w:val="000000"/>
                <w:sz w:val="22"/>
                <w:szCs w:val="22"/>
                <w:lang w:eastAsia="en-AU"/>
              </w:rPr>
              <w:t>Forecast</w:t>
            </w:r>
          </w:p>
        </w:tc>
        <w:tc>
          <w:tcPr>
            <w:tcW w:w="456" w:type="pct"/>
            <w:tcBorders>
              <w:top w:val="single" w:sz="8" w:space="0" w:color="auto"/>
              <w:bottom w:val="single" w:sz="12" w:space="0" w:color="auto"/>
            </w:tcBorders>
            <w:shd w:val="clear" w:color="000000" w:fill="D9D9D9"/>
            <w:vAlign w:val="center"/>
            <w:hideMark/>
          </w:tcPr>
          <w:p w14:paraId="612A8B63"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38322EE1"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000000" w:fill="D9D9D9"/>
            <w:vAlign w:val="center"/>
            <w:hideMark/>
          </w:tcPr>
          <w:p w14:paraId="783D4660"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 </w:t>
            </w:r>
          </w:p>
        </w:tc>
        <w:tc>
          <w:tcPr>
            <w:tcW w:w="456" w:type="pct"/>
            <w:tcBorders>
              <w:top w:val="single" w:sz="8" w:space="0" w:color="auto"/>
              <w:bottom w:val="single" w:sz="12" w:space="0" w:color="auto"/>
            </w:tcBorders>
            <w:shd w:val="clear" w:color="auto" w:fill="auto"/>
            <w:vAlign w:val="center"/>
            <w:hideMark/>
          </w:tcPr>
          <w:p w14:paraId="61C1CC81"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p>
        </w:tc>
        <w:tc>
          <w:tcPr>
            <w:tcW w:w="456" w:type="pct"/>
            <w:tcBorders>
              <w:top w:val="single" w:sz="8" w:space="0" w:color="auto"/>
              <w:bottom w:val="single" w:sz="12" w:space="0" w:color="auto"/>
            </w:tcBorders>
            <w:shd w:val="clear" w:color="auto" w:fill="auto"/>
            <w:vAlign w:val="center"/>
            <w:hideMark/>
          </w:tcPr>
          <w:p w14:paraId="62CF65F9"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p>
        </w:tc>
        <w:tc>
          <w:tcPr>
            <w:tcW w:w="456" w:type="pct"/>
            <w:tcBorders>
              <w:top w:val="single" w:sz="8" w:space="0" w:color="auto"/>
              <w:bottom w:val="single" w:sz="12" w:space="0" w:color="auto"/>
            </w:tcBorders>
            <w:shd w:val="clear" w:color="auto" w:fill="auto"/>
            <w:vAlign w:val="center"/>
            <w:hideMark/>
          </w:tcPr>
          <w:p w14:paraId="4987FDFD"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p>
        </w:tc>
        <w:tc>
          <w:tcPr>
            <w:tcW w:w="456" w:type="pct"/>
            <w:tcBorders>
              <w:top w:val="single" w:sz="8" w:space="0" w:color="auto"/>
              <w:bottom w:val="single" w:sz="12" w:space="0" w:color="auto"/>
            </w:tcBorders>
            <w:shd w:val="clear" w:color="auto" w:fill="auto"/>
            <w:vAlign w:val="center"/>
            <w:hideMark/>
          </w:tcPr>
          <w:p w14:paraId="0127A868"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p>
        </w:tc>
        <w:tc>
          <w:tcPr>
            <w:tcW w:w="456" w:type="pct"/>
            <w:tcBorders>
              <w:top w:val="single" w:sz="8" w:space="0" w:color="auto"/>
              <w:bottom w:val="single" w:sz="12" w:space="0" w:color="auto"/>
            </w:tcBorders>
            <w:shd w:val="clear" w:color="auto" w:fill="auto"/>
            <w:vAlign w:val="center"/>
            <w:hideMark/>
          </w:tcPr>
          <w:p w14:paraId="69745AEC" w14:textId="77777777" w:rsidR="007B624F" w:rsidRPr="00503A2F" w:rsidRDefault="007B624F" w:rsidP="007B624F">
            <w:pPr>
              <w:jc w:val="right"/>
              <w:rPr>
                <w:rFonts w:ascii="Calibri" w:hAnsi="Calibri" w:cs="Calibri"/>
                <w:color w:val="000000"/>
                <w:sz w:val="22"/>
                <w:szCs w:val="22"/>
                <w:lang w:eastAsia="en-AU"/>
              </w:rPr>
            </w:pPr>
            <w:r w:rsidRPr="00503A2F">
              <w:rPr>
                <w:rFonts w:ascii="Calibri" w:hAnsi="Calibri" w:cs="Calibri"/>
                <w:color w:val="000000"/>
                <w:sz w:val="22"/>
                <w:szCs w:val="22"/>
                <w:lang w:eastAsia="en-AU"/>
              </w:rPr>
              <w:t>2</w:t>
            </w:r>
          </w:p>
        </w:tc>
      </w:tr>
    </w:tbl>
    <w:bookmarkEnd w:id="14"/>
    <w:p w14:paraId="1FC410B9" w14:textId="09DA840F" w:rsidR="00BE0A00" w:rsidRPr="00C876EE" w:rsidRDefault="00BE0A00" w:rsidP="00F527C5">
      <w:pPr>
        <w:spacing w:before="60"/>
        <w:rPr>
          <w:rFonts w:asciiTheme="minorHAnsi" w:hAnsiTheme="minorHAnsi" w:cstheme="minorHAnsi"/>
          <w:sz w:val="20"/>
          <w:szCs w:val="20"/>
        </w:rPr>
      </w:pPr>
      <w:r w:rsidRPr="00C876EE">
        <w:rPr>
          <w:rFonts w:asciiTheme="minorHAnsi" w:hAnsiTheme="minorHAnsi" w:cstheme="minorHAnsi"/>
          <w:sz w:val="20"/>
          <w:szCs w:val="20"/>
          <w:vertAlign w:val="superscript"/>
        </w:rPr>
        <w:t>(a)</w:t>
      </w:r>
      <w:r w:rsidRPr="00C876EE">
        <w:rPr>
          <w:rFonts w:asciiTheme="minorHAnsi" w:hAnsiTheme="minorHAnsi" w:cstheme="minorHAnsi"/>
          <w:sz w:val="20"/>
          <w:szCs w:val="20"/>
        </w:rPr>
        <w:t xml:space="preserve"> At the end of each financial </w:t>
      </w:r>
      <w:r w:rsidR="00287FD6">
        <w:rPr>
          <w:rFonts w:asciiTheme="minorHAnsi" w:hAnsiTheme="minorHAnsi" w:cstheme="minorHAnsi"/>
          <w:sz w:val="20"/>
          <w:szCs w:val="20"/>
        </w:rPr>
        <w:t xml:space="preserve">year </w:t>
      </w:r>
      <w:r w:rsidRPr="00C876EE">
        <w:rPr>
          <w:rFonts w:asciiTheme="minorHAnsi" w:hAnsiTheme="minorHAnsi" w:cstheme="minorHAnsi"/>
          <w:sz w:val="20"/>
          <w:szCs w:val="20"/>
        </w:rPr>
        <w:t xml:space="preserve">actuals will be updated demonstrating activity management, transparency and accountability.  </w:t>
      </w:r>
    </w:p>
    <w:p w14:paraId="3FC2581B" w14:textId="4A8E4E76" w:rsidR="00FC6EF7" w:rsidRDefault="00BE0A00" w:rsidP="00842647">
      <w:pPr>
        <w:spacing w:after="120"/>
        <w:rPr>
          <w:rFonts w:asciiTheme="minorHAnsi" w:hAnsiTheme="minorHAnsi" w:cstheme="minorHAnsi"/>
          <w:sz w:val="20"/>
          <w:szCs w:val="20"/>
        </w:rPr>
      </w:pPr>
      <w:r w:rsidRPr="00C876EE">
        <w:rPr>
          <w:rFonts w:asciiTheme="minorHAnsi" w:hAnsiTheme="minorHAnsi" w:cstheme="minorHAnsi"/>
          <w:sz w:val="20"/>
          <w:szCs w:val="20"/>
          <w:vertAlign w:val="superscript"/>
        </w:rPr>
        <w:t>(b)</w:t>
      </w:r>
      <w:r w:rsidRPr="00C876EE">
        <w:rPr>
          <w:rFonts w:asciiTheme="minorHAnsi" w:hAnsiTheme="minorHAnsi" w:cstheme="minorHAnsi"/>
          <w:sz w:val="20"/>
          <w:szCs w:val="20"/>
        </w:rPr>
        <w:t xml:space="preserve"> No forecast data is available for period 2016-17 to 2019-20.</w:t>
      </w:r>
    </w:p>
    <w:p w14:paraId="5064E96C" w14:textId="01FA2026" w:rsidR="00684205" w:rsidRDefault="00684205" w:rsidP="00842647">
      <w:pPr>
        <w:spacing w:after="120"/>
        <w:rPr>
          <w:rFonts w:asciiTheme="minorHAnsi" w:hAnsiTheme="minorHAnsi" w:cstheme="minorHAnsi"/>
          <w:sz w:val="20"/>
          <w:szCs w:val="20"/>
        </w:rPr>
      </w:pPr>
    </w:p>
    <w:p w14:paraId="73AFF6BE" w14:textId="77777777" w:rsidR="00E8198E" w:rsidRDefault="00E8198E" w:rsidP="00842647">
      <w:pPr>
        <w:spacing w:after="120"/>
        <w:rPr>
          <w:rFonts w:asciiTheme="minorHAnsi" w:hAnsiTheme="minorHAnsi" w:cstheme="minorHAnsi"/>
          <w:sz w:val="20"/>
          <w:szCs w:val="20"/>
        </w:rPr>
      </w:pPr>
    </w:p>
    <w:p w14:paraId="31B14A09" w14:textId="2668466C" w:rsidR="008B679D" w:rsidRPr="00950DFA" w:rsidRDefault="002A00D6" w:rsidP="00684205">
      <w:pPr>
        <w:pStyle w:val="Heading1"/>
      </w:pPr>
      <w:r>
        <w:lastRenderedPageBreak/>
        <w:t>7</w:t>
      </w:r>
      <w:r w:rsidR="008B679D" w:rsidRPr="00287FD6">
        <w:t xml:space="preserve">. </w:t>
      </w:r>
      <w:r w:rsidR="008B679D" w:rsidRPr="00287FD6">
        <w:tab/>
        <w:t>KEY FORWARD DATES AND EVENTS</w:t>
      </w:r>
    </w:p>
    <w:p w14:paraId="79720DEA" w14:textId="31190331" w:rsidR="00DB2DD5" w:rsidRPr="007121FE" w:rsidRDefault="00DB2DD5" w:rsidP="00B61D25">
      <w:pPr>
        <w:pStyle w:val="CRISbodytext"/>
      </w:pPr>
      <w:r w:rsidRPr="007121FE">
        <w:t>The key forward dates and events for the cost recovery activity are:</w:t>
      </w:r>
    </w:p>
    <w:tbl>
      <w:tblPr>
        <w:tblW w:w="10596"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2960"/>
        <w:gridCol w:w="7636"/>
      </w:tblGrid>
      <w:tr w:rsidR="00DB2DD5" w:rsidRPr="00C876EE" w14:paraId="4F61316C" w14:textId="77777777" w:rsidTr="003152A6">
        <w:trPr>
          <w:trHeight w:val="430"/>
        </w:trPr>
        <w:tc>
          <w:tcPr>
            <w:tcW w:w="2960" w:type="dxa"/>
          </w:tcPr>
          <w:p w14:paraId="278CB143" w14:textId="77777777" w:rsidR="00DB2DD5" w:rsidRPr="00C876EE" w:rsidRDefault="00DB2DD5" w:rsidP="003F6FF1">
            <w:pPr>
              <w:spacing w:after="120"/>
              <w:jc w:val="center"/>
              <w:rPr>
                <w:rFonts w:asciiTheme="minorHAnsi" w:hAnsiTheme="minorHAnsi" w:cstheme="minorHAnsi"/>
                <w:b/>
                <w:iCs/>
                <w:sz w:val="22"/>
              </w:rPr>
            </w:pPr>
            <w:r w:rsidRPr="00C876EE">
              <w:rPr>
                <w:rFonts w:asciiTheme="minorHAnsi" w:hAnsiTheme="minorHAnsi" w:cstheme="minorHAnsi"/>
                <w:b/>
                <w:iCs/>
                <w:sz w:val="22"/>
              </w:rPr>
              <w:t>Date</w:t>
            </w:r>
          </w:p>
        </w:tc>
        <w:tc>
          <w:tcPr>
            <w:tcW w:w="7636" w:type="dxa"/>
          </w:tcPr>
          <w:p w14:paraId="5B791681" w14:textId="77777777" w:rsidR="00DB2DD5" w:rsidRPr="00C876EE" w:rsidRDefault="00DB2DD5" w:rsidP="003F6FF1">
            <w:pPr>
              <w:spacing w:after="120"/>
              <w:jc w:val="center"/>
              <w:rPr>
                <w:rFonts w:asciiTheme="minorHAnsi" w:hAnsiTheme="minorHAnsi" w:cstheme="minorHAnsi"/>
                <w:b/>
                <w:iCs/>
                <w:sz w:val="22"/>
              </w:rPr>
            </w:pPr>
            <w:r w:rsidRPr="00C876EE">
              <w:rPr>
                <w:rFonts w:asciiTheme="minorHAnsi" w:hAnsiTheme="minorHAnsi" w:cstheme="minorHAnsi"/>
                <w:b/>
                <w:iCs/>
                <w:sz w:val="22"/>
              </w:rPr>
              <w:t>Event</w:t>
            </w:r>
          </w:p>
        </w:tc>
      </w:tr>
      <w:tr w:rsidR="00F807EF" w:rsidRPr="00C876EE" w14:paraId="7441C877" w14:textId="77777777" w:rsidTr="003152A6">
        <w:trPr>
          <w:trHeight w:val="413"/>
        </w:trPr>
        <w:tc>
          <w:tcPr>
            <w:tcW w:w="2960" w:type="dxa"/>
          </w:tcPr>
          <w:p w14:paraId="449D78F3" w14:textId="275B292B" w:rsidR="00F807EF" w:rsidRPr="006C2879" w:rsidRDefault="00F807EF" w:rsidP="00F807EF">
            <w:pPr>
              <w:spacing w:after="120"/>
              <w:rPr>
                <w:rFonts w:asciiTheme="minorHAnsi" w:hAnsiTheme="minorHAnsi" w:cstheme="minorHAnsi"/>
                <w:bCs/>
                <w:iCs/>
                <w:sz w:val="22"/>
              </w:rPr>
            </w:pPr>
            <w:r>
              <w:rPr>
                <w:rFonts w:asciiTheme="minorHAnsi" w:hAnsiTheme="minorHAnsi" w:cstheme="minorHAnsi"/>
                <w:iCs/>
                <w:sz w:val="22"/>
              </w:rPr>
              <w:t>August 2021</w:t>
            </w:r>
          </w:p>
        </w:tc>
        <w:tc>
          <w:tcPr>
            <w:tcW w:w="7636" w:type="dxa"/>
          </w:tcPr>
          <w:p w14:paraId="6835D539" w14:textId="6F47304F" w:rsidR="00F807EF" w:rsidRPr="00F807EF" w:rsidRDefault="00F807EF" w:rsidP="00F807EF">
            <w:pPr>
              <w:spacing w:after="120"/>
              <w:rPr>
                <w:rFonts w:asciiTheme="minorHAnsi" w:hAnsiTheme="minorHAnsi" w:cstheme="minorHAnsi"/>
                <w:bCs/>
                <w:iCs/>
                <w:sz w:val="22"/>
              </w:rPr>
            </w:pPr>
            <w:r w:rsidRPr="00F807EF">
              <w:rPr>
                <w:rFonts w:asciiTheme="minorHAnsi" w:hAnsiTheme="minorHAnsi" w:cstheme="minorHAnsi"/>
                <w:iCs/>
                <w:sz w:val="22"/>
              </w:rPr>
              <w:t>Publication of CRIS</w:t>
            </w:r>
          </w:p>
        </w:tc>
      </w:tr>
      <w:tr w:rsidR="00DF44F9" w:rsidRPr="00C876EE" w14:paraId="364648C2" w14:textId="77777777" w:rsidTr="003152A6">
        <w:trPr>
          <w:trHeight w:val="727"/>
        </w:trPr>
        <w:tc>
          <w:tcPr>
            <w:tcW w:w="2960" w:type="dxa"/>
          </w:tcPr>
          <w:p w14:paraId="3EDBA4B2" w14:textId="3029EE02" w:rsidR="00DF44F9" w:rsidRPr="001E7CC7" w:rsidRDefault="00DF44F9" w:rsidP="00DF44F9">
            <w:pPr>
              <w:spacing w:after="120"/>
              <w:rPr>
                <w:rFonts w:asciiTheme="minorHAnsi" w:hAnsiTheme="minorHAnsi" w:cstheme="minorHAnsi"/>
                <w:bCs/>
                <w:iCs/>
                <w:sz w:val="22"/>
              </w:rPr>
            </w:pPr>
            <w:r>
              <w:rPr>
                <w:rFonts w:asciiTheme="minorHAnsi" w:hAnsiTheme="minorHAnsi" w:cstheme="minorHAnsi"/>
                <w:iCs/>
                <w:sz w:val="22"/>
              </w:rPr>
              <w:t>August 2021</w:t>
            </w:r>
          </w:p>
        </w:tc>
        <w:tc>
          <w:tcPr>
            <w:tcW w:w="7636" w:type="dxa"/>
          </w:tcPr>
          <w:p w14:paraId="0B4A23A6" w14:textId="7AD03850" w:rsidR="00DF44F9" w:rsidRPr="00F807EF" w:rsidRDefault="00DF44F9" w:rsidP="00DF44F9">
            <w:pPr>
              <w:spacing w:after="120"/>
              <w:rPr>
                <w:rFonts w:asciiTheme="minorHAnsi" w:hAnsiTheme="minorHAnsi" w:cstheme="minorHAnsi"/>
                <w:bCs/>
                <w:iCs/>
                <w:sz w:val="22"/>
              </w:rPr>
            </w:pPr>
            <w:r w:rsidRPr="00F807EF">
              <w:rPr>
                <w:rFonts w:asciiTheme="minorHAnsi" w:hAnsiTheme="minorHAnsi" w:cstheme="minorHAnsi"/>
                <w:iCs/>
                <w:sz w:val="22"/>
              </w:rPr>
              <w:t>Home Affairs to update</w:t>
            </w:r>
            <w:r w:rsidRPr="005C27F8">
              <w:rPr>
                <w:rFonts w:asciiTheme="minorHAnsi" w:hAnsiTheme="minorHAnsi" w:cstheme="minorHAnsi"/>
                <w:iCs/>
                <w:sz w:val="22"/>
                <w:szCs w:val="22"/>
              </w:rPr>
              <w:t xml:space="preserve"> </w:t>
            </w:r>
            <w:hyperlink r:id="rId18" w:history="1">
              <w:r w:rsidR="005C27F8" w:rsidRPr="005D7300">
                <w:rPr>
                  <w:rFonts w:asciiTheme="minorHAnsi" w:eastAsia="SimSun" w:hAnsiTheme="minorHAnsi" w:cstheme="minorHAnsi"/>
                  <w:i/>
                  <w:iCs/>
                  <w:sz w:val="22"/>
                  <w:szCs w:val="22"/>
                </w:rPr>
                <w:t xml:space="preserve">Migration </w:t>
              </w:r>
            </w:hyperlink>
            <w:hyperlink r:id="rId19" w:history="1">
              <w:r w:rsidR="005C27F8" w:rsidRPr="005D7300">
                <w:rPr>
                  <w:rFonts w:asciiTheme="minorHAnsi" w:eastAsia="SimSun" w:hAnsiTheme="minorHAnsi" w:cstheme="minorHAnsi"/>
                  <w:i/>
                  <w:iCs/>
                  <w:sz w:val="22"/>
                  <w:szCs w:val="22"/>
                </w:rPr>
                <w:t xml:space="preserve">(LIN 19/034: Fees for Assessment of Qualifications and Experience) Instrument </w:t>
              </w:r>
            </w:hyperlink>
            <w:hyperlink r:id="rId20" w:history="1">
              <w:r w:rsidR="005C27F8" w:rsidRPr="005D7300">
                <w:rPr>
                  <w:rFonts w:asciiTheme="minorHAnsi" w:eastAsia="SimSun" w:hAnsiTheme="minorHAnsi" w:cstheme="minorHAnsi"/>
                  <w:i/>
                  <w:iCs/>
                  <w:sz w:val="22"/>
                  <w:szCs w:val="22"/>
                </w:rPr>
                <w:t>2019</w:t>
              </w:r>
            </w:hyperlink>
          </w:p>
        </w:tc>
      </w:tr>
      <w:tr w:rsidR="0029390B" w:rsidRPr="00C876EE" w14:paraId="662377E3" w14:textId="77777777" w:rsidTr="003152A6">
        <w:trPr>
          <w:trHeight w:val="413"/>
        </w:trPr>
        <w:tc>
          <w:tcPr>
            <w:tcW w:w="2960" w:type="dxa"/>
          </w:tcPr>
          <w:p w14:paraId="5EB1DEEA" w14:textId="52CBB325" w:rsidR="0029390B" w:rsidRPr="00C876EE" w:rsidRDefault="00DF44F9" w:rsidP="0029390B">
            <w:pPr>
              <w:spacing w:after="120"/>
              <w:rPr>
                <w:rFonts w:asciiTheme="minorHAnsi" w:hAnsiTheme="minorHAnsi" w:cstheme="minorHAnsi"/>
                <w:iCs/>
                <w:sz w:val="22"/>
              </w:rPr>
            </w:pPr>
            <w:r>
              <w:rPr>
                <w:rFonts w:asciiTheme="minorHAnsi" w:hAnsiTheme="minorHAnsi" w:cstheme="minorHAnsi"/>
                <w:iCs/>
                <w:sz w:val="22"/>
              </w:rPr>
              <w:t>August</w:t>
            </w:r>
            <w:r w:rsidR="001C1AB9">
              <w:rPr>
                <w:rFonts w:asciiTheme="minorHAnsi" w:hAnsiTheme="minorHAnsi" w:cstheme="minorHAnsi"/>
                <w:iCs/>
                <w:sz w:val="22"/>
              </w:rPr>
              <w:t xml:space="preserve"> 2021 </w:t>
            </w:r>
          </w:p>
        </w:tc>
        <w:tc>
          <w:tcPr>
            <w:tcW w:w="7636" w:type="dxa"/>
          </w:tcPr>
          <w:p w14:paraId="68C19950" w14:textId="756A82C7" w:rsidR="0029390B" w:rsidRPr="00F807EF" w:rsidRDefault="001E7CC7" w:rsidP="0029390B">
            <w:pPr>
              <w:spacing w:after="120"/>
              <w:rPr>
                <w:rFonts w:asciiTheme="minorHAnsi" w:hAnsiTheme="minorHAnsi" w:cstheme="minorHAnsi"/>
                <w:iCs/>
                <w:sz w:val="22"/>
              </w:rPr>
            </w:pPr>
            <w:r w:rsidRPr="00F807EF">
              <w:rPr>
                <w:rFonts w:asciiTheme="minorHAnsi" w:hAnsiTheme="minorHAnsi" w:cstheme="minorHAnsi"/>
                <w:iCs/>
                <w:sz w:val="22"/>
              </w:rPr>
              <w:t>Website updates</w:t>
            </w:r>
            <w:r w:rsidR="00DF44F9" w:rsidRPr="00F807EF">
              <w:rPr>
                <w:rFonts w:asciiTheme="minorHAnsi" w:hAnsiTheme="minorHAnsi" w:cstheme="minorHAnsi"/>
                <w:iCs/>
                <w:sz w:val="22"/>
              </w:rPr>
              <w:t xml:space="preserve"> with new fees</w:t>
            </w:r>
          </w:p>
        </w:tc>
      </w:tr>
      <w:tr w:rsidR="0029390B" w:rsidRPr="00C876EE" w14:paraId="35863AD1" w14:textId="77777777" w:rsidTr="003152A6">
        <w:trPr>
          <w:trHeight w:val="430"/>
        </w:trPr>
        <w:tc>
          <w:tcPr>
            <w:tcW w:w="2960" w:type="dxa"/>
          </w:tcPr>
          <w:p w14:paraId="58B2B2C8" w14:textId="51C008EF" w:rsidR="0029390B" w:rsidRPr="00C876EE" w:rsidDel="00AC41AF" w:rsidRDefault="00E44175" w:rsidP="0029390B">
            <w:pPr>
              <w:spacing w:after="120"/>
              <w:rPr>
                <w:rFonts w:asciiTheme="minorHAnsi" w:hAnsiTheme="minorHAnsi" w:cstheme="minorHAnsi"/>
                <w:iCs/>
                <w:sz w:val="22"/>
              </w:rPr>
            </w:pPr>
            <w:r w:rsidRPr="00C876EE">
              <w:rPr>
                <w:rFonts w:asciiTheme="minorHAnsi" w:hAnsiTheme="minorHAnsi" w:cstheme="minorHAnsi"/>
                <w:iCs/>
                <w:sz w:val="22"/>
              </w:rPr>
              <w:t>1 September 2021</w:t>
            </w:r>
          </w:p>
        </w:tc>
        <w:tc>
          <w:tcPr>
            <w:tcW w:w="7636" w:type="dxa"/>
          </w:tcPr>
          <w:p w14:paraId="5A8182DD" w14:textId="72227187" w:rsidR="0029390B" w:rsidRPr="00F807EF" w:rsidRDefault="0029390B" w:rsidP="0029390B">
            <w:pPr>
              <w:spacing w:after="120"/>
              <w:rPr>
                <w:rFonts w:asciiTheme="minorHAnsi" w:hAnsiTheme="minorHAnsi" w:cstheme="minorHAnsi"/>
                <w:iCs/>
                <w:sz w:val="22"/>
              </w:rPr>
            </w:pPr>
            <w:r w:rsidRPr="00F807EF">
              <w:rPr>
                <w:rFonts w:asciiTheme="minorHAnsi" w:hAnsiTheme="minorHAnsi" w:cstheme="minorHAnsi"/>
                <w:iCs/>
                <w:sz w:val="22"/>
              </w:rPr>
              <w:t xml:space="preserve">Introduction of new fees </w:t>
            </w:r>
          </w:p>
        </w:tc>
      </w:tr>
      <w:tr w:rsidR="00623C0C" w:rsidRPr="00C876EE" w14:paraId="058B4FA6" w14:textId="77777777" w:rsidTr="003152A6">
        <w:trPr>
          <w:trHeight w:val="430"/>
        </w:trPr>
        <w:tc>
          <w:tcPr>
            <w:tcW w:w="2960" w:type="dxa"/>
          </w:tcPr>
          <w:p w14:paraId="00B88F4B" w14:textId="4B7112B7" w:rsidR="00623C0C" w:rsidRPr="00364EE7" w:rsidRDefault="00623C0C" w:rsidP="0029390B">
            <w:pPr>
              <w:spacing w:after="120"/>
              <w:rPr>
                <w:rFonts w:asciiTheme="minorHAnsi" w:hAnsiTheme="minorHAnsi" w:cstheme="minorHAnsi"/>
                <w:iCs/>
                <w:sz w:val="22"/>
              </w:rPr>
            </w:pPr>
            <w:r w:rsidRPr="00364EE7">
              <w:rPr>
                <w:rFonts w:asciiTheme="minorHAnsi" w:hAnsiTheme="minorHAnsi" w:cstheme="minorHAnsi"/>
                <w:iCs/>
                <w:sz w:val="22"/>
              </w:rPr>
              <w:t>2022</w:t>
            </w:r>
          </w:p>
        </w:tc>
        <w:tc>
          <w:tcPr>
            <w:tcW w:w="7636" w:type="dxa"/>
          </w:tcPr>
          <w:p w14:paraId="435DEE49" w14:textId="46A54133" w:rsidR="00623C0C" w:rsidRPr="00F807EF" w:rsidRDefault="00623C0C" w:rsidP="0029390B">
            <w:pPr>
              <w:spacing w:after="120"/>
              <w:rPr>
                <w:rFonts w:asciiTheme="minorHAnsi" w:hAnsiTheme="minorHAnsi" w:cstheme="minorHAnsi"/>
                <w:iCs/>
                <w:sz w:val="22"/>
              </w:rPr>
            </w:pPr>
            <w:r>
              <w:rPr>
                <w:rFonts w:asciiTheme="minorHAnsi" w:hAnsiTheme="minorHAnsi" w:cstheme="minorHAnsi"/>
                <w:iCs/>
                <w:sz w:val="22"/>
              </w:rPr>
              <w:t>Portfolio Charging Review</w:t>
            </w:r>
          </w:p>
        </w:tc>
      </w:tr>
      <w:tr w:rsidR="00DB1E7C" w:rsidRPr="00C876EE" w14:paraId="2524F4F6" w14:textId="77777777" w:rsidTr="003152A6">
        <w:trPr>
          <w:trHeight w:val="413"/>
        </w:trPr>
        <w:tc>
          <w:tcPr>
            <w:tcW w:w="2960" w:type="dxa"/>
          </w:tcPr>
          <w:p w14:paraId="7BA520F1" w14:textId="11D8399F" w:rsidR="00DB1E7C" w:rsidRPr="00931A2B" w:rsidRDefault="005B31CC" w:rsidP="0029390B">
            <w:pPr>
              <w:spacing w:after="120"/>
              <w:rPr>
                <w:rFonts w:asciiTheme="minorHAnsi" w:hAnsiTheme="minorHAnsi" w:cstheme="minorHAnsi"/>
                <w:iCs/>
                <w:sz w:val="22"/>
              </w:rPr>
            </w:pPr>
            <w:r>
              <w:rPr>
                <w:rFonts w:asciiTheme="minorHAnsi" w:hAnsiTheme="minorHAnsi" w:cstheme="minorHAnsi"/>
                <w:iCs/>
                <w:sz w:val="22"/>
              </w:rPr>
              <w:t>July</w:t>
            </w:r>
            <w:r w:rsidRPr="00931A2B">
              <w:rPr>
                <w:rFonts w:asciiTheme="minorHAnsi" w:hAnsiTheme="minorHAnsi" w:cstheme="minorHAnsi"/>
                <w:iCs/>
                <w:sz w:val="22"/>
              </w:rPr>
              <w:t xml:space="preserve"> </w:t>
            </w:r>
            <w:r w:rsidR="00DB1E7C" w:rsidRPr="00931A2B">
              <w:rPr>
                <w:rFonts w:asciiTheme="minorHAnsi" w:hAnsiTheme="minorHAnsi" w:cstheme="minorHAnsi"/>
                <w:iCs/>
                <w:sz w:val="22"/>
              </w:rPr>
              <w:t>2022</w:t>
            </w:r>
          </w:p>
        </w:tc>
        <w:tc>
          <w:tcPr>
            <w:tcW w:w="7636" w:type="dxa"/>
          </w:tcPr>
          <w:p w14:paraId="08EDC82C" w14:textId="4F657D29" w:rsidR="00DB1E7C" w:rsidRPr="00931A2B" w:rsidRDefault="00B31B90" w:rsidP="0029390B">
            <w:pPr>
              <w:spacing w:after="120"/>
              <w:rPr>
                <w:rFonts w:asciiTheme="minorHAnsi" w:hAnsiTheme="minorHAnsi" w:cstheme="minorHAnsi"/>
                <w:iCs/>
                <w:sz w:val="22"/>
              </w:rPr>
            </w:pPr>
            <w:r w:rsidRPr="00931A2B">
              <w:rPr>
                <w:rFonts w:asciiTheme="minorHAnsi" w:hAnsiTheme="minorHAnsi" w:cstheme="minorHAnsi"/>
                <w:iCs/>
                <w:sz w:val="22"/>
              </w:rPr>
              <w:t>Initial six-month review</w:t>
            </w:r>
          </w:p>
        </w:tc>
      </w:tr>
      <w:tr w:rsidR="00524A98" w:rsidRPr="00C876EE" w14:paraId="52FEE6FC" w14:textId="77777777" w:rsidTr="003152A6">
        <w:trPr>
          <w:trHeight w:val="430"/>
        </w:trPr>
        <w:tc>
          <w:tcPr>
            <w:tcW w:w="2960" w:type="dxa"/>
          </w:tcPr>
          <w:p w14:paraId="1C8975ED" w14:textId="170E93B3" w:rsidR="00524A98" w:rsidRPr="00931A2B" w:rsidDel="0029390B" w:rsidRDefault="00524A98" w:rsidP="00524A98">
            <w:pPr>
              <w:spacing w:after="120"/>
              <w:rPr>
                <w:rFonts w:asciiTheme="minorHAnsi" w:hAnsiTheme="minorHAnsi" w:cstheme="minorHAnsi"/>
                <w:iCs/>
                <w:sz w:val="22"/>
              </w:rPr>
            </w:pPr>
            <w:r w:rsidRPr="00931A2B">
              <w:rPr>
                <w:rFonts w:asciiTheme="minorHAnsi" w:hAnsiTheme="minorHAnsi" w:cstheme="minorHAnsi"/>
                <w:iCs/>
                <w:sz w:val="22"/>
              </w:rPr>
              <w:t>Annually</w:t>
            </w:r>
          </w:p>
        </w:tc>
        <w:tc>
          <w:tcPr>
            <w:tcW w:w="7636" w:type="dxa"/>
          </w:tcPr>
          <w:p w14:paraId="607DBE6B" w14:textId="254507CE" w:rsidR="00524A98" w:rsidRPr="00931A2B" w:rsidDel="0029390B" w:rsidRDefault="00524A98" w:rsidP="00524A98">
            <w:pPr>
              <w:spacing w:after="120"/>
              <w:rPr>
                <w:rFonts w:asciiTheme="minorHAnsi" w:hAnsiTheme="minorHAnsi" w:cstheme="minorHAnsi"/>
                <w:iCs/>
                <w:sz w:val="22"/>
              </w:rPr>
            </w:pPr>
            <w:r w:rsidRPr="00931A2B">
              <w:rPr>
                <w:rFonts w:asciiTheme="minorHAnsi" w:hAnsiTheme="minorHAnsi" w:cstheme="minorHAnsi"/>
                <w:iCs/>
                <w:sz w:val="22"/>
              </w:rPr>
              <w:t>Update of financial data contained in the CRIS</w:t>
            </w:r>
          </w:p>
        </w:tc>
      </w:tr>
      <w:tr w:rsidR="00B31B90" w:rsidRPr="00C876EE" w14:paraId="48350312" w14:textId="77777777" w:rsidTr="003152A6">
        <w:trPr>
          <w:trHeight w:val="430"/>
        </w:trPr>
        <w:tc>
          <w:tcPr>
            <w:tcW w:w="2960" w:type="dxa"/>
          </w:tcPr>
          <w:p w14:paraId="5613890A" w14:textId="634E7C5E" w:rsidR="00B31B90" w:rsidRPr="00931A2B" w:rsidRDefault="00B31B90" w:rsidP="00524A98">
            <w:pPr>
              <w:spacing w:after="120"/>
              <w:rPr>
                <w:rFonts w:asciiTheme="minorHAnsi" w:hAnsiTheme="minorHAnsi" w:cstheme="minorHAnsi"/>
                <w:iCs/>
                <w:sz w:val="22"/>
              </w:rPr>
            </w:pPr>
            <w:r w:rsidRPr="00931A2B">
              <w:rPr>
                <w:rFonts w:asciiTheme="minorHAnsi" w:hAnsiTheme="minorHAnsi" w:cstheme="minorHAnsi"/>
                <w:iCs/>
                <w:sz w:val="22"/>
              </w:rPr>
              <w:t>2024-2</w:t>
            </w:r>
            <w:r w:rsidR="00FD3892">
              <w:rPr>
                <w:rFonts w:asciiTheme="minorHAnsi" w:hAnsiTheme="minorHAnsi" w:cstheme="minorHAnsi"/>
                <w:iCs/>
                <w:sz w:val="22"/>
              </w:rPr>
              <w:t>5</w:t>
            </w:r>
            <w:r w:rsidRPr="00931A2B">
              <w:rPr>
                <w:rFonts w:asciiTheme="minorHAnsi" w:hAnsiTheme="minorHAnsi" w:cstheme="minorHAnsi"/>
                <w:iCs/>
                <w:sz w:val="22"/>
              </w:rPr>
              <w:t xml:space="preserve"> onwards</w:t>
            </w:r>
          </w:p>
        </w:tc>
        <w:tc>
          <w:tcPr>
            <w:tcW w:w="7636" w:type="dxa"/>
          </w:tcPr>
          <w:p w14:paraId="467D1901" w14:textId="0045047B" w:rsidR="00B31B90" w:rsidRPr="00931A2B" w:rsidRDefault="00B31B90" w:rsidP="00524A98">
            <w:pPr>
              <w:spacing w:after="120"/>
              <w:rPr>
                <w:rFonts w:asciiTheme="minorHAnsi" w:hAnsiTheme="minorHAnsi" w:cstheme="minorHAnsi"/>
                <w:iCs/>
                <w:sz w:val="22"/>
              </w:rPr>
            </w:pPr>
            <w:r w:rsidRPr="00931A2B">
              <w:rPr>
                <w:rFonts w:asciiTheme="minorHAnsi" w:hAnsiTheme="minorHAnsi" w:cstheme="minorHAnsi"/>
                <w:iCs/>
                <w:sz w:val="22"/>
              </w:rPr>
              <w:t xml:space="preserve">Biennial reviews </w:t>
            </w:r>
          </w:p>
        </w:tc>
      </w:tr>
      <w:bookmarkEnd w:id="8"/>
    </w:tbl>
    <w:p w14:paraId="27A90ABA" w14:textId="77777777" w:rsidR="00FD6ADE" w:rsidRDefault="00FD6ADE" w:rsidP="00842647">
      <w:pPr>
        <w:spacing w:line="360" w:lineRule="auto"/>
        <w:rPr>
          <w:rFonts w:asciiTheme="minorHAnsi" w:hAnsiTheme="minorHAnsi" w:cstheme="minorHAnsi"/>
          <w:b/>
          <w:sz w:val="28"/>
          <w:szCs w:val="28"/>
        </w:rPr>
      </w:pPr>
    </w:p>
    <w:p w14:paraId="79BB39E5" w14:textId="1E7B184D" w:rsidR="008B679D" w:rsidRPr="002A00D6" w:rsidRDefault="002A00D6" w:rsidP="00684205">
      <w:pPr>
        <w:pStyle w:val="Heading1"/>
      </w:pPr>
      <w:r w:rsidRPr="002A00D6">
        <w:t>8</w:t>
      </w:r>
      <w:r w:rsidR="008B679D" w:rsidRPr="002A00D6">
        <w:t xml:space="preserve">. </w:t>
      </w:r>
      <w:r w:rsidR="008B679D" w:rsidRPr="002A00D6">
        <w:tab/>
        <w:t>CRIS APPROVAL AND CHANGE REGISTER</w:t>
      </w:r>
    </w:p>
    <w:tbl>
      <w:tblPr>
        <w:tblStyle w:val="TableGrid"/>
        <w:tblW w:w="10627" w:type="dxa"/>
        <w:tblInd w:w="108" w:type="dxa"/>
        <w:tblLayout w:type="fixed"/>
        <w:tblLook w:val="04A0" w:firstRow="1" w:lastRow="0" w:firstColumn="1" w:lastColumn="0" w:noHBand="0" w:noVBand="1"/>
      </w:tblPr>
      <w:tblGrid>
        <w:gridCol w:w="1872"/>
        <w:gridCol w:w="2268"/>
        <w:gridCol w:w="3683"/>
        <w:gridCol w:w="2804"/>
      </w:tblGrid>
      <w:tr w:rsidR="00DB2DD5" w:rsidRPr="00C876EE" w14:paraId="003BAABA" w14:textId="77777777" w:rsidTr="000512DE">
        <w:trPr>
          <w:trHeight w:val="862"/>
        </w:trPr>
        <w:tc>
          <w:tcPr>
            <w:tcW w:w="1872" w:type="dxa"/>
            <w:shd w:val="clear" w:color="DBE5F1" w:themeColor="accent1" w:themeTint="33" w:fill="auto"/>
          </w:tcPr>
          <w:p w14:paraId="1EA8FEC1" w14:textId="77777777" w:rsidR="00DB2DD5" w:rsidRPr="00C876EE" w:rsidRDefault="00DB2DD5" w:rsidP="003F6FF1">
            <w:pPr>
              <w:jc w:val="center"/>
              <w:rPr>
                <w:rFonts w:asciiTheme="minorHAnsi" w:hAnsiTheme="minorHAnsi" w:cstheme="minorHAnsi"/>
                <w:b/>
                <w:iCs/>
                <w:sz w:val="22"/>
              </w:rPr>
            </w:pPr>
            <w:r w:rsidRPr="00C876EE">
              <w:rPr>
                <w:rFonts w:asciiTheme="minorHAnsi" w:hAnsiTheme="minorHAnsi" w:cstheme="minorHAnsi"/>
                <w:b/>
                <w:iCs/>
                <w:sz w:val="22"/>
              </w:rPr>
              <w:t>Date of CRIS change</w:t>
            </w:r>
          </w:p>
        </w:tc>
        <w:tc>
          <w:tcPr>
            <w:tcW w:w="2268" w:type="dxa"/>
            <w:shd w:val="clear" w:color="DBE5F1" w:themeColor="accent1" w:themeTint="33" w:fill="auto"/>
          </w:tcPr>
          <w:p w14:paraId="5441EFA1" w14:textId="77777777" w:rsidR="00DB2DD5" w:rsidRPr="00C876EE" w:rsidRDefault="00DB2DD5" w:rsidP="003F6FF1">
            <w:pPr>
              <w:jc w:val="center"/>
              <w:rPr>
                <w:rFonts w:asciiTheme="minorHAnsi" w:hAnsiTheme="minorHAnsi" w:cstheme="minorHAnsi"/>
                <w:b/>
                <w:iCs/>
                <w:sz w:val="22"/>
              </w:rPr>
            </w:pPr>
            <w:r w:rsidRPr="00C876EE">
              <w:rPr>
                <w:rFonts w:asciiTheme="minorHAnsi" w:hAnsiTheme="minorHAnsi" w:cstheme="minorHAnsi"/>
                <w:b/>
                <w:iCs/>
                <w:sz w:val="22"/>
              </w:rPr>
              <w:t>CRIS change</w:t>
            </w:r>
          </w:p>
        </w:tc>
        <w:tc>
          <w:tcPr>
            <w:tcW w:w="3683" w:type="dxa"/>
            <w:shd w:val="clear" w:color="DBE5F1" w:themeColor="accent1" w:themeTint="33" w:fill="auto"/>
          </w:tcPr>
          <w:p w14:paraId="0092D234" w14:textId="77777777" w:rsidR="00DB2DD5" w:rsidRPr="00C876EE" w:rsidRDefault="00DB2DD5" w:rsidP="003F6FF1">
            <w:pPr>
              <w:jc w:val="center"/>
              <w:rPr>
                <w:rFonts w:asciiTheme="minorHAnsi" w:hAnsiTheme="minorHAnsi" w:cstheme="minorHAnsi"/>
                <w:b/>
                <w:iCs/>
                <w:sz w:val="22"/>
              </w:rPr>
            </w:pPr>
            <w:r w:rsidRPr="00C876EE">
              <w:rPr>
                <w:rFonts w:asciiTheme="minorHAnsi" w:hAnsiTheme="minorHAnsi" w:cstheme="minorHAnsi"/>
                <w:b/>
                <w:iCs/>
                <w:sz w:val="22"/>
              </w:rPr>
              <w:t>Approver</w:t>
            </w:r>
          </w:p>
        </w:tc>
        <w:tc>
          <w:tcPr>
            <w:tcW w:w="2804" w:type="dxa"/>
            <w:shd w:val="clear" w:color="DBE5F1" w:themeColor="accent1" w:themeTint="33" w:fill="auto"/>
          </w:tcPr>
          <w:p w14:paraId="1B96B8C9" w14:textId="77777777" w:rsidR="00DB2DD5" w:rsidRPr="00C876EE" w:rsidRDefault="00DB2DD5" w:rsidP="003F6FF1">
            <w:pPr>
              <w:jc w:val="center"/>
              <w:rPr>
                <w:rFonts w:asciiTheme="minorHAnsi" w:hAnsiTheme="minorHAnsi" w:cstheme="minorHAnsi"/>
                <w:b/>
                <w:iCs/>
                <w:sz w:val="22"/>
              </w:rPr>
            </w:pPr>
            <w:r w:rsidRPr="00C876EE">
              <w:rPr>
                <w:rFonts w:asciiTheme="minorHAnsi" w:hAnsiTheme="minorHAnsi" w:cstheme="minorHAnsi"/>
                <w:b/>
                <w:iCs/>
                <w:sz w:val="22"/>
              </w:rPr>
              <w:t>Basis for change</w:t>
            </w:r>
          </w:p>
        </w:tc>
      </w:tr>
      <w:tr w:rsidR="005F69E0" w:rsidRPr="00C876EE" w14:paraId="20921C3F" w14:textId="77777777" w:rsidTr="000512DE">
        <w:trPr>
          <w:trHeight w:val="780"/>
        </w:trPr>
        <w:tc>
          <w:tcPr>
            <w:tcW w:w="1872" w:type="dxa"/>
            <w:shd w:val="clear" w:color="auto" w:fill="auto"/>
          </w:tcPr>
          <w:p w14:paraId="3D47E6B8" w14:textId="6E7E13B6" w:rsidR="005F69E0" w:rsidRPr="00C876EE" w:rsidRDefault="00C97C01" w:rsidP="005F69E0">
            <w:pPr>
              <w:spacing w:before="60" w:after="60"/>
              <w:rPr>
                <w:rFonts w:asciiTheme="minorHAnsi" w:hAnsiTheme="minorHAnsi" w:cstheme="minorHAnsi"/>
                <w:sz w:val="22"/>
                <w:szCs w:val="22"/>
              </w:rPr>
            </w:pPr>
            <w:r>
              <w:rPr>
                <w:rFonts w:asciiTheme="minorHAnsi" w:hAnsiTheme="minorHAnsi" w:cstheme="minorHAnsi"/>
                <w:sz w:val="22"/>
                <w:szCs w:val="22"/>
              </w:rPr>
              <w:t>1</w:t>
            </w:r>
            <w:r w:rsidR="00A75864">
              <w:rPr>
                <w:rFonts w:asciiTheme="minorHAnsi" w:hAnsiTheme="minorHAnsi" w:cstheme="minorHAnsi"/>
                <w:sz w:val="22"/>
                <w:szCs w:val="22"/>
              </w:rPr>
              <w:t>8</w:t>
            </w:r>
            <w:r>
              <w:rPr>
                <w:rFonts w:asciiTheme="minorHAnsi" w:hAnsiTheme="minorHAnsi" w:cstheme="minorHAnsi"/>
                <w:sz w:val="22"/>
                <w:szCs w:val="22"/>
              </w:rPr>
              <w:t xml:space="preserve"> July 2021</w:t>
            </w:r>
          </w:p>
        </w:tc>
        <w:tc>
          <w:tcPr>
            <w:tcW w:w="2268" w:type="dxa"/>
            <w:shd w:val="clear" w:color="auto" w:fill="auto"/>
          </w:tcPr>
          <w:p w14:paraId="0A6AF5F7" w14:textId="546DECA7" w:rsidR="005F69E0" w:rsidRDefault="005F69E0" w:rsidP="005F69E0">
            <w:pPr>
              <w:spacing w:before="60" w:after="60"/>
              <w:rPr>
                <w:rFonts w:asciiTheme="minorHAnsi" w:hAnsiTheme="minorHAnsi" w:cstheme="minorHAnsi"/>
                <w:sz w:val="22"/>
                <w:szCs w:val="22"/>
              </w:rPr>
            </w:pPr>
            <w:r>
              <w:rPr>
                <w:rFonts w:asciiTheme="minorHAnsi" w:hAnsiTheme="minorHAnsi" w:cstheme="minorHAnsi"/>
                <w:sz w:val="22"/>
                <w:szCs w:val="22"/>
              </w:rPr>
              <w:t>Certification of CRIS</w:t>
            </w:r>
          </w:p>
        </w:tc>
        <w:tc>
          <w:tcPr>
            <w:tcW w:w="3683" w:type="dxa"/>
            <w:shd w:val="clear" w:color="auto" w:fill="auto"/>
            <w:vAlign w:val="center"/>
          </w:tcPr>
          <w:p w14:paraId="446AC565" w14:textId="2C05C306" w:rsidR="005F69E0" w:rsidRPr="00C876EE" w:rsidRDefault="005F69E0" w:rsidP="005F69E0">
            <w:pPr>
              <w:spacing w:before="60" w:after="60"/>
              <w:rPr>
                <w:rFonts w:asciiTheme="minorHAnsi" w:hAnsiTheme="minorHAnsi" w:cstheme="minorHAnsi"/>
                <w:sz w:val="22"/>
                <w:szCs w:val="22"/>
              </w:rPr>
            </w:pPr>
            <w:r>
              <w:rPr>
                <w:rFonts w:asciiTheme="minorHAnsi" w:hAnsiTheme="minorHAnsi" w:cstheme="minorHAnsi"/>
                <w:sz w:val="22"/>
                <w:szCs w:val="22"/>
              </w:rPr>
              <w:t xml:space="preserve">Secretary, Department of Education, Skills and Employment </w:t>
            </w:r>
          </w:p>
        </w:tc>
        <w:tc>
          <w:tcPr>
            <w:tcW w:w="2804" w:type="dxa"/>
            <w:shd w:val="clear" w:color="auto" w:fill="auto"/>
            <w:vAlign w:val="center"/>
          </w:tcPr>
          <w:p w14:paraId="4F23842A" w14:textId="128C00E3" w:rsidR="005F69E0" w:rsidRPr="00C876EE" w:rsidRDefault="005F69E0" w:rsidP="005F69E0">
            <w:pPr>
              <w:rPr>
                <w:rFonts w:asciiTheme="minorHAnsi" w:hAnsiTheme="minorHAnsi" w:cstheme="minorHAnsi"/>
                <w:sz w:val="22"/>
                <w:szCs w:val="22"/>
              </w:rPr>
            </w:pPr>
            <w:r w:rsidRPr="00C876EE">
              <w:rPr>
                <w:rFonts w:asciiTheme="minorHAnsi" w:hAnsiTheme="minorHAnsi" w:cstheme="minorHAnsi"/>
                <w:sz w:val="22"/>
                <w:szCs w:val="22"/>
              </w:rPr>
              <w:t>Updated cost recovery arrangements</w:t>
            </w:r>
          </w:p>
        </w:tc>
      </w:tr>
      <w:tr w:rsidR="005F69E0" w:rsidRPr="00C876EE" w14:paraId="68AECB71" w14:textId="77777777" w:rsidTr="000512DE">
        <w:trPr>
          <w:trHeight w:val="699"/>
        </w:trPr>
        <w:tc>
          <w:tcPr>
            <w:tcW w:w="1872" w:type="dxa"/>
            <w:shd w:val="clear" w:color="auto" w:fill="auto"/>
            <w:vAlign w:val="center"/>
          </w:tcPr>
          <w:p w14:paraId="6BFD5CC5" w14:textId="5BAF1209" w:rsidR="005F69E0" w:rsidRPr="00C876EE" w:rsidRDefault="000512DE" w:rsidP="005F69E0">
            <w:pPr>
              <w:spacing w:before="60" w:after="60"/>
              <w:rPr>
                <w:rFonts w:asciiTheme="minorHAnsi" w:hAnsiTheme="minorHAnsi" w:cstheme="minorHAnsi"/>
                <w:sz w:val="22"/>
                <w:szCs w:val="22"/>
              </w:rPr>
            </w:pPr>
            <w:r>
              <w:rPr>
                <w:rFonts w:asciiTheme="minorHAnsi" w:hAnsiTheme="minorHAnsi" w:cstheme="minorHAnsi"/>
                <w:sz w:val="22"/>
                <w:szCs w:val="22"/>
              </w:rPr>
              <w:t>4 August 2021</w:t>
            </w:r>
          </w:p>
        </w:tc>
        <w:tc>
          <w:tcPr>
            <w:tcW w:w="2268" w:type="dxa"/>
            <w:shd w:val="clear" w:color="auto" w:fill="auto"/>
            <w:vAlign w:val="center"/>
          </w:tcPr>
          <w:p w14:paraId="71DCE7E0" w14:textId="28DFA483" w:rsidR="005F69E0" w:rsidRPr="00C876EE" w:rsidRDefault="005F69E0" w:rsidP="005F69E0">
            <w:pPr>
              <w:spacing w:before="60" w:after="60"/>
              <w:rPr>
                <w:rFonts w:asciiTheme="minorHAnsi" w:hAnsiTheme="minorHAnsi" w:cstheme="minorHAnsi"/>
                <w:sz w:val="22"/>
                <w:szCs w:val="22"/>
              </w:rPr>
            </w:pPr>
            <w:r>
              <w:rPr>
                <w:rFonts w:asciiTheme="minorHAnsi" w:hAnsiTheme="minorHAnsi" w:cstheme="minorHAnsi"/>
                <w:sz w:val="22"/>
                <w:szCs w:val="22"/>
              </w:rPr>
              <w:t>Approval of CRIS</w:t>
            </w:r>
          </w:p>
        </w:tc>
        <w:tc>
          <w:tcPr>
            <w:tcW w:w="3683" w:type="dxa"/>
            <w:shd w:val="clear" w:color="auto" w:fill="auto"/>
            <w:vAlign w:val="center"/>
          </w:tcPr>
          <w:p w14:paraId="42B87562" w14:textId="5AD97BC5" w:rsidR="005F69E0" w:rsidRDefault="005F69E0" w:rsidP="005F69E0">
            <w:pPr>
              <w:spacing w:before="60" w:after="60"/>
              <w:rPr>
                <w:rFonts w:asciiTheme="minorHAnsi" w:hAnsiTheme="minorHAnsi" w:cstheme="minorHAnsi"/>
                <w:sz w:val="22"/>
                <w:szCs w:val="22"/>
              </w:rPr>
            </w:pPr>
            <w:r w:rsidRPr="00C876EE">
              <w:rPr>
                <w:rFonts w:asciiTheme="minorHAnsi" w:hAnsiTheme="minorHAnsi" w:cstheme="minorHAnsi"/>
                <w:sz w:val="22"/>
                <w:szCs w:val="22"/>
              </w:rPr>
              <w:t>Minister for Employment, Skills, Small and Family Business</w:t>
            </w:r>
          </w:p>
        </w:tc>
        <w:tc>
          <w:tcPr>
            <w:tcW w:w="2804" w:type="dxa"/>
            <w:shd w:val="clear" w:color="auto" w:fill="auto"/>
            <w:vAlign w:val="center"/>
          </w:tcPr>
          <w:p w14:paraId="397C17EE" w14:textId="58C0DEDE" w:rsidR="005F69E0" w:rsidRPr="00C876EE" w:rsidRDefault="005F69E0" w:rsidP="005F69E0">
            <w:pPr>
              <w:rPr>
                <w:rFonts w:asciiTheme="minorHAnsi" w:hAnsiTheme="minorHAnsi" w:cstheme="minorHAnsi"/>
                <w:sz w:val="22"/>
                <w:szCs w:val="22"/>
              </w:rPr>
            </w:pPr>
            <w:r w:rsidRPr="00C876EE">
              <w:rPr>
                <w:rFonts w:asciiTheme="minorHAnsi" w:hAnsiTheme="minorHAnsi" w:cstheme="minorHAnsi"/>
                <w:sz w:val="22"/>
                <w:szCs w:val="22"/>
              </w:rPr>
              <w:t>Updated cost recovery arrangements</w:t>
            </w:r>
          </w:p>
        </w:tc>
      </w:tr>
      <w:tr w:rsidR="005F69E0" w:rsidRPr="00C876EE" w14:paraId="38A24B29" w14:textId="77777777" w:rsidTr="000512DE">
        <w:trPr>
          <w:trHeight w:val="715"/>
        </w:trPr>
        <w:tc>
          <w:tcPr>
            <w:tcW w:w="1872" w:type="dxa"/>
            <w:shd w:val="clear" w:color="auto" w:fill="auto"/>
            <w:vAlign w:val="center"/>
          </w:tcPr>
          <w:p w14:paraId="14B7F916" w14:textId="328413D4" w:rsidR="005F69E0" w:rsidRPr="00C876EE" w:rsidRDefault="000512DE" w:rsidP="005F69E0">
            <w:pPr>
              <w:spacing w:before="60" w:after="60"/>
              <w:rPr>
                <w:rFonts w:asciiTheme="minorHAnsi" w:hAnsiTheme="minorHAnsi" w:cstheme="minorHAnsi"/>
                <w:sz w:val="22"/>
                <w:szCs w:val="22"/>
              </w:rPr>
            </w:pPr>
            <w:r>
              <w:rPr>
                <w:rFonts w:asciiTheme="minorHAnsi" w:hAnsiTheme="minorHAnsi" w:cstheme="minorHAnsi"/>
                <w:sz w:val="22"/>
                <w:szCs w:val="22"/>
              </w:rPr>
              <w:t>21 August 2021</w:t>
            </w:r>
          </w:p>
        </w:tc>
        <w:tc>
          <w:tcPr>
            <w:tcW w:w="2268" w:type="dxa"/>
            <w:shd w:val="clear" w:color="auto" w:fill="auto"/>
            <w:vAlign w:val="center"/>
          </w:tcPr>
          <w:p w14:paraId="70DB7DD5" w14:textId="2EE3D085" w:rsidR="005F69E0" w:rsidRPr="00C876EE" w:rsidRDefault="005F69E0" w:rsidP="005F69E0">
            <w:pPr>
              <w:spacing w:before="60" w:after="60"/>
              <w:rPr>
                <w:rFonts w:asciiTheme="minorHAnsi" w:hAnsiTheme="minorHAnsi" w:cstheme="minorHAnsi"/>
                <w:sz w:val="22"/>
                <w:szCs w:val="22"/>
              </w:rPr>
            </w:pPr>
            <w:r>
              <w:rPr>
                <w:rFonts w:asciiTheme="minorHAnsi" w:hAnsiTheme="minorHAnsi" w:cstheme="minorHAnsi"/>
                <w:sz w:val="22"/>
                <w:szCs w:val="22"/>
              </w:rPr>
              <w:t>Agreement to release CRIS</w:t>
            </w:r>
          </w:p>
        </w:tc>
        <w:tc>
          <w:tcPr>
            <w:tcW w:w="3683" w:type="dxa"/>
            <w:shd w:val="clear" w:color="auto" w:fill="auto"/>
            <w:vAlign w:val="center"/>
          </w:tcPr>
          <w:p w14:paraId="2F77411A" w14:textId="6010300C" w:rsidR="005F69E0" w:rsidRDefault="005F69E0" w:rsidP="005F69E0">
            <w:pPr>
              <w:spacing w:before="60" w:after="60"/>
              <w:rPr>
                <w:rFonts w:asciiTheme="minorHAnsi" w:hAnsiTheme="minorHAnsi" w:cstheme="minorHAnsi"/>
                <w:sz w:val="22"/>
                <w:szCs w:val="22"/>
              </w:rPr>
            </w:pPr>
            <w:r>
              <w:rPr>
                <w:rFonts w:asciiTheme="minorHAnsi" w:hAnsiTheme="minorHAnsi" w:cstheme="minorHAnsi"/>
                <w:sz w:val="22"/>
                <w:szCs w:val="22"/>
              </w:rPr>
              <w:t>Agreement to release by Minister of Finance</w:t>
            </w:r>
          </w:p>
        </w:tc>
        <w:tc>
          <w:tcPr>
            <w:tcW w:w="2804" w:type="dxa"/>
            <w:shd w:val="clear" w:color="auto" w:fill="auto"/>
            <w:vAlign w:val="center"/>
          </w:tcPr>
          <w:p w14:paraId="0D094B81" w14:textId="4A2381B2" w:rsidR="005F69E0" w:rsidRPr="00C876EE" w:rsidRDefault="005F69E0" w:rsidP="005F69E0">
            <w:pPr>
              <w:rPr>
                <w:rFonts w:asciiTheme="minorHAnsi" w:hAnsiTheme="minorHAnsi" w:cstheme="minorHAnsi"/>
                <w:sz w:val="22"/>
                <w:szCs w:val="22"/>
              </w:rPr>
            </w:pPr>
            <w:r w:rsidRPr="00C876EE">
              <w:rPr>
                <w:rFonts w:asciiTheme="minorHAnsi" w:hAnsiTheme="minorHAnsi" w:cstheme="minorHAnsi"/>
                <w:sz w:val="22"/>
                <w:szCs w:val="22"/>
              </w:rPr>
              <w:t>Updated cost recovery arrangements</w:t>
            </w:r>
          </w:p>
        </w:tc>
      </w:tr>
    </w:tbl>
    <w:p w14:paraId="0A9B45ED" w14:textId="77777777" w:rsidR="00833DDF" w:rsidRPr="00C876EE" w:rsidRDefault="00833DDF" w:rsidP="00A63FDA">
      <w:pPr>
        <w:spacing w:after="200" w:line="276" w:lineRule="auto"/>
        <w:rPr>
          <w:rFonts w:asciiTheme="minorHAnsi" w:hAnsiTheme="minorHAnsi" w:cstheme="minorHAnsi"/>
        </w:rPr>
      </w:pPr>
    </w:p>
    <w:sectPr w:rsidR="00833DDF" w:rsidRPr="00C876EE" w:rsidSect="00733B29">
      <w:headerReference w:type="default" r:id="rId21"/>
      <w:footerReference w:type="default" r:id="rId2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C878AD" w14:textId="77777777" w:rsidR="00985935" w:rsidRDefault="00985935" w:rsidP="008B679D">
      <w:r>
        <w:separator/>
      </w:r>
    </w:p>
  </w:endnote>
  <w:endnote w:type="continuationSeparator" w:id="0">
    <w:p w14:paraId="1FF84818" w14:textId="77777777" w:rsidR="00985935" w:rsidRDefault="00985935" w:rsidP="008B67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SimSun">
    <w:altName w:val="宋体"/>
    <w:panose1 w:val="02010600030101010101"/>
    <w:charset w:val="86"/>
    <w:family w:val="auto"/>
    <w:pitch w:val="variable"/>
    <w:sig w:usb0="00000003" w:usb1="288F0000" w:usb2="00000016" w:usb3="00000000" w:csb0="00040001"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BF8E3" w14:textId="40EDDB21" w:rsidR="002D70CC" w:rsidRPr="00543333" w:rsidRDefault="002D70CC" w:rsidP="003B0246">
    <w:pPr>
      <w:pStyle w:val="Footer"/>
      <w:jc w:val="right"/>
      <w:rPr>
        <w:rFonts w:asciiTheme="minorHAnsi" w:hAnsiTheme="minorHAnsi" w:cstheme="minorHAnsi"/>
        <w:sz w:val="22"/>
        <w:szCs w:val="22"/>
      </w:rPr>
    </w:pPr>
    <w:r>
      <w:rPr>
        <w:rFonts w:asciiTheme="minorHAnsi" w:hAnsiTheme="minorHAnsi" w:cstheme="minorHAnsi"/>
        <w:noProof/>
        <w:lang w:eastAsia="en-AU"/>
      </w:rPr>
      <mc:AlternateContent>
        <mc:Choice Requires="wps">
          <w:drawing>
            <wp:anchor distT="0" distB="0" distL="114300" distR="114300" simplePos="0" relativeHeight="251657728" behindDoc="0" locked="1" layoutInCell="0" allowOverlap="1" wp14:anchorId="7CAE7C29" wp14:editId="7FF9DE64">
              <wp:simplePos x="0" y="0"/>
              <wp:positionH relativeFrom="margin">
                <wp:align>center</wp:align>
              </wp:positionH>
              <wp:positionV relativeFrom="bottomMargin">
                <wp:align>center</wp:align>
              </wp:positionV>
              <wp:extent cx="892175" cy="273050"/>
              <wp:effectExtent l="0" t="0" r="0" b="0"/>
              <wp:wrapNone/>
              <wp:docPr id="3" name="janusSEAL SC Footer"/>
              <wp:cNvGraphicFramePr/>
              <a:graphic xmlns:a="http://schemas.openxmlformats.org/drawingml/2006/main">
                <a:graphicData uri="http://schemas.microsoft.com/office/word/2010/wordprocessingShape">
                  <wps:wsp>
                    <wps:cNvSpPr txBox="1"/>
                    <wps:spPr>
                      <a:xfrm>
                        <a:off x="0" y="0"/>
                        <a:ext cx="892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AA2794A" w14:textId="14CE08CF" w:rsidR="002D70CC" w:rsidRPr="003D4532" w:rsidRDefault="002D70CC" w:rsidP="003D4532">
                          <w:pPr>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PM_ProtectiveMarkingValue_Footer \* MERGEFORMAT </w:instrText>
                          </w:r>
                          <w:r>
                            <w:rPr>
                              <w:rFonts w:ascii="Arial" w:hAnsi="Arial" w:cs="Arial"/>
                              <w:b/>
                              <w:color w:val="FF0000"/>
                            </w:rPr>
                            <w:fldChar w:fldCharType="separate"/>
                          </w:r>
                          <w:r w:rsidR="00E9069E">
                            <w:rPr>
                              <w:rFonts w:ascii="Arial" w:hAnsi="Arial" w:cs="Arial"/>
                              <w:b/>
                              <w:color w:val="FF0000"/>
                            </w:rPr>
                            <w:t>OFFICIAL</w:t>
                          </w:r>
                          <w:r>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CAE7C29" id="_x0000_t202" coordsize="21600,21600" o:spt="202" path="m,l,21600r21600,l21600,xe">
              <v:stroke joinstyle="miter"/>
              <v:path gradientshapeok="t" o:connecttype="rect"/>
            </v:shapetype>
            <v:shape id="janusSEAL SC Footer" o:spid="_x0000_s1027" type="#_x0000_t202" style="position:absolute;left:0;text-align:left;margin-left:0;margin-top:0;width:70.25pt;height:21.5pt;z-index:251657728;visibility:visible;mso-wrap-style:none;mso-wrap-distance-left:9pt;mso-wrap-distance-top:0;mso-wrap-distance-right:9pt;mso-wrap-distance-bottom:0;mso-position-horizontal:center;mso-position-horizontal-relative:margin;mso-position-vertical:center;mso-position-vertical-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" o:allowincell="f" filled="f" stroked="f" strokeweight=".5pt">
              <v:textbox style="mso-fit-shape-to-text:t">
                <w:txbxContent>
                  <w:p w14:paraId="7AA2794A" w14:textId="14CE08CF" w:rsidR="002D70CC" w:rsidRPr="003D4532" w:rsidRDefault="002D70CC" w:rsidP="003D4532">
                    <w:pPr>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PM_ProtectiveMarkingValue_Footer \* MERGEFORMAT </w:instrText>
                    </w:r>
                    <w:r>
                      <w:rPr>
                        <w:rFonts w:ascii="Arial" w:hAnsi="Arial" w:cs="Arial"/>
                        <w:b/>
                        <w:color w:val="FF0000"/>
                      </w:rPr>
                      <w:fldChar w:fldCharType="separate"/>
                    </w:r>
                    <w:r w:rsidR="00E9069E">
                      <w:rPr>
                        <w:rFonts w:ascii="Arial" w:hAnsi="Arial" w:cs="Arial"/>
                        <w:b/>
                        <w:color w:val="FF0000"/>
                      </w:rPr>
                      <w:t>OFFICIAL</w:t>
                    </w:r>
                    <w:r>
                      <w:rPr>
                        <w:rFonts w:ascii="Arial" w:hAnsi="Arial" w:cs="Arial"/>
                        <w:b/>
                        <w:color w:val="FF0000"/>
                      </w:rPr>
                      <w:fldChar w:fldCharType="end"/>
                    </w:r>
                  </w:p>
                </w:txbxContent>
              </v:textbox>
              <w10:wrap anchorx="margin" anchory="margin"/>
              <w10:anchorlock/>
            </v:shape>
          </w:pict>
        </mc:Fallback>
      </mc:AlternateContent>
    </w:r>
    <w:sdt>
      <w:sdtPr>
        <w:rPr>
          <w:rFonts w:asciiTheme="minorHAnsi" w:hAnsiTheme="minorHAnsi" w:cstheme="minorHAnsi"/>
        </w:rPr>
        <w:id w:val="-928961056"/>
        <w:docPartObj>
          <w:docPartGallery w:val="Page Numbers (Bottom of Page)"/>
          <w:docPartUnique/>
        </w:docPartObj>
      </w:sdtPr>
      <w:sdtEndPr>
        <w:rPr>
          <w:sz w:val="22"/>
          <w:szCs w:val="22"/>
        </w:rPr>
      </w:sdtEndPr>
      <w:sdtContent>
        <w:sdt>
          <w:sdtPr>
            <w:rPr>
              <w:rFonts w:asciiTheme="minorHAnsi" w:hAnsiTheme="minorHAnsi" w:cstheme="minorHAnsi"/>
              <w:sz w:val="22"/>
              <w:szCs w:val="22"/>
            </w:rPr>
            <w:id w:val="768281660"/>
            <w:docPartObj>
              <w:docPartGallery w:val="Page Numbers (Top of Page)"/>
              <w:docPartUnique/>
            </w:docPartObj>
          </w:sdtPr>
          <w:sdtEndPr/>
          <w:sdtContent>
            <w:r w:rsidRPr="00543333">
              <w:rPr>
                <w:rFonts w:asciiTheme="minorHAnsi" w:hAnsiTheme="minorHAnsi" w:cstheme="minorHAnsi"/>
                <w:sz w:val="22"/>
                <w:szCs w:val="22"/>
              </w:rPr>
              <w:t xml:space="preserve">Page </w:t>
            </w:r>
            <w:r w:rsidRPr="00543333">
              <w:rPr>
                <w:rFonts w:asciiTheme="minorHAnsi" w:hAnsiTheme="minorHAnsi" w:cstheme="minorHAnsi"/>
                <w:b/>
                <w:sz w:val="22"/>
                <w:szCs w:val="22"/>
              </w:rPr>
              <w:fldChar w:fldCharType="begin"/>
            </w:r>
            <w:r w:rsidRPr="00543333">
              <w:rPr>
                <w:rFonts w:asciiTheme="minorHAnsi" w:hAnsiTheme="minorHAnsi" w:cstheme="minorHAnsi"/>
                <w:b/>
                <w:sz w:val="22"/>
                <w:szCs w:val="22"/>
              </w:rPr>
              <w:instrText xml:space="preserve"> PAGE </w:instrText>
            </w:r>
            <w:r w:rsidRPr="00543333">
              <w:rPr>
                <w:rFonts w:asciiTheme="minorHAnsi" w:hAnsiTheme="minorHAnsi" w:cstheme="minorHAnsi"/>
                <w:b/>
                <w:sz w:val="22"/>
                <w:szCs w:val="22"/>
              </w:rPr>
              <w:fldChar w:fldCharType="separate"/>
            </w:r>
            <w:r>
              <w:rPr>
                <w:rFonts w:asciiTheme="minorHAnsi" w:hAnsiTheme="minorHAnsi" w:cstheme="minorHAnsi"/>
                <w:b/>
                <w:noProof/>
                <w:sz w:val="22"/>
                <w:szCs w:val="22"/>
              </w:rPr>
              <w:t>8</w:t>
            </w:r>
            <w:r w:rsidRPr="00543333">
              <w:rPr>
                <w:rFonts w:asciiTheme="minorHAnsi" w:hAnsiTheme="minorHAnsi" w:cstheme="minorHAnsi"/>
                <w:b/>
                <w:sz w:val="22"/>
                <w:szCs w:val="22"/>
              </w:rPr>
              <w:fldChar w:fldCharType="end"/>
            </w:r>
            <w:r w:rsidRPr="00543333">
              <w:rPr>
                <w:rFonts w:asciiTheme="minorHAnsi" w:hAnsiTheme="minorHAnsi" w:cstheme="minorHAnsi"/>
                <w:sz w:val="22"/>
                <w:szCs w:val="22"/>
              </w:rPr>
              <w:t xml:space="preserve"> of </w:t>
            </w:r>
            <w:r w:rsidRPr="00543333">
              <w:rPr>
                <w:rFonts w:asciiTheme="minorHAnsi" w:hAnsiTheme="minorHAnsi" w:cstheme="minorHAnsi"/>
                <w:b/>
                <w:sz w:val="22"/>
                <w:szCs w:val="22"/>
              </w:rPr>
              <w:fldChar w:fldCharType="begin"/>
            </w:r>
            <w:r w:rsidRPr="00543333">
              <w:rPr>
                <w:rFonts w:asciiTheme="minorHAnsi" w:hAnsiTheme="minorHAnsi" w:cstheme="minorHAnsi"/>
                <w:b/>
                <w:sz w:val="22"/>
                <w:szCs w:val="22"/>
              </w:rPr>
              <w:instrText xml:space="preserve"> NUMPAGES  </w:instrText>
            </w:r>
            <w:r w:rsidRPr="00543333">
              <w:rPr>
                <w:rFonts w:asciiTheme="minorHAnsi" w:hAnsiTheme="minorHAnsi" w:cstheme="minorHAnsi"/>
                <w:b/>
                <w:sz w:val="22"/>
                <w:szCs w:val="22"/>
              </w:rPr>
              <w:fldChar w:fldCharType="separate"/>
            </w:r>
            <w:r>
              <w:rPr>
                <w:rFonts w:asciiTheme="minorHAnsi" w:hAnsiTheme="minorHAnsi" w:cstheme="minorHAnsi"/>
                <w:b/>
                <w:noProof/>
                <w:sz w:val="22"/>
                <w:szCs w:val="22"/>
              </w:rPr>
              <w:t>9</w:t>
            </w:r>
            <w:r w:rsidRPr="00543333">
              <w:rPr>
                <w:rFonts w:asciiTheme="minorHAnsi" w:hAnsiTheme="minorHAnsi" w:cstheme="minorHAnsi"/>
                <w:b/>
                <w:sz w:val="22"/>
                <w:szCs w:val="22"/>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8C9CB8" w14:textId="77777777" w:rsidR="00985935" w:rsidRDefault="00985935" w:rsidP="008B679D">
      <w:r>
        <w:separator/>
      </w:r>
    </w:p>
  </w:footnote>
  <w:footnote w:type="continuationSeparator" w:id="0">
    <w:p w14:paraId="3A6E65E8" w14:textId="77777777" w:rsidR="00985935" w:rsidRDefault="00985935" w:rsidP="008B679D">
      <w:r>
        <w:continuationSeparator/>
      </w:r>
    </w:p>
  </w:footnote>
  <w:footnote w:id="1">
    <w:p w14:paraId="234FFCBA" w14:textId="7C2A3DC7" w:rsidR="002D70CC" w:rsidRPr="006A2116" w:rsidRDefault="002D70CC" w:rsidP="00101163">
      <w:pPr>
        <w:pStyle w:val="FootnoteText"/>
      </w:pPr>
      <w:r w:rsidRPr="0045775F">
        <w:rPr>
          <w:rStyle w:val="FootnoteReference"/>
          <w:color w:val="auto"/>
        </w:rPr>
        <w:footnoteRef/>
      </w:r>
      <w:r w:rsidRPr="00101163">
        <w:t xml:space="preserve"> </w:t>
      </w:r>
      <w:r>
        <w:t>The Framework and the CRGs are available on the Department of Finance website (</w:t>
      </w:r>
      <w:hyperlink r:id="rId1" w:history="1">
        <w:r w:rsidRPr="00101163">
          <w:rPr>
            <w:rStyle w:val="Hyperlink"/>
          </w:rPr>
          <w:t>www.</w:t>
        </w:r>
        <w:r w:rsidRPr="00A91DC2">
          <w:rPr>
            <w:rStyle w:val="Hyperlink"/>
            <w:color w:val="auto"/>
          </w:rPr>
          <w:t>finance</w:t>
        </w:r>
        <w:r w:rsidRPr="006A2116">
          <w:rPr>
            <w:rStyle w:val="Hyperlink"/>
          </w:rPr>
          <w:t>.gov.au</w:t>
        </w:r>
      </w:hyperlink>
      <w:r>
        <w:t>)</w:t>
      </w:r>
      <w:r w:rsidRPr="006A2116">
        <w:t>.</w:t>
      </w:r>
    </w:p>
  </w:footnote>
  <w:footnote w:id="2">
    <w:p w14:paraId="7CD00C69" w14:textId="7F64444E" w:rsidR="002D70CC" w:rsidRDefault="002D70CC">
      <w:pPr>
        <w:pStyle w:val="FootnoteText"/>
      </w:pPr>
      <w:r>
        <w:rPr>
          <w:rStyle w:val="FootnoteReference"/>
        </w:rPr>
        <w:footnoteRef/>
      </w:r>
      <w:r>
        <w:t xml:space="preserve"> Australian Government Cost Recovery Guidelines, Resource Management Guide No. 304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E91193" w14:textId="69EFC0D5" w:rsidR="002D70CC" w:rsidRDefault="002D70CC">
    <w:pPr>
      <w:pStyle w:val="Header"/>
    </w:pPr>
    <w:r>
      <w:rPr>
        <w:noProof/>
        <w:lang w:eastAsia="en-AU"/>
      </w:rPr>
      <mc:AlternateContent>
        <mc:Choice Requires="wps">
          <w:drawing>
            <wp:anchor distT="0" distB="0" distL="114300" distR="114300" simplePos="0" relativeHeight="251656704" behindDoc="0" locked="1" layoutInCell="0" allowOverlap="1" wp14:anchorId="2DC5AC8F" wp14:editId="3129E631">
              <wp:simplePos x="0" y="0"/>
              <wp:positionH relativeFrom="margin">
                <wp:align>center</wp:align>
              </wp:positionH>
              <wp:positionV relativeFrom="topMargin">
                <wp:align>center</wp:align>
              </wp:positionV>
              <wp:extent cx="892175" cy="273050"/>
              <wp:effectExtent l="0" t="0" r="0" b="0"/>
              <wp:wrapNone/>
              <wp:docPr id="1" name="janusSEAL SC Header"/>
              <wp:cNvGraphicFramePr/>
              <a:graphic xmlns:a="http://schemas.openxmlformats.org/drawingml/2006/main">
                <a:graphicData uri="http://schemas.microsoft.com/office/word/2010/wordprocessingShape">
                  <wps:wsp>
                    <wps:cNvSpPr txBox="1"/>
                    <wps:spPr>
                      <a:xfrm>
                        <a:off x="0" y="0"/>
                        <a:ext cx="892175"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2094624" w14:textId="36018F59" w:rsidR="002D70CC" w:rsidRPr="002F11A4" w:rsidRDefault="002D70CC" w:rsidP="002F11A4">
                          <w:pPr>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E9069E">
                            <w:rPr>
                              <w:rFonts w:ascii="Arial" w:hAnsi="Arial" w:cs="Arial"/>
                              <w:b/>
                              <w:color w:val="FF0000"/>
                            </w:rPr>
                            <w:t>OFFICIAL</w:t>
                          </w:r>
                          <w:r>
                            <w:rPr>
                              <w:rFonts w:ascii="Arial" w:hAnsi="Arial" w:cs="Arial"/>
                              <w:b/>
                              <w:color w:val="FF0000"/>
                            </w:rPr>
                            <w:fldChar w:fldCharType="end"/>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DC5AC8F" id="_x0000_t202" coordsize="21600,21600" o:spt="202" path="m,l,21600r21600,l21600,xe">
              <v:stroke joinstyle="miter"/>
              <v:path gradientshapeok="t" o:connecttype="rect"/>
            </v:shapetype>
            <v:shape id="janusSEAL SC Header" o:spid="_x0000_s1026" type="#_x0000_t202" style="position:absolute;margin-left:0;margin-top:0;width:70.25pt;height:21.5pt;z-index:251656704;visibility:visible;mso-wrap-style:none;mso-wrap-distance-left:9pt;mso-wrap-distance-top:0;mso-wrap-distance-right:9pt;mso-wrap-distance-bottom:0;mso-position-horizontal:center;mso-position-horizontal-relative:margin;mso-position-vertical:center;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" o:allowincell="f" filled="f" stroked="f" strokeweight=".5pt">
              <v:textbox style="mso-fit-shape-to-text:t">
                <w:txbxContent>
                  <w:p w14:paraId="12094624" w14:textId="36018F59" w:rsidR="002D70CC" w:rsidRPr="002F11A4" w:rsidRDefault="002D70CC" w:rsidP="002F11A4">
                    <w:pPr>
                      <w:jc w:val="center"/>
                      <w:rPr>
                        <w:rFonts w:ascii="Arial" w:hAnsi="Arial" w:cs="Arial"/>
                        <w:b/>
                        <w:color w:val="FF0000"/>
                      </w:rPr>
                    </w:pPr>
                    <w:r>
                      <w:rPr>
                        <w:rFonts w:ascii="Arial" w:hAnsi="Arial" w:cs="Arial"/>
                        <w:b/>
                        <w:color w:val="FF0000"/>
                      </w:rPr>
                      <w:fldChar w:fldCharType="begin"/>
                    </w:r>
                    <w:r>
                      <w:rPr>
                        <w:rFonts w:ascii="Arial" w:hAnsi="Arial" w:cs="Arial"/>
                        <w:b/>
                        <w:color w:val="FF0000"/>
                      </w:rPr>
                      <w:instrText xml:space="preserve"> DOCPROPERTY PM_ProtectiveMarkingValue_Header \* MERGEFORMAT </w:instrText>
                    </w:r>
                    <w:r>
                      <w:rPr>
                        <w:rFonts w:ascii="Arial" w:hAnsi="Arial" w:cs="Arial"/>
                        <w:b/>
                        <w:color w:val="FF0000"/>
                      </w:rPr>
                      <w:fldChar w:fldCharType="separate"/>
                    </w:r>
                    <w:r w:rsidR="00E9069E">
                      <w:rPr>
                        <w:rFonts w:ascii="Arial" w:hAnsi="Arial" w:cs="Arial"/>
                        <w:b/>
                        <w:color w:val="FF0000"/>
                      </w:rPr>
                      <w:t>OFFICIAL</w:t>
                    </w:r>
                    <w:r>
                      <w:rPr>
                        <w:rFonts w:ascii="Arial" w:hAnsi="Arial" w:cs="Arial"/>
                        <w:b/>
                        <w:color w:val="FF0000"/>
                      </w:rPr>
                      <w:fldChar w:fldCharType="end"/>
                    </w:r>
                  </w:p>
                </w:txbxContent>
              </v:textbox>
              <w10:wrap anchorx="margin" anchory="margin"/>
              <w10:anchorlock/>
            </v:shape>
          </w:pict>
        </mc:Fallback>
      </mc:AlternateContent>
    </w:r>
  </w:p>
  <w:p w14:paraId="43031D4B" w14:textId="4E57A9FA" w:rsidR="002D70CC" w:rsidRDefault="002D70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F95E308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5705ED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786EC0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F16FF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E4C1C9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F7039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06EA0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5D0345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A067E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C840BC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4634689"/>
    <w:multiLevelType w:val="hybridMultilevel"/>
    <w:tmpl w:val="98B85F5C"/>
    <w:lvl w:ilvl="0" w:tplc="3B06C3F2">
      <w:start w:val="1"/>
      <w:numFmt w:val="lowerLetter"/>
      <w:lvlText w:val="(%1)"/>
      <w:lvlJc w:val="left"/>
      <w:pPr>
        <w:ind w:left="480" w:hanging="360"/>
      </w:pPr>
      <w:rPr>
        <w:rFonts w:hint="default"/>
        <w:sz w:val="20"/>
      </w:rPr>
    </w:lvl>
    <w:lvl w:ilvl="1" w:tplc="0C090019" w:tentative="1">
      <w:start w:val="1"/>
      <w:numFmt w:val="lowerLetter"/>
      <w:lvlText w:val="%2."/>
      <w:lvlJc w:val="left"/>
      <w:pPr>
        <w:ind w:left="1200" w:hanging="360"/>
      </w:pPr>
    </w:lvl>
    <w:lvl w:ilvl="2" w:tplc="0C09001B" w:tentative="1">
      <w:start w:val="1"/>
      <w:numFmt w:val="lowerRoman"/>
      <w:lvlText w:val="%3."/>
      <w:lvlJc w:val="right"/>
      <w:pPr>
        <w:ind w:left="1920" w:hanging="180"/>
      </w:pPr>
    </w:lvl>
    <w:lvl w:ilvl="3" w:tplc="0C09000F" w:tentative="1">
      <w:start w:val="1"/>
      <w:numFmt w:val="decimal"/>
      <w:lvlText w:val="%4."/>
      <w:lvlJc w:val="left"/>
      <w:pPr>
        <w:ind w:left="2640" w:hanging="360"/>
      </w:pPr>
    </w:lvl>
    <w:lvl w:ilvl="4" w:tplc="0C090019" w:tentative="1">
      <w:start w:val="1"/>
      <w:numFmt w:val="lowerLetter"/>
      <w:lvlText w:val="%5."/>
      <w:lvlJc w:val="left"/>
      <w:pPr>
        <w:ind w:left="3360" w:hanging="360"/>
      </w:pPr>
    </w:lvl>
    <w:lvl w:ilvl="5" w:tplc="0C09001B" w:tentative="1">
      <w:start w:val="1"/>
      <w:numFmt w:val="lowerRoman"/>
      <w:lvlText w:val="%6."/>
      <w:lvlJc w:val="right"/>
      <w:pPr>
        <w:ind w:left="4080" w:hanging="180"/>
      </w:pPr>
    </w:lvl>
    <w:lvl w:ilvl="6" w:tplc="0C09000F" w:tentative="1">
      <w:start w:val="1"/>
      <w:numFmt w:val="decimal"/>
      <w:lvlText w:val="%7."/>
      <w:lvlJc w:val="left"/>
      <w:pPr>
        <w:ind w:left="4800" w:hanging="360"/>
      </w:pPr>
    </w:lvl>
    <w:lvl w:ilvl="7" w:tplc="0C090019" w:tentative="1">
      <w:start w:val="1"/>
      <w:numFmt w:val="lowerLetter"/>
      <w:lvlText w:val="%8."/>
      <w:lvlJc w:val="left"/>
      <w:pPr>
        <w:ind w:left="5520" w:hanging="360"/>
      </w:pPr>
    </w:lvl>
    <w:lvl w:ilvl="8" w:tplc="0C09001B" w:tentative="1">
      <w:start w:val="1"/>
      <w:numFmt w:val="lowerRoman"/>
      <w:lvlText w:val="%9."/>
      <w:lvlJc w:val="right"/>
      <w:pPr>
        <w:ind w:left="6240" w:hanging="180"/>
      </w:pPr>
    </w:lvl>
  </w:abstractNum>
  <w:abstractNum w:abstractNumId="11" w15:restartNumberingAfterBreak="0">
    <w:nsid w:val="40CA4503"/>
    <w:multiLevelType w:val="hybridMultilevel"/>
    <w:tmpl w:val="B8C61C9C"/>
    <w:lvl w:ilvl="0" w:tplc="6016877A">
      <w:start w:val="2"/>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413E22E8"/>
    <w:multiLevelType w:val="hybridMultilevel"/>
    <w:tmpl w:val="FB663714"/>
    <w:lvl w:ilvl="0" w:tplc="78A01A30">
      <w:start w:val="1"/>
      <w:numFmt w:val="lowerLetter"/>
      <w:lvlText w:val="(%1)"/>
      <w:lvlJc w:val="left"/>
      <w:pPr>
        <w:ind w:left="360" w:hanging="360"/>
      </w:pPr>
      <w:rPr>
        <w:rFonts w:hint="default"/>
        <w:b w:val="0"/>
        <w:bCs/>
        <w:vertAlign w:val="superscrip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3" w15:restartNumberingAfterBreak="0">
    <w:nsid w:val="41F47B81"/>
    <w:multiLevelType w:val="hybridMultilevel"/>
    <w:tmpl w:val="2674A0A6"/>
    <w:lvl w:ilvl="0" w:tplc="41B62E6A">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51A974F2"/>
    <w:multiLevelType w:val="hybridMultilevel"/>
    <w:tmpl w:val="AD202978"/>
    <w:lvl w:ilvl="0" w:tplc="68562BB8">
      <w:start w:val="1"/>
      <w:numFmt w:val="bullet"/>
      <w:pStyle w:val="CRISdotpoin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5B104FCE"/>
    <w:multiLevelType w:val="hybridMultilevel"/>
    <w:tmpl w:val="EE8E5888"/>
    <w:lvl w:ilvl="0" w:tplc="4092ADBC">
      <w:start w:val="1"/>
      <w:numFmt w:val="decimal"/>
      <w:pStyle w:val="MBPoint"/>
      <w:lvlText w:val="%1."/>
      <w:lvlJc w:val="left"/>
      <w:pPr>
        <w:ind w:left="-240" w:hanging="360"/>
      </w:pPr>
      <w:rPr>
        <w:rFonts w:hint="default"/>
      </w:rPr>
    </w:lvl>
    <w:lvl w:ilvl="1" w:tplc="A9883274">
      <w:start w:val="1"/>
      <w:numFmt w:val="lowerLetter"/>
      <w:pStyle w:val="MBPointSub"/>
      <w:lvlText w:val="%2."/>
      <w:lvlJc w:val="left"/>
      <w:pPr>
        <w:ind w:left="480" w:hanging="360"/>
      </w:pPr>
    </w:lvl>
    <w:lvl w:ilvl="2" w:tplc="1BDE8AE0">
      <w:start w:val="1"/>
      <w:numFmt w:val="lowerRoman"/>
      <w:lvlText w:val="%3."/>
      <w:lvlJc w:val="right"/>
      <w:pPr>
        <w:ind w:left="1200" w:hanging="180"/>
      </w:pPr>
    </w:lvl>
    <w:lvl w:ilvl="3" w:tplc="5538DE90" w:tentative="1">
      <w:start w:val="1"/>
      <w:numFmt w:val="decimal"/>
      <w:lvlText w:val="%4."/>
      <w:lvlJc w:val="left"/>
      <w:pPr>
        <w:ind w:left="1920" w:hanging="360"/>
      </w:pPr>
    </w:lvl>
    <w:lvl w:ilvl="4" w:tplc="FB02282A" w:tentative="1">
      <w:start w:val="1"/>
      <w:numFmt w:val="lowerLetter"/>
      <w:lvlText w:val="%5."/>
      <w:lvlJc w:val="left"/>
      <w:pPr>
        <w:ind w:left="2640" w:hanging="360"/>
      </w:pPr>
    </w:lvl>
    <w:lvl w:ilvl="5" w:tplc="16528AF8" w:tentative="1">
      <w:start w:val="1"/>
      <w:numFmt w:val="lowerRoman"/>
      <w:lvlText w:val="%6."/>
      <w:lvlJc w:val="right"/>
      <w:pPr>
        <w:ind w:left="3360" w:hanging="180"/>
      </w:pPr>
    </w:lvl>
    <w:lvl w:ilvl="6" w:tplc="C6A66E68" w:tentative="1">
      <w:start w:val="1"/>
      <w:numFmt w:val="decimal"/>
      <w:lvlText w:val="%7."/>
      <w:lvlJc w:val="left"/>
      <w:pPr>
        <w:ind w:left="4080" w:hanging="360"/>
      </w:pPr>
    </w:lvl>
    <w:lvl w:ilvl="7" w:tplc="FFD067A4" w:tentative="1">
      <w:start w:val="1"/>
      <w:numFmt w:val="lowerLetter"/>
      <w:lvlText w:val="%8."/>
      <w:lvlJc w:val="left"/>
      <w:pPr>
        <w:ind w:left="4800" w:hanging="360"/>
      </w:pPr>
    </w:lvl>
    <w:lvl w:ilvl="8" w:tplc="7B5E22A6" w:tentative="1">
      <w:start w:val="1"/>
      <w:numFmt w:val="lowerRoman"/>
      <w:lvlText w:val="%9."/>
      <w:lvlJc w:val="right"/>
      <w:pPr>
        <w:ind w:left="5520" w:hanging="180"/>
      </w:pPr>
    </w:lvl>
  </w:abstractNum>
  <w:abstractNum w:abstractNumId="16" w15:restartNumberingAfterBreak="0">
    <w:nsid w:val="6B683CFB"/>
    <w:multiLevelType w:val="hybridMultilevel"/>
    <w:tmpl w:val="C19E491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CA648DB"/>
    <w:multiLevelType w:val="multilevel"/>
    <w:tmpl w:val="04090025"/>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num w:numId="1">
    <w:abstractNumId w:val="17"/>
  </w:num>
  <w:num w:numId="2">
    <w:abstractNumId w:val="12"/>
  </w:num>
  <w:num w:numId="3">
    <w:abstractNumId w:val="16"/>
  </w:num>
  <w:num w:numId="4">
    <w:abstractNumId w:val="10"/>
  </w:num>
  <w:num w:numId="5">
    <w:abstractNumId w:val="14"/>
  </w:num>
  <w:num w:numId="6">
    <w:abstractNumId w:val="13"/>
  </w:num>
  <w:num w:numId="7">
    <w:abstractNumId w:val="15"/>
  </w:num>
  <w:num w:numId="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en-AU" w:vendorID="64" w:dllVersion="0" w:nlCheck="1" w:checkStyle="0"/>
  <w:activeWritingStyle w:appName="MSWord" w:lang="en-US" w:vendorID="64" w:dllVersion="0" w:nlCheck="1" w:checkStyle="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79D"/>
    <w:rsid w:val="00001311"/>
    <w:rsid w:val="000013CA"/>
    <w:rsid w:val="0000307A"/>
    <w:rsid w:val="00005CD7"/>
    <w:rsid w:val="000073A1"/>
    <w:rsid w:val="000109E5"/>
    <w:rsid w:val="00011DCE"/>
    <w:rsid w:val="000126B8"/>
    <w:rsid w:val="000141F9"/>
    <w:rsid w:val="000146C4"/>
    <w:rsid w:val="0001475B"/>
    <w:rsid w:val="00016C8E"/>
    <w:rsid w:val="000170BD"/>
    <w:rsid w:val="00020DBF"/>
    <w:rsid w:val="000243D0"/>
    <w:rsid w:val="000262BB"/>
    <w:rsid w:val="00027273"/>
    <w:rsid w:val="00027A7B"/>
    <w:rsid w:val="00030693"/>
    <w:rsid w:val="00032804"/>
    <w:rsid w:val="00033DB6"/>
    <w:rsid w:val="00034510"/>
    <w:rsid w:val="00036BBD"/>
    <w:rsid w:val="000379B4"/>
    <w:rsid w:val="00042B72"/>
    <w:rsid w:val="000436A0"/>
    <w:rsid w:val="000455A4"/>
    <w:rsid w:val="00046C6E"/>
    <w:rsid w:val="00047471"/>
    <w:rsid w:val="00047A6A"/>
    <w:rsid w:val="000503BE"/>
    <w:rsid w:val="000512DE"/>
    <w:rsid w:val="0005223D"/>
    <w:rsid w:val="000525B4"/>
    <w:rsid w:val="00054D22"/>
    <w:rsid w:val="00055F25"/>
    <w:rsid w:val="00056DBF"/>
    <w:rsid w:val="00061D70"/>
    <w:rsid w:val="00062E39"/>
    <w:rsid w:val="00062E45"/>
    <w:rsid w:val="00076936"/>
    <w:rsid w:val="000772BB"/>
    <w:rsid w:val="00077DF8"/>
    <w:rsid w:val="00082B3C"/>
    <w:rsid w:val="00082C48"/>
    <w:rsid w:val="000830F2"/>
    <w:rsid w:val="0008582C"/>
    <w:rsid w:val="00086783"/>
    <w:rsid w:val="00086E16"/>
    <w:rsid w:val="00087268"/>
    <w:rsid w:val="000916C5"/>
    <w:rsid w:val="000921CE"/>
    <w:rsid w:val="00092453"/>
    <w:rsid w:val="00092C4F"/>
    <w:rsid w:val="00093663"/>
    <w:rsid w:val="000972D1"/>
    <w:rsid w:val="000A0AE0"/>
    <w:rsid w:val="000A1C52"/>
    <w:rsid w:val="000A20CD"/>
    <w:rsid w:val="000A2E2B"/>
    <w:rsid w:val="000A5856"/>
    <w:rsid w:val="000A7E28"/>
    <w:rsid w:val="000B00F4"/>
    <w:rsid w:val="000B163D"/>
    <w:rsid w:val="000B2229"/>
    <w:rsid w:val="000B26F8"/>
    <w:rsid w:val="000B3105"/>
    <w:rsid w:val="000B3FE4"/>
    <w:rsid w:val="000B4500"/>
    <w:rsid w:val="000B4CC9"/>
    <w:rsid w:val="000B5649"/>
    <w:rsid w:val="000B5945"/>
    <w:rsid w:val="000B5BD1"/>
    <w:rsid w:val="000C0EE6"/>
    <w:rsid w:val="000C0F4D"/>
    <w:rsid w:val="000C125A"/>
    <w:rsid w:val="000C12BB"/>
    <w:rsid w:val="000C18C6"/>
    <w:rsid w:val="000C3C7F"/>
    <w:rsid w:val="000C5F36"/>
    <w:rsid w:val="000D1D17"/>
    <w:rsid w:val="000D53F8"/>
    <w:rsid w:val="000D5D70"/>
    <w:rsid w:val="000D65A5"/>
    <w:rsid w:val="000D722F"/>
    <w:rsid w:val="000D7ECC"/>
    <w:rsid w:val="000E032B"/>
    <w:rsid w:val="000E138B"/>
    <w:rsid w:val="000E1E4B"/>
    <w:rsid w:val="000E2CBF"/>
    <w:rsid w:val="000E43B9"/>
    <w:rsid w:val="000E4AB0"/>
    <w:rsid w:val="000E5A84"/>
    <w:rsid w:val="000E63F9"/>
    <w:rsid w:val="000E64BA"/>
    <w:rsid w:val="000E6886"/>
    <w:rsid w:val="000E73E3"/>
    <w:rsid w:val="000F0C4D"/>
    <w:rsid w:val="000F2733"/>
    <w:rsid w:val="000F5F45"/>
    <w:rsid w:val="000F6891"/>
    <w:rsid w:val="000F7683"/>
    <w:rsid w:val="001009E6"/>
    <w:rsid w:val="00101163"/>
    <w:rsid w:val="0010181F"/>
    <w:rsid w:val="001022F4"/>
    <w:rsid w:val="00103720"/>
    <w:rsid w:val="00103D65"/>
    <w:rsid w:val="001045B4"/>
    <w:rsid w:val="00105B22"/>
    <w:rsid w:val="00106B75"/>
    <w:rsid w:val="00110547"/>
    <w:rsid w:val="00111001"/>
    <w:rsid w:val="00111AFF"/>
    <w:rsid w:val="00112C44"/>
    <w:rsid w:val="00113386"/>
    <w:rsid w:val="0012052D"/>
    <w:rsid w:val="001208F9"/>
    <w:rsid w:val="0012309F"/>
    <w:rsid w:val="0012671A"/>
    <w:rsid w:val="00127E70"/>
    <w:rsid w:val="00133CB0"/>
    <w:rsid w:val="00133F79"/>
    <w:rsid w:val="001341EC"/>
    <w:rsid w:val="001343D8"/>
    <w:rsid w:val="00134643"/>
    <w:rsid w:val="001349A5"/>
    <w:rsid w:val="0013664E"/>
    <w:rsid w:val="001368E5"/>
    <w:rsid w:val="00136D26"/>
    <w:rsid w:val="00137622"/>
    <w:rsid w:val="00137E08"/>
    <w:rsid w:val="00141AC4"/>
    <w:rsid w:val="00142080"/>
    <w:rsid w:val="001438DC"/>
    <w:rsid w:val="00143AA2"/>
    <w:rsid w:val="00144ADE"/>
    <w:rsid w:val="00150EE7"/>
    <w:rsid w:val="00153F76"/>
    <w:rsid w:val="00153F7F"/>
    <w:rsid w:val="00154972"/>
    <w:rsid w:val="0015654C"/>
    <w:rsid w:val="00157E76"/>
    <w:rsid w:val="00157FB8"/>
    <w:rsid w:val="00160289"/>
    <w:rsid w:val="0016065C"/>
    <w:rsid w:val="00160D84"/>
    <w:rsid w:val="0016712E"/>
    <w:rsid w:val="001716A5"/>
    <w:rsid w:val="00175721"/>
    <w:rsid w:val="00175F1D"/>
    <w:rsid w:val="00175FAA"/>
    <w:rsid w:val="00180914"/>
    <w:rsid w:val="00182596"/>
    <w:rsid w:val="00183D20"/>
    <w:rsid w:val="001842D0"/>
    <w:rsid w:val="001846AC"/>
    <w:rsid w:val="00184A85"/>
    <w:rsid w:val="001904F4"/>
    <w:rsid w:val="00195024"/>
    <w:rsid w:val="001955E2"/>
    <w:rsid w:val="00197648"/>
    <w:rsid w:val="00197C13"/>
    <w:rsid w:val="001A1A0C"/>
    <w:rsid w:val="001A3E2B"/>
    <w:rsid w:val="001A47F1"/>
    <w:rsid w:val="001A566A"/>
    <w:rsid w:val="001A5972"/>
    <w:rsid w:val="001A75BF"/>
    <w:rsid w:val="001A7BF3"/>
    <w:rsid w:val="001A7C46"/>
    <w:rsid w:val="001B0211"/>
    <w:rsid w:val="001B26AE"/>
    <w:rsid w:val="001C126B"/>
    <w:rsid w:val="001C1AB9"/>
    <w:rsid w:val="001C1CCB"/>
    <w:rsid w:val="001C40D2"/>
    <w:rsid w:val="001C4B57"/>
    <w:rsid w:val="001C5105"/>
    <w:rsid w:val="001C518D"/>
    <w:rsid w:val="001D0D7D"/>
    <w:rsid w:val="001D202E"/>
    <w:rsid w:val="001D3E33"/>
    <w:rsid w:val="001D55C1"/>
    <w:rsid w:val="001D5BFA"/>
    <w:rsid w:val="001D6FE5"/>
    <w:rsid w:val="001E0398"/>
    <w:rsid w:val="001E23A2"/>
    <w:rsid w:val="001E2FCA"/>
    <w:rsid w:val="001E33AE"/>
    <w:rsid w:val="001E3B75"/>
    <w:rsid w:val="001E456B"/>
    <w:rsid w:val="001E4DE2"/>
    <w:rsid w:val="001E75FE"/>
    <w:rsid w:val="001E78EE"/>
    <w:rsid w:val="001E7CC7"/>
    <w:rsid w:val="001F00D0"/>
    <w:rsid w:val="001F1736"/>
    <w:rsid w:val="001F2741"/>
    <w:rsid w:val="001F304C"/>
    <w:rsid w:val="001F4A6F"/>
    <w:rsid w:val="00200A33"/>
    <w:rsid w:val="00203D5B"/>
    <w:rsid w:val="00204802"/>
    <w:rsid w:val="002101E8"/>
    <w:rsid w:val="00214590"/>
    <w:rsid w:val="00216304"/>
    <w:rsid w:val="002212A3"/>
    <w:rsid w:val="00223FAD"/>
    <w:rsid w:val="00227D8D"/>
    <w:rsid w:val="002315BE"/>
    <w:rsid w:val="0023469F"/>
    <w:rsid w:val="00236122"/>
    <w:rsid w:val="002366A3"/>
    <w:rsid w:val="00240F73"/>
    <w:rsid w:val="00241498"/>
    <w:rsid w:val="002421A5"/>
    <w:rsid w:val="00242E29"/>
    <w:rsid w:val="00243DD4"/>
    <w:rsid w:val="00245DA7"/>
    <w:rsid w:val="00245F25"/>
    <w:rsid w:val="00246C46"/>
    <w:rsid w:val="00246C49"/>
    <w:rsid w:val="00247FF2"/>
    <w:rsid w:val="00252601"/>
    <w:rsid w:val="002607C3"/>
    <w:rsid w:val="00266A5A"/>
    <w:rsid w:val="002707E8"/>
    <w:rsid w:val="00271598"/>
    <w:rsid w:val="002826CD"/>
    <w:rsid w:val="00282862"/>
    <w:rsid w:val="00283C39"/>
    <w:rsid w:val="00284234"/>
    <w:rsid w:val="00285106"/>
    <w:rsid w:val="00285F10"/>
    <w:rsid w:val="0028616E"/>
    <w:rsid w:val="00287FD6"/>
    <w:rsid w:val="0029322E"/>
    <w:rsid w:val="0029390B"/>
    <w:rsid w:val="00295402"/>
    <w:rsid w:val="00295C29"/>
    <w:rsid w:val="00296B7B"/>
    <w:rsid w:val="002A00D6"/>
    <w:rsid w:val="002A05E4"/>
    <w:rsid w:val="002A1739"/>
    <w:rsid w:val="002A55EA"/>
    <w:rsid w:val="002A6B7A"/>
    <w:rsid w:val="002A7520"/>
    <w:rsid w:val="002A7EF6"/>
    <w:rsid w:val="002B3BFA"/>
    <w:rsid w:val="002B54F3"/>
    <w:rsid w:val="002B5563"/>
    <w:rsid w:val="002B574A"/>
    <w:rsid w:val="002B597D"/>
    <w:rsid w:val="002C0F21"/>
    <w:rsid w:val="002C3731"/>
    <w:rsid w:val="002C4519"/>
    <w:rsid w:val="002C5C00"/>
    <w:rsid w:val="002C5D92"/>
    <w:rsid w:val="002C72C7"/>
    <w:rsid w:val="002C7680"/>
    <w:rsid w:val="002C7BD8"/>
    <w:rsid w:val="002D0A71"/>
    <w:rsid w:val="002D67D1"/>
    <w:rsid w:val="002D70CC"/>
    <w:rsid w:val="002D7A9D"/>
    <w:rsid w:val="002E2D83"/>
    <w:rsid w:val="002E30BE"/>
    <w:rsid w:val="002E4C0A"/>
    <w:rsid w:val="002E4E36"/>
    <w:rsid w:val="002E59A9"/>
    <w:rsid w:val="002F03EA"/>
    <w:rsid w:val="002F0754"/>
    <w:rsid w:val="002F11A4"/>
    <w:rsid w:val="002F282C"/>
    <w:rsid w:val="002F3498"/>
    <w:rsid w:val="002F3D69"/>
    <w:rsid w:val="002F4B91"/>
    <w:rsid w:val="002F55D6"/>
    <w:rsid w:val="003059D3"/>
    <w:rsid w:val="003110C7"/>
    <w:rsid w:val="003115A0"/>
    <w:rsid w:val="003130A3"/>
    <w:rsid w:val="00314066"/>
    <w:rsid w:val="00314985"/>
    <w:rsid w:val="003152A6"/>
    <w:rsid w:val="00315AC4"/>
    <w:rsid w:val="00316A15"/>
    <w:rsid w:val="00316DCE"/>
    <w:rsid w:val="00320205"/>
    <w:rsid w:val="003239CC"/>
    <w:rsid w:val="003249BA"/>
    <w:rsid w:val="00324B8D"/>
    <w:rsid w:val="00326D28"/>
    <w:rsid w:val="00327D99"/>
    <w:rsid w:val="00334322"/>
    <w:rsid w:val="003350E3"/>
    <w:rsid w:val="0033561D"/>
    <w:rsid w:val="00335964"/>
    <w:rsid w:val="00335BE7"/>
    <w:rsid w:val="003376AD"/>
    <w:rsid w:val="00337CF8"/>
    <w:rsid w:val="003416C7"/>
    <w:rsid w:val="00341BED"/>
    <w:rsid w:val="00342450"/>
    <w:rsid w:val="00343B40"/>
    <w:rsid w:val="00344E86"/>
    <w:rsid w:val="003452A3"/>
    <w:rsid w:val="0034608D"/>
    <w:rsid w:val="00346CC9"/>
    <w:rsid w:val="00347632"/>
    <w:rsid w:val="00351000"/>
    <w:rsid w:val="00351204"/>
    <w:rsid w:val="00352391"/>
    <w:rsid w:val="00355C27"/>
    <w:rsid w:val="00356D85"/>
    <w:rsid w:val="00356E90"/>
    <w:rsid w:val="00357925"/>
    <w:rsid w:val="003613B5"/>
    <w:rsid w:val="00362C14"/>
    <w:rsid w:val="00363014"/>
    <w:rsid w:val="00363D74"/>
    <w:rsid w:val="00364D2F"/>
    <w:rsid w:val="00364EE7"/>
    <w:rsid w:val="00364FA3"/>
    <w:rsid w:val="00365B54"/>
    <w:rsid w:val="003662AC"/>
    <w:rsid w:val="00366F16"/>
    <w:rsid w:val="003676C7"/>
    <w:rsid w:val="003703F0"/>
    <w:rsid w:val="003704BE"/>
    <w:rsid w:val="0037064A"/>
    <w:rsid w:val="00370B16"/>
    <w:rsid w:val="00371B8D"/>
    <w:rsid w:val="003737CA"/>
    <w:rsid w:val="00376F78"/>
    <w:rsid w:val="003804EA"/>
    <w:rsid w:val="003808C1"/>
    <w:rsid w:val="00381490"/>
    <w:rsid w:val="00381684"/>
    <w:rsid w:val="00382126"/>
    <w:rsid w:val="00382EE7"/>
    <w:rsid w:val="003849B0"/>
    <w:rsid w:val="003853AF"/>
    <w:rsid w:val="00386D15"/>
    <w:rsid w:val="003915D0"/>
    <w:rsid w:val="0039163B"/>
    <w:rsid w:val="003919AC"/>
    <w:rsid w:val="0039329E"/>
    <w:rsid w:val="003937C7"/>
    <w:rsid w:val="003938C0"/>
    <w:rsid w:val="00394E3F"/>
    <w:rsid w:val="003A06E8"/>
    <w:rsid w:val="003A36C6"/>
    <w:rsid w:val="003A4550"/>
    <w:rsid w:val="003A4FB0"/>
    <w:rsid w:val="003A676C"/>
    <w:rsid w:val="003A71BB"/>
    <w:rsid w:val="003B0246"/>
    <w:rsid w:val="003B1A3D"/>
    <w:rsid w:val="003B2141"/>
    <w:rsid w:val="003B2626"/>
    <w:rsid w:val="003B4085"/>
    <w:rsid w:val="003B6BA6"/>
    <w:rsid w:val="003C1FDE"/>
    <w:rsid w:val="003C246E"/>
    <w:rsid w:val="003C3425"/>
    <w:rsid w:val="003C4D72"/>
    <w:rsid w:val="003C58D3"/>
    <w:rsid w:val="003C5FD9"/>
    <w:rsid w:val="003C60CC"/>
    <w:rsid w:val="003C7D3C"/>
    <w:rsid w:val="003D06CA"/>
    <w:rsid w:val="003D0F2A"/>
    <w:rsid w:val="003D15CA"/>
    <w:rsid w:val="003D3C84"/>
    <w:rsid w:val="003D430A"/>
    <w:rsid w:val="003D4532"/>
    <w:rsid w:val="003D520D"/>
    <w:rsid w:val="003D5501"/>
    <w:rsid w:val="003D63F7"/>
    <w:rsid w:val="003D7D40"/>
    <w:rsid w:val="003E2726"/>
    <w:rsid w:val="003E2D03"/>
    <w:rsid w:val="003E55EB"/>
    <w:rsid w:val="003E7454"/>
    <w:rsid w:val="003F0A99"/>
    <w:rsid w:val="003F12AF"/>
    <w:rsid w:val="003F2521"/>
    <w:rsid w:val="003F3653"/>
    <w:rsid w:val="003F3B26"/>
    <w:rsid w:val="003F6FF1"/>
    <w:rsid w:val="004022AF"/>
    <w:rsid w:val="0040336E"/>
    <w:rsid w:val="00403A99"/>
    <w:rsid w:val="00404067"/>
    <w:rsid w:val="00410CAF"/>
    <w:rsid w:val="004116A4"/>
    <w:rsid w:val="00412A19"/>
    <w:rsid w:val="00413EEF"/>
    <w:rsid w:val="00414349"/>
    <w:rsid w:val="00422A61"/>
    <w:rsid w:val="00425906"/>
    <w:rsid w:val="004262D8"/>
    <w:rsid w:val="00426EB8"/>
    <w:rsid w:val="00427173"/>
    <w:rsid w:val="00427A84"/>
    <w:rsid w:val="00427B93"/>
    <w:rsid w:val="00431A2A"/>
    <w:rsid w:val="004320BA"/>
    <w:rsid w:val="004325F4"/>
    <w:rsid w:val="00432637"/>
    <w:rsid w:val="004350A7"/>
    <w:rsid w:val="0043544A"/>
    <w:rsid w:val="00437A77"/>
    <w:rsid w:val="00440E67"/>
    <w:rsid w:val="004423C5"/>
    <w:rsid w:val="00444639"/>
    <w:rsid w:val="00445C63"/>
    <w:rsid w:val="004473E5"/>
    <w:rsid w:val="0044782B"/>
    <w:rsid w:val="00452E92"/>
    <w:rsid w:val="004542E4"/>
    <w:rsid w:val="00454456"/>
    <w:rsid w:val="0045483C"/>
    <w:rsid w:val="00454D59"/>
    <w:rsid w:val="00454F9C"/>
    <w:rsid w:val="00455E41"/>
    <w:rsid w:val="00457713"/>
    <w:rsid w:val="0045775F"/>
    <w:rsid w:val="0046083B"/>
    <w:rsid w:val="00461957"/>
    <w:rsid w:val="00463095"/>
    <w:rsid w:val="0046381B"/>
    <w:rsid w:val="00466478"/>
    <w:rsid w:val="00470B88"/>
    <w:rsid w:val="00471F7B"/>
    <w:rsid w:val="0047204C"/>
    <w:rsid w:val="00472596"/>
    <w:rsid w:val="00472C3D"/>
    <w:rsid w:val="00477B63"/>
    <w:rsid w:val="0048079B"/>
    <w:rsid w:val="00481EA5"/>
    <w:rsid w:val="00483D5F"/>
    <w:rsid w:val="00484113"/>
    <w:rsid w:val="0048604F"/>
    <w:rsid w:val="0048701A"/>
    <w:rsid w:val="004876E6"/>
    <w:rsid w:val="00490157"/>
    <w:rsid w:val="004902B1"/>
    <w:rsid w:val="00490906"/>
    <w:rsid w:val="0049314F"/>
    <w:rsid w:val="00493C40"/>
    <w:rsid w:val="00494B36"/>
    <w:rsid w:val="004A543D"/>
    <w:rsid w:val="004A7F8B"/>
    <w:rsid w:val="004B00B7"/>
    <w:rsid w:val="004B07AC"/>
    <w:rsid w:val="004B4210"/>
    <w:rsid w:val="004B4970"/>
    <w:rsid w:val="004B5285"/>
    <w:rsid w:val="004B6964"/>
    <w:rsid w:val="004B708C"/>
    <w:rsid w:val="004B7DAD"/>
    <w:rsid w:val="004C1C6F"/>
    <w:rsid w:val="004C28A9"/>
    <w:rsid w:val="004C5467"/>
    <w:rsid w:val="004C5CA4"/>
    <w:rsid w:val="004D1281"/>
    <w:rsid w:val="004D2BB0"/>
    <w:rsid w:val="004D45A1"/>
    <w:rsid w:val="004D4DA6"/>
    <w:rsid w:val="004D704B"/>
    <w:rsid w:val="004D7E7A"/>
    <w:rsid w:val="004E01DC"/>
    <w:rsid w:val="004E1B13"/>
    <w:rsid w:val="004E478B"/>
    <w:rsid w:val="004E506C"/>
    <w:rsid w:val="004E6F8E"/>
    <w:rsid w:val="004E7595"/>
    <w:rsid w:val="004F2067"/>
    <w:rsid w:val="004F2EE8"/>
    <w:rsid w:val="004F35F3"/>
    <w:rsid w:val="004F3D25"/>
    <w:rsid w:val="004F5E86"/>
    <w:rsid w:val="004F7D42"/>
    <w:rsid w:val="00501C10"/>
    <w:rsid w:val="0050347D"/>
    <w:rsid w:val="00503787"/>
    <w:rsid w:val="00503A2F"/>
    <w:rsid w:val="00503B56"/>
    <w:rsid w:val="00504E70"/>
    <w:rsid w:val="00505608"/>
    <w:rsid w:val="0050570D"/>
    <w:rsid w:val="005154B8"/>
    <w:rsid w:val="00520C6E"/>
    <w:rsid w:val="0052263D"/>
    <w:rsid w:val="00523044"/>
    <w:rsid w:val="00524A98"/>
    <w:rsid w:val="005253CB"/>
    <w:rsid w:val="005317B5"/>
    <w:rsid w:val="00532193"/>
    <w:rsid w:val="0053264D"/>
    <w:rsid w:val="00532CC1"/>
    <w:rsid w:val="0053335C"/>
    <w:rsid w:val="005376F2"/>
    <w:rsid w:val="005379B4"/>
    <w:rsid w:val="00543333"/>
    <w:rsid w:val="005437D6"/>
    <w:rsid w:val="005442B7"/>
    <w:rsid w:val="00547189"/>
    <w:rsid w:val="005504E8"/>
    <w:rsid w:val="00552C64"/>
    <w:rsid w:val="005544F8"/>
    <w:rsid w:val="00555309"/>
    <w:rsid w:val="0055651C"/>
    <w:rsid w:val="00557A28"/>
    <w:rsid w:val="00557D2A"/>
    <w:rsid w:val="005615D6"/>
    <w:rsid w:val="005616BA"/>
    <w:rsid w:val="00561767"/>
    <w:rsid w:val="005624E1"/>
    <w:rsid w:val="0056256F"/>
    <w:rsid w:val="00562D87"/>
    <w:rsid w:val="005654D7"/>
    <w:rsid w:val="00565E09"/>
    <w:rsid w:val="005661E7"/>
    <w:rsid w:val="00567DF3"/>
    <w:rsid w:val="005704FF"/>
    <w:rsid w:val="0057094D"/>
    <w:rsid w:val="00571EF5"/>
    <w:rsid w:val="00572A05"/>
    <w:rsid w:val="00573115"/>
    <w:rsid w:val="0057474D"/>
    <w:rsid w:val="00575120"/>
    <w:rsid w:val="005767EB"/>
    <w:rsid w:val="00576A55"/>
    <w:rsid w:val="00576E63"/>
    <w:rsid w:val="00580788"/>
    <w:rsid w:val="00581A50"/>
    <w:rsid w:val="005856E2"/>
    <w:rsid w:val="005874DD"/>
    <w:rsid w:val="00590317"/>
    <w:rsid w:val="00590EC9"/>
    <w:rsid w:val="00591C10"/>
    <w:rsid w:val="0059392C"/>
    <w:rsid w:val="00594C64"/>
    <w:rsid w:val="005953FB"/>
    <w:rsid w:val="00595443"/>
    <w:rsid w:val="00595FD7"/>
    <w:rsid w:val="00596539"/>
    <w:rsid w:val="005965CA"/>
    <w:rsid w:val="00596888"/>
    <w:rsid w:val="005A00C0"/>
    <w:rsid w:val="005A29BE"/>
    <w:rsid w:val="005A6A7D"/>
    <w:rsid w:val="005A6F51"/>
    <w:rsid w:val="005A71CF"/>
    <w:rsid w:val="005B0022"/>
    <w:rsid w:val="005B2164"/>
    <w:rsid w:val="005B31CC"/>
    <w:rsid w:val="005B493E"/>
    <w:rsid w:val="005B4FEE"/>
    <w:rsid w:val="005B50B6"/>
    <w:rsid w:val="005B5CE6"/>
    <w:rsid w:val="005B651B"/>
    <w:rsid w:val="005C008E"/>
    <w:rsid w:val="005C0B93"/>
    <w:rsid w:val="005C27F8"/>
    <w:rsid w:val="005C3DE3"/>
    <w:rsid w:val="005C5224"/>
    <w:rsid w:val="005C70F3"/>
    <w:rsid w:val="005C7164"/>
    <w:rsid w:val="005C735C"/>
    <w:rsid w:val="005D0B21"/>
    <w:rsid w:val="005D123D"/>
    <w:rsid w:val="005D13C1"/>
    <w:rsid w:val="005D2043"/>
    <w:rsid w:val="005D285C"/>
    <w:rsid w:val="005D5214"/>
    <w:rsid w:val="005D71C7"/>
    <w:rsid w:val="005D7300"/>
    <w:rsid w:val="005D77F4"/>
    <w:rsid w:val="005D7C52"/>
    <w:rsid w:val="005E000E"/>
    <w:rsid w:val="005E40A0"/>
    <w:rsid w:val="005E667A"/>
    <w:rsid w:val="005F0A74"/>
    <w:rsid w:val="005F1ABF"/>
    <w:rsid w:val="005F3F4C"/>
    <w:rsid w:val="005F54E3"/>
    <w:rsid w:val="005F69E0"/>
    <w:rsid w:val="005F7057"/>
    <w:rsid w:val="006007FB"/>
    <w:rsid w:val="00601D9F"/>
    <w:rsid w:val="0060369C"/>
    <w:rsid w:val="00603E70"/>
    <w:rsid w:val="00604965"/>
    <w:rsid w:val="00604A3C"/>
    <w:rsid w:val="00605BB6"/>
    <w:rsid w:val="006064E6"/>
    <w:rsid w:val="006067DF"/>
    <w:rsid w:val="0061068D"/>
    <w:rsid w:val="006123A7"/>
    <w:rsid w:val="00616AF2"/>
    <w:rsid w:val="00616FE3"/>
    <w:rsid w:val="006207CB"/>
    <w:rsid w:val="006212B4"/>
    <w:rsid w:val="006215C9"/>
    <w:rsid w:val="00623186"/>
    <w:rsid w:val="00623C0C"/>
    <w:rsid w:val="006260C4"/>
    <w:rsid w:val="006266C9"/>
    <w:rsid w:val="00626AA3"/>
    <w:rsid w:val="00632871"/>
    <w:rsid w:val="0063302F"/>
    <w:rsid w:val="00633618"/>
    <w:rsid w:val="00633D14"/>
    <w:rsid w:val="00633FF0"/>
    <w:rsid w:val="00635718"/>
    <w:rsid w:val="006363A9"/>
    <w:rsid w:val="00636CDF"/>
    <w:rsid w:val="00641A88"/>
    <w:rsid w:val="00642936"/>
    <w:rsid w:val="00643C16"/>
    <w:rsid w:val="006466C2"/>
    <w:rsid w:val="00646E83"/>
    <w:rsid w:val="00647DC3"/>
    <w:rsid w:val="00656971"/>
    <w:rsid w:val="00660540"/>
    <w:rsid w:val="00660993"/>
    <w:rsid w:val="00662613"/>
    <w:rsid w:val="0066529E"/>
    <w:rsid w:val="00666108"/>
    <w:rsid w:val="00666C6B"/>
    <w:rsid w:val="006700E2"/>
    <w:rsid w:val="00672AAA"/>
    <w:rsid w:val="00673153"/>
    <w:rsid w:val="00675F3D"/>
    <w:rsid w:val="006807E6"/>
    <w:rsid w:val="006809ED"/>
    <w:rsid w:val="00680A56"/>
    <w:rsid w:val="0068234A"/>
    <w:rsid w:val="00683869"/>
    <w:rsid w:val="00683A20"/>
    <w:rsid w:val="00684205"/>
    <w:rsid w:val="0068447C"/>
    <w:rsid w:val="00686F59"/>
    <w:rsid w:val="0068748B"/>
    <w:rsid w:val="0069120B"/>
    <w:rsid w:val="00691605"/>
    <w:rsid w:val="0069350C"/>
    <w:rsid w:val="0069469C"/>
    <w:rsid w:val="00696D25"/>
    <w:rsid w:val="00696D57"/>
    <w:rsid w:val="00697BB3"/>
    <w:rsid w:val="006A0290"/>
    <w:rsid w:val="006A0CB0"/>
    <w:rsid w:val="006A2116"/>
    <w:rsid w:val="006A28CB"/>
    <w:rsid w:val="006A6311"/>
    <w:rsid w:val="006B0879"/>
    <w:rsid w:val="006B15E8"/>
    <w:rsid w:val="006B163E"/>
    <w:rsid w:val="006B1651"/>
    <w:rsid w:val="006B5230"/>
    <w:rsid w:val="006B7157"/>
    <w:rsid w:val="006B7AEE"/>
    <w:rsid w:val="006C024B"/>
    <w:rsid w:val="006C149B"/>
    <w:rsid w:val="006C2879"/>
    <w:rsid w:val="006C2B4D"/>
    <w:rsid w:val="006C2B7C"/>
    <w:rsid w:val="006C2CB0"/>
    <w:rsid w:val="006C3414"/>
    <w:rsid w:val="006C479A"/>
    <w:rsid w:val="006C6003"/>
    <w:rsid w:val="006D180D"/>
    <w:rsid w:val="006D18CA"/>
    <w:rsid w:val="006D21FB"/>
    <w:rsid w:val="006D2553"/>
    <w:rsid w:val="006D3265"/>
    <w:rsid w:val="006D354E"/>
    <w:rsid w:val="006D3E27"/>
    <w:rsid w:val="006D4412"/>
    <w:rsid w:val="006D52FB"/>
    <w:rsid w:val="006D5B92"/>
    <w:rsid w:val="006D6361"/>
    <w:rsid w:val="006D7C3A"/>
    <w:rsid w:val="006E00C9"/>
    <w:rsid w:val="006E0A3C"/>
    <w:rsid w:val="006E1753"/>
    <w:rsid w:val="006E28A9"/>
    <w:rsid w:val="006E2EBB"/>
    <w:rsid w:val="006E5EF0"/>
    <w:rsid w:val="006E6F12"/>
    <w:rsid w:val="006E70FB"/>
    <w:rsid w:val="006F02CC"/>
    <w:rsid w:val="006F1028"/>
    <w:rsid w:val="006F2A56"/>
    <w:rsid w:val="006F31A2"/>
    <w:rsid w:val="006F4F2A"/>
    <w:rsid w:val="006F5745"/>
    <w:rsid w:val="006F5A13"/>
    <w:rsid w:val="006F7128"/>
    <w:rsid w:val="007011E3"/>
    <w:rsid w:val="00702808"/>
    <w:rsid w:val="00702883"/>
    <w:rsid w:val="00702C68"/>
    <w:rsid w:val="007033FE"/>
    <w:rsid w:val="00703546"/>
    <w:rsid w:val="00703AC0"/>
    <w:rsid w:val="0070745E"/>
    <w:rsid w:val="007121FE"/>
    <w:rsid w:val="00713CC2"/>
    <w:rsid w:val="00716534"/>
    <w:rsid w:val="00716CA3"/>
    <w:rsid w:val="007177FD"/>
    <w:rsid w:val="007233A4"/>
    <w:rsid w:val="00724257"/>
    <w:rsid w:val="007261C1"/>
    <w:rsid w:val="00726A38"/>
    <w:rsid w:val="00730282"/>
    <w:rsid w:val="00730653"/>
    <w:rsid w:val="00733402"/>
    <w:rsid w:val="00733B29"/>
    <w:rsid w:val="00735DEA"/>
    <w:rsid w:val="00736420"/>
    <w:rsid w:val="0073775E"/>
    <w:rsid w:val="007409DC"/>
    <w:rsid w:val="0074127D"/>
    <w:rsid w:val="00742D11"/>
    <w:rsid w:val="00743C57"/>
    <w:rsid w:val="0074410B"/>
    <w:rsid w:val="00744DAE"/>
    <w:rsid w:val="00746D8B"/>
    <w:rsid w:val="00753694"/>
    <w:rsid w:val="007551F7"/>
    <w:rsid w:val="00760FFC"/>
    <w:rsid w:val="00762A3F"/>
    <w:rsid w:val="00763240"/>
    <w:rsid w:val="00764024"/>
    <w:rsid w:val="00765C8F"/>
    <w:rsid w:val="0076612A"/>
    <w:rsid w:val="00772B0C"/>
    <w:rsid w:val="00773EA9"/>
    <w:rsid w:val="0077514E"/>
    <w:rsid w:val="00782C3A"/>
    <w:rsid w:val="00784EF0"/>
    <w:rsid w:val="00785E7B"/>
    <w:rsid w:val="00786167"/>
    <w:rsid w:val="00790540"/>
    <w:rsid w:val="00790973"/>
    <w:rsid w:val="007917D7"/>
    <w:rsid w:val="00796105"/>
    <w:rsid w:val="007962C8"/>
    <w:rsid w:val="00797626"/>
    <w:rsid w:val="00797DF3"/>
    <w:rsid w:val="007A0E08"/>
    <w:rsid w:val="007A4138"/>
    <w:rsid w:val="007A4E4D"/>
    <w:rsid w:val="007A7153"/>
    <w:rsid w:val="007A7E75"/>
    <w:rsid w:val="007B015B"/>
    <w:rsid w:val="007B23FE"/>
    <w:rsid w:val="007B2858"/>
    <w:rsid w:val="007B624F"/>
    <w:rsid w:val="007B72F5"/>
    <w:rsid w:val="007B7C32"/>
    <w:rsid w:val="007C096D"/>
    <w:rsid w:val="007C2161"/>
    <w:rsid w:val="007C22DA"/>
    <w:rsid w:val="007C28FE"/>
    <w:rsid w:val="007C42E7"/>
    <w:rsid w:val="007C46F3"/>
    <w:rsid w:val="007C5A96"/>
    <w:rsid w:val="007C6808"/>
    <w:rsid w:val="007D13E9"/>
    <w:rsid w:val="007D42B0"/>
    <w:rsid w:val="007D50C9"/>
    <w:rsid w:val="007D7E4A"/>
    <w:rsid w:val="007E061C"/>
    <w:rsid w:val="007E409F"/>
    <w:rsid w:val="007E4B9B"/>
    <w:rsid w:val="007F1B85"/>
    <w:rsid w:val="007F71E0"/>
    <w:rsid w:val="00802167"/>
    <w:rsid w:val="00803D1B"/>
    <w:rsid w:val="0080419B"/>
    <w:rsid w:val="008047E6"/>
    <w:rsid w:val="008048E7"/>
    <w:rsid w:val="00804E0B"/>
    <w:rsid w:val="00807778"/>
    <w:rsid w:val="00810F6F"/>
    <w:rsid w:val="00811B0F"/>
    <w:rsid w:val="00812743"/>
    <w:rsid w:val="00813ECD"/>
    <w:rsid w:val="00814CEF"/>
    <w:rsid w:val="008158BB"/>
    <w:rsid w:val="00815E3C"/>
    <w:rsid w:val="0082240F"/>
    <w:rsid w:val="00824581"/>
    <w:rsid w:val="008307C0"/>
    <w:rsid w:val="00832ABF"/>
    <w:rsid w:val="00833DDF"/>
    <w:rsid w:val="00836171"/>
    <w:rsid w:val="008374AE"/>
    <w:rsid w:val="0084049B"/>
    <w:rsid w:val="00841465"/>
    <w:rsid w:val="00842647"/>
    <w:rsid w:val="0084378A"/>
    <w:rsid w:val="00845322"/>
    <w:rsid w:val="00851BEE"/>
    <w:rsid w:val="00852C32"/>
    <w:rsid w:val="008541FE"/>
    <w:rsid w:val="00855F78"/>
    <w:rsid w:val="00862923"/>
    <w:rsid w:val="00862B0B"/>
    <w:rsid w:val="00862BAF"/>
    <w:rsid w:val="00863198"/>
    <w:rsid w:val="00864567"/>
    <w:rsid w:val="0086456D"/>
    <w:rsid w:val="008658BC"/>
    <w:rsid w:val="0086625E"/>
    <w:rsid w:val="0086710A"/>
    <w:rsid w:val="00867F7A"/>
    <w:rsid w:val="008711B2"/>
    <w:rsid w:val="00871BF4"/>
    <w:rsid w:val="00875777"/>
    <w:rsid w:val="00880B0A"/>
    <w:rsid w:val="00882BD6"/>
    <w:rsid w:val="00884384"/>
    <w:rsid w:val="00886309"/>
    <w:rsid w:val="00886D1A"/>
    <w:rsid w:val="008905EE"/>
    <w:rsid w:val="00892600"/>
    <w:rsid w:val="0089326B"/>
    <w:rsid w:val="00893F3F"/>
    <w:rsid w:val="00896034"/>
    <w:rsid w:val="00896BCC"/>
    <w:rsid w:val="00896D48"/>
    <w:rsid w:val="008A01F9"/>
    <w:rsid w:val="008A09AA"/>
    <w:rsid w:val="008A2D1A"/>
    <w:rsid w:val="008A379A"/>
    <w:rsid w:val="008A3F1F"/>
    <w:rsid w:val="008A59C8"/>
    <w:rsid w:val="008A5EBD"/>
    <w:rsid w:val="008A6638"/>
    <w:rsid w:val="008A67BA"/>
    <w:rsid w:val="008A7D84"/>
    <w:rsid w:val="008B2BF4"/>
    <w:rsid w:val="008B312A"/>
    <w:rsid w:val="008B5A15"/>
    <w:rsid w:val="008B6291"/>
    <w:rsid w:val="008B679D"/>
    <w:rsid w:val="008B752C"/>
    <w:rsid w:val="008B7D94"/>
    <w:rsid w:val="008B7F94"/>
    <w:rsid w:val="008C1B73"/>
    <w:rsid w:val="008C2012"/>
    <w:rsid w:val="008C206D"/>
    <w:rsid w:val="008C4F7B"/>
    <w:rsid w:val="008C50A4"/>
    <w:rsid w:val="008D04CD"/>
    <w:rsid w:val="008D105A"/>
    <w:rsid w:val="008D14AF"/>
    <w:rsid w:val="008D2175"/>
    <w:rsid w:val="008D292A"/>
    <w:rsid w:val="008E0175"/>
    <w:rsid w:val="008E4697"/>
    <w:rsid w:val="008E4C36"/>
    <w:rsid w:val="008E4F35"/>
    <w:rsid w:val="008E53AA"/>
    <w:rsid w:val="008E71BA"/>
    <w:rsid w:val="008E7A7B"/>
    <w:rsid w:val="008E7B2E"/>
    <w:rsid w:val="008F1FE3"/>
    <w:rsid w:val="008F44D0"/>
    <w:rsid w:val="008F4ADB"/>
    <w:rsid w:val="008F56ED"/>
    <w:rsid w:val="008F67C5"/>
    <w:rsid w:val="008F78B3"/>
    <w:rsid w:val="0090058F"/>
    <w:rsid w:val="00906ADA"/>
    <w:rsid w:val="00906BF3"/>
    <w:rsid w:val="00907DDE"/>
    <w:rsid w:val="00910A51"/>
    <w:rsid w:val="00913BDF"/>
    <w:rsid w:val="00914173"/>
    <w:rsid w:val="009163F5"/>
    <w:rsid w:val="00916647"/>
    <w:rsid w:val="00917868"/>
    <w:rsid w:val="0092138F"/>
    <w:rsid w:val="009217E4"/>
    <w:rsid w:val="00923510"/>
    <w:rsid w:val="00924216"/>
    <w:rsid w:val="00924C36"/>
    <w:rsid w:val="009319E8"/>
    <w:rsid w:val="00931A2B"/>
    <w:rsid w:val="00931F2E"/>
    <w:rsid w:val="00932026"/>
    <w:rsid w:val="00932739"/>
    <w:rsid w:val="00933A64"/>
    <w:rsid w:val="0093476F"/>
    <w:rsid w:val="00934E44"/>
    <w:rsid w:val="00937040"/>
    <w:rsid w:val="009400C0"/>
    <w:rsid w:val="00940CFD"/>
    <w:rsid w:val="00943F5E"/>
    <w:rsid w:val="0094450E"/>
    <w:rsid w:val="00945FA7"/>
    <w:rsid w:val="009466FD"/>
    <w:rsid w:val="00946DC9"/>
    <w:rsid w:val="0094752E"/>
    <w:rsid w:val="00950DFA"/>
    <w:rsid w:val="009558ED"/>
    <w:rsid w:val="00955A4D"/>
    <w:rsid w:val="00960D2E"/>
    <w:rsid w:val="00960E75"/>
    <w:rsid w:val="00961A73"/>
    <w:rsid w:val="00961B14"/>
    <w:rsid w:val="00965919"/>
    <w:rsid w:val="009663AB"/>
    <w:rsid w:val="00970B5B"/>
    <w:rsid w:val="00973024"/>
    <w:rsid w:val="009732D4"/>
    <w:rsid w:val="0097463E"/>
    <w:rsid w:val="00982B20"/>
    <w:rsid w:val="00983814"/>
    <w:rsid w:val="009843C6"/>
    <w:rsid w:val="00985935"/>
    <w:rsid w:val="00991FE8"/>
    <w:rsid w:val="009952DE"/>
    <w:rsid w:val="00995A70"/>
    <w:rsid w:val="0099618C"/>
    <w:rsid w:val="00997CBA"/>
    <w:rsid w:val="009A0FD2"/>
    <w:rsid w:val="009A1499"/>
    <w:rsid w:val="009A1AE5"/>
    <w:rsid w:val="009A1F76"/>
    <w:rsid w:val="009A6F94"/>
    <w:rsid w:val="009B2FB2"/>
    <w:rsid w:val="009B3434"/>
    <w:rsid w:val="009B35B5"/>
    <w:rsid w:val="009B45C4"/>
    <w:rsid w:val="009B7292"/>
    <w:rsid w:val="009C1A52"/>
    <w:rsid w:val="009C1C0D"/>
    <w:rsid w:val="009C1C9C"/>
    <w:rsid w:val="009C3635"/>
    <w:rsid w:val="009C439E"/>
    <w:rsid w:val="009C5846"/>
    <w:rsid w:val="009C5BDD"/>
    <w:rsid w:val="009C6382"/>
    <w:rsid w:val="009C670C"/>
    <w:rsid w:val="009C6C59"/>
    <w:rsid w:val="009C76FA"/>
    <w:rsid w:val="009D0ABF"/>
    <w:rsid w:val="009D103D"/>
    <w:rsid w:val="009D169C"/>
    <w:rsid w:val="009D2731"/>
    <w:rsid w:val="009D2E96"/>
    <w:rsid w:val="009D329E"/>
    <w:rsid w:val="009D418B"/>
    <w:rsid w:val="009D66B2"/>
    <w:rsid w:val="009D76FB"/>
    <w:rsid w:val="009E06B2"/>
    <w:rsid w:val="009E0FE9"/>
    <w:rsid w:val="009E2A72"/>
    <w:rsid w:val="009E2D1D"/>
    <w:rsid w:val="009E2D54"/>
    <w:rsid w:val="009E2F90"/>
    <w:rsid w:val="009E3862"/>
    <w:rsid w:val="009E44B3"/>
    <w:rsid w:val="009E4F07"/>
    <w:rsid w:val="009E60EF"/>
    <w:rsid w:val="009E764B"/>
    <w:rsid w:val="009E7A0C"/>
    <w:rsid w:val="009E7F0D"/>
    <w:rsid w:val="009F2FEF"/>
    <w:rsid w:val="009F5C69"/>
    <w:rsid w:val="009F7C79"/>
    <w:rsid w:val="00A001B3"/>
    <w:rsid w:val="00A01E7A"/>
    <w:rsid w:val="00A03628"/>
    <w:rsid w:val="00A0375A"/>
    <w:rsid w:val="00A04965"/>
    <w:rsid w:val="00A04E74"/>
    <w:rsid w:val="00A07755"/>
    <w:rsid w:val="00A1205E"/>
    <w:rsid w:val="00A136B9"/>
    <w:rsid w:val="00A23733"/>
    <w:rsid w:val="00A24C49"/>
    <w:rsid w:val="00A25914"/>
    <w:rsid w:val="00A25E57"/>
    <w:rsid w:val="00A26B6A"/>
    <w:rsid w:val="00A27AD0"/>
    <w:rsid w:val="00A3077B"/>
    <w:rsid w:val="00A35995"/>
    <w:rsid w:val="00A4173D"/>
    <w:rsid w:val="00A419DF"/>
    <w:rsid w:val="00A41E6B"/>
    <w:rsid w:val="00A42015"/>
    <w:rsid w:val="00A42C52"/>
    <w:rsid w:val="00A45F74"/>
    <w:rsid w:val="00A4615A"/>
    <w:rsid w:val="00A47EF8"/>
    <w:rsid w:val="00A51528"/>
    <w:rsid w:val="00A558ED"/>
    <w:rsid w:val="00A6008F"/>
    <w:rsid w:val="00A63FDA"/>
    <w:rsid w:val="00A655B7"/>
    <w:rsid w:val="00A70361"/>
    <w:rsid w:val="00A70429"/>
    <w:rsid w:val="00A70A07"/>
    <w:rsid w:val="00A71CE0"/>
    <w:rsid w:val="00A723C5"/>
    <w:rsid w:val="00A73F5F"/>
    <w:rsid w:val="00A75864"/>
    <w:rsid w:val="00A7749C"/>
    <w:rsid w:val="00A77F0E"/>
    <w:rsid w:val="00A81E82"/>
    <w:rsid w:val="00A821F6"/>
    <w:rsid w:val="00A84D85"/>
    <w:rsid w:val="00A850AE"/>
    <w:rsid w:val="00A864FB"/>
    <w:rsid w:val="00A868F4"/>
    <w:rsid w:val="00A86A25"/>
    <w:rsid w:val="00A87C20"/>
    <w:rsid w:val="00A91DC2"/>
    <w:rsid w:val="00A94398"/>
    <w:rsid w:val="00A9443A"/>
    <w:rsid w:val="00A94B5D"/>
    <w:rsid w:val="00A94FA8"/>
    <w:rsid w:val="00A957B4"/>
    <w:rsid w:val="00A97D0F"/>
    <w:rsid w:val="00AA02DB"/>
    <w:rsid w:val="00AA4010"/>
    <w:rsid w:val="00AA4349"/>
    <w:rsid w:val="00AA4382"/>
    <w:rsid w:val="00AA4F4B"/>
    <w:rsid w:val="00AA7258"/>
    <w:rsid w:val="00AA7BA6"/>
    <w:rsid w:val="00AA7E79"/>
    <w:rsid w:val="00AB0B1C"/>
    <w:rsid w:val="00AB20F0"/>
    <w:rsid w:val="00AB3149"/>
    <w:rsid w:val="00AB4BE9"/>
    <w:rsid w:val="00AB6275"/>
    <w:rsid w:val="00AC213E"/>
    <w:rsid w:val="00AC22AF"/>
    <w:rsid w:val="00AC284A"/>
    <w:rsid w:val="00AC41AF"/>
    <w:rsid w:val="00AC52F7"/>
    <w:rsid w:val="00AC6D00"/>
    <w:rsid w:val="00AD0E42"/>
    <w:rsid w:val="00AD44E6"/>
    <w:rsid w:val="00AD4B57"/>
    <w:rsid w:val="00AE1D4A"/>
    <w:rsid w:val="00AE211B"/>
    <w:rsid w:val="00AE2C4B"/>
    <w:rsid w:val="00AE386F"/>
    <w:rsid w:val="00AE41E4"/>
    <w:rsid w:val="00AE605D"/>
    <w:rsid w:val="00AE7B05"/>
    <w:rsid w:val="00AF02AA"/>
    <w:rsid w:val="00AF1E19"/>
    <w:rsid w:val="00AF1ECD"/>
    <w:rsid w:val="00AF3A0F"/>
    <w:rsid w:val="00AF4A29"/>
    <w:rsid w:val="00AF4F6A"/>
    <w:rsid w:val="00AF7765"/>
    <w:rsid w:val="00AF7E94"/>
    <w:rsid w:val="00B01213"/>
    <w:rsid w:val="00B03A73"/>
    <w:rsid w:val="00B062D5"/>
    <w:rsid w:val="00B10F73"/>
    <w:rsid w:val="00B11DDB"/>
    <w:rsid w:val="00B12159"/>
    <w:rsid w:val="00B153B8"/>
    <w:rsid w:val="00B15923"/>
    <w:rsid w:val="00B15F5B"/>
    <w:rsid w:val="00B16B42"/>
    <w:rsid w:val="00B17531"/>
    <w:rsid w:val="00B22226"/>
    <w:rsid w:val="00B27126"/>
    <w:rsid w:val="00B27C50"/>
    <w:rsid w:val="00B30BAC"/>
    <w:rsid w:val="00B3117E"/>
    <w:rsid w:val="00B313EF"/>
    <w:rsid w:val="00B31B90"/>
    <w:rsid w:val="00B322CF"/>
    <w:rsid w:val="00B32779"/>
    <w:rsid w:val="00B32AFC"/>
    <w:rsid w:val="00B33104"/>
    <w:rsid w:val="00B339BA"/>
    <w:rsid w:val="00B33C14"/>
    <w:rsid w:val="00B34367"/>
    <w:rsid w:val="00B34B46"/>
    <w:rsid w:val="00B3519F"/>
    <w:rsid w:val="00B3534F"/>
    <w:rsid w:val="00B35B51"/>
    <w:rsid w:val="00B36C93"/>
    <w:rsid w:val="00B37A7E"/>
    <w:rsid w:val="00B4164C"/>
    <w:rsid w:val="00B46A82"/>
    <w:rsid w:val="00B504D0"/>
    <w:rsid w:val="00B513A0"/>
    <w:rsid w:val="00B5162F"/>
    <w:rsid w:val="00B51A17"/>
    <w:rsid w:val="00B52E31"/>
    <w:rsid w:val="00B52EBB"/>
    <w:rsid w:val="00B537CF"/>
    <w:rsid w:val="00B53DCF"/>
    <w:rsid w:val="00B545D6"/>
    <w:rsid w:val="00B54F17"/>
    <w:rsid w:val="00B55820"/>
    <w:rsid w:val="00B563E8"/>
    <w:rsid w:val="00B600D4"/>
    <w:rsid w:val="00B60B21"/>
    <w:rsid w:val="00B61D25"/>
    <w:rsid w:val="00B628BE"/>
    <w:rsid w:val="00B632C2"/>
    <w:rsid w:val="00B641B4"/>
    <w:rsid w:val="00B703E5"/>
    <w:rsid w:val="00B7429A"/>
    <w:rsid w:val="00B74B2D"/>
    <w:rsid w:val="00B7530E"/>
    <w:rsid w:val="00B76A19"/>
    <w:rsid w:val="00B80F5A"/>
    <w:rsid w:val="00B859B9"/>
    <w:rsid w:val="00B87A3C"/>
    <w:rsid w:val="00B930B9"/>
    <w:rsid w:val="00B941D5"/>
    <w:rsid w:val="00B973D3"/>
    <w:rsid w:val="00BA02F7"/>
    <w:rsid w:val="00BA2B2E"/>
    <w:rsid w:val="00BA52B3"/>
    <w:rsid w:val="00BB03BE"/>
    <w:rsid w:val="00BB090F"/>
    <w:rsid w:val="00BB3486"/>
    <w:rsid w:val="00BB409D"/>
    <w:rsid w:val="00BB55F1"/>
    <w:rsid w:val="00BB5A26"/>
    <w:rsid w:val="00BB7150"/>
    <w:rsid w:val="00BB762E"/>
    <w:rsid w:val="00BB7A9D"/>
    <w:rsid w:val="00BB7DAF"/>
    <w:rsid w:val="00BC1754"/>
    <w:rsid w:val="00BC3925"/>
    <w:rsid w:val="00BC4F55"/>
    <w:rsid w:val="00BC68C4"/>
    <w:rsid w:val="00BC6EB6"/>
    <w:rsid w:val="00BD24A6"/>
    <w:rsid w:val="00BD5309"/>
    <w:rsid w:val="00BD5711"/>
    <w:rsid w:val="00BD5828"/>
    <w:rsid w:val="00BD5F66"/>
    <w:rsid w:val="00BE0528"/>
    <w:rsid w:val="00BE0A00"/>
    <w:rsid w:val="00BE2EA8"/>
    <w:rsid w:val="00BE4EA2"/>
    <w:rsid w:val="00BE5F57"/>
    <w:rsid w:val="00BE7F2D"/>
    <w:rsid w:val="00BF0FEA"/>
    <w:rsid w:val="00BF261D"/>
    <w:rsid w:val="00BF2787"/>
    <w:rsid w:val="00BF3CB2"/>
    <w:rsid w:val="00BF4DFC"/>
    <w:rsid w:val="00BF4E91"/>
    <w:rsid w:val="00BF596D"/>
    <w:rsid w:val="00BF5CDA"/>
    <w:rsid w:val="00C00C1C"/>
    <w:rsid w:val="00C01404"/>
    <w:rsid w:val="00C0439D"/>
    <w:rsid w:val="00C058B5"/>
    <w:rsid w:val="00C05B83"/>
    <w:rsid w:val="00C06525"/>
    <w:rsid w:val="00C1241A"/>
    <w:rsid w:val="00C14195"/>
    <w:rsid w:val="00C21A83"/>
    <w:rsid w:val="00C21A84"/>
    <w:rsid w:val="00C21DCE"/>
    <w:rsid w:val="00C225F9"/>
    <w:rsid w:val="00C23607"/>
    <w:rsid w:val="00C244BC"/>
    <w:rsid w:val="00C24746"/>
    <w:rsid w:val="00C25B62"/>
    <w:rsid w:val="00C3055D"/>
    <w:rsid w:val="00C400B0"/>
    <w:rsid w:val="00C407D2"/>
    <w:rsid w:val="00C440AB"/>
    <w:rsid w:val="00C453D1"/>
    <w:rsid w:val="00C45880"/>
    <w:rsid w:val="00C468BD"/>
    <w:rsid w:val="00C47451"/>
    <w:rsid w:val="00C52B2F"/>
    <w:rsid w:val="00C5706D"/>
    <w:rsid w:val="00C5774F"/>
    <w:rsid w:val="00C6177E"/>
    <w:rsid w:val="00C6262C"/>
    <w:rsid w:val="00C62FEA"/>
    <w:rsid w:val="00C64131"/>
    <w:rsid w:val="00C65CD8"/>
    <w:rsid w:val="00C66B42"/>
    <w:rsid w:val="00C70A92"/>
    <w:rsid w:val="00C71AF4"/>
    <w:rsid w:val="00C7634C"/>
    <w:rsid w:val="00C77712"/>
    <w:rsid w:val="00C77D8C"/>
    <w:rsid w:val="00C810C5"/>
    <w:rsid w:val="00C81AB1"/>
    <w:rsid w:val="00C839BA"/>
    <w:rsid w:val="00C83A34"/>
    <w:rsid w:val="00C841A6"/>
    <w:rsid w:val="00C876EE"/>
    <w:rsid w:val="00C924D4"/>
    <w:rsid w:val="00C930E2"/>
    <w:rsid w:val="00C95D19"/>
    <w:rsid w:val="00C97B7E"/>
    <w:rsid w:val="00C97C01"/>
    <w:rsid w:val="00CA12B4"/>
    <w:rsid w:val="00CA1A51"/>
    <w:rsid w:val="00CA2335"/>
    <w:rsid w:val="00CA4931"/>
    <w:rsid w:val="00CA5263"/>
    <w:rsid w:val="00CA588A"/>
    <w:rsid w:val="00CA7667"/>
    <w:rsid w:val="00CB0398"/>
    <w:rsid w:val="00CB08CC"/>
    <w:rsid w:val="00CB0E22"/>
    <w:rsid w:val="00CB26B4"/>
    <w:rsid w:val="00CB6784"/>
    <w:rsid w:val="00CB78F6"/>
    <w:rsid w:val="00CC0D2B"/>
    <w:rsid w:val="00CC2F52"/>
    <w:rsid w:val="00CC31B4"/>
    <w:rsid w:val="00CC5A85"/>
    <w:rsid w:val="00CC63C4"/>
    <w:rsid w:val="00CC7E93"/>
    <w:rsid w:val="00CD03A5"/>
    <w:rsid w:val="00CD07E4"/>
    <w:rsid w:val="00CD0C91"/>
    <w:rsid w:val="00CD1BF0"/>
    <w:rsid w:val="00CD23CF"/>
    <w:rsid w:val="00CD29C2"/>
    <w:rsid w:val="00CD5375"/>
    <w:rsid w:val="00CD7642"/>
    <w:rsid w:val="00CE5204"/>
    <w:rsid w:val="00CE7837"/>
    <w:rsid w:val="00CF133D"/>
    <w:rsid w:val="00CF4155"/>
    <w:rsid w:val="00CF43D7"/>
    <w:rsid w:val="00CF4A8A"/>
    <w:rsid w:val="00CF4DD6"/>
    <w:rsid w:val="00CF5CE6"/>
    <w:rsid w:val="00CF5CEC"/>
    <w:rsid w:val="00CF5E06"/>
    <w:rsid w:val="00D005EE"/>
    <w:rsid w:val="00D02436"/>
    <w:rsid w:val="00D02E16"/>
    <w:rsid w:val="00D04863"/>
    <w:rsid w:val="00D053A0"/>
    <w:rsid w:val="00D056F0"/>
    <w:rsid w:val="00D1274B"/>
    <w:rsid w:val="00D12EAF"/>
    <w:rsid w:val="00D13803"/>
    <w:rsid w:val="00D13840"/>
    <w:rsid w:val="00D16835"/>
    <w:rsid w:val="00D17D71"/>
    <w:rsid w:val="00D20426"/>
    <w:rsid w:val="00D22352"/>
    <w:rsid w:val="00D23254"/>
    <w:rsid w:val="00D2325D"/>
    <w:rsid w:val="00D2465C"/>
    <w:rsid w:val="00D24F86"/>
    <w:rsid w:val="00D262CD"/>
    <w:rsid w:val="00D26C5C"/>
    <w:rsid w:val="00D27655"/>
    <w:rsid w:val="00D27CF0"/>
    <w:rsid w:val="00D35190"/>
    <w:rsid w:val="00D36633"/>
    <w:rsid w:val="00D36D32"/>
    <w:rsid w:val="00D36D33"/>
    <w:rsid w:val="00D379D9"/>
    <w:rsid w:val="00D42C7B"/>
    <w:rsid w:val="00D43B5D"/>
    <w:rsid w:val="00D45C06"/>
    <w:rsid w:val="00D4682A"/>
    <w:rsid w:val="00D4756C"/>
    <w:rsid w:val="00D53F6E"/>
    <w:rsid w:val="00D54BB7"/>
    <w:rsid w:val="00D60F13"/>
    <w:rsid w:val="00D61205"/>
    <w:rsid w:val="00D6149D"/>
    <w:rsid w:val="00D648B7"/>
    <w:rsid w:val="00D65221"/>
    <w:rsid w:val="00D65966"/>
    <w:rsid w:val="00D72E82"/>
    <w:rsid w:val="00D740F5"/>
    <w:rsid w:val="00D75865"/>
    <w:rsid w:val="00D758BF"/>
    <w:rsid w:val="00D75D66"/>
    <w:rsid w:val="00D76788"/>
    <w:rsid w:val="00D773F8"/>
    <w:rsid w:val="00D77822"/>
    <w:rsid w:val="00D80238"/>
    <w:rsid w:val="00D81851"/>
    <w:rsid w:val="00D84A29"/>
    <w:rsid w:val="00D851D6"/>
    <w:rsid w:val="00D90FA4"/>
    <w:rsid w:val="00D95ECC"/>
    <w:rsid w:val="00D9749E"/>
    <w:rsid w:val="00D9754D"/>
    <w:rsid w:val="00DA0E59"/>
    <w:rsid w:val="00DA425B"/>
    <w:rsid w:val="00DA446D"/>
    <w:rsid w:val="00DB0098"/>
    <w:rsid w:val="00DB1E7C"/>
    <w:rsid w:val="00DB2DD5"/>
    <w:rsid w:val="00DB4F88"/>
    <w:rsid w:val="00DB5192"/>
    <w:rsid w:val="00DB5F1B"/>
    <w:rsid w:val="00DB6359"/>
    <w:rsid w:val="00DB7BDA"/>
    <w:rsid w:val="00DC0B86"/>
    <w:rsid w:val="00DC26E4"/>
    <w:rsid w:val="00DC3169"/>
    <w:rsid w:val="00DC5D51"/>
    <w:rsid w:val="00DC5FBB"/>
    <w:rsid w:val="00DC654F"/>
    <w:rsid w:val="00DD0C86"/>
    <w:rsid w:val="00DD1124"/>
    <w:rsid w:val="00DD16FB"/>
    <w:rsid w:val="00DD263C"/>
    <w:rsid w:val="00DD40D2"/>
    <w:rsid w:val="00DD50AA"/>
    <w:rsid w:val="00DE02A4"/>
    <w:rsid w:val="00DE0BC9"/>
    <w:rsid w:val="00DE1F0A"/>
    <w:rsid w:val="00DE4287"/>
    <w:rsid w:val="00DE4665"/>
    <w:rsid w:val="00DE6F49"/>
    <w:rsid w:val="00DE7270"/>
    <w:rsid w:val="00DE72CD"/>
    <w:rsid w:val="00DF0060"/>
    <w:rsid w:val="00DF1032"/>
    <w:rsid w:val="00DF1E5C"/>
    <w:rsid w:val="00DF2241"/>
    <w:rsid w:val="00DF30DD"/>
    <w:rsid w:val="00DF4046"/>
    <w:rsid w:val="00DF44F9"/>
    <w:rsid w:val="00DF4CC9"/>
    <w:rsid w:val="00DF63DD"/>
    <w:rsid w:val="00DF6D76"/>
    <w:rsid w:val="00DF7612"/>
    <w:rsid w:val="00DF78A5"/>
    <w:rsid w:val="00E03EAC"/>
    <w:rsid w:val="00E049E4"/>
    <w:rsid w:val="00E10E7D"/>
    <w:rsid w:val="00E129DD"/>
    <w:rsid w:val="00E1502B"/>
    <w:rsid w:val="00E15E16"/>
    <w:rsid w:val="00E165D4"/>
    <w:rsid w:val="00E204E3"/>
    <w:rsid w:val="00E211EB"/>
    <w:rsid w:val="00E212D8"/>
    <w:rsid w:val="00E21ED5"/>
    <w:rsid w:val="00E226FF"/>
    <w:rsid w:val="00E22BE5"/>
    <w:rsid w:val="00E232F1"/>
    <w:rsid w:val="00E2455C"/>
    <w:rsid w:val="00E2588D"/>
    <w:rsid w:val="00E25CCF"/>
    <w:rsid w:val="00E264EB"/>
    <w:rsid w:val="00E2687D"/>
    <w:rsid w:val="00E26CA3"/>
    <w:rsid w:val="00E2703F"/>
    <w:rsid w:val="00E27A32"/>
    <w:rsid w:val="00E322B9"/>
    <w:rsid w:val="00E33766"/>
    <w:rsid w:val="00E3434A"/>
    <w:rsid w:val="00E3599A"/>
    <w:rsid w:val="00E373F4"/>
    <w:rsid w:val="00E400DC"/>
    <w:rsid w:val="00E403F3"/>
    <w:rsid w:val="00E44175"/>
    <w:rsid w:val="00E467F8"/>
    <w:rsid w:val="00E46B76"/>
    <w:rsid w:val="00E47E3F"/>
    <w:rsid w:val="00E52724"/>
    <w:rsid w:val="00E5354E"/>
    <w:rsid w:val="00E553C7"/>
    <w:rsid w:val="00E56502"/>
    <w:rsid w:val="00E6144A"/>
    <w:rsid w:val="00E62173"/>
    <w:rsid w:val="00E636D6"/>
    <w:rsid w:val="00E63703"/>
    <w:rsid w:val="00E643C0"/>
    <w:rsid w:val="00E668ED"/>
    <w:rsid w:val="00E67DB3"/>
    <w:rsid w:val="00E706A1"/>
    <w:rsid w:val="00E71266"/>
    <w:rsid w:val="00E7257E"/>
    <w:rsid w:val="00E735E0"/>
    <w:rsid w:val="00E742CA"/>
    <w:rsid w:val="00E74EEB"/>
    <w:rsid w:val="00E753AD"/>
    <w:rsid w:val="00E75E6D"/>
    <w:rsid w:val="00E76A58"/>
    <w:rsid w:val="00E8198E"/>
    <w:rsid w:val="00E81991"/>
    <w:rsid w:val="00E83A18"/>
    <w:rsid w:val="00E848BD"/>
    <w:rsid w:val="00E852AE"/>
    <w:rsid w:val="00E85786"/>
    <w:rsid w:val="00E9069E"/>
    <w:rsid w:val="00E92FE3"/>
    <w:rsid w:val="00E9459E"/>
    <w:rsid w:val="00E94A14"/>
    <w:rsid w:val="00E9661D"/>
    <w:rsid w:val="00E96E5E"/>
    <w:rsid w:val="00E975E4"/>
    <w:rsid w:val="00EA05BE"/>
    <w:rsid w:val="00EA0C07"/>
    <w:rsid w:val="00EA2E0A"/>
    <w:rsid w:val="00EA3922"/>
    <w:rsid w:val="00EA68A8"/>
    <w:rsid w:val="00EB03CA"/>
    <w:rsid w:val="00EB0A68"/>
    <w:rsid w:val="00EB7888"/>
    <w:rsid w:val="00EC21EF"/>
    <w:rsid w:val="00EC48E8"/>
    <w:rsid w:val="00EC7B97"/>
    <w:rsid w:val="00ED03A4"/>
    <w:rsid w:val="00ED1959"/>
    <w:rsid w:val="00ED333C"/>
    <w:rsid w:val="00ED38D3"/>
    <w:rsid w:val="00ED3A31"/>
    <w:rsid w:val="00ED48B9"/>
    <w:rsid w:val="00ED5526"/>
    <w:rsid w:val="00EE2C9F"/>
    <w:rsid w:val="00EE3FD6"/>
    <w:rsid w:val="00EE40D7"/>
    <w:rsid w:val="00EE4E62"/>
    <w:rsid w:val="00EE574F"/>
    <w:rsid w:val="00EE6837"/>
    <w:rsid w:val="00EE69C6"/>
    <w:rsid w:val="00EE6C82"/>
    <w:rsid w:val="00EE6D67"/>
    <w:rsid w:val="00EE7682"/>
    <w:rsid w:val="00EF0805"/>
    <w:rsid w:val="00EF111B"/>
    <w:rsid w:val="00EF44F7"/>
    <w:rsid w:val="00EF4511"/>
    <w:rsid w:val="00EF6267"/>
    <w:rsid w:val="00EF6DC0"/>
    <w:rsid w:val="00F00F50"/>
    <w:rsid w:val="00F01146"/>
    <w:rsid w:val="00F01666"/>
    <w:rsid w:val="00F02A12"/>
    <w:rsid w:val="00F03AB6"/>
    <w:rsid w:val="00F0403F"/>
    <w:rsid w:val="00F04786"/>
    <w:rsid w:val="00F0638D"/>
    <w:rsid w:val="00F06F0C"/>
    <w:rsid w:val="00F10522"/>
    <w:rsid w:val="00F1255A"/>
    <w:rsid w:val="00F12655"/>
    <w:rsid w:val="00F162F7"/>
    <w:rsid w:val="00F20155"/>
    <w:rsid w:val="00F2248F"/>
    <w:rsid w:val="00F224EE"/>
    <w:rsid w:val="00F27DF8"/>
    <w:rsid w:val="00F30BBA"/>
    <w:rsid w:val="00F33C76"/>
    <w:rsid w:val="00F37967"/>
    <w:rsid w:val="00F409BF"/>
    <w:rsid w:val="00F414C6"/>
    <w:rsid w:val="00F41840"/>
    <w:rsid w:val="00F42AD8"/>
    <w:rsid w:val="00F45353"/>
    <w:rsid w:val="00F45C56"/>
    <w:rsid w:val="00F4656B"/>
    <w:rsid w:val="00F46F9A"/>
    <w:rsid w:val="00F527C5"/>
    <w:rsid w:val="00F5285C"/>
    <w:rsid w:val="00F52921"/>
    <w:rsid w:val="00F52D7C"/>
    <w:rsid w:val="00F53B8B"/>
    <w:rsid w:val="00F547B6"/>
    <w:rsid w:val="00F54D28"/>
    <w:rsid w:val="00F5768A"/>
    <w:rsid w:val="00F61339"/>
    <w:rsid w:val="00F617AF"/>
    <w:rsid w:val="00F61DF3"/>
    <w:rsid w:val="00F62D67"/>
    <w:rsid w:val="00F638F8"/>
    <w:rsid w:val="00F66FBD"/>
    <w:rsid w:val="00F70411"/>
    <w:rsid w:val="00F7152E"/>
    <w:rsid w:val="00F72C17"/>
    <w:rsid w:val="00F72C5C"/>
    <w:rsid w:val="00F760F9"/>
    <w:rsid w:val="00F77512"/>
    <w:rsid w:val="00F807EF"/>
    <w:rsid w:val="00F809F4"/>
    <w:rsid w:val="00F825D4"/>
    <w:rsid w:val="00F85FB0"/>
    <w:rsid w:val="00F91BBE"/>
    <w:rsid w:val="00F928E0"/>
    <w:rsid w:val="00F95EA9"/>
    <w:rsid w:val="00F9668C"/>
    <w:rsid w:val="00F966BE"/>
    <w:rsid w:val="00FA03C5"/>
    <w:rsid w:val="00FA2C57"/>
    <w:rsid w:val="00FA2F93"/>
    <w:rsid w:val="00FA4624"/>
    <w:rsid w:val="00FA4B02"/>
    <w:rsid w:val="00FA7536"/>
    <w:rsid w:val="00FB3ACA"/>
    <w:rsid w:val="00FB4473"/>
    <w:rsid w:val="00FC07E0"/>
    <w:rsid w:val="00FC3B34"/>
    <w:rsid w:val="00FC43E7"/>
    <w:rsid w:val="00FC6502"/>
    <w:rsid w:val="00FC6EF7"/>
    <w:rsid w:val="00FC78B0"/>
    <w:rsid w:val="00FC7A95"/>
    <w:rsid w:val="00FC7E77"/>
    <w:rsid w:val="00FD0674"/>
    <w:rsid w:val="00FD069B"/>
    <w:rsid w:val="00FD3892"/>
    <w:rsid w:val="00FD58C1"/>
    <w:rsid w:val="00FD6ADE"/>
    <w:rsid w:val="00FD6E47"/>
    <w:rsid w:val="00FD71C2"/>
    <w:rsid w:val="00FD7410"/>
    <w:rsid w:val="00FD77EB"/>
    <w:rsid w:val="00FE0EAA"/>
    <w:rsid w:val="00FE180B"/>
    <w:rsid w:val="00FE413D"/>
    <w:rsid w:val="00FE440E"/>
    <w:rsid w:val="00FF103C"/>
    <w:rsid w:val="00FF488E"/>
    <w:rsid w:val="00FF48D3"/>
    <w:rsid w:val="00FF4A68"/>
    <w:rsid w:val="00FF4FF4"/>
    <w:rsid w:val="00FF511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3F735"/>
  <w15:docId w15:val="{3E80CF7B-0484-4452-A6BC-4BBE0AA0B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0540"/>
    <w:pPr>
      <w:spacing w:after="0" w:line="240" w:lineRule="auto"/>
    </w:pPr>
    <w:rPr>
      <w:rFonts w:ascii="Times New Roman" w:eastAsia="Times New Roman" w:hAnsi="Times New Roman" w:cs="Times New Roman"/>
      <w:sz w:val="24"/>
      <w:szCs w:val="24"/>
    </w:rPr>
  </w:style>
  <w:style w:type="paragraph" w:styleId="Heading1">
    <w:name w:val="heading 1"/>
    <w:aliases w:val="CRIS - Heading 1"/>
    <w:basedOn w:val="ListParagraph"/>
    <w:next w:val="Normal"/>
    <w:link w:val="Heading1Char"/>
    <w:uiPriority w:val="99"/>
    <w:qFormat/>
    <w:rsid w:val="00684205"/>
    <w:pPr>
      <w:spacing w:before="120" w:line="360" w:lineRule="auto"/>
      <w:ind w:left="1134" w:hanging="1134"/>
      <w:outlineLvl w:val="0"/>
    </w:pPr>
    <w:rPr>
      <w:rFonts w:asciiTheme="minorHAnsi" w:hAnsiTheme="minorHAnsi"/>
      <w:b/>
      <w:sz w:val="28"/>
      <w:szCs w:val="28"/>
    </w:rPr>
  </w:style>
  <w:style w:type="paragraph" w:styleId="Heading2">
    <w:name w:val="heading 2"/>
    <w:aliases w:val="CRIS Heading 2"/>
    <w:basedOn w:val="ListParagraph"/>
    <w:next w:val="Normal"/>
    <w:link w:val="Heading2Char"/>
    <w:uiPriority w:val="99"/>
    <w:qFormat/>
    <w:rsid w:val="00684205"/>
    <w:pPr>
      <w:spacing w:line="360" w:lineRule="auto"/>
      <w:ind w:left="1134" w:hanging="1134"/>
      <w:outlineLvl w:val="1"/>
    </w:pPr>
    <w:rPr>
      <w:rFonts w:asciiTheme="minorHAnsi" w:hAnsiTheme="minorHAnsi"/>
      <w:b/>
      <w:sz w:val="28"/>
      <w:szCs w:val="28"/>
    </w:rPr>
  </w:style>
  <w:style w:type="paragraph" w:styleId="Heading3">
    <w:name w:val="heading 3"/>
    <w:basedOn w:val="Normal"/>
    <w:next w:val="Normal"/>
    <w:link w:val="Heading3Char"/>
    <w:uiPriority w:val="99"/>
    <w:qFormat/>
    <w:rsid w:val="008B679D"/>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rsid w:val="008B679D"/>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9"/>
    <w:qFormat/>
    <w:rsid w:val="008B679D"/>
    <w:pPr>
      <w:numPr>
        <w:ilvl w:val="4"/>
        <w:numId w:val="1"/>
      </w:numPr>
      <w:spacing w:before="240" w:after="60"/>
      <w:outlineLvl w:val="4"/>
    </w:pPr>
    <w:rPr>
      <w:b/>
      <w:bCs/>
      <w:i/>
      <w:iCs/>
      <w:sz w:val="26"/>
      <w:szCs w:val="26"/>
    </w:rPr>
  </w:style>
  <w:style w:type="paragraph" w:styleId="Heading6">
    <w:name w:val="heading 6"/>
    <w:basedOn w:val="Normal"/>
    <w:next w:val="Normal"/>
    <w:link w:val="Heading6Char"/>
    <w:uiPriority w:val="99"/>
    <w:qFormat/>
    <w:rsid w:val="008B679D"/>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9"/>
    <w:qFormat/>
    <w:rsid w:val="008B679D"/>
    <w:pPr>
      <w:numPr>
        <w:ilvl w:val="6"/>
        <w:numId w:val="1"/>
      </w:numPr>
      <w:spacing w:before="240" w:after="60"/>
      <w:outlineLvl w:val="6"/>
    </w:pPr>
  </w:style>
  <w:style w:type="paragraph" w:styleId="Heading8">
    <w:name w:val="heading 8"/>
    <w:basedOn w:val="Normal"/>
    <w:next w:val="Normal"/>
    <w:link w:val="Heading8Char"/>
    <w:uiPriority w:val="99"/>
    <w:qFormat/>
    <w:rsid w:val="008B679D"/>
    <w:pPr>
      <w:numPr>
        <w:ilvl w:val="7"/>
        <w:numId w:val="1"/>
      </w:numPr>
      <w:spacing w:before="240" w:after="60"/>
      <w:outlineLvl w:val="7"/>
    </w:pPr>
    <w:rPr>
      <w:i/>
      <w:iCs/>
    </w:rPr>
  </w:style>
  <w:style w:type="paragraph" w:styleId="Heading9">
    <w:name w:val="heading 9"/>
    <w:basedOn w:val="Normal"/>
    <w:next w:val="Normal"/>
    <w:link w:val="Heading9Char"/>
    <w:uiPriority w:val="99"/>
    <w:qFormat/>
    <w:rsid w:val="008B679D"/>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RIS - Heading 1 Char"/>
    <w:basedOn w:val="DefaultParagraphFont"/>
    <w:link w:val="Heading1"/>
    <w:uiPriority w:val="99"/>
    <w:rsid w:val="00684205"/>
    <w:rPr>
      <w:rFonts w:eastAsia="Times New Roman" w:cs="Times New Roman"/>
      <w:b/>
      <w:sz w:val="28"/>
      <w:szCs w:val="28"/>
    </w:rPr>
  </w:style>
  <w:style w:type="character" w:customStyle="1" w:styleId="Heading2Char">
    <w:name w:val="Heading 2 Char"/>
    <w:aliases w:val="CRIS Heading 2 Char"/>
    <w:basedOn w:val="DefaultParagraphFont"/>
    <w:link w:val="Heading2"/>
    <w:uiPriority w:val="99"/>
    <w:rsid w:val="00684205"/>
    <w:rPr>
      <w:rFonts w:eastAsia="Times New Roman" w:cs="Times New Roman"/>
      <w:b/>
      <w:sz w:val="28"/>
      <w:szCs w:val="28"/>
    </w:rPr>
  </w:style>
  <w:style w:type="character" w:customStyle="1" w:styleId="Heading3Char">
    <w:name w:val="Heading 3 Char"/>
    <w:basedOn w:val="DefaultParagraphFont"/>
    <w:link w:val="Heading3"/>
    <w:uiPriority w:val="99"/>
    <w:rsid w:val="008B679D"/>
    <w:rPr>
      <w:rFonts w:ascii="Arial" w:eastAsia="Times New Roman" w:hAnsi="Arial" w:cs="Arial"/>
      <w:b/>
      <w:bCs/>
      <w:sz w:val="26"/>
      <w:szCs w:val="26"/>
    </w:rPr>
  </w:style>
  <w:style w:type="character" w:customStyle="1" w:styleId="Heading4Char">
    <w:name w:val="Heading 4 Char"/>
    <w:basedOn w:val="DefaultParagraphFont"/>
    <w:link w:val="Heading4"/>
    <w:uiPriority w:val="99"/>
    <w:rsid w:val="008B679D"/>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rsid w:val="008B679D"/>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9"/>
    <w:rsid w:val="008B679D"/>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8B679D"/>
    <w:rPr>
      <w:rFonts w:ascii="Times New Roman" w:eastAsia="Times New Roman" w:hAnsi="Times New Roman" w:cs="Times New Roman"/>
      <w:sz w:val="24"/>
      <w:szCs w:val="24"/>
    </w:rPr>
  </w:style>
  <w:style w:type="character" w:customStyle="1" w:styleId="Heading8Char">
    <w:name w:val="Heading 8 Char"/>
    <w:basedOn w:val="DefaultParagraphFont"/>
    <w:link w:val="Heading8"/>
    <w:uiPriority w:val="99"/>
    <w:rsid w:val="008B679D"/>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9"/>
    <w:rsid w:val="008B679D"/>
    <w:rPr>
      <w:rFonts w:ascii="Arial" w:eastAsia="Times New Roman" w:hAnsi="Arial" w:cs="Arial"/>
    </w:rPr>
  </w:style>
  <w:style w:type="paragraph" w:customStyle="1" w:styleId="Pa4">
    <w:name w:val="Pa4"/>
    <w:basedOn w:val="Normal"/>
    <w:next w:val="Normal"/>
    <w:uiPriority w:val="99"/>
    <w:rsid w:val="008B679D"/>
    <w:pPr>
      <w:widowControl w:val="0"/>
      <w:autoSpaceDE w:val="0"/>
      <w:autoSpaceDN w:val="0"/>
      <w:adjustRightInd w:val="0"/>
      <w:spacing w:after="160" w:line="201" w:lineRule="atLeast"/>
    </w:pPr>
    <w:rPr>
      <w:rFonts w:ascii="Univers" w:eastAsia="SimSun" w:hAnsi="Univers" w:cs="Univers"/>
      <w:lang w:val="en-US"/>
    </w:rPr>
  </w:style>
  <w:style w:type="paragraph" w:customStyle="1" w:styleId="Pa12">
    <w:name w:val="Pa12"/>
    <w:basedOn w:val="Normal"/>
    <w:next w:val="Normal"/>
    <w:uiPriority w:val="99"/>
    <w:rsid w:val="008B679D"/>
    <w:pPr>
      <w:widowControl w:val="0"/>
      <w:autoSpaceDE w:val="0"/>
      <w:autoSpaceDN w:val="0"/>
      <w:adjustRightInd w:val="0"/>
      <w:spacing w:after="160" w:line="241" w:lineRule="atLeast"/>
    </w:pPr>
    <w:rPr>
      <w:rFonts w:ascii="Univers" w:eastAsia="SimSun" w:hAnsi="Univers" w:cs="Univers"/>
      <w:lang w:val="en-US"/>
    </w:rPr>
  </w:style>
  <w:style w:type="paragraph" w:styleId="BodyText">
    <w:name w:val="Body Text"/>
    <w:basedOn w:val="Normal"/>
    <w:link w:val="BodyTextChar"/>
    <w:uiPriority w:val="99"/>
    <w:rsid w:val="008B679D"/>
    <w:rPr>
      <w:i/>
      <w:iCs/>
      <w:color w:val="999999"/>
    </w:rPr>
  </w:style>
  <w:style w:type="character" w:customStyle="1" w:styleId="BodyTextChar">
    <w:name w:val="Body Text Char"/>
    <w:basedOn w:val="DefaultParagraphFont"/>
    <w:link w:val="BodyText"/>
    <w:uiPriority w:val="99"/>
    <w:rsid w:val="008B679D"/>
    <w:rPr>
      <w:rFonts w:ascii="Times New Roman" w:eastAsia="Times New Roman" w:hAnsi="Times New Roman" w:cs="Times New Roman"/>
      <w:i/>
      <w:iCs/>
      <w:color w:val="999999"/>
      <w:sz w:val="24"/>
      <w:szCs w:val="24"/>
    </w:rPr>
  </w:style>
  <w:style w:type="character" w:styleId="Hyperlink">
    <w:name w:val="Hyperlink"/>
    <w:basedOn w:val="DefaultParagraphFont"/>
    <w:uiPriority w:val="99"/>
    <w:rsid w:val="008B679D"/>
    <w:rPr>
      <w:rFonts w:cs="Times New Roman"/>
      <w:color w:val="000000"/>
      <w:u w:val="none"/>
    </w:rPr>
  </w:style>
  <w:style w:type="table" w:styleId="TableGrid">
    <w:name w:val="Table Grid"/>
    <w:basedOn w:val="TableNormal"/>
    <w:uiPriority w:val="59"/>
    <w:rsid w:val="008B679D"/>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qFormat/>
    <w:rsid w:val="00101163"/>
    <w:rPr>
      <w:rFonts w:asciiTheme="minorHAnsi" w:hAnsiTheme="minorHAnsi"/>
      <w:sz w:val="20"/>
      <w:szCs w:val="20"/>
    </w:rPr>
  </w:style>
  <w:style w:type="character" w:customStyle="1" w:styleId="FootnoteTextChar">
    <w:name w:val="Footnote Text Char"/>
    <w:basedOn w:val="DefaultParagraphFont"/>
    <w:link w:val="FootnoteText"/>
    <w:uiPriority w:val="99"/>
    <w:rsid w:val="00101163"/>
    <w:rPr>
      <w:rFonts w:eastAsia="Times New Roman" w:cs="Times New Roman"/>
      <w:sz w:val="20"/>
      <w:szCs w:val="20"/>
    </w:rPr>
  </w:style>
  <w:style w:type="character" w:styleId="FootnoteReference">
    <w:name w:val="footnote reference"/>
    <w:uiPriority w:val="99"/>
    <w:unhideWhenUsed/>
    <w:rsid w:val="006A0290"/>
    <w:rPr>
      <w:rFonts w:asciiTheme="minorHAnsi" w:hAnsiTheme="minorHAnsi"/>
      <w:color w:val="7F7F7F" w:themeColor="text1" w:themeTint="80"/>
      <w:vertAlign w:val="superscript"/>
      <w:lang w:eastAsia="en-AU"/>
    </w:rPr>
  </w:style>
  <w:style w:type="paragraph" w:styleId="Header">
    <w:name w:val="header"/>
    <w:basedOn w:val="Normal"/>
    <w:link w:val="HeaderChar"/>
    <w:uiPriority w:val="99"/>
    <w:unhideWhenUsed/>
    <w:rsid w:val="008B679D"/>
    <w:pPr>
      <w:tabs>
        <w:tab w:val="center" w:pos="4513"/>
        <w:tab w:val="right" w:pos="9026"/>
      </w:tabs>
    </w:pPr>
  </w:style>
  <w:style w:type="character" w:customStyle="1" w:styleId="HeaderChar">
    <w:name w:val="Header Char"/>
    <w:basedOn w:val="DefaultParagraphFont"/>
    <w:link w:val="Header"/>
    <w:uiPriority w:val="99"/>
    <w:rsid w:val="008B679D"/>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8B679D"/>
    <w:pPr>
      <w:tabs>
        <w:tab w:val="center" w:pos="4513"/>
        <w:tab w:val="right" w:pos="9026"/>
      </w:tabs>
    </w:pPr>
  </w:style>
  <w:style w:type="character" w:customStyle="1" w:styleId="FooterChar">
    <w:name w:val="Footer Char"/>
    <w:basedOn w:val="DefaultParagraphFont"/>
    <w:link w:val="Footer"/>
    <w:uiPriority w:val="99"/>
    <w:rsid w:val="008B679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A21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116"/>
    <w:rPr>
      <w:rFonts w:ascii="Segoe UI" w:eastAsia="Times New Roman" w:hAnsi="Segoe UI" w:cs="Segoe UI"/>
      <w:sz w:val="18"/>
      <w:szCs w:val="18"/>
    </w:rPr>
  </w:style>
  <w:style w:type="paragraph" w:styleId="EndnoteText">
    <w:name w:val="endnote text"/>
    <w:basedOn w:val="Normal"/>
    <w:link w:val="EndnoteTextChar"/>
    <w:uiPriority w:val="99"/>
    <w:semiHidden/>
    <w:unhideWhenUsed/>
    <w:rsid w:val="005B5CE6"/>
    <w:rPr>
      <w:sz w:val="20"/>
      <w:szCs w:val="20"/>
    </w:rPr>
  </w:style>
  <w:style w:type="character" w:customStyle="1" w:styleId="EndnoteTextChar">
    <w:name w:val="Endnote Text Char"/>
    <w:basedOn w:val="DefaultParagraphFont"/>
    <w:link w:val="EndnoteText"/>
    <w:uiPriority w:val="99"/>
    <w:semiHidden/>
    <w:rsid w:val="005B5CE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5B5CE6"/>
    <w:rPr>
      <w:vertAlign w:val="superscript"/>
    </w:rPr>
  </w:style>
  <w:style w:type="character" w:styleId="CommentReference">
    <w:name w:val="annotation reference"/>
    <w:basedOn w:val="DefaultParagraphFont"/>
    <w:uiPriority w:val="99"/>
    <w:semiHidden/>
    <w:unhideWhenUsed/>
    <w:rsid w:val="0086625E"/>
    <w:rPr>
      <w:sz w:val="16"/>
      <w:szCs w:val="16"/>
    </w:rPr>
  </w:style>
  <w:style w:type="paragraph" w:styleId="CommentText">
    <w:name w:val="annotation text"/>
    <w:basedOn w:val="Normal"/>
    <w:link w:val="CommentTextChar"/>
    <w:uiPriority w:val="99"/>
    <w:semiHidden/>
    <w:unhideWhenUsed/>
    <w:rsid w:val="0086625E"/>
    <w:rPr>
      <w:sz w:val="20"/>
      <w:szCs w:val="20"/>
    </w:rPr>
  </w:style>
  <w:style w:type="character" w:customStyle="1" w:styleId="CommentTextChar">
    <w:name w:val="Comment Text Char"/>
    <w:basedOn w:val="DefaultParagraphFont"/>
    <w:link w:val="CommentText"/>
    <w:uiPriority w:val="99"/>
    <w:semiHidden/>
    <w:rsid w:val="0086625E"/>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6625E"/>
    <w:rPr>
      <w:b/>
      <w:bCs/>
    </w:rPr>
  </w:style>
  <w:style w:type="character" w:customStyle="1" w:styleId="CommentSubjectChar">
    <w:name w:val="Comment Subject Char"/>
    <w:basedOn w:val="CommentTextChar"/>
    <w:link w:val="CommentSubject"/>
    <w:uiPriority w:val="99"/>
    <w:semiHidden/>
    <w:rsid w:val="0086625E"/>
    <w:rPr>
      <w:rFonts w:ascii="Times New Roman" w:eastAsia="Times New Roman" w:hAnsi="Times New Roman" w:cs="Times New Roman"/>
      <w:b/>
      <w:bCs/>
      <w:sz w:val="20"/>
      <w:szCs w:val="20"/>
    </w:rPr>
  </w:style>
  <w:style w:type="paragraph" w:customStyle="1" w:styleId="TOCLevel2">
    <w:name w:val="TOCLevel2"/>
    <w:basedOn w:val="Normal"/>
    <w:link w:val="TOCLevel2Char"/>
    <w:uiPriority w:val="98"/>
    <w:qFormat/>
    <w:rsid w:val="003C58D3"/>
    <w:pPr>
      <w:keepNext/>
      <w:keepLines/>
      <w:tabs>
        <w:tab w:val="left" w:pos="567"/>
      </w:tabs>
      <w:spacing w:before="240" w:after="200"/>
      <w:jc w:val="center"/>
      <w:outlineLvl w:val="0"/>
    </w:pPr>
    <w:rPr>
      <w:rFonts w:ascii="Arial" w:eastAsiaTheme="majorEastAsia" w:hAnsi="Arial" w:cstheme="majorBidi"/>
      <w:b/>
      <w:bCs/>
      <w:color w:val="003865"/>
      <w:szCs w:val="28"/>
    </w:rPr>
  </w:style>
  <w:style w:type="character" w:customStyle="1" w:styleId="TOCLevel2Char">
    <w:name w:val="TOCLevel2 Char"/>
    <w:basedOn w:val="DefaultParagraphFont"/>
    <w:link w:val="TOCLevel2"/>
    <w:uiPriority w:val="98"/>
    <w:rsid w:val="003C58D3"/>
    <w:rPr>
      <w:rFonts w:ascii="Arial" w:eastAsiaTheme="majorEastAsia" w:hAnsi="Arial" w:cstheme="majorBidi"/>
      <w:b/>
      <w:bCs/>
      <w:color w:val="003865"/>
      <w:sz w:val="24"/>
      <w:szCs w:val="28"/>
    </w:rPr>
  </w:style>
  <w:style w:type="paragraph" w:customStyle="1" w:styleId="CABBackGround">
    <w:name w:val="CABBackGround"/>
    <w:basedOn w:val="Normal"/>
    <w:link w:val="CABBackGroundChar1"/>
    <w:rsid w:val="00D04863"/>
    <w:pPr>
      <w:spacing w:line="360" w:lineRule="auto"/>
    </w:pPr>
    <w:rPr>
      <w:szCs w:val="20"/>
      <w:lang w:eastAsia="en-AU"/>
    </w:rPr>
  </w:style>
  <w:style w:type="character" w:customStyle="1" w:styleId="CABBackGroundChar1">
    <w:name w:val="CABBackGround Char1"/>
    <w:basedOn w:val="DefaultParagraphFont"/>
    <w:link w:val="CABBackGround"/>
    <w:rsid w:val="00D04863"/>
    <w:rPr>
      <w:rFonts w:ascii="Times New Roman" w:eastAsia="Times New Roman" w:hAnsi="Times New Roman" w:cs="Times New Roman"/>
      <w:sz w:val="24"/>
      <w:szCs w:val="20"/>
      <w:lang w:eastAsia="en-AU"/>
    </w:rPr>
  </w:style>
  <w:style w:type="paragraph" w:styleId="ListParagraph">
    <w:name w:val="List Paragraph"/>
    <w:aliases w:val="Recommendation,L,List Paragraph1,List Paragraph11,Body Bullets,0Bullet,Bullet point,Indented bullet,List Paragraph2,bullet point list,Bulletr List Paragraph,FooterText,List Paragraph21,Listeafsnit1,NFP GP Bulleted List,Bullet Point"/>
    <w:basedOn w:val="Normal"/>
    <w:link w:val="ListParagraphChar"/>
    <w:uiPriority w:val="34"/>
    <w:qFormat/>
    <w:rsid w:val="005616BA"/>
    <w:pPr>
      <w:ind w:left="720"/>
      <w:contextualSpacing/>
    </w:pPr>
  </w:style>
  <w:style w:type="paragraph" w:customStyle="1" w:styleId="CABNETParagraph">
    <w:name w:val="CABNET Paragraph."/>
    <w:basedOn w:val="Normal"/>
    <w:link w:val="CABNETParagraphChar"/>
    <w:uiPriority w:val="98"/>
    <w:qFormat/>
    <w:rsid w:val="00D84A29"/>
    <w:pPr>
      <w:spacing w:before="120" w:after="120"/>
    </w:pPr>
    <w:rPr>
      <w:rFonts w:ascii="Arial" w:eastAsiaTheme="minorHAnsi" w:hAnsi="Arial" w:cstheme="minorHAnsi"/>
      <w:sz w:val="22"/>
      <w:szCs w:val="22"/>
    </w:rPr>
  </w:style>
  <w:style w:type="character" w:customStyle="1" w:styleId="CABNETParagraphChar">
    <w:name w:val="CABNET Paragraph. Char"/>
    <w:basedOn w:val="DefaultParagraphFont"/>
    <w:link w:val="CABNETParagraph"/>
    <w:uiPriority w:val="98"/>
    <w:rsid w:val="00D84A29"/>
    <w:rPr>
      <w:rFonts w:ascii="Arial" w:hAnsi="Arial" w:cstheme="minorHAnsi"/>
    </w:rPr>
  </w:style>
  <w:style w:type="character" w:customStyle="1" w:styleId="ListParagraphChar">
    <w:name w:val="List Paragraph Char"/>
    <w:aliases w:val="Recommendation Char,L Char,List Paragraph1 Char,List Paragraph11 Char,Body Bullets Char,0Bullet Char,Bullet point Char,Indented bullet Char,List Paragraph2 Char,bullet point list Char,Bulletr List Paragraph Char,FooterText Char"/>
    <w:basedOn w:val="DefaultParagraphFont"/>
    <w:link w:val="ListParagraph"/>
    <w:uiPriority w:val="34"/>
    <w:rsid w:val="000B5945"/>
    <w:rPr>
      <w:rFonts w:ascii="Times New Roman" w:eastAsia="Times New Roman" w:hAnsi="Times New Roman" w:cs="Times New Roman"/>
      <w:sz w:val="24"/>
      <w:szCs w:val="24"/>
    </w:rPr>
  </w:style>
  <w:style w:type="paragraph" w:customStyle="1" w:styleId="Default">
    <w:name w:val="Default"/>
    <w:rsid w:val="007C6808"/>
    <w:pPr>
      <w:autoSpaceDE w:val="0"/>
      <w:autoSpaceDN w:val="0"/>
      <w:adjustRightInd w:val="0"/>
      <w:spacing w:after="0" w:line="240" w:lineRule="auto"/>
    </w:pPr>
    <w:rPr>
      <w:rFonts w:ascii="Calibri" w:hAnsi="Calibri" w:cs="Calibri"/>
      <w:color w:val="000000"/>
      <w:sz w:val="24"/>
      <w:szCs w:val="24"/>
    </w:rPr>
  </w:style>
  <w:style w:type="paragraph" w:styleId="Revision">
    <w:name w:val="Revision"/>
    <w:hidden/>
    <w:uiPriority w:val="99"/>
    <w:semiHidden/>
    <w:rsid w:val="00EC7B97"/>
    <w:pPr>
      <w:spacing w:after="0" w:line="240" w:lineRule="auto"/>
    </w:pPr>
    <w:rPr>
      <w:rFonts w:ascii="Times New Roman" w:eastAsia="Times New Roman" w:hAnsi="Times New Roman" w:cs="Times New Roman"/>
      <w:sz w:val="24"/>
      <w:szCs w:val="24"/>
    </w:rPr>
  </w:style>
  <w:style w:type="paragraph" w:customStyle="1" w:styleId="Numberedpara1stindent">
    <w:name w:val="Numbered para (1st indent)"/>
    <w:basedOn w:val="ListParagraph"/>
    <w:rsid w:val="00DF4046"/>
    <w:pPr>
      <w:spacing w:after="200" w:line="260" w:lineRule="exact"/>
      <w:ind w:left="360" w:hanging="360"/>
      <w:contextualSpacing w:val="0"/>
    </w:pPr>
    <w:rPr>
      <w:rFonts w:ascii="Cambria" w:eastAsia="Cambria" w:hAnsi="Cambria"/>
      <w:sz w:val="22"/>
      <w:szCs w:val="22"/>
    </w:rPr>
  </w:style>
  <w:style w:type="character" w:customStyle="1" w:styleId="UnresolvedMention1">
    <w:name w:val="Unresolved Mention1"/>
    <w:basedOn w:val="DefaultParagraphFont"/>
    <w:uiPriority w:val="99"/>
    <w:semiHidden/>
    <w:unhideWhenUsed/>
    <w:rsid w:val="00133CB0"/>
    <w:rPr>
      <w:color w:val="605E5C"/>
      <w:shd w:val="clear" w:color="auto" w:fill="E1DFDD"/>
    </w:rPr>
  </w:style>
  <w:style w:type="character" w:styleId="FollowedHyperlink">
    <w:name w:val="FollowedHyperlink"/>
    <w:basedOn w:val="DefaultParagraphFont"/>
    <w:uiPriority w:val="99"/>
    <w:semiHidden/>
    <w:unhideWhenUsed/>
    <w:rsid w:val="00133CB0"/>
    <w:rPr>
      <w:color w:val="800080" w:themeColor="followedHyperlink"/>
      <w:u w:val="single"/>
    </w:rPr>
  </w:style>
  <w:style w:type="table" w:customStyle="1" w:styleId="DESE">
    <w:name w:val="DESE"/>
    <w:basedOn w:val="TableNormal"/>
    <w:uiPriority w:val="99"/>
    <w:rsid w:val="001E7CC7"/>
    <w:pPr>
      <w:spacing w:before="100" w:beforeAutospacing="1" w:after="100" w:afterAutospacing="1"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ascii="Calibri" w:hAnsi="Calibri"/>
        <w:color w:val="FFFFFF" w:themeColor="background1"/>
      </w:rPr>
      <w:tblPr/>
      <w:tcPr>
        <w:shd w:val="clear" w:color="auto" w:fill="4F81BD" w:themeFill="accent1"/>
      </w:tcPr>
    </w:tblStylePr>
    <w:tblStylePr w:type="firstCol">
      <w:rPr>
        <w:b w:val="0"/>
      </w:rPr>
    </w:tblStylePr>
    <w:tblStylePr w:type="nwCell">
      <w:rPr>
        <w:b w:val="0"/>
      </w:rPr>
    </w:tblStylePr>
  </w:style>
  <w:style w:type="table" w:customStyle="1" w:styleId="TableGrid1">
    <w:name w:val="Table Grid1"/>
    <w:basedOn w:val="TableNormal"/>
    <w:next w:val="TableGrid"/>
    <w:uiPriority w:val="59"/>
    <w:rsid w:val="00F4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414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FF48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BE2EA8"/>
    <w:rPr>
      <w:color w:val="605E5C"/>
      <w:shd w:val="clear" w:color="auto" w:fill="E1DFDD"/>
    </w:rPr>
  </w:style>
  <w:style w:type="paragraph" w:customStyle="1" w:styleId="MBPoint">
    <w:name w:val="MB Point"/>
    <w:basedOn w:val="ListParagraph"/>
    <w:link w:val="MBPointChar"/>
    <w:qFormat/>
    <w:rsid w:val="00BB7150"/>
    <w:pPr>
      <w:numPr>
        <w:numId w:val="7"/>
      </w:numPr>
      <w:spacing w:after="60"/>
      <w:contextualSpacing w:val="0"/>
    </w:pPr>
  </w:style>
  <w:style w:type="paragraph" w:customStyle="1" w:styleId="MBPointSub">
    <w:name w:val="MB Point Sub"/>
    <w:basedOn w:val="ListParagraph"/>
    <w:qFormat/>
    <w:rsid w:val="00BB7150"/>
    <w:pPr>
      <w:numPr>
        <w:ilvl w:val="1"/>
        <w:numId w:val="7"/>
      </w:numPr>
      <w:spacing w:after="60"/>
      <w:contextualSpacing w:val="0"/>
    </w:pPr>
    <w:rPr>
      <w:rFonts w:eastAsiaTheme="minorHAnsi"/>
    </w:rPr>
  </w:style>
  <w:style w:type="character" w:customStyle="1" w:styleId="MBPointChar">
    <w:name w:val="MB Point Char"/>
    <w:basedOn w:val="ListParagraphChar"/>
    <w:link w:val="MBPoint"/>
    <w:rsid w:val="00BB7150"/>
    <w:rPr>
      <w:rFonts w:ascii="Times New Roman" w:eastAsia="Times New Roman" w:hAnsi="Times New Roman" w:cs="Times New Roman"/>
      <w:sz w:val="24"/>
      <w:szCs w:val="24"/>
    </w:rPr>
  </w:style>
  <w:style w:type="paragraph" w:styleId="Title">
    <w:name w:val="Title"/>
    <w:aliases w:val="CRIS Title"/>
    <w:basedOn w:val="Normal"/>
    <w:next w:val="Normal"/>
    <w:link w:val="TitleChar"/>
    <w:uiPriority w:val="10"/>
    <w:qFormat/>
    <w:rsid w:val="00EE6D67"/>
    <w:pPr>
      <w:contextualSpacing/>
      <w:jc w:val="center"/>
    </w:pPr>
    <w:rPr>
      <w:rFonts w:asciiTheme="minorHAnsi" w:eastAsiaTheme="majorEastAsia" w:hAnsiTheme="minorHAnsi" w:cstheme="minorHAnsi"/>
      <w:b/>
      <w:bCs/>
      <w:spacing w:val="-10"/>
      <w:kern w:val="28"/>
      <w:sz w:val="32"/>
      <w:szCs w:val="32"/>
    </w:rPr>
  </w:style>
  <w:style w:type="character" w:customStyle="1" w:styleId="TitleChar">
    <w:name w:val="Title Char"/>
    <w:aliases w:val="CRIS Title Char"/>
    <w:basedOn w:val="DefaultParagraphFont"/>
    <w:link w:val="Title"/>
    <w:uiPriority w:val="10"/>
    <w:rsid w:val="00EE6D67"/>
    <w:rPr>
      <w:rFonts w:eastAsiaTheme="majorEastAsia" w:cstheme="minorHAnsi"/>
      <w:b/>
      <w:bCs/>
      <w:spacing w:val="-10"/>
      <w:kern w:val="28"/>
      <w:sz w:val="32"/>
      <w:szCs w:val="32"/>
    </w:rPr>
  </w:style>
  <w:style w:type="paragraph" w:styleId="Subtitle">
    <w:name w:val="Subtitle"/>
    <w:aliases w:val="CRIS - Subtitle"/>
    <w:basedOn w:val="Normal"/>
    <w:next w:val="Normal"/>
    <w:link w:val="SubtitleChar"/>
    <w:uiPriority w:val="11"/>
    <w:qFormat/>
    <w:rsid w:val="00EE6D67"/>
    <w:pPr>
      <w:numPr>
        <w:ilvl w:val="1"/>
      </w:numPr>
      <w:spacing w:before="240" w:after="200"/>
      <w:jc w:val="center"/>
    </w:pPr>
    <w:rPr>
      <w:rFonts w:asciiTheme="minorHAnsi" w:eastAsiaTheme="minorEastAsia" w:hAnsiTheme="minorHAnsi" w:cstheme="minorHAnsi"/>
      <w:b/>
      <w:bCs/>
      <w:spacing w:val="15"/>
      <w:sz w:val="28"/>
      <w:szCs w:val="28"/>
    </w:rPr>
  </w:style>
  <w:style w:type="character" w:customStyle="1" w:styleId="SubtitleChar">
    <w:name w:val="Subtitle Char"/>
    <w:aliases w:val="CRIS - Subtitle Char"/>
    <w:basedOn w:val="DefaultParagraphFont"/>
    <w:link w:val="Subtitle"/>
    <w:uiPriority w:val="11"/>
    <w:rsid w:val="00EE6D67"/>
    <w:rPr>
      <w:rFonts w:eastAsiaTheme="minorEastAsia" w:cstheme="minorHAnsi"/>
      <w:b/>
      <w:bCs/>
      <w:spacing w:val="15"/>
      <w:sz w:val="28"/>
      <w:szCs w:val="28"/>
    </w:rPr>
  </w:style>
  <w:style w:type="paragraph" w:customStyle="1" w:styleId="CRISbodytext">
    <w:name w:val="CRIS body text"/>
    <w:basedOn w:val="Normal"/>
    <w:link w:val="CRISbodytextChar"/>
    <w:qFormat/>
    <w:rsid w:val="00B61D25"/>
    <w:pPr>
      <w:spacing w:after="240"/>
    </w:pPr>
    <w:rPr>
      <w:rFonts w:asciiTheme="minorHAnsi" w:hAnsiTheme="minorHAnsi" w:cstheme="minorHAnsi"/>
      <w:sz w:val="22"/>
      <w:szCs w:val="22"/>
    </w:rPr>
  </w:style>
  <w:style w:type="paragraph" w:customStyle="1" w:styleId="CRISdotpoint">
    <w:name w:val="CRIS dot point"/>
    <w:basedOn w:val="ListParagraph"/>
    <w:link w:val="CRISdotpointChar"/>
    <w:qFormat/>
    <w:rsid w:val="00B61D25"/>
    <w:pPr>
      <w:numPr>
        <w:numId w:val="5"/>
      </w:numPr>
    </w:pPr>
    <w:rPr>
      <w:rFonts w:asciiTheme="minorHAnsi" w:hAnsiTheme="minorHAnsi" w:cstheme="minorHAnsi"/>
      <w:sz w:val="22"/>
      <w:szCs w:val="22"/>
    </w:rPr>
  </w:style>
  <w:style w:type="character" w:customStyle="1" w:styleId="CRISbodytextChar">
    <w:name w:val="CRIS body text Char"/>
    <w:basedOn w:val="DefaultParagraphFont"/>
    <w:link w:val="CRISbodytext"/>
    <w:rsid w:val="00B61D25"/>
    <w:rPr>
      <w:rFonts w:eastAsia="Times New Roman" w:cstheme="minorHAnsi"/>
    </w:rPr>
  </w:style>
  <w:style w:type="character" w:customStyle="1" w:styleId="CRISdotpointChar">
    <w:name w:val="CRIS dot point Char"/>
    <w:basedOn w:val="ListParagraphChar"/>
    <w:link w:val="CRISdotpoint"/>
    <w:rsid w:val="00B61D25"/>
    <w:rPr>
      <w:rFonts w:ascii="Times New Roman" w:eastAsia="Times New Roman" w:hAnsi="Times New Roman" w:cstheme="minorHAnsi"/>
      <w:sz w:val="24"/>
      <w:szCs w:val="24"/>
    </w:rPr>
  </w:style>
  <w:style w:type="paragraph" w:customStyle="1" w:styleId="CRISboxbodytext">
    <w:name w:val="CRIS box body text"/>
    <w:basedOn w:val="Normal"/>
    <w:link w:val="CRISboxbodytextChar"/>
    <w:qFormat/>
    <w:rsid w:val="007B624F"/>
    <w:pPr>
      <w:pBdr>
        <w:top w:val="single" w:sz="4" w:space="1" w:color="auto"/>
        <w:left w:val="single" w:sz="4" w:space="4" w:color="auto"/>
        <w:bottom w:val="single" w:sz="4" w:space="1" w:color="auto"/>
        <w:right w:val="single" w:sz="4" w:space="4" w:color="auto"/>
      </w:pBdr>
      <w:shd w:val="clear" w:color="auto" w:fill="F2F2F2" w:themeFill="background1" w:themeFillShade="F2"/>
      <w:spacing w:after="200" w:line="276" w:lineRule="auto"/>
    </w:pPr>
    <w:rPr>
      <w:rFonts w:asciiTheme="minorHAnsi" w:hAnsiTheme="minorHAnsi" w:cstheme="minorHAnsi"/>
      <w:sz w:val="22"/>
      <w:szCs w:val="22"/>
    </w:rPr>
  </w:style>
  <w:style w:type="paragraph" w:customStyle="1" w:styleId="CRISboxbodydotpoint">
    <w:name w:val="CRIS box body dot point"/>
    <w:basedOn w:val="CRISboxbodytext"/>
    <w:link w:val="CRISboxbodydotpointChar"/>
    <w:qFormat/>
    <w:rsid w:val="007B624F"/>
  </w:style>
  <w:style w:type="character" w:customStyle="1" w:styleId="CRISboxbodytextChar">
    <w:name w:val="CRIS box body text Char"/>
    <w:basedOn w:val="DefaultParagraphFont"/>
    <w:link w:val="CRISboxbodytext"/>
    <w:rsid w:val="007B624F"/>
    <w:rPr>
      <w:rFonts w:eastAsia="Times New Roman" w:cstheme="minorHAnsi"/>
      <w:shd w:val="clear" w:color="auto" w:fill="F2F2F2" w:themeFill="background1" w:themeFillShade="F2"/>
    </w:rPr>
  </w:style>
  <w:style w:type="character" w:customStyle="1" w:styleId="CRISboxbodydotpointChar">
    <w:name w:val="CRIS box body dot point Char"/>
    <w:basedOn w:val="CRISboxbodytextChar"/>
    <w:link w:val="CRISboxbodydotpoint"/>
    <w:rsid w:val="007B624F"/>
    <w:rPr>
      <w:rFonts w:eastAsia="Times New Roman" w:cstheme="minorHAnsi"/>
      <w:shd w:val="clear" w:color="auto" w:fill="F2F2F2" w:themeFill="background1" w:themeFillShade="F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375008">
      <w:bodyDiv w:val="1"/>
      <w:marLeft w:val="0"/>
      <w:marRight w:val="0"/>
      <w:marTop w:val="0"/>
      <w:marBottom w:val="0"/>
      <w:divBdr>
        <w:top w:val="none" w:sz="0" w:space="0" w:color="auto"/>
        <w:left w:val="none" w:sz="0" w:space="0" w:color="auto"/>
        <w:bottom w:val="none" w:sz="0" w:space="0" w:color="auto"/>
        <w:right w:val="none" w:sz="0" w:space="0" w:color="auto"/>
      </w:divBdr>
    </w:div>
    <w:div w:id="21639948">
      <w:bodyDiv w:val="1"/>
      <w:marLeft w:val="0"/>
      <w:marRight w:val="0"/>
      <w:marTop w:val="0"/>
      <w:marBottom w:val="0"/>
      <w:divBdr>
        <w:top w:val="none" w:sz="0" w:space="0" w:color="auto"/>
        <w:left w:val="none" w:sz="0" w:space="0" w:color="auto"/>
        <w:bottom w:val="none" w:sz="0" w:space="0" w:color="auto"/>
        <w:right w:val="none" w:sz="0" w:space="0" w:color="auto"/>
      </w:divBdr>
    </w:div>
    <w:div w:id="31198053">
      <w:bodyDiv w:val="1"/>
      <w:marLeft w:val="0"/>
      <w:marRight w:val="0"/>
      <w:marTop w:val="0"/>
      <w:marBottom w:val="0"/>
      <w:divBdr>
        <w:top w:val="none" w:sz="0" w:space="0" w:color="auto"/>
        <w:left w:val="none" w:sz="0" w:space="0" w:color="auto"/>
        <w:bottom w:val="none" w:sz="0" w:space="0" w:color="auto"/>
        <w:right w:val="none" w:sz="0" w:space="0" w:color="auto"/>
      </w:divBdr>
    </w:div>
    <w:div w:id="44186620">
      <w:bodyDiv w:val="1"/>
      <w:marLeft w:val="0"/>
      <w:marRight w:val="0"/>
      <w:marTop w:val="0"/>
      <w:marBottom w:val="0"/>
      <w:divBdr>
        <w:top w:val="none" w:sz="0" w:space="0" w:color="auto"/>
        <w:left w:val="none" w:sz="0" w:space="0" w:color="auto"/>
        <w:bottom w:val="none" w:sz="0" w:space="0" w:color="auto"/>
        <w:right w:val="none" w:sz="0" w:space="0" w:color="auto"/>
      </w:divBdr>
    </w:div>
    <w:div w:id="93013761">
      <w:bodyDiv w:val="1"/>
      <w:marLeft w:val="0"/>
      <w:marRight w:val="0"/>
      <w:marTop w:val="0"/>
      <w:marBottom w:val="0"/>
      <w:divBdr>
        <w:top w:val="none" w:sz="0" w:space="0" w:color="auto"/>
        <w:left w:val="none" w:sz="0" w:space="0" w:color="auto"/>
        <w:bottom w:val="none" w:sz="0" w:space="0" w:color="auto"/>
        <w:right w:val="none" w:sz="0" w:space="0" w:color="auto"/>
      </w:divBdr>
    </w:div>
    <w:div w:id="165676790">
      <w:bodyDiv w:val="1"/>
      <w:marLeft w:val="0"/>
      <w:marRight w:val="0"/>
      <w:marTop w:val="0"/>
      <w:marBottom w:val="0"/>
      <w:divBdr>
        <w:top w:val="none" w:sz="0" w:space="0" w:color="auto"/>
        <w:left w:val="none" w:sz="0" w:space="0" w:color="auto"/>
        <w:bottom w:val="none" w:sz="0" w:space="0" w:color="auto"/>
        <w:right w:val="none" w:sz="0" w:space="0" w:color="auto"/>
      </w:divBdr>
    </w:div>
    <w:div w:id="402141082">
      <w:bodyDiv w:val="1"/>
      <w:marLeft w:val="0"/>
      <w:marRight w:val="0"/>
      <w:marTop w:val="0"/>
      <w:marBottom w:val="0"/>
      <w:divBdr>
        <w:top w:val="none" w:sz="0" w:space="0" w:color="auto"/>
        <w:left w:val="none" w:sz="0" w:space="0" w:color="auto"/>
        <w:bottom w:val="none" w:sz="0" w:space="0" w:color="auto"/>
        <w:right w:val="none" w:sz="0" w:space="0" w:color="auto"/>
      </w:divBdr>
    </w:div>
    <w:div w:id="464858934">
      <w:bodyDiv w:val="1"/>
      <w:marLeft w:val="0"/>
      <w:marRight w:val="0"/>
      <w:marTop w:val="0"/>
      <w:marBottom w:val="0"/>
      <w:divBdr>
        <w:top w:val="none" w:sz="0" w:space="0" w:color="auto"/>
        <w:left w:val="none" w:sz="0" w:space="0" w:color="auto"/>
        <w:bottom w:val="none" w:sz="0" w:space="0" w:color="auto"/>
        <w:right w:val="none" w:sz="0" w:space="0" w:color="auto"/>
      </w:divBdr>
    </w:div>
    <w:div w:id="497695778">
      <w:bodyDiv w:val="1"/>
      <w:marLeft w:val="0"/>
      <w:marRight w:val="0"/>
      <w:marTop w:val="0"/>
      <w:marBottom w:val="0"/>
      <w:divBdr>
        <w:top w:val="none" w:sz="0" w:space="0" w:color="auto"/>
        <w:left w:val="none" w:sz="0" w:space="0" w:color="auto"/>
        <w:bottom w:val="none" w:sz="0" w:space="0" w:color="auto"/>
        <w:right w:val="none" w:sz="0" w:space="0" w:color="auto"/>
      </w:divBdr>
    </w:div>
    <w:div w:id="519970338">
      <w:bodyDiv w:val="1"/>
      <w:marLeft w:val="0"/>
      <w:marRight w:val="0"/>
      <w:marTop w:val="0"/>
      <w:marBottom w:val="0"/>
      <w:divBdr>
        <w:top w:val="none" w:sz="0" w:space="0" w:color="auto"/>
        <w:left w:val="none" w:sz="0" w:space="0" w:color="auto"/>
        <w:bottom w:val="none" w:sz="0" w:space="0" w:color="auto"/>
        <w:right w:val="none" w:sz="0" w:space="0" w:color="auto"/>
      </w:divBdr>
    </w:div>
    <w:div w:id="612521091">
      <w:bodyDiv w:val="1"/>
      <w:marLeft w:val="0"/>
      <w:marRight w:val="0"/>
      <w:marTop w:val="0"/>
      <w:marBottom w:val="0"/>
      <w:divBdr>
        <w:top w:val="none" w:sz="0" w:space="0" w:color="auto"/>
        <w:left w:val="none" w:sz="0" w:space="0" w:color="auto"/>
        <w:bottom w:val="none" w:sz="0" w:space="0" w:color="auto"/>
        <w:right w:val="none" w:sz="0" w:space="0" w:color="auto"/>
      </w:divBdr>
    </w:div>
    <w:div w:id="614562926">
      <w:bodyDiv w:val="1"/>
      <w:marLeft w:val="0"/>
      <w:marRight w:val="0"/>
      <w:marTop w:val="0"/>
      <w:marBottom w:val="0"/>
      <w:divBdr>
        <w:top w:val="none" w:sz="0" w:space="0" w:color="auto"/>
        <w:left w:val="none" w:sz="0" w:space="0" w:color="auto"/>
        <w:bottom w:val="none" w:sz="0" w:space="0" w:color="auto"/>
        <w:right w:val="none" w:sz="0" w:space="0" w:color="auto"/>
      </w:divBdr>
    </w:div>
    <w:div w:id="633291017">
      <w:bodyDiv w:val="1"/>
      <w:marLeft w:val="0"/>
      <w:marRight w:val="0"/>
      <w:marTop w:val="0"/>
      <w:marBottom w:val="0"/>
      <w:divBdr>
        <w:top w:val="none" w:sz="0" w:space="0" w:color="auto"/>
        <w:left w:val="none" w:sz="0" w:space="0" w:color="auto"/>
        <w:bottom w:val="none" w:sz="0" w:space="0" w:color="auto"/>
        <w:right w:val="none" w:sz="0" w:space="0" w:color="auto"/>
      </w:divBdr>
    </w:div>
    <w:div w:id="687877877">
      <w:bodyDiv w:val="1"/>
      <w:marLeft w:val="0"/>
      <w:marRight w:val="0"/>
      <w:marTop w:val="0"/>
      <w:marBottom w:val="0"/>
      <w:divBdr>
        <w:top w:val="none" w:sz="0" w:space="0" w:color="auto"/>
        <w:left w:val="none" w:sz="0" w:space="0" w:color="auto"/>
        <w:bottom w:val="none" w:sz="0" w:space="0" w:color="auto"/>
        <w:right w:val="none" w:sz="0" w:space="0" w:color="auto"/>
      </w:divBdr>
    </w:div>
    <w:div w:id="691538496">
      <w:bodyDiv w:val="1"/>
      <w:marLeft w:val="0"/>
      <w:marRight w:val="0"/>
      <w:marTop w:val="0"/>
      <w:marBottom w:val="0"/>
      <w:divBdr>
        <w:top w:val="none" w:sz="0" w:space="0" w:color="auto"/>
        <w:left w:val="none" w:sz="0" w:space="0" w:color="auto"/>
        <w:bottom w:val="none" w:sz="0" w:space="0" w:color="auto"/>
        <w:right w:val="none" w:sz="0" w:space="0" w:color="auto"/>
      </w:divBdr>
    </w:div>
    <w:div w:id="748579984">
      <w:bodyDiv w:val="1"/>
      <w:marLeft w:val="0"/>
      <w:marRight w:val="0"/>
      <w:marTop w:val="0"/>
      <w:marBottom w:val="0"/>
      <w:divBdr>
        <w:top w:val="none" w:sz="0" w:space="0" w:color="auto"/>
        <w:left w:val="none" w:sz="0" w:space="0" w:color="auto"/>
        <w:bottom w:val="none" w:sz="0" w:space="0" w:color="auto"/>
        <w:right w:val="none" w:sz="0" w:space="0" w:color="auto"/>
      </w:divBdr>
      <w:divsChild>
        <w:div w:id="621809926">
          <w:marLeft w:val="0"/>
          <w:marRight w:val="0"/>
          <w:marTop w:val="0"/>
          <w:marBottom w:val="0"/>
          <w:divBdr>
            <w:top w:val="none" w:sz="0" w:space="0" w:color="auto"/>
            <w:left w:val="none" w:sz="0" w:space="0" w:color="auto"/>
            <w:bottom w:val="none" w:sz="0" w:space="0" w:color="auto"/>
            <w:right w:val="none" w:sz="0" w:space="0" w:color="auto"/>
          </w:divBdr>
        </w:div>
      </w:divsChild>
    </w:div>
    <w:div w:id="749233771">
      <w:bodyDiv w:val="1"/>
      <w:marLeft w:val="0"/>
      <w:marRight w:val="0"/>
      <w:marTop w:val="0"/>
      <w:marBottom w:val="0"/>
      <w:divBdr>
        <w:top w:val="none" w:sz="0" w:space="0" w:color="auto"/>
        <w:left w:val="none" w:sz="0" w:space="0" w:color="auto"/>
        <w:bottom w:val="none" w:sz="0" w:space="0" w:color="auto"/>
        <w:right w:val="none" w:sz="0" w:space="0" w:color="auto"/>
      </w:divBdr>
    </w:div>
    <w:div w:id="905916825">
      <w:bodyDiv w:val="1"/>
      <w:marLeft w:val="0"/>
      <w:marRight w:val="0"/>
      <w:marTop w:val="0"/>
      <w:marBottom w:val="0"/>
      <w:divBdr>
        <w:top w:val="none" w:sz="0" w:space="0" w:color="auto"/>
        <w:left w:val="none" w:sz="0" w:space="0" w:color="auto"/>
        <w:bottom w:val="none" w:sz="0" w:space="0" w:color="auto"/>
        <w:right w:val="none" w:sz="0" w:space="0" w:color="auto"/>
      </w:divBdr>
    </w:div>
    <w:div w:id="931470044">
      <w:bodyDiv w:val="1"/>
      <w:marLeft w:val="0"/>
      <w:marRight w:val="0"/>
      <w:marTop w:val="0"/>
      <w:marBottom w:val="0"/>
      <w:divBdr>
        <w:top w:val="none" w:sz="0" w:space="0" w:color="auto"/>
        <w:left w:val="none" w:sz="0" w:space="0" w:color="auto"/>
        <w:bottom w:val="none" w:sz="0" w:space="0" w:color="auto"/>
        <w:right w:val="none" w:sz="0" w:space="0" w:color="auto"/>
      </w:divBdr>
    </w:div>
    <w:div w:id="973563026">
      <w:bodyDiv w:val="1"/>
      <w:marLeft w:val="0"/>
      <w:marRight w:val="0"/>
      <w:marTop w:val="0"/>
      <w:marBottom w:val="0"/>
      <w:divBdr>
        <w:top w:val="none" w:sz="0" w:space="0" w:color="auto"/>
        <w:left w:val="none" w:sz="0" w:space="0" w:color="auto"/>
        <w:bottom w:val="none" w:sz="0" w:space="0" w:color="auto"/>
        <w:right w:val="none" w:sz="0" w:space="0" w:color="auto"/>
      </w:divBdr>
    </w:div>
    <w:div w:id="984896800">
      <w:bodyDiv w:val="1"/>
      <w:marLeft w:val="0"/>
      <w:marRight w:val="0"/>
      <w:marTop w:val="0"/>
      <w:marBottom w:val="0"/>
      <w:divBdr>
        <w:top w:val="none" w:sz="0" w:space="0" w:color="auto"/>
        <w:left w:val="none" w:sz="0" w:space="0" w:color="auto"/>
        <w:bottom w:val="none" w:sz="0" w:space="0" w:color="auto"/>
        <w:right w:val="none" w:sz="0" w:space="0" w:color="auto"/>
      </w:divBdr>
    </w:div>
    <w:div w:id="1014647674">
      <w:bodyDiv w:val="1"/>
      <w:marLeft w:val="0"/>
      <w:marRight w:val="0"/>
      <w:marTop w:val="0"/>
      <w:marBottom w:val="0"/>
      <w:divBdr>
        <w:top w:val="none" w:sz="0" w:space="0" w:color="auto"/>
        <w:left w:val="none" w:sz="0" w:space="0" w:color="auto"/>
        <w:bottom w:val="none" w:sz="0" w:space="0" w:color="auto"/>
        <w:right w:val="none" w:sz="0" w:space="0" w:color="auto"/>
      </w:divBdr>
    </w:div>
    <w:div w:id="1014961563">
      <w:bodyDiv w:val="1"/>
      <w:marLeft w:val="0"/>
      <w:marRight w:val="0"/>
      <w:marTop w:val="0"/>
      <w:marBottom w:val="0"/>
      <w:divBdr>
        <w:top w:val="none" w:sz="0" w:space="0" w:color="auto"/>
        <w:left w:val="none" w:sz="0" w:space="0" w:color="auto"/>
        <w:bottom w:val="none" w:sz="0" w:space="0" w:color="auto"/>
        <w:right w:val="none" w:sz="0" w:space="0" w:color="auto"/>
      </w:divBdr>
    </w:div>
    <w:div w:id="1023164849">
      <w:bodyDiv w:val="1"/>
      <w:marLeft w:val="0"/>
      <w:marRight w:val="0"/>
      <w:marTop w:val="0"/>
      <w:marBottom w:val="0"/>
      <w:divBdr>
        <w:top w:val="none" w:sz="0" w:space="0" w:color="auto"/>
        <w:left w:val="none" w:sz="0" w:space="0" w:color="auto"/>
        <w:bottom w:val="none" w:sz="0" w:space="0" w:color="auto"/>
        <w:right w:val="none" w:sz="0" w:space="0" w:color="auto"/>
      </w:divBdr>
    </w:div>
    <w:div w:id="1062290008">
      <w:bodyDiv w:val="1"/>
      <w:marLeft w:val="0"/>
      <w:marRight w:val="0"/>
      <w:marTop w:val="0"/>
      <w:marBottom w:val="0"/>
      <w:divBdr>
        <w:top w:val="none" w:sz="0" w:space="0" w:color="auto"/>
        <w:left w:val="none" w:sz="0" w:space="0" w:color="auto"/>
        <w:bottom w:val="none" w:sz="0" w:space="0" w:color="auto"/>
        <w:right w:val="none" w:sz="0" w:space="0" w:color="auto"/>
      </w:divBdr>
    </w:div>
    <w:div w:id="1155418930">
      <w:bodyDiv w:val="1"/>
      <w:marLeft w:val="0"/>
      <w:marRight w:val="0"/>
      <w:marTop w:val="0"/>
      <w:marBottom w:val="0"/>
      <w:divBdr>
        <w:top w:val="none" w:sz="0" w:space="0" w:color="auto"/>
        <w:left w:val="none" w:sz="0" w:space="0" w:color="auto"/>
        <w:bottom w:val="none" w:sz="0" w:space="0" w:color="auto"/>
        <w:right w:val="none" w:sz="0" w:space="0" w:color="auto"/>
      </w:divBdr>
    </w:div>
    <w:div w:id="1159465934">
      <w:bodyDiv w:val="1"/>
      <w:marLeft w:val="0"/>
      <w:marRight w:val="0"/>
      <w:marTop w:val="0"/>
      <w:marBottom w:val="0"/>
      <w:divBdr>
        <w:top w:val="none" w:sz="0" w:space="0" w:color="auto"/>
        <w:left w:val="none" w:sz="0" w:space="0" w:color="auto"/>
        <w:bottom w:val="none" w:sz="0" w:space="0" w:color="auto"/>
        <w:right w:val="none" w:sz="0" w:space="0" w:color="auto"/>
      </w:divBdr>
    </w:div>
    <w:div w:id="1240019301">
      <w:bodyDiv w:val="1"/>
      <w:marLeft w:val="0"/>
      <w:marRight w:val="0"/>
      <w:marTop w:val="0"/>
      <w:marBottom w:val="0"/>
      <w:divBdr>
        <w:top w:val="none" w:sz="0" w:space="0" w:color="auto"/>
        <w:left w:val="none" w:sz="0" w:space="0" w:color="auto"/>
        <w:bottom w:val="none" w:sz="0" w:space="0" w:color="auto"/>
        <w:right w:val="none" w:sz="0" w:space="0" w:color="auto"/>
      </w:divBdr>
    </w:div>
    <w:div w:id="1352485683">
      <w:bodyDiv w:val="1"/>
      <w:marLeft w:val="0"/>
      <w:marRight w:val="0"/>
      <w:marTop w:val="0"/>
      <w:marBottom w:val="0"/>
      <w:divBdr>
        <w:top w:val="none" w:sz="0" w:space="0" w:color="auto"/>
        <w:left w:val="none" w:sz="0" w:space="0" w:color="auto"/>
        <w:bottom w:val="none" w:sz="0" w:space="0" w:color="auto"/>
        <w:right w:val="none" w:sz="0" w:space="0" w:color="auto"/>
      </w:divBdr>
    </w:div>
    <w:div w:id="1368793674">
      <w:bodyDiv w:val="1"/>
      <w:marLeft w:val="0"/>
      <w:marRight w:val="0"/>
      <w:marTop w:val="0"/>
      <w:marBottom w:val="0"/>
      <w:divBdr>
        <w:top w:val="none" w:sz="0" w:space="0" w:color="auto"/>
        <w:left w:val="none" w:sz="0" w:space="0" w:color="auto"/>
        <w:bottom w:val="none" w:sz="0" w:space="0" w:color="auto"/>
        <w:right w:val="none" w:sz="0" w:space="0" w:color="auto"/>
      </w:divBdr>
    </w:div>
    <w:div w:id="1399016297">
      <w:bodyDiv w:val="1"/>
      <w:marLeft w:val="0"/>
      <w:marRight w:val="0"/>
      <w:marTop w:val="0"/>
      <w:marBottom w:val="0"/>
      <w:divBdr>
        <w:top w:val="none" w:sz="0" w:space="0" w:color="auto"/>
        <w:left w:val="none" w:sz="0" w:space="0" w:color="auto"/>
        <w:bottom w:val="none" w:sz="0" w:space="0" w:color="auto"/>
        <w:right w:val="none" w:sz="0" w:space="0" w:color="auto"/>
      </w:divBdr>
    </w:div>
    <w:div w:id="1400590582">
      <w:bodyDiv w:val="1"/>
      <w:marLeft w:val="0"/>
      <w:marRight w:val="0"/>
      <w:marTop w:val="0"/>
      <w:marBottom w:val="0"/>
      <w:divBdr>
        <w:top w:val="none" w:sz="0" w:space="0" w:color="auto"/>
        <w:left w:val="none" w:sz="0" w:space="0" w:color="auto"/>
        <w:bottom w:val="none" w:sz="0" w:space="0" w:color="auto"/>
        <w:right w:val="none" w:sz="0" w:space="0" w:color="auto"/>
      </w:divBdr>
    </w:div>
    <w:div w:id="1445811040">
      <w:bodyDiv w:val="1"/>
      <w:marLeft w:val="0"/>
      <w:marRight w:val="0"/>
      <w:marTop w:val="0"/>
      <w:marBottom w:val="0"/>
      <w:divBdr>
        <w:top w:val="none" w:sz="0" w:space="0" w:color="auto"/>
        <w:left w:val="none" w:sz="0" w:space="0" w:color="auto"/>
        <w:bottom w:val="none" w:sz="0" w:space="0" w:color="auto"/>
        <w:right w:val="none" w:sz="0" w:space="0" w:color="auto"/>
      </w:divBdr>
    </w:div>
    <w:div w:id="1458600878">
      <w:bodyDiv w:val="1"/>
      <w:marLeft w:val="0"/>
      <w:marRight w:val="0"/>
      <w:marTop w:val="0"/>
      <w:marBottom w:val="0"/>
      <w:divBdr>
        <w:top w:val="none" w:sz="0" w:space="0" w:color="auto"/>
        <w:left w:val="none" w:sz="0" w:space="0" w:color="auto"/>
        <w:bottom w:val="none" w:sz="0" w:space="0" w:color="auto"/>
        <w:right w:val="none" w:sz="0" w:space="0" w:color="auto"/>
      </w:divBdr>
    </w:div>
    <w:div w:id="1471747660">
      <w:bodyDiv w:val="1"/>
      <w:marLeft w:val="0"/>
      <w:marRight w:val="0"/>
      <w:marTop w:val="0"/>
      <w:marBottom w:val="0"/>
      <w:divBdr>
        <w:top w:val="none" w:sz="0" w:space="0" w:color="auto"/>
        <w:left w:val="none" w:sz="0" w:space="0" w:color="auto"/>
        <w:bottom w:val="none" w:sz="0" w:space="0" w:color="auto"/>
        <w:right w:val="none" w:sz="0" w:space="0" w:color="auto"/>
      </w:divBdr>
    </w:div>
    <w:div w:id="1477334096">
      <w:bodyDiv w:val="1"/>
      <w:marLeft w:val="0"/>
      <w:marRight w:val="0"/>
      <w:marTop w:val="0"/>
      <w:marBottom w:val="0"/>
      <w:divBdr>
        <w:top w:val="none" w:sz="0" w:space="0" w:color="auto"/>
        <w:left w:val="none" w:sz="0" w:space="0" w:color="auto"/>
        <w:bottom w:val="none" w:sz="0" w:space="0" w:color="auto"/>
        <w:right w:val="none" w:sz="0" w:space="0" w:color="auto"/>
      </w:divBdr>
    </w:div>
    <w:div w:id="1509295367">
      <w:bodyDiv w:val="1"/>
      <w:marLeft w:val="0"/>
      <w:marRight w:val="0"/>
      <w:marTop w:val="0"/>
      <w:marBottom w:val="0"/>
      <w:divBdr>
        <w:top w:val="none" w:sz="0" w:space="0" w:color="auto"/>
        <w:left w:val="none" w:sz="0" w:space="0" w:color="auto"/>
        <w:bottom w:val="none" w:sz="0" w:space="0" w:color="auto"/>
        <w:right w:val="none" w:sz="0" w:space="0" w:color="auto"/>
      </w:divBdr>
    </w:div>
    <w:div w:id="1516189832">
      <w:bodyDiv w:val="1"/>
      <w:marLeft w:val="0"/>
      <w:marRight w:val="0"/>
      <w:marTop w:val="0"/>
      <w:marBottom w:val="0"/>
      <w:divBdr>
        <w:top w:val="none" w:sz="0" w:space="0" w:color="auto"/>
        <w:left w:val="none" w:sz="0" w:space="0" w:color="auto"/>
        <w:bottom w:val="none" w:sz="0" w:space="0" w:color="auto"/>
        <w:right w:val="none" w:sz="0" w:space="0" w:color="auto"/>
      </w:divBdr>
    </w:div>
    <w:div w:id="1544905238">
      <w:bodyDiv w:val="1"/>
      <w:marLeft w:val="0"/>
      <w:marRight w:val="0"/>
      <w:marTop w:val="0"/>
      <w:marBottom w:val="0"/>
      <w:divBdr>
        <w:top w:val="none" w:sz="0" w:space="0" w:color="auto"/>
        <w:left w:val="none" w:sz="0" w:space="0" w:color="auto"/>
        <w:bottom w:val="none" w:sz="0" w:space="0" w:color="auto"/>
        <w:right w:val="none" w:sz="0" w:space="0" w:color="auto"/>
      </w:divBdr>
    </w:div>
    <w:div w:id="1562405219">
      <w:bodyDiv w:val="1"/>
      <w:marLeft w:val="0"/>
      <w:marRight w:val="0"/>
      <w:marTop w:val="0"/>
      <w:marBottom w:val="0"/>
      <w:divBdr>
        <w:top w:val="none" w:sz="0" w:space="0" w:color="auto"/>
        <w:left w:val="none" w:sz="0" w:space="0" w:color="auto"/>
        <w:bottom w:val="none" w:sz="0" w:space="0" w:color="auto"/>
        <w:right w:val="none" w:sz="0" w:space="0" w:color="auto"/>
      </w:divBdr>
    </w:div>
    <w:div w:id="1603761066">
      <w:bodyDiv w:val="1"/>
      <w:marLeft w:val="0"/>
      <w:marRight w:val="0"/>
      <w:marTop w:val="0"/>
      <w:marBottom w:val="0"/>
      <w:divBdr>
        <w:top w:val="none" w:sz="0" w:space="0" w:color="auto"/>
        <w:left w:val="none" w:sz="0" w:space="0" w:color="auto"/>
        <w:bottom w:val="none" w:sz="0" w:space="0" w:color="auto"/>
        <w:right w:val="none" w:sz="0" w:space="0" w:color="auto"/>
      </w:divBdr>
    </w:div>
    <w:div w:id="1613200281">
      <w:bodyDiv w:val="1"/>
      <w:marLeft w:val="0"/>
      <w:marRight w:val="0"/>
      <w:marTop w:val="0"/>
      <w:marBottom w:val="0"/>
      <w:divBdr>
        <w:top w:val="none" w:sz="0" w:space="0" w:color="auto"/>
        <w:left w:val="none" w:sz="0" w:space="0" w:color="auto"/>
        <w:bottom w:val="none" w:sz="0" w:space="0" w:color="auto"/>
        <w:right w:val="none" w:sz="0" w:space="0" w:color="auto"/>
      </w:divBdr>
    </w:div>
    <w:div w:id="1722633763">
      <w:bodyDiv w:val="1"/>
      <w:marLeft w:val="0"/>
      <w:marRight w:val="0"/>
      <w:marTop w:val="0"/>
      <w:marBottom w:val="0"/>
      <w:divBdr>
        <w:top w:val="none" w:sz="0" w:space="0" w:color="auto"/>
        <w:left w:val="none" w:sz="0" w:space="0" w:color="auto"/>
        <w:bottom w:val="none" w:sz="0" w:space="0" w:color="auto"/>
        <w:right w:val="none" w:sz="0" w:space="0" w:color="auto"/>
      </w:divBdr>
    </w:div>
    <w:div w:id="1756705671">
      <w:bodyDiv w:val="1"/>
      <w:marLeft w:val="0"/>
      <w:marRight w:val="0"/>
      <w:marTop w:val="0"/>
      <w:marBottom w:val="0"/>
      <w:divBdr>
        <w:top w:val="none" w:sz="0" w:space="0" w:color="auto"/>
        <w:left w:val="none" w:sz="0" w:space="0" w:color="auto"/>
        <w:bottom w:val="none" w:sz="0" w:space="0" w:color="auto"/>
        <w:right w:val="none" w:sz="0" w:space="0" w:color="auto"/>
      </w:divBdr>
    </w:div>
    <w:div w:id="1772630550">
      <w:bodyDiv w:val="1"/>
      <w:marLeft w:val="0"/>
      <w:marRight w:val="0"/>
      <w:marTop w:val="0"/>
      <w:marBottom w:val="0"/>
      <w:divBdr>
        <w:top w:val="none" w:sz="0" w:space="0" w:color="auto"/>
        <w:left w:val="none" w:sz="0" w:space="0" w:color="auto"/>
        <w:bottom w:val="none" w:sz="0" w:space="0" w:color="auto"/>
        <w:right w:val="none" w:sz="0" w:space="0" w:color="auto"/>
      </w:divBdr>
      <w:divsChild>
        <w:div w:id="1847090152">
          <w:marLeft w:val="0"/>
          <w:marRight w:val="0"/>
          <w:marTop w:val="0"/>
          <w:marBottom w:val="0"/>
          <w:divBdr>
            <w:top w:val="none" w:sz="0" w:space="0" w:color="auto"/>
            <w:left w:val="none" w:sz="0" w:space="0" w:color="auto"/>
            <w:bottom w:val="none" w:sz="0" w:space="0" w:color="auto"/>
            <w:right w:val="none" w:sz="0" w:space="0" w:color="auto"/>
          </w:divBdr>
        </w:div>
      </w:divsChild>
    </w:div>
    <w:div w:id="1876037377">
      <w:bodyDiv w:val="1"/>
      <w:marLeft w:val="0"/>
      <w:marRight w:val="0"/>
      <w:marTop w:val="0"/>
      <w:marBottom w:val="0"/>
      <w:divBdr>
        <w:top w:val="none" w:sz="0" w:space="0" w:color="auto"/>
        <w:left w:val="none" w:sz="0" w:space="0" w:color="auto"/>
        <w:bottom w:val="none" w:sz="0" w:space="0" w:color="auto"/>
        <w:right w:val="none" w:sz="0" w:space="0" w:color="auto"/>
      </w:divBdr>
    </w:div>
    <w:div w:id="1881621967">
      <w:bodyDiv w:val="1"/>
      <w:marLeft w:val="0"/>
      <w:marRight w:val="0"/>
      <w:marTop w:val="0"/>
      <w:marBottom w:val="0"/>
      <w:divBdr>
        <w:top w:val="none" w:sz="0" w:space="0" w:color="auto"/>
        <w:left w:val="none" w:sz="0" w:space="0" w:color="auto"/>
        <w:bottom w:val="none" w:sz="0" w:space="0" w:color="auto"/>
        <w:right w:val="none" w:sz="0" w:space="0" w:color="auto"/>
      </w:divBdr>
    </w:div>
    <w:div w:id="1900745886">
      <w:bodyDiv w:val="1"/>
      <w:marLeft w:val="0"/>
      <w:marRight w:val="0"/>
      <w:marTop w:val="0"/>
      <w:marBottom w:val="0"/>
      <w:divBdr>
        <w:top w:val="none" w:sz="0" w:space="0" w:color="auto"/>
        <w:left w:val="none" w:sz="0" w:space="0" w:color="auto"/>
        <w:bottom w:val="none" w:sz="0" w:space="0" w:color="auto"/>
        <w:right w:val="none" w:sz="0" w:space="0" w:color="auto"/>
      </w:divBdr>
    </w:div>
    <w:div w:id="1918981227">
      <w:bodyDiv w:val="1"/>
      <w:marLeft w:val="0"/>
      <w:marRight w:val="0"/>
      <w:marTop w:val="0"/>
      <w:marBottom w:val="0"/>
      <w:divBdr>
        <w:top w:val="none" w:sz="0" w:space="0" w:color="auto"/>
        <w:left w:val="none" w:sz="0" w:space="0" w:color="auto"/>
        <w:bottom w:val="none" w:sz="0" w:space="0" w:color="auto"/>
        <w:right w:val="none" w:sz="0" w:space="0" w:color="auto"/>
      </w:divBdr>
    </w:div>
    <w:div w:id="1926188848">
      <w:bodyDiv w:val="1"/>
      <w:marLeft w:val="0"/>
      <w:marRight w:val="0"/>
      <w:marTop w:val="0"/>
      <w:marBottom w:val="0"/>
      <w:divBdr>
        <w:top w:val="none" w:sz="0" w:space="0" w:color="auto"/>
        <w:left w:val="none" w:sz="0" w:space="0" w:color="auto"/>
        <w:bottom w:val="none" w:sz="0" w:space="0" w:color="auto"/>
        <w:right w:val="none" w:sz="0" w:space="0" w:color="auto"/>
      </w:divBdr>
    </w:div>
    <w:div w:id="1939177138">
      <w:bodyDiv w:val="1"/>
      <w:marLeft w:val="0"/>
      <w:marRight w:val="0"/>
      <w:marTop w:val="0"/>
      <w:marBottom w:val="0"/>
      <w:divBdr>
        <w:top w:val="none" w:sz="0" w:space="0" w:color="auto"/>
        <w:left w:val="none" w:sz="0" w:space="0" w:color="auto"/>
        <w:bottom w:val="none" w:sz="0" w:space="0" w:color="auto"/>
        <w:right w:val="none" w:sz="0" w:space="0" w:color="auto"/>
      </w:divBdr>
    </w:div>
    <w:div w:id="1946425100">
      <w:bodyDiv w:val="1"/>
      <w:marLeft w:val="0"/>
      <w:marRight w:val="0"/>
      <w:marTop w:val="0"/>
      <w:marBottom w:val="0"/>
      <w:divBdr>
        <w:top w:val="none" w:sz="0" w:space="0" w:color="auto"/>
        <w:left w:val="none" w:sz="0" w:space="0" w:color="auto"/>
        <w:bottom w:val="none" w:sz="0" w:space="0" w:color="auto"/>
        <w:right w:val="none" w:sz="0" w:space="0" w:color="auto"/>
      </w:divBdr>
      <w:divsChild>
        <w:div w:id="1765607411">
          <w:marLeft w:val="0"/>
          <w:marRight w:val="0"/>
          <w:marTop w:val="0"/>
          <w:marBottom w:val="0"/>
          <w:divBdr>
            <w:top w:val="none" w:sz="0" w:space="0" w:color="auto"/>
            <w:left w:val="none" w:sz="0" w:space="0" w:color="auto"/>
            <w:bottom w:val="none" w:sz="0" w:space="0" w:color="auto"/>
            <w:right w:val="none" w:sz="0" w:space="0" w:color="auto"/>
          </w:divBdr>
        </w:div>
      </w:divsChild>
    </w:div>
    <w:div w:id="2022196139">
      <w:bodyDiv w:val="1"/>
      <w:marLeft w:val="0"/>
      <w:marRight w:val="0"/>
      <w:marTop w:val="0"/>
      <w:marBottom w:val="0"/>
      <w:divBdr>
        <w:top w:val="none" w:sz="0" w:space="0" w:color="auto"/>
        <w:left w:val="none" w:sz="0" w:space="0" w:color="auto"/>
        <w:bottom w:val="none" w:sz="0" w:space="0" w:color="auto"/>
        <w:right w:val="none" w:sz="0" w:space="0" w:color="auto"/>
      </w:divBdr>
    </w:div>
    <w:div w:id="2028090969">
      <w:bodyDiv w:val="1"/>
      <w:marLeft w:val="0"/>
      <w:marRight w:val="0"/>
      <w:marTop w:val="0"/>
      <w:marBottom w:val="0"/>
      <w:divBdr>
        <w:top w:val="none" w:sz="0" w:space="0" w:color="auto"/>
        <w:left w:val="none" w:sz="0" w:space="0" w:color="auto"/>
        <w:bottom w:val="none" w:sz="0" w:space="0" w:color="auto"/>
        <w:right w:val="none" w:sz="0" w:space="0" w:color="auto"/>
      </w:divBdr>
    </w:div>
    <w:div w:id="2041736563">
      <w:bodyDiv w:val="1"/>
      <w:marLeft w:val="0"/>
      <w:marRight w:val="0"/>
      <w:marTop w:val="0"/>
      <w:marBottom w:val="0"/>
      <w:divBdr>
        <w:top w:val="none" w:sz="0" w:space="0" w:color="auto"/>
        <w:left w:val="none" w:sz="0" w:space="0" w:color="auto"/>
        <w:bottom w:val="none" w:sz="0" w:space="0" w:color="auto"/>
        <w:right w:val="none" w:sz="0" w:space="0" w:color="auto"/>
      </w:divBdr>
    </w:div>
    <w:div w:id="2076776145">
      <w:bodyDiv w:val="1"/>
      <w:marLeft w:val="0"/>
      <w:marRight w:val="0"/>
      <w:marTop w:val="0"/>
      <w:marBottom w:val="0"/>
      <w:divBdr>
        <w:top w:val="none" w:sz="0" w:space="0" w:color="auto"/>
        <w:left w:val="none" w:sz="0" w:space="0" w:color="auto"/>
        <w:bottom w:val="none" w:sz="0" w:space="0" w:color="auto"/>
        <w:right w:val="none" w:sz="0" w:space="0" w:color="auto"/>
      </w:divBdr>
    </w:div>
    <w:div w:id="2130279769">
      <w:bodyDiv w:val="1"/>
      <w:marLeft w:val="0"/>
      <w:marRight w:val="0"/>
      <w:marTop w:val="0"/>
      <w:marBottom w:val="0"/>
      <w:divBdr>
        <w:top w:val="none" w:sz="0" w:space="0" w:color="auto"/>
        <w:left w:val="none" w:sz="0" w:space="0" w:color="auto"/>
        <w:bottom w:val="none" w:sz="0" w:space="0" w:color="auto"/>
        <w:right w:val="none" w:sz="0" w:space="0" w:color="auto"/>
      </w:divBdr>
    </w:div>
    <w:div w:id="214735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legislation.gov.au/Details/F2021C00417" TargetMode="External"/><Relationship Id="rId18" Type="http://schemas.openxmlformats.org/officeDocument/2006/relationships/hyperlink" Target="https://www.legislation.gov.au/Details/F2019L00202"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www.legislation.gov.au/Details/F2019L00278" TargetMode="External"/><Relationship Id="rId17" Type="http://schemas.openxmlformats.org/officeDocument/2006/relationships/hyperlink" Target="http://www.tradesrecognitionaustralia.gov.au" TargetMode="External"/><Relationship Id="rId2" Type="http://schemas.openxmlformats.org/officeDocument/2006/relationships/customXml" Target="../customXml/item2.xml"/><Relationship Id="rId16" Type="http://schemas.openxmlformats.org/officeDocument/2006/relationships/hyperlink" Target="https://www.legislation.gov.au/Details/F2019L00202" TargetMode="External"/><Relationship Id="rId20" Type="http://schemas.openxmlformats.org/officeDocument/2006/relationships/hyperlink" Target="https://www.legislation.gov.au/Details/F2019L00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s://www.legislation.gov.au/Details/F2019L00202"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yperlink" Target="https://www.legislation.gov.au/Details/F2019L00202"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egislation.gov.au/Details/C2021C00220"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financ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ct:contentTypeSchema xmlns:ct="http://schemas.microsoft.com/office/2006/metadata/contentType" xmlns:ma="http://schemas.microsoft.com/office/2006/metadata/properties/metaAttributes" ct:_="" ma:_="" ma:contentTypeName="PDMS Document" ma:contentTypeID="0x010100266966F133664895A6EE3632470D45F500441C1C8A248606429949239F45B39026" ma:contentTypeVersion="" ma:contentTypeDescription="PDMS Document Site Content Type" ma:contentTypeScope="" ma:versionID="84ca7d1d21ba0923ea251d0a45a0a34a">
  <xsd:schema xmlns:xsd="http://www.w3.org/2001/XMLSchema" xmlns:xs="http://www.w3.org/2001/XMLSchema" xmlns:p="http://schemas.microsoft.com/office/2006/metadata/properties" xmlns:ns2="1763BD72-4D49-4D39-82DD-4FE57F741B88" targetNamespace="http://schemas.microsoft.com/office/2006/metadata/properties" ma:root="true" ma:fieldsID="a72ea47ed13ecb4491d63929540757ba" ns2:_="">
    <xsd:import namespace="1763BD72-4D49-4D39-82DD-4FE57F741B88"/>
    <xsd:element name="properties">
      <xsd:complexType>
        <xsd:sequence>
          <xsd:element name="documentManagement">
            <xsd:complexType>
              <xsd:all>
                <xsd:element ref="ns2:SecurityClassifi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63BD72-4D49-4D39-82DD-4FE57F741B88" elementFormDefault="qualified">
    <xsd:import namespace="http://schemas.microsoft.com/office/2006/documentManagement/types"/>
    <xsd:import namespace="http://schemas.microsoft.com/office/infopath/2007/PartnerControls"/>
    <xsd:element name="SecurityClassification" ma:index="8" nillable="true" ma:displayName="Security Classification" ma:hidden="true" ma:internalName="SecurityClassifi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ecurityClassification xmlns="1763BD72-4D49-4D39-82DD-4FE57F741B88" xsi:nil="true"/>
  </documentManagement>
</p:properties>
</file>

<file path=customXml/itemProps1.xml><?xml version="1.0" encoding="utf-8"?>
<ds:datastoreItem xmlns:ds="http://schemas.openxmlformats.org/officeDocument/2006/customXml" ds:itemID="{B6B2D70F-36DD-486B-9E69-A31B664F682D}">
  <ds:schemaRefs>
    <ds:schemaRef ds:uri="http://schemas.microsoft.com/sharepoint/v3/contenttype/forms"/>
  </ds:schemaRefs>
</ds:datastoreItem>
</file>

<file path=customXml/itemProps2.xml><?xml version="1.0" encoding="utf-8"?>
<ds:datastoreItem xmlns:ds="http://schemas.openxmlformats.org/officeDocument/2006/customXml" ds:itemID="{8C0BAFAF-81D5-4303-BA1F-1D700089FF06}">
  <ds:schemaRefs>
    <ds:schemaRef ds:uri="http://schemas.openxmlformats.org/officeDocument/2006/bibliography"/>
  </ds:schemaRefs>
</ds:datastoreItem>
</file>

<file path=customXml/itemProps3.xml><?xml version="1.0" encoding="utf-8"?>
<ds:datastoreItem xmlns:ds="http://schemas.openxmlformats.org/officeDocument/2006/customXml" ds:itemID="{6000CE4E-ABB2-4FD8-8180-F0900050AB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63BD72-4D49-4D39-82DD-4FE57F741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4C87C5C-D348-4419-9AA6-CB5E64855216}">
  <ds:schemaRefs>
    <ds:schemaRef ds:uri="http://schemas.microsoft.com/office/2006/metadata/properties"/>
    <ds:schemaRef ds:uri="http://schemas.microsoft.com/office/infopath/2007/PartnerControls"/>
    <ds:schemaRef ds:uri="1763BD72-4D49-4D39-82DD-4FE57F741B88"/>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Cost Recovery Implementation Statement Template</vt:lpstr>
    </vt:vector>
  </TitlesOfParts>
  <Company>FINANCE</Company>
  <LinksUpToDate>false</LinksUpToDate>
  <CharactersWithSpaces>21711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Cost Recovery Implementation Statement Template</dc:title>
  <dc:subject/>
  <dc:creator>Department of Finance</dc:creator>
  <cp:keywords>[SEC=OFFICIAL]</cp:keywords>
  <dc:description/>
  <cp:lastModifiedBy>WALKER,Andrew</cp:lastModifiedBy>
  <cp:revision>5</cp:revision>
  <cp:lastPrinted>2021-08-25T03:46:00Z</cp:lastPrinted>
  <dcterms:created xsi:type="dcterms:W3CDTF">2021-07-26T05:00:00Z</dcterms:created>
  <dcterms:modified xsi:type="dcterms:W3CDTF">2021-08-25T03:46:00Z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M_ProtectiveMarkingImage_Header">
    <vt:lpwstr>C:\Program Files\Common Files\janusNET Shared\janusSEAL\Images\DocumentSlashBlue.png</vt:lpwstr>
  </property>
  <property fmtid="{D5CDD505-2E9C-101B-9397-08002B2CF9AE}" pid="3" name="PM_Caveats_Count">
    <vt:lpwstr>0</vt:lpwstr>
  </property>
  <property fmtid="{D5CDD505-2E9C-101B-9397-08002B2CF9AE}" pid="4" name="PM_DisplayValueSecClassificationWithQualifier">
    <vt:lpwstr>OFFICIAL</vt:lpwstr>
  </property>
  <property fmtid="{D5CDD505-2E9C-101B-9397-08002B2CF9AE}" pid="5" name="PM_Qualifier">
    <vt:lpwstr/>
  </property>
  <property fmtid="{D5CDD505-2E9C-101B-9397-08002B2CF9AE}" pid="6" name="PM_SecurityClassification">
    <vt:lpwstr>OFFICIAL</vt:lpwstr>
  </property>
  <property fmtid="{D5CDD505-2E9C-101B-9397-08002B2CF9AE}" pid="7" name="PM_InsertionValue">
    <vt:lpwstr>OFFICIAL</vt:lpwstr>
  </property>
  <property fmtid="{D5CDD505-2E9C-101B-9397-08002B2CF9AE}" pid="8" name="PM_Originating_FileId">
    <vt:lpwstr>CD12522B5406444F8D81EB4F2CDD0945</vt:lpwstr>
  </property>
  <property fmtid="{D5CDD505-2E9C-101B-9397-08002B2CF9AE}" pid="9" name="PM_ProtectiveMarkingValue_Footer">
    <vt:lpwstr>OFFICIAL</vt:lpwstr>
  </property>
  <property fmtid="{D5CDD505-2E9C-101B-9397-08002B2CF9AE}" pid="10" name="PM_Originator_Hash_SHA1">
    <vt:lpwstr>4CFEAE1F5AB516027143D45972F368D549FCC61A</vt:lpwstr>
  </property>
  <property fmtid="{D5CDD505-2E9C-101B-9397-08002B2CF9AE}" pid="11" name="PM_OriginationTimeStamp">
    <vt:lpwstr>2021-03-30T01:16:29Z</vt:lpwstr>
  </property>
  <property fmtid="{D5CDD505-2E9C-101B-9397-08002B2CF9AE}" pid="12" name="PM_ProtectiveMarkingValue_Header">
    <vt:lpwstr>OFFICIAL</vt:lpwstr>
  </property>
  <property fmtid="{D5CDD505-2E9C-101B-9397-08002B2CF9AE}" pid="13" name="PM_ProtectiveMarkingImage_Footer">
    <vt:lpwstr>C:\Program Files\Common Files\janusNET Shared\janusSEAL\Images\DocumentSlashBlue.png</vt:lpwstr>
  </property>
  <property fmtid="{D5CDD505-2E9C-101B-9397-08002B2CF9AE}" pid="14" name="PM_Namespace">
    <vt:lpwstr>gov.au</vt:lpwstr>
  </property>
  <property fmtid="{D5CDD505-2E9C-101B-9397-08002B2CF9AE}" pid="15" name="PM_Version">
    <vt:lpwstr>2018.4</vt:lpwstr>
  </property>
  <property fmtid="{D5CDD505-2E9C-101B-9397-08002B2CF9AE}" pid="16" name="PM_Note">
    <vt:lpwstr/>
  </property>
  <property fmtid="{D5CDD505-2E9C-101B-9397-08002B2CF9AE}" pid="17" name="PM_Markers">
    <vt:lpwstr/>
  </property>
  <property fmtid="{D5CDD505-2E9C-101B-9397-08002B2CF9AE}" pid="18" name="PM_Hash_Version">
    <vt:lpwstr>2018.0</vt:lpwstr>
  </property>
  <property fmtid="{D5CDD505-2E9C-101B-9397-08002B2CF9AE}" pid="19" name="PM_Hash_Salt_Prev">
    <vt:lpwstr>2858B7B0491B52ABC0C1F3071CCB309A</vt:lpwstr>
  </property>
  <property fmtid="{D5CDD505-2E9C-101B-9397-08002B2CF9AE}" pid="20" name="PM_Hash_Salt">
    <vt:lpwstr>FC60E507029193FC3DFC0F6DD36F3687</vt:lpwstr>
  </property>
  <property fmtid="{D5CDD505-2E9C-101B-9397-08002B2CF9AE}" pid="21" name="PM_Hash_SHA1">
    <vt:lpwstr>C913A2B17CF5ACBFCA10853CDAA12918B944428A</vt:lpwstr>
  </property>
  <property fmtid="{D5CDD505-2E9C-101B-9397-08002B2CF9AE}" pid="22" name="PM_SecurityClassification_Prev">
    <vt:lpwstr>OFFICIAL</vt:lpwstr>
  </property>
  <property fmtid="{D5CDD505-2E9C-101B-9397-08002B2CF9AE}" pid="23" name="PM_Qualifier_Prev">
    <vt:lpwstr/>
  </property>
  <property fmtid="{D5CDD505-2E9C-101B-9397-08002B2CF9AE}" pid="24" name="ContentTypeId">
    <vt:lpwstr>0x010100266966F133664895A6EE3632470D45F500441C1C8A248606429949239F45B39026</vt:lpwstr>
  </property>
  <property fmtid="{D5CDD505-2E9C-101B-9397-08002B2CF9AE}" pid="25" name="TaxKeyword">
    <vt:lpwstr>52;#[SEC=OFFICIAL]|8e527117-644d-41f8-9dde-86ae0840a820</vt:lpwstr>
  </property>
  <property fmtid="{D5CDD505-2E9C-101B-9397-08002B2CF9AE}" pid="26" name="AbtEntity">
    <vt:lpwstr>1;#Department of Finance|fd660e8f-8f31-49bd-92a3-d31d4da31afe</vt:lpwstr>
  </property>
  <property fmtid="{D5CDD505-2E9C-101B-9397-08002B2CF9AE}" pid="27" name="OrgUnit">
    <vt:lpwstr>2;#Charging Policy|cbcf5b89-4aab-4c5d-ba02-041c19cdb5b1</vt:lpwstr>
  </property>
  <property fmtid="{D5CDD505-2E9C-101B-9397-08002B2CF9AE}" pid="28" name="_dlc_DocIdItemGuid">
    <vt:lpwstr>a2a8a4a0-7d24-4495-992e-5ff0303d77da</vt:lpwstr>
  </property>
  <property fmtid="{D5CDD505-2E9C-101B-9397-08002B2CF9AE}" pid="29" name="InitiatingEntity">
    <vt:lpwstr>1;#Department of Finance|fd660e8f-8f31-49bd-92a3-d31d4da31afe</vt:lpwstr>
  </property>
  <property fmtid="{D5CDD505-2E9C-101B-9397-08002B2CF9AE}" pid="30" name="Function and Activity">
    <vt:lpwstr/>
  </property>
</Properties>
</file>