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3E" w:rsidRPr="002249A6" w:rsidRDefault="003C303E" w:rsidP="002249A6">
      <w:pPr>
        <w:pStyle w:val="Title"/>
      </w:pPr>
      <w:bookmarkStart w:id="0" w:name="_GoBack"/>
      <w:bookmarkEnd w:id="0"/>
      <w:r w:rsidRPr="002249A6">
        <w:t>Industry Proposal Template</w:t>
      </w:r>
    </w:p>
    <w:p w:rsidR="003C303E" w:rsidRPr="002249A6" w:rsidRDefault="003C303E" w:rsidP="002249A6">
      <w:pPr>
        <w:pStyle w:val="Heading1"/>
      </w:pPr>
      <w:r w:rsidRPr="002249A6">
        <w:t>Purpose</w:t>
      </w:r>
    </w:p>
    <w:p w:rsidR="003C303E" w:rsidRPr="002249A6" w:rsidRDefault="003C303E" w:rsidP="002249A6">
      <w:r w:rsidRPr="002249A6">
        <w:t xml:space="preserve">The Industry Proposal is an opportunity to draw attention to training package development work of national significance that has not been identified through an </w:t>
      </w:r>
      <w:r w:rsidR="00DD01AC" w:rsidRPr="002249A6">
        <w:t xml:space="preserve">IRC </w:t>
      </w:r>
      <w:r w:rsidRPr="002249A6">
        <w:t xml:space="preserve">Skills Forecast and </w:t>
      </w:r>
      <w:r w:rsidR="00DD01AC" w:rsidRPr="002249A6">
        <w:t xml:space="preserve">Proposed Schedule of Work and </w:t>
      </w:r>
      <w:r w:rsidRPr="002249A6">
        <w:t>is not part of the current National Review Schedule approved by the Australian Industry and Skills Committee (AISC).</w:t>
      </w:r>
    </w:p>
    <w:p w:rsidR="003C303E" w:rsidRPr="006E1C5E" w:rsidRDefault="003C303E" w:rsidP="002249A6">
      <w:pPr>
        <w:rPr>
          <w:rStyle w:val="Hyperlink"/>
          <w:rFonts w:asciiTheme="majorHAnsi" w:hAnsiTheme="majorHAnsi" w:cs="Calibri"/>
        </w:rPr>
      </w:pPr>
      <w:r w:rsidRPr="005C6612">
        <w:t xml:space="preserve">Discussion of the proposal with the relevant </w:t>
      </w:r>
      <w:r w:rsidR="00DD01AC" w:rsidRPr="005C6612">
        <w:t>Industry Reference Committee(s) (IRC</w:t>
      </w:r>
      <w:r w:rsidRPr="005C6612">
        <w:t xml:space="preserve">s) and Skills Service Organisation (SSO) is encouraged before developing and submitting an Industry Proposal to the AISC Secretariat at </w:t>
      </w:r>
      <w:hyperlink r:id="rId6" w:history="1">
        <w:r w:rsidRPr="006E1C5E">
          <w:rPr>
            <w:rStyle w:val="Hyperlink"/>
            <w:rFonts w:asciiTheme="majorHAnsi" w:hAnsiTheme="majorHAnsi" w:cs="Calibri"/>
          </w:rPr>
          <w:t>AISCSecretariat@education.gov.au</w:t>
        </w:r>
      </w:hyperlink>
      <w:r w:rsidRPr="006E1C5E">
        <w:rPr>
          <w:rStyle w:val="Hyperlink"/>
          <w:rFonts w:asciiTheme="majorHAnsi" w:hAnsiTheme="majorHAnsi" w:cs="Calibri"/>
        </w:rPr>
        <w:t>.</w:t>
      </w:r>
    </w:p>
    <w:p w:rsidR="003C303E" w:rsidRPr="005C6612" w:rsidRDefault="003C303E" w:rsidP="002249A6">
      <w:r w:rsidRPr="005C6612">
        <w:t>Following receipt of an Industry Proposal, the AISC Secretariat will in the first instance seek advice from the relevant IRC(s)</w:t>
      </w:r>
      <w:r w:rsidR="00060627" w:rsidRPr="005C6612">
        <w:t xml:space="preserve"> and SSO</w:t>
      </w:r>
      <w:r w:rsidRPr="005C6612">
        <w:t xml:space="preserve"> about the Industry Proposal. The AISC will then consider the Industry Proposal and may commission a Case for Change and/or commission training package work by the relevant SSO(s). </w:t>
      </w:r>
    </w:p>
    <w:p w:rsidR="003C303E" w:rsidRPr="005C6612" w:rsidRDefault="003C303E" w:rsidP="002249A6">
      <w:r w:rsidRPr="005C6612">
        <w:t xml:space="preserve">Industry Proposals </w:t>
      </w:r>
      <w:r w:rsidR="00DD01AC" w:rsidRPr="005C6612">
        <w:t xml:space="preserve">approved by the AISC </w:t>
      </w:r>
      <w:r w:rsidRPr="005C6612">
        <w:t>will be reflected in the National Review Schedule and may include additional requirements or a smaller scope of work than suggested in the Industry Proposal to meet urgent or critical national priorities.</w:t>
      </w:r>
    </w:p>
    <w:p w:rsidR="003C303E" w:rsidRPr="005C6612" w:rsidRDefault="005C6612" w:rsidP="002249A6">
      <w:r w:rsidRPr="005C6612">
        <w:t>Note</w:t>
      </w:r>
      <w:r w:rsidR="003C303E" w:rsidRPr="005C6612">
        <w:t>: The development of an Industry Proposal is not funded by the Australian Government.</w:t>
      </w:r>
    </w:p>
    <w:p w:rsidR="00300D93" w:rsidRDefault="00300D93">
      <w:pPr>
        <w:spacing w:after="0"/>
        <w:rPr>
          <w:rFonts w:asciiTheme="majorHAnsi" w:eastAsia="Batang" w:hAnsiTheme="majorHAnsi" w:cs="Arial"/>
          <w:b/>
          <w:bCs/>
          <w:color w:val="1B75BC" w:themeColor="text2"/>
          <w:sz w:val="26"/>
          <w:szCs w:val="26"/>
        </w:rPr>
      </w:pPr>
      <w:r>
        <w:br w:type="page"/>
      </w:r>
    </w:p>
    <w:p w:rsidR="003C303E" w:rsidRPr="00C568B3" w:rsidRDefault="003C303E" w:rsidP="002249A6">
      <w:pPr>
        <w:pStyle w:val="Heading1"/>
      </w:pPr>
      <w:r w:rsidRPr="00C568B3">
        <w:lastRenderedPageBreak/>
        <w:t>Part 1 – Your details</w:t>
      </w:r>
    </w:p>
    <w:p w:rsidR="003C303E" w:rsidRPr="00C568B3" w:rsidRDefault="003C303E" w:rsidP="002249A6">
      <w:pPr>
        <w:pStyle w:val="Heading2"/>
      </w:pPr>
      <w:r w:rsidRPr="00C568B3">
        <w:t xml:space="preserve">1.1. </w:t>
      </w:r>
      <w:r w:rsidRPr="002249A6">
        <w:t xml:space="preserve">Please </w:t>
      </w:r>
      <w:r w:rsidRPr="00C568B3">
        <w:t>provide your details below</w:t>
      </w:r>
    </w:p>
    <w:tbl>
      <w:tblPr>
        <w:tblStyle w:val="TableGrid"/>
        <w:tblW w:w="5000" w:type="pc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8127"/>
      </w:tblGrid>
      <w:tr w:rsidR="00300D93" w:rsidRPr="002249A6" w:rsidTr="00300D93">
        <w:trPr>
          <w:cantSplit/>
          <w:tblCellSpacing w:w="56" w:type="dxa"/>
        </w:trPr>
        <w:tc>
          <w:tcPr>
            <w:tcW w:w="797" w:type="pct"/>
          </w:tcPr>
          <w:p w:rsidR="005C6612" w:rsidRPr="002249A6" w:rsidRDefault="005C6612" w:rsidP="002249A6">
            <w:r w:rsidRPr="002249A6">
              <w:t>Name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12" w:rsidRPr="002249A6" w:rsidRDefault="005C6612" w:rsidP="002249A6"/>
        </w:tc>
      </w:tr>
      <w:tr w:rsidR="00300D93" w:rsidRPr="002249A6" w:rsidTr="00300D93">
        <w:trPr>
          <w:cantSplit/>
          <w:tblCellSpacing w:w="56" w:type="dxa"/>
        </w:trPr>
        <w:tc>
          <w:tcPr>
            <w:tcW w:w="797" w:type="pct"/>
          </w:tcPr>
          <w:p w:rsidR="005C6612" w:rsidRPr="002249A6" w:rsidRDefault="005C6612" w:rsidP="002249A6">
            <w:r w:rsidRPr="002249A6">
              <w:t>Organisation (If applicable)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12" w:rsidRPr="002249A6" w:rsidRDefault="005C6612" w:rsidP="002249A6"/>
        </w:tc>
      </w:tr>
      <w:tr w:rsidR="00300D93" w:rsidRPr="002249A6" w:rsidTr="00300D93">
        <w:trPr>
          <w:cantSplit/>
          <w:trHeight w:val="1519"/>
          <w:tblCellSpacing w:w="56" w:type="dxa"/>
        </w:trPr>
        <w:tc>
          <w:tcPr>
            <w:tcW w:w="797" w:type="pct"/>
          </w:tcPr>
          <w:p w:rsidR="005C6612" w:rsidRPr="002249A6" w:rsidRDefault="005C6612" w:rsidP="002249A6">
            <w:r w:rsidRPr="002249A6">
              <w:t>Postal address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12" w:rsidRPr="002249A6" w:rsidRDefault="005C6612" w:rsidP="002249A6"/>
        </w:tc>
      </w:tr>
      <w:tr w:rsidR="00300D93" w:rsidRPr="002249A6" w:rsidTr="00300D93">
        <w:trPr>
          <w:cantSplit/>
          <w:tblCellSpacing w:w="56" w:type="dxa"/>
        </w:trPr>
        <w:tc>
          <w:tcPr>
            <w:tcW w:w="797" w:type="pct"/>
          </w:tcPr>
          <w:p w:rsidR="005C6612" w:rsidRPr="002249A6" w:rsidRDefault="005C6612" w:rsidP="002249A6">
            <w:r w:rsidRPr="002249A6">
              <w:t>Phone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12" w:rsidRPr="002249A6" w:rsidRDefault="005C6612" w:rsidP="002249A6"/>
        </w:tc>
      </w:tr>
      <w:tr w:rsidR="00300D93" w:rsidRPr="002249A6" w:rsidTr="00300D93">
        <w:trPr>
          <w:cantSplit/>
          <w:tblCellSpacing w:w="56" w:type="dxa"/>
        </w:trPr>
        <w:tc>
          <w:tcPr>
            <w:tcW w:w="797" w:type="pct"/>
          </w:tcPr>
          <w:p w:rsidR="005C6612" w:rsidRPr="002249A6" w:rsidRDefault="005C6612" w:rsidP="002249A6">
            <w:r w:rsidRPr="002249A6">
              <w:t>Email address</w:t>
            </w:r>
          </w:p>
        </w:tc>
        <w:tc>
          <w:tcPr>
            <w:tcW w:w="4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612" w:rsidRPr="002249A6" w:rsidRDefault="005C6612" w:rsidP="002249A6"/>
        </w:tc>
      </w:tr>
    </w:tbl>
    <w:p w:rsidR="003C303E" w:rsidRPr="00C568B3" w:rsidRDefault="003C303E" w:rsidP="002249A6">
      <w:pPr>
        <w:pStyle w:val="Heading2"/>
      </w:pPr>
      <w:r>
        <w:t>1.2. Please identify which</w:t>
      </w:r>
      <w:r w:rsidRPr="00C568B3">
        <w:t xml:space="preserve"> categor</w:t>
      </w:r>
      <w:r w:rsidR="00EF57F7">
        <w:t>ies</w:t>
      </w:r>
      <w:r w:rsidRPr="00C568B3">
        <w:t xml:space="preserve"> describe you</w:t>
      </w:r>
      <w:r w:rsidR="00EF57F7" w:rsidRPr="00EF57F7">
        <w:t xml:space="preserve"> </w:t>
      </w:r>
      <w:r w:rsidR="00EF57F7" w:rsidRPr="00C568B3">
        <w:t>best</w:t>
      </w:r>
      <w:r w:rsidR="00EF57F7">
        <w:t xml:space="preserve">.  More than one can be </w:t>
      </w:r>
      <w:r w:rsidR="00DC1DFF">
        <w:t>selected as applicable</w:t>
      </w:r>
      <w:r w:rsidR="00EF57F7">
        <w:t>.</w:t>
      </w:r>
    </w:p>
    <w:p w:rsidR="00705C3B" w:rsidRDefault="00705C3B" w:rsidP="002249A6">
      <w:pPr>
        <w:pStyle w:val="Heading1"/>
        <w:sectPr w:rsidR="00705C3B" w:rsidSect="00B4410E">
          <w:pgSz w:w="11906" w:h="16838" w:code="9"/>
          <w:pgMar w:top="1418" w:right="1134" w:bottom="1418" w:left="1418" w:header="567" w:footer="567" w:gutter="0"/>
          <w:cols w:space="720"/>
          <w:docGrid w:linePitch="272"/>
        </w:sectPr>
      </w:pPr>
    </w:p>
    <w:tbl>
      <w:tblPr>
        <w:tblStyle w:val="TableGrid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452"/>
      </w:tblGrid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lastRenderedPageBreak/>
              <w:t>Employer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Enterprise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Student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Individual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Skills Service Organisation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Industry Reference Committee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Training provider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Trade union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lastRenderedPageBreak/>
              <w:t>Regulator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Industry association or peak body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Employee association or peak body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Government body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Non-government body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>Statutory authority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  <w:tr w:rsidR="00705C3B" w:rsidRPr="002249A6" w:rsidTr="00C561A0">
        <w:trPr>
          <w:tblCellSpacing w:w="56" w:type="dxa"/>
        </w:trPr>
        <w:tc>
          <w:tcPr>
            <w:tcW w:w="3510" w:type="dxa"/>
            <w:vAlign w:val="center"/>
          </w:tcPr>
          <w:p w:rsidR="00705C3B" w:rsidRPr="002249A6" w:rsidRDefault="00705C3B" w:rsidP="00C561A0">
            <w:pPr>
              <w:pStyle w:val="table"/>
            </w:pPr>
            <w:r w:rsidRPr="002249A6">
              <w:t xml:space="preserve">Other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3B" w:rsidRPr="002249A6" w:rsidRDefault="00705C3B" w:rsidP="00C561A0">
            <w:pPr>
              <w:pStyle w:val="table"/>
            </w:pPr>
          </w:p>
        </w:tc>
      </w:tr>
    </w:tbl>
    <w:p w:rsidR="00705C3B" w:rsidRDefault="00705C3B" w:rsidP="00705C3B">
      <w:pPr>
        <w:pStyle w:val="Heading1"/>
        <w:sectPr w:rsidR="00705C3B" w:rsidSect="001F27AB">
          <w:type w:val="continuous"/>
          <w:pgSz w:w="11906" w:h="16838" w:code="9"/>
          <w:pgMar w:top="1418" w:right="1134" w:bottom="1418" w:left="1418" w:header="567" w:footer="567" w:gutter="0"/>
          <w:cols w:num="2" w:space="1418"/>
          <w:docGrid w:linePitch="272"/>
        </w:sectPr>
      </w:pPr>
    </w:p>
    <w:p w:rsidR="00705C3B" w:rsidRPr="00705C3B" w:rsidRDefault="00705C3B" w:rsidP="00705C3B">
      <w:pPr>
        <w:rPr>
          <w:rFonts w:eastAsia="Batang"/>
        </w:rPr>
      </w:pPr>
      <w:r>
        <w:lastRenderedPageBreak/>
        <w:br w:type="page"/>
      </w:r>
    </w:p>
    <w:p w:rsidR="003C303E" w:rsidRPr="00C568B3" w:rsidRDefault="003C303E" w:rsidP="002249A6">
      <w:pPr>
        <w:pStyle w:val="Heading1"/>
      </w:pPr>
      <w:r w:rsidRPr="00C568B3">
        <w:lastRenderedPageBreak/>
        <w:t xml:space="preserve">Part 2 – Industry Proposal </w:t>
      </w:r>
    </w:p>
    <w:p w:rsidR="003C303E" w:rsidRPr="00C568B3" w:rsidRDefault="003C303E" w:rsidP="002249A6">
      <w:pPr>
        <w:pStyle w:val="Heading2"/>
      </w:pPr>
      <w:r w:rsidRPr="00C568B3">
        <w:t xml:space="preserve">2.1. </w:t>
      </w:r>
      <w:r>
        <w:t xml:space="preserve">Skill or training need </w:t>
      </w:r>
      <w:r w:rsidRPr="00C568B3">
        <w:t>to be address</w:t>
      </w:r>
      <w:r>
        <w:t xml:space="preserve">ed </w:t>
      </w:r>
    </w:p>
    <w:p w:rsidR="005C6612" w:rsidRPr="005C6612" w:rsidRDefault="005C6612" w:rsidP="002249A6">
      <w:pPr>
        <w:pStyle w:val="ListParagraph"/>
        <w:numPr>
          <w:ilvl w:val="0"/>
          <w:numId w:val="6"/>
        </w:numPr>
      </w:pPr>
      <w:r w:rsidRPr="005C6612">
        <w:t>Short description of the skill or training package priority development need – the subject of the Industry Proposal.</w:t>
      </w:r>
    </w:p>
    <w:p w:rsidR="005C6612" w:rsidRDefault="005C6612" w:rsidP="002249A6">
      <w:pPr>
        <w:pStyle w:val="ListParagraph"/>
        <w:numPr>
          <w:ilvl w:val="0"/>
          <w:numId w:val="6"/>
        </w:numPr>
      </w:pPr>
      <w:r w:rsidRPr="005C6612">
        <w:t>Other important contextual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00D93" w:rsidTr="00705C3B">
        <w:trPr>
          <w:trHeight w:val="2552"/>
        </w:trPr>
        <w:tc>
          <w:tcPr>
            <w:tcW w:w="9570" w:type="dxa"/>
          </w:tcPr>
          <w:p w:rsidR="00300D93" w:rsidRDefault="00300D93" w:rsidP="00300D93"/>
        </w:tc>
      </w:tr>
    </w:tbl>
    <w:p w:rsidR="003C303E" w:rsidRPr="00C568B3" w:rsidRDefault="003C303E" w:rsidP="002249A6">
      <w:pPr>
        <w:pStyle w:val="Heading2"/>
      </w:pPr>
      <w:r>
        <w:t>2.2</w:t>
      </w:r>
      <w:r w:rsidRPr="00C568B3">
        <w:t>. Rationale for addressing the issue via Industry Proposal</w:t>
      </w:r>
    </w:p>
    <w:p w:rsidR="005C6612" w:rsidRPr="005C6612" w:rsidRDefault="005C6612" w:rsidP="002249A6">
      <w:pPr>
        <w:pStyle w:val="ListParagraph"/>
        <w:numPr>
          <w:ilvl w:val="0"/>
          <w:numId w:val="7"/>
        </w:numPr>
      </w:pPr>
      <w:r w:rsidRPr="005C6612">
        <w:t>The reason for this work to be progressed as a priority.</w:t>
      </w:r>
    </w:p>
    <w:p w:rsidR="005C6612" w:rsidRPr="005C6612" w:rsidRDefault="005C6612" w:rsidP="002249A6">
      <w:pPr>
        <w:pStyle w:val="ListParagraph"/>
        <w:numPr>
          <w:ilvl w:val="0"/>
          <w:numId w:val="7"/>
        </w:numPr>
      </w:pPr>
      <w:r w:rsidRPr="005C6612">
        <w:t>Anticipated advantages and benefits for the economy, government, industry, enterprises, employers, individual, the VET sector and the broader community from the proposed development.</w:t>
      </w:r>
    </w:p>
    <w:p w:rsidR="005C6612" w:rsidRDefault="005C6612" w:rsidP="002249A6">
      <w:pPr>
        <w:pStyle w:val="ListParagraph"/>
        <w:numPr>
          <w:ilvl w:val="0"/>
          <w:numId w:val="7"/>
        </w:numPr>
      </w:pPr>
      <w:r w:rsidRPr="005C6612">
        <w:t>Relevant/possible licencing, legislative, regulatory or certification requirements, or industry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00D93" w:rsidTr="00705C3B">
        <w:trPr>
          <w:trHeight w:val="2552"/>
        </w:trPr>
        <w:tc>
          <w:tcPr>
            <w:tcW w:w="9570" w:type="dxa"/>
          </w:tcPr>
          <w:p w:rsidR="00300D93" w:rsidRDefault="00300D93" w:rsidP="00300D93"/>
        </w:tc>
      </w:tr>
    </w:tbl>
    <w:p w:rsidR="003C303E" w:rsidRPr="00C568B3" w:rsidRDefault="003C303E" w:rsidP="002249A6">
      <w:pPr>
        <w:pStyle w:val="Heading2"/>
      </w:pPr>
      <w:r>
        <w:t>2.3</w:t>
      </w:r>
      <w:r w:rsidRPr="00C568B3">
        <w:t>. Support for the Industry Proposal by stakeholders</w:t>
      </w:r>
    </w:p>
    <w:p w:rsidR="005C6612" w:rsidRPr="005C6612" w:rsidRDefault="005C6612" w:rsidP="002249A6">
      <w:pPr>
        <w:pStyle w:val="ListParagraph"/>
        <w:numPr>
          <w:ilvl w:val="0"/>
          <w:numId w:val="8"/>
        </w:numPr>
      </w:pPr>
      <w:r w:rsidRPr="005C6612">
        <w:t>Names of stakeholders consulted on the submission of this Industry Proposal, including states/territories and the relevant IRC and their views.</w:t>
      </w:r>
    </w:p>
    <w:p w:rsidR="005C6612" w:rsidRPr="005C6612" w:rsidRDefault="005C6612" w:rsidP="002249A6">
      <w:pPr>
        <w:pStyle w:val="ListParagraph"/>
        <w:numPr>
          <w:ilvl w:val="0"/>
          <w:numId w:val="8"/>
        </w:numPr>
      </w:pPr>
      <w:r w:rsidRPr="005C6612">
        <w:t>Details of any stakeholder objections.</w:t>
      </w:r>
    </w:p>
    <w:p w:rsidR="00FD16BC" w:rsidRDefault="005C6612" w:rsidP="002249A6">
      <w:pPr>
        <w:pStyle w:val="ListParagraph"/>
        <w:numPr>
          <w:ilvl w:val="0"/>
          <w:numId w:val="8"/>
        </w:numPr>
      </w:pPr>
      <w:r w:rsidRPr="005C6612">
        <w:t>Sensitivities.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00D93" w:rsidTr="00705C3B">
        <w:trPr>
          <w:trHeight w:val="2552"/>
        </w:trPr>
        <w:tc>
          <w:tcPr>
            <w:tcW w:w="9570" w:type="dxa"/>
          </w:tcPr>
          <w:p w:rsidR="00300D93" w:rsidRDefault="00300D93" w:rsidP="00300D93"/>
        </w:tc>
      </w:tr>
    </w:tbl>
    <w:p w:rsidR="00300D93" w:rsidRPr="00300D93" w:rsidRDefault="00300D93" w:rsidP="00300D93"/>
    <w:sectPr w:rsidR="00300D93" w:rsidRPr="00300D93" w:rsidSect="00705C3B">
      <w:type w:val="continuous"/>
      <w:pgSz w:w="11906" w:h="16838" w:code="9"/>
      <w:pgMar w:top="1418" w:right="1134" w:bottom="1418" w:left="1418" w:header="567" w:footer="56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213"/>
    <w:multiLevelType w:val="hybridMultilevel"/>
    <w:tmpl w:val="3D8817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AB5066"/>
    <w:multiLevelType w:val="hybridMultilevel"/>
    <w:tmpl w:val="516AC6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CE68F5"/>
    <w:multiLevelType w:val="hybridMultilevel"/>
    <w:tmpl w:val="BD04BE52"/>
    <w:lvl w:ilvl="0" w:tplc="91F273B8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>
    <w:nsid w:val="404B3F67"/>
    <w:multiLevelType w:val="hybridMultilevel"/>
    <w:tmpl w:val="064A9D64"/>
    <w:lvl w:ilvl="0" w:tplc="91F273B8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  <w:color w:val="auto"/>
        <w:sz w:val="20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>
    <w:nsid w:val="46F57A34"/>
    <w:multiLevelType w:val="hybridMultilevel"/>
    <w:tmpl w:val="F9420584"/>
    <w:lvl w:ilvl="0" w:tplc="91F273B8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  <w:color w:val="auto"/>
        <w:sz w:val="20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>
    <w:nsid w:val="5A42532C"/>
    <w:multiLevelType w:val="hybridMultilevel"/>
    <w:tmpl w:val="B7C2345A"/>
    <w:lvl w:ilvl="0" w:tplc="91F273B8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6">
    <w:nsid w:val="5D4F7B96"/>
    <w:multiLevelType w:val="hybridMultilevel"/>
    <w:tmpl w:val="16064A02"/>
    <w:lvl w:ilvl="0" w:tplc="91F273B8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  <w:color w:val="auto"/>
        <w:sz w:val="20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>
    <w:nsid w:val="6E712AD3"/>
    <w:multiLevelType w:val="hybridMultilevel"/>
    <w:tmpl w:val="2876AA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3E"/>
    <w:rsid w:val="00047481"/>
    <w:rsid w:val="00060627"/>
    <w:rsid w:val="001F27AB"/>
    <w:rsid w:val="002249A6"/>
    <w:rsid w:val="00300D93"/>
    <w:rsid w:val="00375D36"/>
    <w:rsid w:val="003C303E"/>
    <w:rsid w:val="00513C88"/>
    <w:rsid w:val="00545ADD"/>
    <w:rsid w:val="005C6612"/>
    <w:rsid w:val="005D236C"/>
    <w:rsid w:val="006F1FBF"/>
    <w:rsid w:val="00705C3B"/>
    <w:rsid w:val="00737AB0"/>
    <w:rsid w:val="00997A30"/>
    <w:rsid w:val="00A35BAC"/>
    <w:rsid w:val="00B4410E"/>
    <w:rsid w:val="00C94F9D"/>
    <w:rsid w:val="00CD0483"/>
    <w:rsid w:val="00DC1DFF"/>
    <w:rsid w:val="00DD01AC"/>
    <w:rsid w:val="00E65DE5"/>
    <w:rsid w:val="00EF57F7"/>
    <w:rsid w:val="00FD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9A6"/>
    <w:pPr>
      <w:spacing w:after="120"/>
    </w:pPr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2249A6"/>
    <w:pPr>
      <w:keepNext/>
      <w:spacing w:before="240" w:after="60"/>
      <w:outlineLvl w:val="0"/>
    </w:pPr>
    <w:rPr>
      <w:rFonts w:asciiTheme="majorHAnsi" w:eastAsia="Batang" w:hAnsiTheme="majorHAnsi" w:cs="Arial"/>
      <w:b/>
      <w:bCs/>
      <w:color w:val="1B75BC" w:themeColor="text2"/>
      <w:sz w:val="26"/>
      <w:szCs w:val="26"/>
    </w:rPr>
  </w:style>
  <w:style w:type="paragraph" w:styleId="Heading2">
    <w:name w:val="heading 2"/>
    <w:basedOn w:val="Normal"/>
    <w:next w:val="Normal"/>
    <w:qFormat/>
    <w:rsid w:val="002249A6"/>
    <w:pPr>
      <w:keepNext/>
      <w:spacing w:before="240" w:after="60"/>
      <w:outlineLvl w:val="1"/>
    </w:pPr>
    <w:rPr>
      <w:rFonts w:asciiTheme="majorHAnsi" w:hAnsiTheme="majorHAnsi" w:cs="Arial"/>
      <w:b/>
      <w:bCs/>
      <w:iCs/>
      <w:color w:val="1B75BC" w:themeColor="text2"/>
      <w:sz w:val="24"/>
      <w:szCs w:val="24"/>
    </w:rPr>
  </w:style>
  <w:style w:type="paragraph" w:styleId="Heading3">
    <w:name w:val="heading 3"/>
    <w:basedOn w:val="Normal"/>
    <w:next w:val="Normal"/>
    <w:qFormat/>
    <w:rsid w:val="00FD16BC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NoSpacing">
    <w:name w:val="No Spacing"/>
    <w:link w:val="NoSpacingChar"/>
    <w:uiPriority w:val="1"/>
    <w:qFormat/>
    <w:rsid w:val="003C303E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aliases w:val="Bullet point,DDM Gen Text,L,List Paragraph - bullets,List Paragraph1,List Paragraph11,NFP GP Bulleted List,Recommendation,bullet point list,Dot point 1.5 line spacing,List Paragraph Number,Content descriptions,Bullet Point,Bullet points"/>
    <w:basedOn w:val="Normal"/>
    <w:link w:val="ListParagraphChar"/>
    <w:uiPriority w:val="34"/>
    <w:qFormat/>
    <w:rsid w:val="003C303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C303E"/>
    <w:rPr>
      <w:rFonts w:ascii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3C303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3C303E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Bullet point Char,DDM Gen Text Char,L Char,List Paragraph - bullets Char,List Paragraph1 Char,List Paragraph11 Char,NFP GP Bulleted List Char,Recommendation Char,bullet point list Char,Dot point 1.5 line spacing Char"/>
    <w:basedOn w:val="DefaultParagraphFont"/>
    <w:link w:val="ListParagraph"/>
    <w:uiPriority w:val="34"/>
    <w:locked/>
    <w:rsid w:val="003C303E"/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83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249A6"/>
    <w:pPr>
      <w:pBdr>
        <w:bottom w:val="single" w:sz="8" w:space="4" w:color="F58229" w:themeColor="accent1"/>
      </w:pBdr>
      <w:spacing w:after="300"/>
      <w:contextualSpacing/>
    </w:pPr>
    <w:rPr>
      <w:rFonts w:asciiTheme="majorHAnsi" w:eastAsiaTheme="majorEastAsia" w:hAnsiTheme="majorHAnsi" w:cstheme="majorBidi"/>
      <w:color w:val="1B75BC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9A6"/>
    <w:rPr>
      <w:rFonts w:asciiTheme="majorHAnsi" w:eastAsiaTheme="majorEastAsia" w:hAnsiTheme="majorHAnsi" w:cstheme="majorBidi"/>
      <w:color w:val="1B75BC" w:themeColor="text2"/>
      <w:spacing w:val="5"/>
      <w:kern w:val="28"/>
      <w:sz w:val="52"/>
      <w:szCs w:val="52"/>
      <w:lang w:eastAsia="en-US"/>
    </w:rPr>
  </w:style>
  <w:style w:type="paragraph" w:customStyle="1" w:styleId="table">
    <w:name w:val="table"/>
    <w:basedOn w:val="Normal"/>
    <w:link w:val="tableChar"/>
    <w:qFormat/>
    <w:rsid w:val="005C6612"/>
    <w:pPr>
      <w:spacing w:after="0"/>
      <w:contextualSpacing/>
    </w:pPr>
  </w:style>
  <w:style w:type="character" w:customStyle="1" w:styleId="tableChar">
    <w:name w:val="table Char"/>
    <w:basedOn w:val="DefaultParagraphFont"/>
    <w:link w:val="table"/>
    <w:rsid w:val="005C6612"/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9A6"/>
    <w:pPr>
      <w:spacing w:after="120"/>
    </w:pPr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2249A6"/>
    <w:pPr>
      <w:keepNext/>
      <w:spacing w:before="240" w:after="60"/>
      <w:outlineLvl w:val="0"/>
    </w:pPr>
    <w:rPr>
      <w:rFonts w:asciiTheme="majorHAnsi" w:eastAsia="Batang" w:hAnsiTheme="majorHAnsi" w:cs="Arial"/>
      <w:b/>
      <w:bCs/>
      <w:color w:val="1B75BC" w:themeColor="text2"/>
      <w:sz w:val="26"/>
      <w:szCs w:val="26"/>
    </w:rPr>
  </w:style>
  <w:style w:type="paragraph" w:styleId="Heading2">
    <w:name w:val="heading 2"/>
    <w:basedOn w:val="Normal"/>
    <w:next w:val="Normal"/>
    <w:qFormat/>
    <w:rsid w:val="002249A6"/>
    <w:pPr>
      <w:keepNext/>
      <w:spacing w:before="240" w:after="60"/>
      <w:outlineLvl w:val="1"/>
    </w:pPr>
    <w:rPr>
      <w:rFonts w:asciiTheme="majorHAnsi" w:hAnsiTheme="majorHAnsi" w:cs="Arial"/>
      <w:b/>
      <w:bCs/>
      <w:iCs/>
      <w:color w:val="1B75BC" w:themeColor="text2"/>
      <w:sz w:val="24"/>
      <w:szCs w:val="24"/>
    </w:rPr>
  </w:style>
  <w:style w:type="paragraph" w:styleId="Heading3">
    <w:name w:val="heading 3"/>
    <w:basedOn w:val="Normal"/>
    <w:next w:val="Normal"/>
    <w:qFormat/>
    <w:rsid w:val="00FD16BC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NoSpacing">
    <w:name w:val="No Spacing"/>
    <w:link w:val="NoSpacingChar"/>
    <w:uiPriority w:val="1"/>
    <w:qFormat/>
    <w:rsid w:val="003C303E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aliases w:val="Bullet point,DDM Gen Text,L,List Paragraph - bullets,List Paragraph1,List Paragraph11,NFP GP Bulleted List,Recommendation,bullet point list,Dot point 1.5 line spacing,List Paragraph Number,Content descriptions,Bullet Point,Bullet points"/>
    <w:basedOn w:val="Normal"/>
    <w:link w:val="ListParagraphChar"/>
    <w:uiPriority w:val="34"/>
    <w:qFormat/>
    <w:rsid w:val="003C303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C303E"/>
    <w:rPr>
      <w:rFonts w:ascii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3C303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3C303E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Bullet point Char,DDM Gen Text Char,L Char,List Paragraph - bullets Char,List Paragraph1 Char,List Paragraph11 Char,NFP GP Bulleted List Char,Recommendation Char,bullet point list Char,Dot point 1.5 line spacing Char"/>
    <w:basedOn w:val="DefaultParagraphFont"/>
    <w:link w:val="ListParagraph"/>
    <w:uiPriority w:val="34"/>
    <w:locked/>
    <w:rsid w:val="003C303E"/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83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249A6"/>
    <w:pPr>
      <w:pBdr>
        <w:bottom w:val="single" w:sz="8" w:space="4" w:color="F58229" w:themeColor="accent1"/>
      </w:pBdr>
      <w:spacing w:after="300"/>
      <w:contextualSpacing/>
    </w:pPr>
    <w:rPr>
      <w:rFonts w:asciiTheme="majorHAnsi" w:eastAsiaTheme="majorEastAsia" w:hAnsiTheme="majorHAnsi" w:cstheme="majorBidi"/>
      <w:color w:val="1B75BC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9A6"/>
    <w:rPr>
      <w:rFonts w:asciiTheme="majorHAnsi" w:eastAsiaTheme="majorEastAsia" w:hAnsiTheme="majorHAnsi" w:cstheme="majorBidi"/>
      <w:color w:val="1B75BC" w:themeColor="text2"/>
      <w:spacing w:val="5"/>
      <w:kern w:val="28"/>
      <w:sz w:val="52"/>
      <w:szCs w:val="52"/>
      <w:lang w:eastAsia="en-US"/>
    </w:rPr>
  </w:style>
  <w:style w:type="paragraph" w:customStyle="1" w:styleId="table">
    <w:name w:val="table"/>
    <w:basedOn w:val="Normal"/>
    <w:link w:val="tableChar"/>
    <w:qFormat/>
    <w:rsid w:val="005C6612"/>
    <w:pPr>
      <w:spacing w:after="0"/>
      <w:contextualSpacing/>
    </w:pPr>
  </w:style>
  <w:style w:type="character" w:customStyle="1" w:styleId="tableChar">
    <w:name w:val="table Char"/>
    <w:basedOn w:val="DefaultParagraphFont"/>
    <w:link w:val="table"/>
    <w:rsid w:val="005C6612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SCSecretariat@education.gov.au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AISC">
      <a:dk1>
        <a:sysClr val="windowText" lastClr="000000"/>
      </a:dk1>
      <a:lt1>
        <a:sysClr val="window" lastClr="FFFFFF"/>
      </a:lt1>
      <a:dk2>
        <a:srgbClr val="1B75BC"/>
      </a:dk2>
      <a:lt2>
        <a:srgbClr val="FFFFFF"/>
      </a:lt2>
      <a:accent1>
        <a:srgbClr val="F58229"/>
      </a:accent1>
      <a:accent2>
        <a:srgbClr val="1B75BC"/>
      </a:accent2>
      <a:accent3>
        <a:srgbClr val="FBB040"/>
      </a:accent3>
      <a:accent4>
        <a:srgbClr val="27AAE1"/>
      </a:accent4>
      <a:accent5>
        <a:srgbClr val="D7DF23"/>
      </a:accent5>
      <a:accent6>
        <a:srgbClr val="E94E1B"/>
      </a:accent6>
      <a:hlink>
        <a:srgbClr val="1F497D"/>
      </a:hlink>
      <a:folHlink>
        <a:srgbClr val="59595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24B5A5-86C9-4C9B-8D33-B567F89C686A}"/>
</file>

<file path=customXml/itemProps2.xml><?xml version="1.0" encoding="utf-8"?>
<ds:datastoreItem xmlns:ds="http://schemas.openxmlformats.org/officeDocument/2006/customXml" ds:itemID="{4B1D2BE3-D383-467A-A98C-65F085996852}"/>
</file>

<file path=customXml/itemProps3.xml><?xml version="1.0" encoding="utf-8"?>
<ds:datastoreItem xmlns:ds="http://schemas.openxmlformats.org/officeDocument/2006/customXml" ds:itemID="{B86CFDBB-ACFE-4B07-81F5-A5F5C26F9511}"/>
</file>

<file path=docProps/app.xml><?xml version="1.0" encoding="utf-8"?>
<Properties xmlns="http://schemas.openxmlformats.org/officeDocument/2006/extended-properties" xmlns:vt="http://schemas.openxmlformats.org/officeDocument/2006/docPropsVTypes">
  <Template>7C3F6FAD.dotm</Template>
  <TotalTime>0</TotalTime>
  <Pages>3</Pages>
  <Words>375</Words>
  <Characters>2395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 O'Hare</dc:creator>
  <cp:lastModifiedBy>Alana O'Hare</cp:lastModifiedBy>
  <cp:revision>2</cp:revision>
  <dcterms:created xsi:type="dcterms:W3CDTF">2017-02-14T22:14:00Z</dcterms:created>
  <dcterms:modified xsi:type="dcterms:W3CDTF">2017-02-14T22:14:00Z</dcterms:modified>
</cp:coreProperties>
</file>