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F3D91" w14:textId="77777777" w:rsidR="005214AB" w:rsidRPr="007370C0" w:rsidRDefault="005214AB" w:rsidP="00B0324D">
      <w:pPr>
        <w:pStyle w:val="Title"/>
      </w:pPr>
      <w:r w:rsidRPr="007370C0">
        <w:t>VET Workforce Blueprint Steering Group</w:t>
      </w:r>
    </w:p>
    <w:p w14:paraId="4969BEF0" w14:textId="77777777" w:rsidR="005214AB" w:rsidRPr="000E0812" w:rsidRDefault="005214AB" w:rsidP="00B0324D">
      <w:pPr>
        <w:pStyle w:val="Subtitle"/>
        <w:rPr>
          <w:rFonts w:eastAsiaTheme="majorEastAsia"/>
        </w:rPr>
      </w:pPr>
      <w:r w:rsidRPr="000E0812">
        <w:rPr>
          <w:rFonts w:eastAsiaTheme="majorEastAsia"/>
        </w:rPr>
        <w:t>Terms of Reference</w:t>
      </w:r>
    </w:p>
    <w:p w14:paraId="78CEE02A" w14:textId="77777777" w:rsidR="005214AB" w:rsidRPr="007370C0" w:rsidRDefault="005214AB" w:rsidP="005214AB">
      <w:pPr>
        <w:pStyle w:val="Heading1"/>
        <w:rPr>
          <w:rFonts w:asciiTheme="minorHAnsi" w:hAnsiTheme="minorHAnsi" w:cstheme="minorHAnsi"/>
          <w:color w:val="auto"/>
          <w:sz w:val="28"/>
          <w:szCs w:val="28"/>
        </w:rPr>
      </w:pPr>
      <w:r w:rsidRPr="007370C0">
        <w:t>Background</w:t>
      </w:r>
    </w:p>
    <w:p w14:paraId="337AA970" w14:textId="77777777" w:rsidR="005214AB" w:rsidRPr="007370C0" w:rsidRDefault="005214AB" w:rsidP="005214AB">
      <w:pPr>
        <w:spacing w:line="240" w:lineRule="auto"/>
        <w:rPr>
          <w:rStyle w:val="SubtleEmphasis"/>
          <w:i w:val="0"/>
          <w:iCs w:val="0"/>
        </w:rPr>
      </w:pPr>
      <w:r w:rsidRPr="007370C0">
        <w:rPr>
          <w:rFonts w:cstheme="minorHAnsi"/>
        </w:rPr>
        <w:t>In 2021 the vocational education and training (VET) workforce was responsible for skilling and upskilling over 4.3 million Australians, demonstrating the vital role it plays in educating and skilling Australia’s workforce. Like many industries across Australia, supply and retention issues are a significant concern facing the VET workforce, with registered training organisations under increasing pressure to attract and retain a skilled workforce, whilst building and supporting the capability of their existing workforce.</w:t>
      </w:r>
    </w:p>
    <w:p w14:paraId="03C30309" w14:textId="77777777" w:rsidR="005214AB" w:rsidRPr="007370C0" w:rsidRDefault="005214AB" w:rsidP="005214AB">
      <w:pPr>
        <w:spacing w:line="240" w:lineRule="auto"/>
      </w:pPr>
      <w:r w:rsidRPr="007370C0">
        <w:rPr>
          <w:rFonts w:cstheme="minorHAnsi"/>
        </w:rPr>
        <w:t>In recognition of these issues, following the September 2022 Jobs and Skills Summit, the Australian Government announced the development of a comprehensive VET Workforce Blueprint (the Blueprint), undertaken in collaboration with states and territories. At the Skills Ministers meeting on 7 October 2022, Skills Ministers agreed to proceed with the development of the Blueprint.</w:t>
      </w:r>
    </w:p>
    <w:p w14:paraId="6B581F79" w14:textId="77777777" w:rsidR="005214AB" w:rsidRPr="007370C0" w:rsidRDefault="005214AB" w:rsidP="005214AB">
      <w:pPr>
        <w:pStyle w:val="Heading1"/>
      </w:pPr>
      <w:r w:rsidRPr="007370C0">
        <w:t>Objectives of the VET Workforce Blueprint</w:t>
      </w:r>
    </w:p>
    <w:p w14:paraId="2EBC4F6E" w14:textId="77777777" w:rsidR="005214AB" w:rsidRPr="007370C0" w:rsidRDefault="005214AB" w:rsidP="005214AB">
      <w:pPr>
        <w:spacing w:line="240" w:lineRule="auto"/>
        <w:rPr>
          <w:rFonts w:cstheme="minorHAnsi"/>
        </w:rPr>
      </w:pPr>
      <w:r w:rsidRPr="007370C0">
        <w:rPr>
          <w:rFonts w:cstheme="minorHAnsi"/>
        </w:rPr>
        <w:t>The Blueprint will examine and identify effective strategies for:</w:t>
      </w:r>
    </w:p>
    <w:p w14:paraId="09400D26"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b/>
          <w:bCs/>
        </w:rPr>
        <w:t>Growing and diversifying the workforce</w:t>
      </w:r>
      <w:r w:rsidRPr="007370C0">
        <w:rPr>
          <w:rFonts w:cstheme="minorHAnsi"/>
        </w:rPr>
        <w:t xml:space="preserve"> – projecting workforce supply and demand, including regional distribution, the shortage of specialist roles and encouraging workforce diversity.</w:t>
      </w:r>
    </w:p>
    <w:p w14:paraId="79452AA4"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b/>
          <w:bCs/>
        </w:rPr>
        <w:t>Attraction</w:t>
      </w:r>
      <w:r w:rsidRPr="007370C0">
        <w:rPr>
          <w:rFonts w:cstheme="minorHAnsi"/>
        </w:rPr>
        <w:t xml:space="preserve"> – how to attract a high-quality VET workforce, including industry-experienced professionals, dual </w:t>
      </w:r>
      <w:proofErr w:type="gramStart"/>
      <w:r w:rsidRPr="007370C0">
        <w:rPr>
          <w:rFonts w:cstheme="minorHAnsi"/>
        </w:rPr>
        <w:t>professionals</w:t>
      </w:r>
      <w:proofErr w:type="gramEnd"/>
      <w:r w:rsidRPr="007370C0">
        <w:rPr>
          <w:rFonts w:cstheme="minorHAnsi"/>
        </w:rPr>
        <w:t xml:space="preserve"> and adult educators, as well as examining the barriers in place for entry to the VET workforce, and avenues to promote becoming a VET practitioner.</w:t>
      </w:r>
    </w:p>
    <w:p w14:paraId="6D81CC7D"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b/>
          <w:bCs/>
        </w:rPr>
        <w:t>Retention</w:t>
      </w:r>
      <w:r w:rsidRPr="007370C0">
        <w:rPr>
          <w:rFonts w:cstheme="minorHAnsi"/>
        </w:rPr>
        <w:t xml:space="preserve"> – identifying effective retention strategies, including examining the barriers to retention.</w:t>
      </w:r>
    </w:p>
    <w:p w14:paraId="278EBB71"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b/>
          <w:bCs/>
        </w:rPr>
        <w:t>Capability and career development</w:t>
      </w:r>
      <w:r w:rsidRPr="007370C0">
        <w:rPr>
          <w:rFonts w:cstheme="minorHAnsi"/>
        </w:rPr>
        <w:t xml:space="preserve"> – mapping career pathways and strategies to support career development and career progression, including support for building capability for a high-quality VET workforce, noting the diverse range of registered training organisations in the sector as well as the dynamic nature of employment in the VET workforce and the range of potential entry and exit points.</w:t>
      </w:r>
    </w:p>
    <w:p w14:paraId="29B9A469"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b/>
          <w:bCs/>
        </w:rPr>
        <w:t>Succession planning</w:t>
      </w:r>
      <w:r w:rsidRPr="007370C0">
        <w:rPr>
          <w:rFonts w:cstheme="minorHAnsi"/>
        </w:rPr>
        <w:t xml:space="preserve"> – support for the sector in the context of an ageing workforce, including methods to provide, and improve, continued opportunities for experienced industry professionals to enter and move between the VET workforce as a second or co-career, and potential changes in labour market needs.</w:t>
      </w:r>
    </w:p>
    <w:p w14:paraId="51E51920" w14:textId="77777777" w:rsidR="005214AB" w:rsidRPr="007370C0" w:rsidRDefault="005214AB" w:rsidP="005214AB">
      <w:pPr>
        <w:spacing w:line="240" w:lineRule="auto"/>
        <w:rPr>
          <w:rFonts w:cstheme="minorHAnsi"/>
          <w:sz w:val="24"/>
          <w:szCs w:val="24"/>
        </w:rPr>
      </w:pPr>
      <w:r w:rsidRPr="007370C0">
        <w:rPr>
          <w:rFonts w:cstheme="minorHAnsi"/>
        </w:rPr>
        <w:t>The Blueprint will identify immediate, medium, and long-term strategies to address issues facing the VET workforce. Early actions will be identified to provide immediate relief while more work on the comprehensive Blueprint is being undertaken to address the longer-term sustainability of the VET workforce.</w:t>
      </w:r>
    </w:p>
    <w:p w14:paraId="5D01B751" w14:textId="77777777" w:rsidR="005214AB" w:rsidRPr="007370C0" w:rsidRDefault="005214AB" w:rsidP="005214AB">
      <w:pPr>
        <w:pStyle w:val="Heading1"/>
      </w:pPr>
      <w:r w:rsidRPr="007370C0">
        <w:lastRenderedPageBreak/>
        <w:t>Establishment of the VET Workforce Steering Group</w:t>
      </w:r>
    </w:p>
    <w:p w14:paraId="25E27E56" w14:textId="77777777" w:rsidR="005214AB" w:rsidRPr="007370C0" w:rsidRDefault="005214AB" w:rsidP="005214AB">
      <w:pPr>
        <w:spacing w:line="240" w:lineRule="auto"/>
        <w:rPr>
          <w:rFonts w:cstheme="minorHAnsi"/>
        </w:rPr>
      </w:pPr>
      <w:r w:rsidRPr="007370C0">
        <w:rPr>
          <w:rFonts w:cstheme="minorHAnsi"/>
        </w:rPr>
        <w:t>To guide the development of the Blueprint, it was agreed by Skills Ministers that a steering group would be established. The primary focus of the VET Workforce Blueprint Steering Group (the Steering Group) is to provide strategic guidance, support, and high-level oversight to inform the development of the Blueprint, and it is not a decision-making body. The Steering Group will:</w:t>
      </w:r>
    </w:p>
    <w:p w14:paraId="7D156FE5"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consider and recommend immediate actions as well as longer term solutions to help alleviate pressures on the VET workforce in line with the scope of the </w:t>
      </w:r>
      <w:proofErr w:type="gramStart"/>
      <w:r w:rsidRPr="007370C0">
        <w:rPr>
          <w:rFonts w:cstheme="minorHAnsi"/>
        </w:rPr>
        <w:t>Blueprint</w:t>
      </w:r>
      <w:proofErr w:type="gramEnd"/>
    </w:p>
    <w:p w14:paraId="3A72AF69"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identify issues and risks that may have implications for the Blueprint’s success and how the impact of these could be </w:t>
      </w:r>
      <w:proofErr w:type="gramStart"/>
      <w:r w:rsidRPr="007370C0">
        <w:rPr>
          <w:rFonts w:cstheme="minorHAnsi"/>
        </w:rPr>
        <w:t>reduced</w:t>
      </w:r>
      <w:proofErr w:type="gramEnd"/>
    </w:p>
    <w:p w14:paraId="5CC01580"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draw upon and consider the learnings and analysis from commissioned work undertaken to support discussions around the development of the </w:t>
      </w:r>
      <w:proofErr w:type="gramStart"/>
      <w:r w:rsidRPr="007370C0">
        <w:rPr>
          <w:rFonts w:cstheme="minorHAnsi"/>
        </w:rPr>
        <w:t>Blueprint</w:t>
      </w:r>
      <w:proofErr w:type="gramEnd"/>
    </w:p>
    <w:p w14:paraId="5005BED8"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take into account the outcomes and discussions from consultations and roundtables to inform the </w:t>
      </w:r>
      <w:proofErr w:type="gramStart"/>
      <w:r w:rsidRPr="007370C0">
        <w:rPr>
          <w:rFonts w:cstheme="minorHAnsi"/>
        </w:rPr>
        <w:t>Blueprint</w:t>
      </w:r>
      <w:proofErr w:type="gramEnd"/>
    </w:p>
    <w:p w14:paraId="07773B2A"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seek input from membership base to determine appropriate solutions to the issues facing the VET </w:t>
      </w:r>
      <w:proofErr w:type="gramStart"/>
      <w:r w:rsidRPr="007370C0">
        <w:rPr>
          <w:rFonts w:cstheme="minorHAnsi"/>
        </w:rPr>
        <w:t>workforce</w:t>
      </w:r>
      <w:proofErr w:type="gramEnd"/>
    </w:p>
    <w:p w14:paraId="042573CF"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consider appropriate links with other education workforce strategies being </w:t>
      </w:r>
      <w:proofErr w:type="gramStart"/>
      <w:r w:rsidRPr="007370C0">
        <w:rPr>
          <w:rFonts w:cstheme="minorHAnsi"/>
        </w:rPr>
        <w:t>developed</w:t>
      </w:r>
      <w:proofErr w:type="gramEnd"/>
    </w:p>
    <w:p w14:paraId="2BD86C7F"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consider the interaction between the </w:t>
      </w:r>
      <w:r>
        <w:rPr>
          <w:rFonts w:cstheme="minorHAnsi"/>
        </w:rPr>
        <w:t xml:space="preserve">relevant provisions of the </w:t>
      </w:r>
      <w:r w:rsidRPr="007370C0">
        <w:rPr>
          <w:rFonts w:cstheme="minorHAnsi"/>
        </w:rPr>
        <w:t>Standards for RTOs and</w:t>
      </w:r>
      <w:r>
        <w:rPr>
          <w:rFonts w:cstheme="minorHAnsi"/>
        </w:rPr>
        <w:t xml:space="preserve"> </w:t>
      </w:r>
      <w:r w:rsidRPr="007370C0">
        <w:rPr>
          <w:rFonts w:cstheme="minorHAnsi"/>
        </w:rPr>
        <w:t xml:space="preserve">the VET </w:t>
      </w:r>
      <w:proofErr w:type="gramStart"/>
      <w:r w:rsidRPr="007370C0">
        <w:rPr>
          <w:rFonts w:cstheme="minorHAnsi"/>
        </w:rPr>
        <w:t>workforce</w:t>
      </w:r>
      <w:proofErr w:type="gramEnd"/>
    </w:p>
    <w:p w14:paraId="28C702A1"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consider linkages with the Foundation Skills Framework</w:t>
      </w:r>
    </w:p>
    <w:p w14:paraId="75BCA0B1"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consider linkages with industry and the importance of industry </w:t>
      </w:r>
      <w:proofErr w:type="gramStart"/>
      <w:r w:rsidRPr="007370C0">
        <w:rPr>
          <w:rFonts w:cstheme="minorHAnsi"/>
        </w:rPr>
        <w:t>currency</w:t>
      </w:r>
      <w:proofErr w:type="gramEnd"/>
    </w:p>
    <w:p w14:paraId="606DAE12"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reflect the varying workforce needs of the diverse range of RTO types in the sector, including TAFEs, private and independent RTOs, dual sector institutions, enterprise RTOs, RTOs with a volunteer workforce, community-based RTOs, Aboriginal Community Controlled RTOs, and RTOs delivering training to senior secondary students, as well as consideration of the varied breadth and types of qualifications offered between </w:t>
      </w:r>
      <w:proofErr w:type="gramStart"/>
      <w:r w:rsidRPr="007370C0">
        <w:rPr>
          <w:rFonts w:cstheme="minorHAnsi"/>
        </w:rPr>
        <w:t>RTO</w:t>
      </w:r>
      <w:proofErr w:type="gramEnd"/>
      <w:r w:rsidRPr="007370C0">
        <w:rPr>
          <w:rFonts w:cstheme="minorHAnsi"/>
        </w:rPr>
        <w:t xml:space="preserve"> types </w:t>
      </w:r>
    </w:p>
    <w:p w14:paraId="6ABBC779"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advise on additional opportunities that may increase the Blueprint’s exposure and </w:t>
      </w:r>
      <w:proofErr w:type="gramStart"/>
      <w:r w:rsidRPr="007370C0">
        <w:rPr>
          <w:rFonts w:cstheme="minorHAnsi"/>
        </w:rPr>
        <w:t>impact</w:t>
      </w:r>
      <w:proofErr w:type="gramEnd"/>
    </w:p>
    <w:p w14:paraId="40E04C1E"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 xml:space="preserve">review the draft Blueprint and advise on any changes that may be needed prior to release of the consultation </w:t>
      </w:r>
      <w:proofErr w:type="gramStart"/>
      <w:r w:rsidRPr="007370C0">
        <w:rPr>
          <w:rFonts w:cstheme="minorHAnsi"/>
        </w:rPr>
        <w:t>draft</w:t>
      </w:r>
      <w:proofErr w:type="gramEnd"/>
    </w:p>
    <w:p w14:paraId="77D4E899" w14:textId="77777777" w:rsidR="005214AB" w:rsidRPr="007370C0" w:rsidRDefault="005214AB" w:rsidP="005214AB">
      <w:pPr>
        <w:pStyle w:val="ListParagraph"/>
        <w:numPr>
          <w:ilvl w:val="0"/>
          <w:numId w:val="17"/>
        </w:numPr>
        <w:spacing w:after="160" w:line="240" w:lineRule="auto"/>
        <w:ind w:left="714" w:hanging="357"/>
        <w:rPr>
          <w:rFonts w:cstheme="minorHAnsi"/>
        </w:rPr>
      </w:pPr>
      <w:r w:rsidRPr="007370C0">
        <w:rPr>
          <w:rFonts w:cstheme="minorHAnsi"/>
        </w:rPr>
        <w:t>promote the finalised Blueprint within each representative’s respective organisation, the wider VET sector and across industry.</w:t>
      </w:r>
    </w:p>
    <w:p w14:paraId="3DEC1D49" w14:textId="77777777" w:rsidR="005214AB" w:rsidRPr="007370C0" w:rsidRDefault="005214AB" w:rsidP="005214AB">
      <w:pPr>
        <w:spacing w:line="240" w:lineRule="auto"/>
        <w:rPr>
          <w:rFonts w:cstheme="minorHAnsi"/>
        </w:rPr>
      </w:pPr>
      <w:r w:rsidRPr="007370C0">
        <w:rPr>
          <w:rFonts w:cstheme="minorHAnsi"/>
        </w:rPr>
        <w:t>The Steering Group will have the opportunity to draw on relevant expertise as needed.</w:t>
      </w:r>
    </w:p>
    <w:p w14:paraId="262C3BFC" w14:textId="77777777" w:rsidR="005214AB" w:rsidRPr="007370C0" w:rsidRDefault="005214AB" w:rsidP="005214AB">
      <w:pPr>
        <w:pStyle w:val="Heading1"/>
      </w:pPr>
      <w:r w:rsidRPr="007370C0">
        <w:t>Membership</w:t>
      </w:r>
    </w:p>
    <w:p w14:paraId="0A05EA72" w14:textId="77777777" w:rsidR="005214AB" w:rsidRPr="007370C0" w:rsidRDefault="005214AB" w:rsidP="005214AB">
      <w:pPr>
        <w:spacing w:line="240" w:lineRule="auto"/>
        <w:rPr>
          <w:rFonts w:cstheme="minorHAnsi"/>
        </w:rPr>
      </w:pPr>
      <w:r w:rsidRPr="007370C0">
        <w:rPr>
          <w:rFonts w:cstheme="minorHAnsi"/>
        </w:rPr>
        <w:t>The Steering Group includes representation from the Commonwealth, states and territories, VET sector stakeholders, unions representing the VET workforce, and employer and union peak bodies.</w:t>
      </w:r>
    </w:p>
    <w:p w14:paraId="1FFFDE39" w14:textId="77777777" w:rsidR="005214AB" w:rsidRPr="007370C0" w:rsidRDefault="005214AB" w:rsidP="005214AB">
      <w:pPr>
        <w:pStyle w:val="Heading1"/>
      </w:pPr>
      <w:r w:rsidRPr="007370C0">
        <w:t xml:space="preserve">Governance </w:t>
      </w:r>
    </w:p>
    <w:p w14:paraId="35FCFD23" w14:textId="77777777" w:rsidR="005214AB" w:rsidRPr="007370C0" w:rsidRDefault="005214AB" w:rsidP="005214AB">
      <w:pPr>
        <w:spacing w:line="240" w:lineRule="auto"/>
        <w:rPr>
          <w:rFonts w:cstheme="minorHAnsi"/>
        </w:rPr>
      </w:pPr>
      <w:r w:rsidRPr="007370C0">
        <w:rPr>
          <w:rFonts w:cstheme="minorHAnsi"/>
        </w:rPr>
        <w:t xml:space="preserve">The Steering Group will meet approximately every two months during 2023. Meetings will be held online. Participation in the Steering Group is </w:t>
      </w:r>
      <w:proofErr w:type="gramStart"/>
      <w:r w:rsidRPr="007370C0">
        <w:rPr>
          <w:rFonts w:cstheme="minorHAnsi"/>
        </w:rPr>
        <w:t>voluntary</w:t>
      </w:r>
      <w:proofErr w:type="gramEnd"/>
      <w:r w:rsidRPr="007370C0">
        <w:rPr>
          <w:rFonts w:cstheme="minorHAnsi"/>
        </w:rPr>
        <w:t xml:space="preserve"> and members will not be renumerated. Members and the organisations they represent will be required to meet their own costs.</w:t>
      </w:r>
    </w:p>
    <w:p w14:paraId="4587E5AE" w14:textId="77777777" w:rsidR="005214AB" w:rsidRPr="007370C0" w:rsidRDefault="005214AB" w:rsidP="005214AB">
      <w:pPr>
        <w:spacing w:line="240" w:lineRule="auto"/>
        <w:rPr>
          <w:rFonts w:cstheme="minorHAnsi"/>
        </w:rPr>
      </w:pPr>
      <w:r w:rsidRPr="007370C0">
        <w:rPr>
          <w:rFonts w:cstheme="minorHAnsi"/>
        </w:rPr>
        <w:t>Members who are unable to attend meetings may nominate a suitable proxy attendee.</w:t>
      </w:r>
    </w:p>
    <w:p w14:paraId="0983265F" w14:textId="77777777" w:rsidR="005214AB" w:rsidRPr="007370C0" w:rsidRDefault="005214AB" w:rsidP="005214AB">
      <w:pPr>
        <w:spacing w:line="240" w:lineRule="auto"/>
        <w:rPr>
          <w:rFonts w:cstheme="minorHAnsi"/>
        </w:rPr>
      </w:pPr>
      <w:r w:rsidRPr="007370C0">
        <w:rPr>
          <w:rFonts w:cstheme="minorHAnsi"/>
        </w:rPr>
        <w:t>The Australian Government will chair the Steering Group and provide secretariat and administrative support.</w:t>
      </w:r>
    </w:p>
    <w:p w14:paraId="74B99635" w14:textId="62083FA4" w:rsidR="005214AB" w:rsidRDefault="005214AB" w:rsidP="004F5DC6">
      <w:pPr>
        <w:spacing w:line="240" w:lineRule="auto"/>
        <w:rPr>
          <w:rFonts w:cstheme="minorHAnsi"/>
        </w:rPr>
      </w:pPr>
      <w:r w:rsidRPr="007370C0">
        <w:rPr>
          <w:rFonts w:cstheme="minorHAnsi"/>
        </w:rPr>
        <w:t>All members of the Steering Group and any proxy attendees will be required to sign a Deed of Confidentiality.</w:t>
      </w:r>
      <w:r>
        <w:rPr>
          <w:rFonts w:cstheme="minorHAnsi"/>
        </w:rPr>
        <w:t xml:space="preserve"> </w:t>
      </w:r>
    </w:p>
    <w:sectPr w:rsidR="005214AB" w:rsidSect="007B76A0">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361" w:bottom="1418" w:left="1361"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5C3B6" w14:textId="77777777" w:rsidR="00317FC3" w:rsidRDefault="00317FC3" w:rsidP="0051352E">
      <w:pPr>
        <w:spacing w:after="0" w:line="240" w:lineRule="auto"/>
      </w:pPr>
      <w:r>
        <w:separator/>
      </w:r>
    </w:p>
  </w:endnote>
  <w:endnote w:type="continuationSeparator" w:id="0">
    <w:p w14:paraId="2479EAC2" w14:textId="77777777" w:rsidR="00317FC3" w:rsidRDefault="00317FC3"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34267" w14:textId="77777777" w:rsidR="00E36EF8" w:rsidRDefault="00E36E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FC0874" w14:textId="1381267D" w:rsidR="00662A42" w:rsidRDefault="00662A42">
    <w:pPr>
      <w:pStyle w:val="Footer"/>
    </w:pPr>
    <w:r>
      <w:rPr>
        <w:noProof/>
      </w:rPr>
      <mc:AlternateContent>
        <mc:Choice Requires="wps">
          <w:drawing>
            <wp:anchor distT="0" distB="0" distL="114300" distR="114300" simplePos="0" relativeHeight="251659264" behindDoc="0" locked="0" layoutInCell="1" allowOverlap="1" wp14:anchorId="5CAE4294" wp14:editId="27059DC9">
              <wp:simplePos x="0" y="0"/>
              <wp:positionH relativeFrom="page">
                <wp:posOffset>0</wp:posOffset>
              </wp:positionH>
              <wp:positionV relativeFrom="paragraph">
                <wp:posOffset>419784</wp:posOffset>
              </wp:positionV>
              <wp:extent cx="7560000" cy="198000"/>
              <wp:effectExtent l="0" t="0" r="0" b="5715"/>
              <wp:wrapNone/>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0E230" id="Rectangle 5" o:spid="_x0000_s1026" alt="&quot;&quot;" style="position:absolute;margin-left:0;margin-top:33.05pt;width:595.3pt;height:15.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cS97WN0A&#10;AAAHAQAADwAAAGRycy9kb3ducmV2LnhtbEyPwU7DMBBE70j8g7VI3KiTIgUSsqlCqwrEiRYOHN14&#10;G0fE6yh2m/D3uCc4jmY086ZczbYXZxp95xghXSQgiBunO24RPj+2d48gfFCsVe+YEH7Iw6q6vipV&#10;od3EOzrvQytiCftCIZgQhkJK3xiyyi/cQBy9oxutClGOrdSjmmK57eUySTJpVcdxwaiB1oaa7/3J&#10;Ihyp3ixfv55rOdV5+vYymN32fUa8vZnrJxCB5vAXhgt+RIcqMh3cibUXPUI8EhCyLAVxcdM8yUAc&#10;EPKHe5BVKf/zV78AAAD//wMAUEsBAi0AFAAGAAgAAAAhALaDOJL+AAAA4QEAABMAAAAAAAAAAAAA&#10;AAAAAAAAAFtDb250ZW50X1R5cGVzXS54bWxQSwECLQAUAAYACAAAACEAOP0h/9YAAACUAQAACwAA&#10;AAAAAAAAAAAAAAAvAQAAX3JlbHMvLnJlbHNQSwECLQAUAAYACAAAACEAssmFwngCAABfBQAADgAA&#10;AAAAAAAAAAAAAAAuAgAAZHJzL2Uyb0RvYy54bWxQSwECLQAUAAYACAAAACEAcS97WN0AAAAHAQAA&#10;DwAAAAAAAAAAAAAAAADSBAAAZHJzL2Rvd25yZXYueG1sUEsFBgAAAAAEAAQA8wAAANwFAAAAAA==&#10;" fillcolor="#404246" stroked="f" strokeweight="1pt">
              <w10:wrap anchorx="page"/>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251" w14:textId="724AA478" w:rsidR="00662A42" w:rsidRDefault="00662A42">
    <w:pPr>
      <w:pStyle w:val="Footer"/>
    </w:pPr>
    <w:r>
      <w:rPr>
        <w:noProof/>
      </w:rPr>
      <mc:AlternateContent>
        <mc:Choice Requires="wps">
          <w:drawing>
            <wp:anchor distT="0" distB="0" distL="114300" distR="114300" simplePos="0" relativeHeight="251657216" behindDoc="0" locked="0" layoutInCell="1" allowOverlap="1" wp14:anchorId="3494854F" wp14:editId="5A637210">
              <wp:simplePos x="0" y="0"/>
              <wp:positionH relativeFrom="page">
                <wp:posOffset>0</wp:posOffset>
              </wp:positionH>
              <wp:positionV relativeFrom="paragraph">
                <wp:posOffset>415974</wp:posOffset>
              </wp:positionV>
              <wp:extent cx="7560000" cy="198000"/>
              <wp:effectExtent l="0" t="0" r="0" b="5715"/>
              <wp:wrapNone/>
              <wp:docPr id="4" name="Rectangle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560000" cy="198000"/>
                      </a:xfrm>
                      <a:prstGeom prst="rect">
                        <a:avLst/>
                      </a:prstGeom>
                      <a:solidFill>
                        <a:srgbClr val="4042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15A838" id="Rectangle 4" o:spid="_x0000_s1026" alt="&quot;&quot;" style="position:absolute;margin-left:0;margin-top:32.75pt;width:595.3pt;height:15.6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YXCeAIAAF8FAAAOAAAAZHJzL2Uyb0RvYy54bWysVEtv2zAMvg/YfxB0X+0E6SuoUwQpMgwo&#10;2mLp0LMiS7EBWdQoJU7260fJjtO1xQ7DfJBJkfz4EMmb231j2E6hr8EWfHSWc6ashLK2m4L/eF5+&#10;ueLMB2FLYcCqgh+U57ezz59uWjdVY6jAlAoZgVg/bV3BqxDcNMu8rFQj/Bk4ZUmoARsRiMVNVqJo&#10;Cb0x2TjPL7IWsHQIUnlPt3edkM8SvtZKhketvQrMFJxiC+nEdK7jmc1uxHSDwlW17MMQ/xBFI2pL&#10;TgeoOxEE22L9DqqpJYIHHc4kNBloXUuVcqBsRvmbbFaVcCrlQsXxbiiT/3+w8mG3ck9IZWidn3oi&#10;YxZ7jU38U3xsn4p1GIql9oFJurw8v8jp40ySbHR9FWmCyU7WDn34qqBhkSg40mOkGondvQ+d6lEl&#10;OvNg6nJZG5MY3KwXBtlO0MNN8sl4ctGj/6FmbFS2EM06xHiTnXJJVDgYFfWM/a40q0uKfpwiSW2m&#10;Bj9CSmXDqBNVolSd+/OUZwc/WKRME2BE1uR/wO4BYgu/x+5gev1oqlKXDsb53wLrjAeL5BlsGIyb&#10;2gJ+BGAoq95zp38sUleaWKU1lIcnZAjdjHgnlzW9273w4UkgDQU9NQ16eKRDG2gLDj3FWQX466P7&#10;qE+9SlLOWhqygvufW4GKM/PNUhdfjyaTOJWJmZxfjonB15L1a4ndNgugdhjRSnEykVE/mCOpEZoX&#10;2gfz6JVEwkryXXAZ8MgsQjf8tFGkms+TGk2iE+HerpyM4LGqsS+f9y8CXd+8gdr+AY4DKaZverjT&#10;jZYW5tsAuk4NfqprX2+a4tQ4/caJa+I1n7ROe3H2GwAA//8DAFBLAwQUAAYACAAAACEADU/P990A&#10;AAAHAQAADwAAAGRycy9kb3ducmV2LnhtbEyPwU7DMBBE70j8g7VI3KiTSg0kZFMFUAXi1BYOHN14&#10;G0fE6yh2m/D3uCc4jmY086Zcz7YXZxp95xghXSQgiBunO24RPj82dw8gfFCsVe+YEH7Iw7q6vipV&#10;od3EOzrvQytiCftCIZgQhkJK3xiyyi/cQBy9oxutClGOrdSjmmK57eUySTJpVcdxwaiBng013/uT&#10;RThS/bJ8+3qq5VTn6fvrYHab7Yx4ezPXjyACzeEvDBf8iA5VZDq4E2sveoR4JCBkqxWIi5vmSQbi&#10;gJBn9yCrUv7nr34BAAD//wMAUEsBAi0AFAAGAAgAAAAhALaDOJL+AAAA4QEAABMAAAAAAAAAAAAA&#10;AAAAAAAAAFtDb250ZW50X1R5cGVzXS54bWxQSwECLQAUAAYACAAAACEAOP0h/9YAAACUAQAACwAA&#10;AAAAAAAAAAAAAAAvAQAAX3JlbHMvLnJlbHNQSwECLQAUAAYACAAAACEAssmFwngCAABfBQAADgAA&#10;AAAAAAAAAAAAAAAuAgAAZHJzL2Uyb0RvYy54bWxQSwECLQAUAAYACAAAACEADU/P990AAAAHAQAA&#10;DwAAAAAAAAAAAAAAAADSBAAAZHJzL2Rvd25yZXYueG1sUEsFBgAAAAAEAAQA8wAAANwFAAAAAA==&#10;" fillcolor="#404246" stroked="f" strokeweight="1pt">
              <w10:wrap anchorx="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89BC9" w14:textId="77777777" w:rsidR="00317FC3" w:rsidRDefault="00317FC3" w:rsidP="0051352E">
      <w:pPr>
        <w:spacing w:after="0" w:line="240" w:lineRule="auto"/>
      </w:pPr>
      <w:r>
        <w:separator/>
      </w:r>
    </w:p>
  </w:footnote>
  <w:footnote w:type="continuationSeparator" w:id="0">
    <w:p w14:paraId="73E9BCF1" w14:textId="77777777" w:rsidR="00317FC3" w:rsidRDefault="00317FC3"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2639" w14:textId="77777777" w:rsidR="00E36EF8" w:rsidRDefault="00E36E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58EE" w14:textId="77777777" w:rsidR="00E36EF8" w:rsidRDefault="00E36E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70B81" w14:textId="77777777" w:rsidR="00E36EF8" w:rsidRDefault="00E36E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CA6FF0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CF43B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292D"/>
    <w:multiLevelType w:val="hybridMultilevel"/>
    <w:tmpl w:val="C8B45EE0"/>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3DFF2984"/>
    <w:multiLevelType w:val="hybridMultilevel"/>
    <w:tmpl w:val="74C630A6"/>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5BAE7079"/>
    <w:multiLevelType w:val="hybridMultilevel"/>
    <w:tmpl w:val="3FA27EE4"/>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6" w15:restartNumberingAfterBreak="0">
    <w:nsid w:val="66C155C0"/>
    <w:multiLevelType w:val="hybridMultilevel"/>
    <w:tmpl w:val="F2289CC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16cid:durableId="157313132">
    <w:abstractNumId w:val="9"/>
  </w:num>
  <w:num w:numId="2" w16cid:durableId="1934312721">
    <w:abstractNumId w:val="7"/>
  </w:num>
  <w:num w:numId="3" w16cid:durableId="1820149133">
    <w:abstractNumId w:val="6"/>
  </w:num>
  <w:num w:numId="4" w16cid:durableId="1488744739">
    <w:abstractNumId w:val="5"/>
  </w:num>
  <w:num w:numId="5" w16cid:durableId="2091270156">
    <w:abstractNumId w:val="4"/>
  </w:num>
  <w:num w:numId="6" w16cid:durableId="756286089">
    <w:abstractNumId w:val="8"/>
  </w:num>
  <w:num w:numId="7" w16cid:durableId="734207831">
    <w:abstractNumId w:val="3"/>
  </w:num>
  <w:num w:numId="8" w16cid:durableId="411974497">
    <w:abstractNumId w:val="2"/>
  </w:num>
  <w:num w:numId="9" w16cid:durableId="287514461">
    <w:abstractNumId w:val="1"/>
  </w:num>
  <w:num w:numId="10" w16cid:durableId="679548177">
    <w:abstractNumId w:val="0"/>
  </w:num>
  <w:num w:numId="11" w16cid:durableId="1369187872">
    <w:abstractNumId w:val="11"/>
  </w:num>
  <w:num w:numId="12" w16cid:durableId="824249292">
    <w:abstractNumId w:val="12"/>
  </w:num>
  <w:num w:numId="13" w16cid:durableId="476191062">
    <w:abstractNumId w:val="13"/>
  </w:num>
  <w:num w:numId="14" w16cid:durableId="130876429">
    <w:abstractNumId w:val="15"/>
  </w:num>
  <w:num w:numId="15" w16cid:durableId="1865514218">
    <w:abstractNumId w:val="14"/>
  </w:num>
  <w:num w:numId="16" w16cid:durableId="162168681">
    <w:abstractNumId w:val="10"/>
  </w:num>
  <w:num w:numId="17" w16cid:durableId="61212887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BA4"/>
    <w:rsid w:val="00052BBC"/>
    <w:rsid w:val="00067075"/>
    <w:rsid w:val="000A3E3B"/>
    <w:rsid w:val="000A453D"/>
    <w:rsid w:val="000C6974"/>
    <w:rsid w:val="000E0812"/>
    <w:rsid w:val="00111085"/>
    <w:rsid w:val="0014539C"/>
    <w:rsid w:val="00157F35"/>
    <w:rsid w:val="001C44EF"/>
    <w:rsid w:val="00217EAB"/>
    <w:rsid w:val="0022498C"/>
    <w:rsid w:val="0022626C"/>
    <w:rsid w:val="002578F1"/>
    <w:rsid w:val="002724D0"/>
    <w:rsid w:val="002A7840"/>
    <w:rsid w:val="002B1CE5"/>
    <w:rsid w:val="002F4DB3"/>
    <w:rsid w:val="00317FC3"/>
    <w:rsid w:val="00350FFA"/>
    <w:rsid w:val="00382F07"/>
    <w:rsid w:val="003A2EFF"/>
    <w:rsid w:val="00414677"/>
    <w:rsid w:val="00414FB8"/>
    <w:rsid w:val="00453C04"/>
    <w:rsid w:val="00497764"/>
    <w:rsid w:val="004F5DC6"/>
    <w:rsid w:val="0051352E"/>
    <w:rsid w:val="00517DA7"/>
    <w:rsid w:val="00520A33"/>
    <w:rsid w:val="005214AB"/>
    <w:rsid w:val="00527AE4"/>
    <w:rsid w:val="0055569D"/>
    <w:rsid w:val="00596A88"/>
    <w:rsid w:val="005D7CE7"/>
    <w:rsid w:val="00610A38"/>
    <w:rsid w:val="00630DDF"/>
    <w:rsid w:val="00662A42"/>
    <w:rsid w:val="00663AB5"/>
    <w:rsid w:val="0068452B"/>
    <w:rsid w:val="00687CE8"/>
    <w:rsid w:val="006B0B39"/>
    <w:rsid w:val="006C6D87"/>
    <w:rsid w:val="006D154E"/>
    <w:rsid w:val="006E5D6E"/>
    <w:rsid w:val="007104FA"/>
    <w:rsid w:val="00721B03"/>
    <w:rsid w:val="00731D7D"/>
    <w:rsid w:val="007370C0"/>
    <w:rsid w:val="007570DC"/>
    <w:rsid w:val="007B1ABA"/>
    <w:rsid w:val="007B74C5"/>
    <w:rsid w:val="007B76A0"/>
    <w:rsid w:val="007F08E6"/>
    <w:rsid w:val="00834C7F"/>
    <w:rsid w:val="00842C50"/>
    <w:rsid w:val="00844236"/>
    <w:rsid w:val="008507C1"/>
    <w:rsid w:val="00861934"/>
    <w:rsid w:val="0086673E"/>
    <w:rsid w:val="008A5954"/>
    <w:rsid w:val="008E22BA"/>
    <w:rsid w:val="008F0AC9"/>
    <w:rsid w:val="00900F7F"/>
    <w:rsid w:val="0093473D"/>
    <w:rsid w:val="00944ECC"/>
    <w:rsid w:val="00972F57"/>
    <w:rsid w:val="009807DC"/>
    <w:rsid w:val="00995280"/>
    <w:rsid w:val="009F6C0E"/>
    <w:rsid w:val="00A03C0D"/>
    <w:rsid w:val="00A24E6E"/>
    <w:rsid w:val="00A429B1"/>
    <w:rsid w:val="00A43694"/>
    <w:rsid w:val="00A5117F"/>
    <w:rsid w:val="00A56FC7"/>
    <w:rsid w:val="00A668BF"/>
    <w:rsid w:val="00A72575"/>
    <w:rsid w:val="00A74071"/>
    <w:rsid w:val="00A754E4"/>
    <w:rsid w:val="00AA124A"/>
    <w:rsid w:val="00AA2A96"/>
    <w:rsid w:val="00AC11A1"/>
    <w:rsid w:val="00B0324D"/>
    <w:rsid w:val="00B100CC"/>
    <w:rsid w:val="00B456C5"/>
    <w:rsid w:val="00B56303"/>
    <w:rsid w:val="00B6689D"/>
    <w:rsid w:val="00B72368"/>
    <w:rsid w:val="00B9191F"/>
    <w:rsid w:val="00C52B2A"/>
    <w:rsid w:val="00C54D58"/>
    <w:rsid w:val="00C573E1"/>
    <w:rsid w:val="00C60222"/>
    <w:rsid w:val="00C736D3"/>
    <w:rsid w:val="00C93CC8"/>
    <w:rsid w:val="00C95DF6"/>
    <w:rsid w:val="00CC3BA4"/>
    <w:rsid w:val="00CF55FD"/>
    <w:rsid w:val="00D249FF"/>
    <w:rsid w:val="00D873F6"/>
    <w:rsid w:val="00DA1B7B"/>
    <w:rsid w:val="00DB79DF"/>
    <w:rsid w:val="00DD6E0E"/>
    <w:rsid w:val="00DE0402"/>
    <w:rsid w:val="00E02099"/>
    <w:rsid w:val="00E04C1E"/>
    <w:rsid w:val="00E36EF8"/>
    <w:rsid w:val="00E555E8"/>
    <w:rsid w:val="00E67289"/>
    <w:rsid w:val="00EA32F7"/>
    <w:rsid w:val="00EC6A53"/>
    <w:rsid w:val="00EC7B8A"/>
    <w:rsid w:val="00EE5EEB"/>
    <w:rsid w:val="00EF0707"/>
    <w:rsid w:val="00F13BE2"/>
    <w:rsid w:val="00F20521"/>
    <w:rsid w:val="00F230CD"/>
    <w:rsid w:val="00F51C18"/>
    <w:rsid w:val="00F86571"/>
    <w:rsid w:val="00FA31E2"/>
    <w:rsid w:val="00FB6477"/>
    <w:rsid w:val="00FF21E5"/>
    <w:rsid w:val="00FF5033"/>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7E4995"/>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C50"/>
    <w:pPr>
      <w:spacing w:after="200" w:line="276" w:lineRule="auto"/>
    </w:pPr>
  </w:style>
  <w:style w:type="paragraph" w:styleId="Heading1">
    <w:name w:val="heading 1"/>
    <w:basedOn w:val="Normal"/>
    <w:next w:val="Normal"/>
    <w:link w:val="Heading1Char"/>
    <w:uiPriority w:val="9"/>
    <w:qFormat/>
    <w:rsid w:val="00DE0402"/>
    <w:pPr>
      <w:keepNext/>
      <w:keepLines/>
      <w:spacing w:before="240" w:after="0"/>
      <w:outlineLvl w:val="0"/>
    </w:pPr>
    <w:rPr>
      <w:rFonts w:ascii="Calibri" w:eastAsiaTheme="majorEastAsia" w:hAnsi="Calibri" w:cstheme="majorBidi"/>
      <w:b/>
      <w:color w:val="404246"/>
      <w:sz w:val="32"/>
      <w:szCs w:val="32"/>
    </w:rPr>
  </w:style>
  <w:style w:type="paragraph" w:styleId="Heading2">
    <w:name w:val="heading 2"/>
    <w:basedOn w:val="Normal"/>
    <w:next w:val="Normal"/>
    <w:link w:val="Heading2Char"/>
    <w:uiPriority w:val="9"/>
    <w:unhideWhenUsed/>
    <w:qFormat/>
    <w:rsid w:val="00DE0402"/>
    <w:pPr>
      <w:keepNext/>
      <w:keepLines/>
      <w:spacing w:before="240" w:after="0"/>
      <w:outlineLvl w:val="1"/>
    </w:pPr>
    <w:rPr>
      <w:rFonts w:ascii="Calibri" w:eastAsiaTheme="majorEastAsia" w:hAnsi="Calibri" w:cstheme="majorBidi"/>
      <w:b/>
      <w:color w:val="404246"/>
      <w:sz w:val="30"/>
      <w:szCs w:val="26"/>
    </w:rPr>
  </w:style>
  <w:style w:type="paragraph" w:styleId="Heading3">
    <w:name w:val="heading 3"/>
    <w:basedOn w:val="Normal"/>
    <w:next w:val="Normal"/>
    <w:link w:val="Heading3Char"/>
    <w:uiPriority w:val="9"/>
    <w:unhideWhenUsed/>
    <w:qFormat/>
    <w:rsid w:val="00DE0402"/>
    <w:pPr>
      <w:keepNext/>
      <w:keepLines/>
      <w:spacing w:before="240" w:after="0"/>
      <w:outlineLvl w:val="2"/>
    </w:pPr>
    <w:rPr>
      <w:rFonts w:ascii="Calibri" w:eastAsiaTheme="majorEastAsia" w:hAnsi="Calibri" w:cstheme="majorBidi"/>
      <w:color w:val="000000" w:themeColor="text1"/>
      <w:sz w:val="28"/>
      <w:szCs w:val="24"/>
    </w:rPr>
  </w:style>
  <w:style w:type="paragraph" w:styleId="Heading4">
    <w:name w:val="heading 4"/>
    <w:basedOn w:val="Normal"/>
    <w:next w:val="Normal"/>
    <w:link w:val="Heading4Char"/>
    <w:uiPriority w:val="9"/>
    <w:unhideWhenUsed/>
    <w:qFormat/>
    <w:rsid w:val="00F51C18"/>
    <w:pPr>
      <w:keepNext/>
      <w:keepLines/>
      <w:spacing w:before="240" w:after="0"/>
      <w:outlineLvl w:val="3"/>
    </w:pPr>
    <w:rPr>
      <w:rFonts w:ascii="Calibri" w:eastAsiaTheme="majorEastAsia" w:hAnsi="Calibri" w:cstheme="majorBidi"/>
      <w:iCs/>
      <w:color w:val="5F6369"/>
      <w:sz w:val="26"/>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7"/>
    <w:qFormat/>
    <w:rsid w:val="00E36EF8"/>
    <w:pPr>
      <w:spacing w:before="1080" w:after="0"/>
    </w:pPr>
    <w:rPr>
      <w:rFonts w:ascii="Calibri" w:eastAsiaTheme="majorEastAsia" w:hAnsi="Calibri" w:cstheme="majorBidi"/>
      <w:b/>
      <w:color w:val="404246"/>
      <w:spacing w:val="-10"/>
      <w:kern w:val="28"/>
      <w:sz w:val="60"/>
      <w:szCs w:val="56"/>
    </w:rPr>
  </w:style>
  <w:style w:type="character" w:customStyle="1" w:styleId="TitleChar">
    <w:name w:val="Title Char"/>
    <w:basedOn w:val="DefaultParagraphFont"/>
    <w:link w:val="Title"/>
    <w:uiPriority w:val="7"/>
    <w:rsid w:val="00E36EF8"/>
    <w:rPr>
      <w:rFonts w:ascii="Calibri" w:eastAsiaTheme="majorEastAsia" w:hAnsi="Calibri" w:cstheme="majorBidi"/>
      <w:b/>
      <w:color w:val="404246"/>
      <w:spacing w:val="-10"/>
      <w:kern w:val="28"/>
      <w:sz w:val="60"/>
      <w:szCs w:val="56"/>
    </w:rPr>
  </w:style>
  <w:style w:type="paragraph" w:styleId="Subtitle">
    <w:name w:val="Subtitle"/>
    <w:basedOn w:val="Normal"/>
    <w:next w:val="Normal"/>
    <w:link w:val="SubtitleChar"/>
    <w:uiPriority w:val="8"/>
    <w:qFormat/>
    <w:rsid w:val="00DE0402"/>
    <w:pPr>
      <w:numPr>
        <w:ilvl w:val="1"/>
      </w:numPr>
      <w:spacing w:after="400"/>
    </w:pPr>
    <w:rPr>
      <w:rFonts w:ascii="Calibri" w:eastAsiaTheme="minorEastAsia" w:hAnsi="Calibri"/>
      <w:color w:val="404246"/>
      <w:spacing w:val="15"/>
      <w:sz w:val="40"/>
    </w:rPr>
  </w:style>
  <w:style w:type="character" w:customStyle="1" w:styleId="SubtitleChar">
    <w:name w:val="Subtitle Char"/>
    <w:basedOn w:val="DefaultParagraphFont"/>
    <w:link w:val="Subtitle"/>
    <w:uiPriority w:val="8"/>
    <w:rsid w:val="00DE0402"/>
    <w:rPr>
      <w:rFonts w:ascii="Calibri" w:eastAsiaTheme="minorEastAsia" w:hAnsi="Calibri"/>
      <w:color w:val="404246"/>
      <w:spacing w:val="15"/>
      <w:sz w:val="40"/>
    </w:rPr>
  </w:style>
  <w:style w:type="character" w:customStyle="1" w:styleId="Heading1Char">
    <w:name w:val="Heading 1 Char"/>
    <w:basedOn w:val="DefaultParagraphFont"/>
    <w:link w:val="Heading1"/>
    <w:uiPriority w:val="9"/>
    <w:rsid w:val="00DE0402"/>
    <w:rPr>
      <w:rFonts w:ascii="Calibri" w:eastAsiaTheme="majorEastAsia" w:hAnsi="Calibri" w:cstheme="majorBidi"/>
      <w:b/>
      <w:color w:val="404246"/>
      <w:sz w:val="32"/>
      <w:szCs w:val="32"/>
    </w:rPr>
  </w:style>
  <w:style w:type="character" w:customStyle="1" w:styleId="Heading2Char">
    <w:name w:val="Heading 2 Char"/>
    <w:basedOn w:val="DefaultParagraphFont"/>
    <w:link w:val="Heading2"/>
    <w:uiPriority w:val="9"/>
    <w:rsid w:val="00DE0402"/>
    <w:rPr>
      <w:rFonts w:ascii="Calibri" w:eastAsiaTheme="majorEastAsia" w:hAnsi="Calibri" w:cstheme="majorBidi"/>
      <w:b/>
      <w:color w:val="404246"/>
      <w:sz w:val="30"/>
      <w:szCs w:val="26"/>
    </w:rPr>
  </w:style>
  <w:style w:type="character" w:customStyle="1" w:styleId="Heading3Char">
    <w:name w:val="Heading 3 Char"/>
    <w:basedOn w:val="DefaultParagraphFont"/>
    <w:link w:val="Heading3"/>
    <w:uiPriority w:val="9"/>
    <w:rsid w:val="00DE0402"/>
    <w:rPr>
      <w:rFonts w:ascii="Calibri" w:eastAsiaTheme="majorEastAsia" w:hAnsi="Calibri" w:cstheme="majorBidi"/>
      <w:color w:val="000000" w:themeColor="text1"/>
      <w:sz w:val="28"/>
      <w:szCs w:val="24"/>
    </w:rPr>
  </w:style>
  <w:style w:type="character" w:customStyle="1" w:styleId="Heading4Char">
    <w:name w:val="Heading 4 Char"/>
    <w:basedOn w:val="DefaultParagraphFont"/>
    <w:link w:val="Heading4"/>
    <w:uiPriority w:val="9"/>
    <w:rsid w:val="00F51C18"/>
    <w:rPr>
      <w:rFonts w:ascii="Calibri" w:eastAsiaTheme="majorEastAsia" w:hAnsi="Calibri" w:cstheme="majorBidi"/>
      <w:iCs/>
      <w:color w:val="5F6369"/>
      <w:sz w:val="26"/>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595959" w:themeColor="text1" w:themeTint="A6"/>
    </w:rPr>
  </w:style>
  <w:style w:type="character" w:customStyle="1" w:styleId="QuoteChar">
    <w:name w:val="Quote Char"/>
    <w:basedOn w:val="DefaultParagraphFont"/>
    <w:link w:val="Quote"/>
    <w:uiPriority w:val="29"/>
    <w:rsid w:val="0022498C"/>
    <w:rPr>
      <w:iCs/>
      <w:color w:val="595959"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styleId="SubtleEmphasis">
    <w:name w:val="Subtle Emphasis"/>
    <w:basedOn w:val="DefaultParagraphFont"/>
    <w:uiPriority w:val="19"/>
    <w:qFormat/>
    <w:rsid w:val="004F5DC6"/>
    <w:rPr>
      <w:i/>
      <w:iCs/>
      <w:color w:val="000000"/>
    </w:rPr>
  </w:style>
  <w:style w:type="paragraph" w:styleId="Revision">
    <w:name w:val="Revision"/>
    <w:hidden/>
    <w:uiPriority w:val="99"/>
    <w:semiHidden/>
    <w:rsid w:val="002578F1"/>
    <w:pPr>
      <w:spacing w:after="0" w:line="240" w:lineRule="auto"/>
    </w:pPr>
  </w:style>
  <w:style w:type="character" w:styleId="CommentReference">
    <w:name w:val="annotation reference"/>
    <w:basedOn w:val="DefaultParagraphFont"/>
    <w:uiPriority w:val="99"/>
    <w:semiHidden/>
    <w:unhideWhenUsed/>
    <w:rsid w:val="00F86571"/>
    <w:rPr>
      <w:sz w:val="16"/>
      <w:szCs w:val="16"/>
    </w:rPr>
  </w:style>
  <w:style w:type="paragraph" w:styleId="CommentText">
    <w:name w:val="annotation text"/>
    <w:basedOn w:val="Normal"/>
    <w:link w:val="CommentTextChar"/>
    <w:uiPriority w:val="99"/>
    <w:unhideWhenUsed/>
    <w:rsid w:val="00F86571"/>
    <w:pPr>
      <w:spacing w:line="240" w:lineRule="auto"/>
    </w:pPr>
    <w:rPr>
      <w:sz w:val="20"/>
      <w:szCs w:val="20"/>
    </w:rPr>
  </w:style>
  <w:style w:type="character" w:customStyle="1" w:styleId="CommentTextChar">
    <w:name w:val="Comment Text Char"/>
    <w:basedOn w:val="DefaultParagraphFont"/>
    <w:link w:val="CommentText"/>
    <w:uiPriority w:val="99"/>
    <w:rsid w:val="00F86571"/>
    <w:rPr>
      <w:sz w:val="20"/>
      <w:szCs w:val="20"/>
    </w:rPr>
  </w:style>
  <w:style w:type="paragraph" w:styleId="CommentSubject">
    <w:name w:val="annotation subject"/>
    <w:basedOn w:val="CommentText"/>
    <w:next w:val="CommentText"/>
    <w:link w:val="CommentSubjectChar"/>
    <w:uiPriority w:val="99"/>
    <w:semiHidden/>
    <w:unhideWhenUsed/>
    <w:rsid w:val="00F86571"/>
    <w:rPr>
      <w:b/>
      <w:bCs/>
    </w:rPr>
  </w:style>
  <w:style w:type="character" w:customStyle="1" w:styleId="CommentSubjectChar">
    <w:name w:val="Comment Subject Char"/>
    <w:basedOn w:val="CommentTextChar"/>
    <w:link w:val="CommentSubject"/>
    <w:uiPriority w:val="99"/>
    <w:semiHidden/>
    <w:rsid w:val="00F8657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0106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DESE">
      <a:dk1>
        <a:sysClr val="windowText" lastClr="000000"/>
      </a:dk1>
      <a:lt1>
        <a:sysClr val="window" lastClr="FFFFFF"/>
      </a:lt1>
      <a:dk2>
        <a:srgbClr val="002D3F"/>
      </a:dk2>
      <a:lt2>
        <a:srgbClr val="E7E6E6"/>
      </a:lt2>
      <a:accent1>
        <a:srgbClr val="002D3F"/>
      </a:accent1>
      <a:accent2>
        <a:srgbClr val="F26322"/>
      </a:accent2>
      <a:accent3>
        <a:srgbClr val="008276"/>
      </a:accent3>
      <a:accent4>
        <a:srgbClr val="B6006A"/>
      </a:accent4>
      <a:accent5>
        <a:srgbClr val="E9A913"/>
      </a:accent5>
      <a:accent6>
        <a:srgbClr val="287DB2"/>
      </a:accent6>
      <a:hlink>
        <a:srgbClr val="008276"/>
      </a:hlink>
      <a:folHlink>
        <a:srgbClr val="002D3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72c3662-d489-4d5c-a678-b18c0e8aeb72">
      <Value>1980</Value>
      <Value>1999</Value>
      <Value>1976</Value>
      <Value>1996</Value>
    </TaxCatchAll>
    <idf49b01858c4ab7b49fec8a6554c79a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60f4875c-5740-43a9-8840-cfcba2da81bd</TermId>
        </TermInfo>
      </Terms>
    </idf49b01858c4ab7b49fec8a6554c79a>
    <pfc532bc3d924724be3e431fa8a34286 xmlns="e72c3662-d489-4d5c-a678-b18c0e8aeb72">
      <Terms xmlns="http://schemas.microsoft.com/office/infopath/2007/PartnerControls">
        <TermInfo xmlns="http://schemas.microsoft.com/office/infopath/2007/PartnerControls">
          <TermName xmlns="http://schemas.microsoft.com/office/infopath/2007/PartnerControls">template</TermName>
          <TermId xmlns="http://schemas.microsoft.com/office/infopath/2007/PartnerControls">9706ad1b-dfa6-4d44-b515-12d7e5bc9d3f</TermId>
        </TermInfo>
        <TermInfo xmlns="http://schemas.microsoft.com/office/infopath/2007/PartnerControls">
          <TermName xmlns="http://schemas.microsoft.com/office/infopath/2007/PartnerControls">Branding</TermName>
          <TermId xmlns="http://schemas.microsoft.com/office/infopath/2007/PartnerControls">0a1f5508-ce36-4b6e-9019-600efbc3632a</TermId>
        </TermInfo>
      </Terms>
    </pfc532bc3d924724be3e431fa8a34286>
    <la020d86e283469abb02d1589f8af8a1 xmlns="e72c3662-d489-4d5c-a678-b18c0e8aeb72">
      <Terms xmlns="http://schemas.microsoft.com/office/infopath/2007/PartnerControls">
        <TermInfo xmlns="http://schemas.microsoft.com/office/infopath/2007/PartnerControls">
          <TermName xmlns="http://schemas.microsoft.com/office/infopath/2007/PartnerControls">communication</TermName>
          <TermId xmlns="http://schemas.microsoft.com/office/infopath/2007/PartnerControls">9d5354d3-d1c2-4163-a4db-c06e4aa61e3a</TermId>
        </TermInfo>
      </Terms>
    </la020d86e283469abb02d1589f8af8a1>
    <ItemPublishedDate xmlns="e72c3662-d489-4d5c-a678-b18c0e8aeb72">2020-02-03T13:00:00+00:00</ItemPublishedDate>
    <DepartmentStream xmlns="ac66cff4-b0ee-4863-94d2-8c70a4f03800">DEWR</DepartmentStream>
    <PublishingExpirationDate xmlns="http://schemas.microsoft.com/sharepoint/v3" xsi:nil="true"/>
    <RoutingRuleDescription xmlns="http://schemas.microsoft.com/sharepoint/v3">DEWR A4 Factsheet Template - Portrait</RoutingRuleDescription>
    <PublishingStartDate xmlns="http://schemas.microsoft.com/sharepoint/v3" xsi:nil="true"/>
    <ItemSubFunction xmlns="e72c3662-d489-4d5c-a678-b18c0e8aeb72">Resources</ItemSubFunction>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A1FA163F83FC4DA7B02D4604972D30" ma:contentTypeVersion="24" ma:contentTypeDescription="Create a new document." ma:contentTypeScope="" ma:versionID="15958a470be7d947a878084565dfc47e">
  <xsd:schema xmlns:xsd="http://www.w3.org/2001/XMLSchema" xmlns:xs="http://www.w3.org/2001/XMLSchema" xmlns:p="http://schemas.microsoft.com/office/2006/metadata/properties" xmlns:ns1="http://schemas.microsoft.com/sharepoint/v3" xmlns:ns2="e72c3662-d489-4d5c-a678-b18c0e8aeb72" xmlns:ns4="ac66cff4-b0ee-4863-94d2-8c70a4f03800" targetNamespace="http://schemas.microsoft.com/office/2006/metadata/properties" ma:root="true" ma:fieldsID="808926beb015d8f9de558276722f4ade" ns1:_="" ns2:_="" ns4:_="">
    <xsd:import namespace="http://schemas.microsoft.com/sharepoint/v3"/>
    <xsd:import namespace="e72c3662-d489-4d5c-a678-b18c0e8aeb72"/>
    <xsd:import namespace="ac66cff4-b0ee-4863-94d2-8c70a4f03800"/>
    <xsd:element name="properties">
      <xsd:complexType>
        <xsd:sequence>
          <xsd:element name="documentManagement">
            <xsd:complexType>
              <xsd:all>
                <xsd:element ref="ns1:PublishingStartDate" minOccurs="0"/>
                <xsd:element ref="ns1:PublishingExpirationDate" minOccurs="0"/>
                <xsd:element ref="ns2:la020d86e283469abb02d1589f8af8a1" minOccurs="0"/>
                <xsd:element ref="ns2:TaxCatchAll" minOccurs="0"/>
                <xsd:element ref="ns2:TaxCatchAllLabel" minOccurs="0"/>
                <xsd:element ref="ns2:pfc532bc3d924724be3e431fa8a34286" minOccurs="0"/>
                <xsd:element ref="ns2:ItemPublishedDate" minOccurs="0"/>
                <xsd:element ref="ns2:ItemSubFunction" minOccurs="0"/>
                <xsd:element ref="ns2:idf49b01858c4ab7b49fec8a6554c79a" minOccurs="0"/>
                <xsd:element ref="ns1:RoutingRuleDescription" minOccurs="0"/>
                <xsd:element ref="ns4:DepartmentStream"/>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RoutingRuleDescription" ma:index="21" nillable="true" ma:displayName="Description" ma:description="" ma:internalName="Description0" ma:readOnly="fals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72c3662-d489-4d5c-a678-b18c0e8aeb72" elementFormDefault="qualified">
    <xsd:import namespace="http://schemas.microsoft.com/office/2006/documentManagement/types"/>
    <xsd:import namespace="http://schemas.microsoft.com/office/infopath/2007/PartnerControls"/>
    <xsd:element name="la020d86e283469abb02d1589f8af8a1" ma:index="10" ma:taxonomy="true" ma:internalName="la020d86e283469abb02d1589f8af8a1" ma:taxonomyFieldName="ItemFunction" ma:displayName="ItemFunction" ma:readOnly="false" ma:default="" ma:fieldId="{5a020d86-e283-469a-bb02-d1589f8af8a1}" ma:taxonomyMulti="true" ma:sspId="e520a5ab-959b-4497-846e-ecf021209760" ma:termSetId="500dca29-876a-49bd-b8dc-c6f280456533" ma:anchorId="00000000-0000-0000-0000-000000000000" ma:open="false" ma:isKeyword="false">
      <xsd:complexType>
        <xsd:sequence>
          <xsd:element ref="pc:Terms" minOccurs="0" maxOccurs="1"/>
        </xsd:sequence>
      </xsd:complexType>
    </xsd:element>
    <xsd:element name="TaxCatchAll" ma:index="11" nillable="true" ma:displayName="Taxonomy Catch All Column" ma:description="" ma:hidden="true" ma:list="{d6138047-387a-4e95-b03f-01c654819da7}" ma:internalName="TaxCatchAll" ma:showField="CatchAllData"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d6138047-387a-4e95-b03f-01c654819da7}" ma:internalName="TaxCatchAllLabel" ma:readOnly="true" ma:showField="CatchAllDataLabel" ma:web="e72c3662-d489-4d5c-a678-b18c0e8aeb72">
      <xsd:complexType>
        <xsd:complexContent>
          <xsd:extension base="dms:MultiChoiceLookup">
            <xsd:sequence>
              <xsd:element name="Value" type="dms:Lookup" maxOccurs="unbounded" minOccurs="0" nillable="true"/>
            </xsd:sequence>
          </xsd:extension>
        </xsd:complexContent>
      </xsd:complexType>
    </xsd:element>
    <xsd:element name="pfc532bc3d924724be3e431fa8a34286" ma:index="14" nillable="true" ma:taxonomy="true" ma:internalName="pfc532bc3d924724be3e431fa8a34286" ma:taxonomyFieldName="ItemKeywords" ma:displayName="ItemKeywords" ma:default="" ma:fieldId="{9fc532bc-3d92-4724-be3e-431fa8a34286}" ma:taxonomyMulti="true" ma:sspId="e520a5ab-959b-4497-846e-ecf021209760" ma:termSetId="52ec04fe-4771-452d-bd1c-6f9c996c5bd2" ma:anchorId="00000000-0000-0000-0000-000000000000" ma:open="true" ma:isKeyword="false">
      <xsd:complexType>
        <xsd:sequence>
          <xsd:element ref="pc:Terms" minOccurs="0" maxOccurs="1"/>
        </xsd:sequence>
      </xsd:complexType>
    </xsd:element>
    <xsd:element name="ItemPublishedDate" ma:index="16" nillable="true" ma:displayName="ItemPublishedDate" ma:format="DateOnly" ma:internalName="ItemPublishedDate">
      <xsd:simpleType>
        <xsd:restriction base="dms:DateTime"/>
      </xsd:simpleType>
    </xsd:element>
    <xsd:element name="ItemSubFunction" ma:index="17" nillable="true" ma:displayName="ItemSubFunction" ma:default="Resources" ma:format="Dropdown" ma:internalName="ItemSubFunction">
      <xsd:simpleType>
        <xsd:restriction base="dms:Choice">
          <xsd:enumeration value="Accounts Payable"/>
          <xsd:enumeration value="Advice and Support"/>
          <xsd:enumeration value="Approach to Market (ATM)/Tender Process"/>
          <xsd:enumeration value="Audit"/>
          <xsd:enumeration value="AusTender"/>
          <xsd:enumeration value="Branding"/>
          <xsd:enumeration value="Bullying and harassment"/>
          <xsd:enumeration value="Business continuity"/>
          <xsd:enumeration value="Case Study"/>
          <xsd:enumeration value="Child Safety"/>
          <xsd:enumeration value="Community of Practice"/>
          <xsd:enumeration value="Complaints"/>
          <xsd:enumeration value="4. Close Phase"/>
          <xsd:enumeration value="Communicate to the public"/>
          <xsd:enumeration value="Communicate to staff"/>
          <xsd:enumeration value="Confidentiality, Conflict of Interest, Probity and Risk"/>
          <xsd:enumeration value="Consultation"/>
          <xsd:enumeration value="Continuity"/>
          <xsd:enumeration value="Contracts"/>
          <xsd:enumeration value="Credit Card"/>
          <xsd:enumeration value="Delegated legislation"/>
          <xsd:enumeration value="Delegations and Authorisations Register"/>
          <xsd:enumeration value="Deregulation"/>
          <xsd:enumeration value="DEWR Resources"/>
          <xsd:enumeration value="Domestic and family violence support"/>
          <xsd:enumeration value="Domestic travel"/>
          <xsd:enumeration value="Education Credit Card"/>
          <xsd:enumeration value="Education Resources"/>
          <xsd:enumeration value="Education Travel"/>
          <xsd:enumeration value="Emergency"/>
          <xsd:enumeration value="Emergency plan and procedure"/>
          <xsd:enumeration value="Employee Responsibilities"/>
          <xsd:enumeration value="Employment Conditions"/>
          <xsd:enumeration value="Evaluation"/>
          <xsd:enumeration value="3. Execute Phase"/>
          <xsd:enumeration value="Financial Delegations"/>
          <xsd:enumeration value="Financial Framework (Supplementary Powers)"/>
          <xsd:enumeration value="Financial Viability"/>
          <xsd:enumeration value="Flexible working arrangements"/>
          <xsd:enumeration value="Forms and Templates"/>
          <xsd:enumeration value="Fraud"/>
          <xsd:enumeration value="General Procurement"/>
          <xsd:enumeration value="Good Receipting / Invoice Payments"/>
          <xsd:enumeration value="Grants"/>
          <xsd:enumeration value="Help guides"/>
          <xsd:enumeration value="HUB"/>
          <xsd:enumeration value="ICT"/>
          <xsd:enumeration value="Intellectual Property"/>
          <xsd:enumeration value="Ill or injured employees"/>
          <xsd:enumeration value="Indigenous Procurement Policy"/>
          <xsd:enumeration value="1. Initiate Phase"/>
          <xsd:enumeration value="Innovation"/>
          <xsd:enumeration value="Internal Communication"/>
          <xsd:enumeration value="International travel"/>
          <xsd:enumeration value="Intranet"/>
          <xsd:enumeration value="Leave"/>
          <xsd:enumeration value="Legislation Compliance"/>
          <xsd:enumeration value="Library"/>
          <xsd:enumeration value="Litigation"/>
          <xsd:enumeration value="Managing people concerns"/>
          <xsd:enumeration value="Media"/>
          <xsd:enumeration value="Non ICT Contractors"/>
          <xsd:enumeration value="Ombudsman"/>
          <xsd:enumeration value="Onboarding"/>
          <xsd:enumeration value="Other"/>
          <xsd:enumeration value="Outside work"/>
          <xsd:enumeration value="PDMS"/>
          <xsd:enumeration value="Performance development"/>
          <xsd:enumeration value="Pilot Program Management Framework"/>
          <xsd:enumeration value="Pilot Program Management Templates"/>
          <xsd:enumeration value="Placemats"/>
          <xsd:enumeration value="Policy Capability"/>
          <xsd:enumeration value="2. Plan Phase"/>
          <xsd:enumeration value="Practical Guide"/>
          <xsd:enumeration value="Primary legislation"/>
          <xsd:enumeration value="Privacy"/>
          <xsd:enumeration value="Probation"/>
          <xsd:enumeration value="Process Maps and Policies"/>
          <xsd:enumeration value="Procurement contracts"/>
          <xsd:enumeration value="Project Factsheets"/>
          <xsd:enumeration value="Project Management"/>
          <xsd:enumeration value="Project Management Framework"/>
          <xsd:enumeration value="Portfolio Project Office"/>
          <xsd:enumeration value="Recruitment"/>
          <xsd:enumeration value="Research and Analysis"/>
          <xsd:enumeration value="Resources"/>
          <xsd:enumeration value="Review of Action"/>
          <xsd:enumeration value="Risk"/>
          <xsd:enumeration value="Security"/>
          <xsd:enumeration value="Snapshots"/>
          <xsd:enumeration value="Social Media"/>
          <xsd:enumeration value="Stationery Orders"/>
          <xsd:enumeration value="Strategic Projects"/>
          <xsd:enumeration value="Strategic Papers"/>
          <xsd:enumeration value="Supporting employees with disability"/>
          <xsd:enumeration value="Tabling"/>
          <xsd:enumeration value="Template"/>
          <xsd:enumeration value="Travel"/>
          <xsd:enumeration value="Useful documents"/>
          <xsd:enumeration value="Web Publishing"/>
          <xsd:enumeration value="Work Health and Safety"/>
        </xsd:restriction>
      </xsd:simpleType>
    </xsd:element>
    <xsd:element name="idf49b01858c4ab7b49fec8a6554c79a" ma:index="18" nillable="true" ma:taxonomy="true" ma:internalName="idf49b01858c4ab7b49fec8a6554c79a" ma:taxonomyFieldName="ItemType" ma:displayName="ItemType" ma:default="" ma:fieldId="{2df49b01-858c-4ab7-b49f-ec8a6554c79a}" ma:sspId="e520a5ab-959b-4497-846e-ecf021209760" ma:termSetId="e61d93ee-2930-434d-a8ce-0180227df0fc"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c66cff4-b0ee-4863-94d2-8c70a4f03800" elementFormDefault="qualified">
    <xsd:import namespace="http://schemas.microsoft.com/office/2006/documentManagement/types"/>
    <xsd:import namespace="http://schemas.microsoft.com/office/infopath/2007/PartnerControls"/>
    <xsd:element name="DepartmentStream" ma:index="23" ma:displayName="Department Stream" ma:format="RadioButtons" ma:internalName="DepartmentStream" ma:readOnly="false">
      <xsd:simpleType>
        <xsd:restriction base="dms:Choice">
          <xsd:enumeration value="DEWR"/>
          <xsd:enumeration value="Education"/>
          <xsd:enumeration value="Both (ED &amp; DEWR)"/>
          <xsd:enumeration value="DE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0"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 ds:uri="e72c3662-d489-4d5c-a678-b18c0e8aeb72"/>
    <ds:schemaRef ds:uri="ac66cff4-b0ee-4863-94d2-8c70a4f03800"/>
    <ds:schemaRef ds:uri="http://schemas.microsoft.com/sharepoint/v3"/>
  </ds:schemaRefs>
</ds:datastoreItem>
</file>

<file path=customXml/itemProps2.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3.xml><?xml version="1.0" encoding="utf-8"?>
<ds:datastoreItem xmlns:ds="http://schemas.openxmlformats.org/officeDocument/2006/customXml" ds:itemID="{838063CB-09CF-4DB4-855D-B301AD731CBA}">
  <ds:schemaRefs>
    <ds:schemaRef ds:uri="http://schemas.openxmlformats.org/officeDocument/2006/bibliography"/>
  </ds:schemaRefs>
</ds:datastoreItem>
</file>

<file path=customXml/itemProps4.xml><?xml version="1.0" encoding="utf-8"?>
<ds:datastoreItem xmlns:ds="http://schemas.openxmlformats.org/officeDocument/2006/customXml" ds:itemID="{65DC8D87-84F3-4E1B-90AD-646CCA8F29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2c3662-d489-4d5c-a678-b18c0e8aeb72"/>
    <ds:schemaRef ds:uri="ac66cff4-b0ee-4863-94d2-8c70a4f038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DEWR A4 Factsheet Template - Portrait</vt:lpstr>
    </vt:vector>
  </TitlesOfParts>
  <Company/>
  <LinksUpToDate>false</LinksUpToDate>
  <CharactersWithSpaces>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VET Workforce Blueprint Steering Group Terms of Reference</dc:title>
  <dc:subject/>
  <dc:creator/>
  <cp:keywords>DEWR A4 Factsheet Template - Portrait</cp:keywords>
  <dc:description/>
  <cp:lastModifiedBy/>
  <cp:revision>1</cp:revision>
  <dcterms:created xsi:type="dcterms:W3CDTF">2023-08-15T03:35:00Z</dcterms:created>
  <dcterms:modified xsi:type="dcterms:W3CDTF">2023-08-15T03:36:00Z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0x01010079A1FA163F83FC4DA7B02D4604972D30</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