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DF74" w14:textId="77777777" w:rsidR="00B72AE6" w:rsidRDefault="009D530D" w:rsidP="00050305">
      <w:pPr>
        <w:pStyle w:val="FEGTitle"/>
      </w:pPr>
      <w:r>
        <w:rPr>
          <w:noProof/>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6719E9">
          <w:headerReference w:type="default" r:id="rId9"/>
          <w:footerReference w:type="default" r:id="rId10"/>
          <w:pgSz w:w="11906" w:h="16838"/>
          <w:pgMar w:top="992" w:right="1440" w:bottom="1021"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1">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73867D23" w14:textId="77777777" w:rsidR="009617CC" w:rsidRPr="00033C61" w:rsidRDefault="009617CC" w:rsidP="00033C61">
      <w:pPr>
        <w:pStyle w:val="Heading1"/>
      </w:pPr>
      <w:r w:rsidRPr="00033C61">
        <w:t>What assistance can FEG provide?</w:t>
      </w:r>
    </w:p>
    <w:p w14:paraId="097B9F87" w14:textId="3F4F09F2" w:rsidR="009617CC" w:rsidRPr="009617CC" w:rsidRDefault="009617CC" w:rsidP="009617CC">
      <w:pPr>
        <w:rPr>
          <w:rStyle w:val="Strong"/>
        </w:rPr>
      </w:pPr>
      <w:r w:rsidRPr="7FF1604A">
        <w:rPr>
          <w:rStyle w:val="Strong"/>
        </w:rPr>
        <w:t xml:space="preserve">This fact sheet provides information about what assistance is available under the Fair Entitlements Guarantee (FEG). </w:t>
      </w:r>
      <w:r w:rsidR="00F412E6" w:rsidRPr="7FF1604A">
        <w:rPr>
          <w:rStyle w:val="Strong"/>
        </w:rPr>
        <w:t>FEG is a legislative safety net scheme of last resort with assistance available for eligible employees.</w:t>
      </w:r>
      <w:r w:rsidR="091C7ACD" w:rsidRPr="7FF1604A">
        <w:rPr>
          <w:rStyle w:val="Strong"/>
        </w:rPr>
        <w:t xml:space="preserve"> </w:t>
      </w:r>
      <w:r w:rsidR="00F412E6" w:rsidRPr="7FF1604A">
        <w:rPr>
          <w:rStyle w:val="Strong"/>
        </w:rPr>
        <w:t xml:space="preserve">The scheme provides financial assistance to eligible employees who have lost their job due to the liquidation or bankruptcy of their employer and who are owed employee entitlements which are not able to be paid by their employer or from another source. </w:t>
      </w:r>
    </w:p>
    <w:p w14:paraId="336D6F81" w14:textId="77777777" w:rsidR="009617CC" w:rsidRPr="00563DB7" w:rsidRDefault="009617CC" w:rsidP="00563DB7">
      <w:pPr>
        <w:pStyle w:val="Heading2"/>
      </w:pPr>
      <w:r w:rsidRPr="00563DB7">
        <w:t>The FEG Act</w:t>
      </w:r>
    </w:p>
    <w:p w14:paraId="085B6E60" w14:textId="615A8405" w:rsidR="009617CC" w:rsidRPr="0015193C" w:rsidRDefault="009617CC" w:rsidP="00BD1727">
      <w:r w:rsidRPr="006152A3">
        <w:t xml:space="preserve">Decisions about eligibility for FEG assistance are made in accordance with the </w:t>
      </w:r>
      <w:hyperlink r:id="rId12" w:history="1">
        <w:r w:rsidRPr="00F412E6">
          <w:rPr>
            <w:rStyle w:val="Hyperlink"/>
            <w:i/>
          </w:rPr>
          <w:t>Fair Entitlements Guarantee Act 2012</w:t>
        </w:r>
      </w:hyperlink>
      <w:r w:rsidRPr="006152A3">
        <w:rPr>
          <w:i/>
        </w:rPr>
        <w:t xml:space="preserve"> </w:t>
      </w:r>
      <w:r w:rsidRPr="006152A3">
        <w:t>(FEG Act)</w:t>
      </w:r>
      <w:r>
        <w:t xml:space="preserve">. FEG </w:t>
      </w:r>
      <w:r w:rsidRPr="004744EE">
        <w:t>may apply to a person if their employer enters l</w:t>
      </w:r>
      <w:r>
        <w:t>iquidation or bankruptcy (known as an ‘insolvency event’) and the person has certain unpaid employment entitlements owing to them</w:t>
      </w:r>
      <w:r w:rsidRPr="004744EE">
        <w:t xml:space="preserve">. </w:t>
      </w:r>
      <w:r>
        <w:t xml:space="preserve"> For more information about eligibility requirements for FEG please refer</w:t>
      </w:r>
      <w:r w:rsidRPr="00D95D17">
        <w:t xml:space="preserve"> to the </w:t>
      </w:r>
      <w:hyperlink r:id="rId13" w:history="1">
        <w:r w:rsidRPr="003D72AC">
          <w:rPr>
            <w:rStyle w:val="Hyperlink"/>
          </w:rPr>
          <w:t>Eligibility for FEG assistance</w:t>
        </w:r>
      </w:hyperlink>
      <w:r w:rsidRPr="003D72AC">
        <w:t xml:space="preserve"> </w:t>
      </w:r>
      <w:r w:rsidRPr="00D95D17">
        <w:t xml:space="preserve">fact sheet available on the </w:t>
      </w:r>
      <w:hyperlink r:id="rId14" w:history="1">
        <w:r w:rsidRPr="003D72AC">
          <w:rPr>
            <w:rStyle w:val="Hyperlink"/>
          </w:rPr>
          <w:t>FEG website</w:t>
        </w:r>
      </w:hyperlink>
      <w:r w:rsidRPr="00D95D17">
        <w:t>.</w:t>
      </w:r>
    </w:p>
    <w:p w14:paraId="36A6096E" w14:textId="77777777" w:rsidR="009617CC" w:rsidRPr="00765609" w:rsidRDefault="009617CC" w:rsidP="00563DB7">
      <w:pPr>
        <w:pStyle w:val="Heading2"/>
      </w:pPr>
      <w:r w:rsidRPr="00765609">
        <w:t>What assistance is available?</w:t>
      </w:r>
    </w:p>
    <w:p w14:paraId="16CC880B" w14:textId="4CA25144" w:rsidR="00DE1F5A" w:rsidRPr="004230BD" w:rsidRDefault="009617CC" w:rsidP="00DE1F5A">
      <w:pPr>
        <w:rPr>
          <w:color w:val="000000" w:themeColor="text1"/>
        </w:rPr>
      </w:pPr>
      <w:bookmarkStart w:id="2" w:name="_Hlk116915879"/>
      <w:r>
        <w:t>Under the FEG Act, the Department</w:t>
      </w:r>
      <w:r w:rsidR="001D625E">
        <w:t xml:space="preserve"> of Employment and Workplace Relations</w:t>
      </w:r>
      <w:r>
        <w:t xml:space="preserve"> (the department) can pay what is </w:t>
      </w:r>
      <w:r w:rsidRPr="00AA5A30">
        <w:t xml:space="preserve">owed to you </w:t>
      </w:r>
      <w:r w:rsidRPr="00050305">
        <w:rPr>
          <w:u w:val="single"/>
        </w:rPr>
        <w:t>under your existing terms and conditions of employment</w:t>
      </w:r>
      <w:r>
        <w:t xml:space="preserve"> for the entitlements </w:t>
      </w:r>
      <w:r w:rsidR="00665EC5">
        <w:t xml:space="preserve">listed </w:t>
      </w:r>
      <w:r>
        <w:t xml:space="preserve">below. </w:t>
      </w:r>
      <w:r w:rsidR="00A46360">
        <w:rPr>
          <w:color w:val="000000" w:themeColor="text1"/>
        </w:rPr>
        <w:t>S</w:t>
      </w:r>
      <w:r w:rsidR="00DE1F5A" w:rsidRPr="004230BD">
        <w:rPr>
          <w:color w:val="000000" w:themeColor="text1"/>
        </w:rPr>
        <w:t>ome entitlements are subject to maximum thresholds</w:t>
      </w:r>
      <w:r w:rsidR="00332563">
        <w:rPr>
          <w:color w:val="000000" w:themeColor="text1"/>
        </w:rPr>
        <w:t xml:space="preserve"> as set out in the relevant sections (‘s.’) of the FEG Act</w:t>
      </w:r>
      <w:r w:rsidR="00DE1F5A" w:rsidRPr="004230BD">
        <w:rPr>
          <w:color w:val="000000" w:themeColor="text1"/>
        </w:rPr>
        <w:t>.</w:t>
      </w:r>
    </w:p>
    <w:bookmarkEnd w:id="2"/>
    <w:p w14:paraId="01BE8FCE" w14:textId="653FDAE1" w:rsidR="009617CC" w:rsidRPr="00157623" w:rsidRDefault="009617CC" w:rsidP="00157623">
      <w:pPr>
        <w:pStyle w:val="ListParagraph"/>
      </w:pPr>
      <w:r w:rsidRPr="00157623">
        <w:rPr>
          <w:b/>
          <w:bCs/>
        </w:rPr>
        <w:t>wages</w:t>
      </w:r>
      <w:r w:rsidRPr="00157623">
        <w:t xml:space="preserve"> – </w:t>
      </w:r>
      <w:r w:rsidR="009851CC">
        <w:t xml:space="preserve">up to </w:t>
      </w:r>
      <w:r w:rsidRPr="00157623">
        <w:t>13 weeks (see s. 5 and s. 24)</w:t>
      </w:r>
    </w:p>
    <w:p w14:paraId="069F9174" w14:textId="77777777" w:rsidR="009617CC" w:rsidRPr="00157623" w:rsidRDefault="009617CC" w:rsidP="00157623">
      <w:pPr>
        <w:pStyle w:val="ListParagraph"/>
      </w:pPr>
      <w:r w:rsidRPr="00157623">
        <w:rPr>
          <w:b/>
          <w:bCs/>
        </w:rPr>
        <w:t>annual leave</w:t>
      </w:r>
      <w:r w:rsidRPr="00157623">
        <w:t xml:space="preserve"> (see s. 20) </w:t>
      </w:r>
    </w:p>
    <w:p w14:paraId="329BCAC9" w14:textId="77777777" w:rsidR="009617CC" w:rsidRPr="00157623" w:rsidRDefault="009617CC" w:rsidP="00157623">
      <w:pPr>
        <w:pStyle w:val="ListParagraph"/>
      </w:pPr>
      <w:r w:rsidRPr="00157623">
        <w:rPr>
          <w:b/>
          <w:bCs/>
        </w:rPr>
        <w:t>long service leave</w:t>
      </w:r>
      <w:r w:rsidRPr="00157623">
        <w:t xml:space="preserve"> (see s. 21)</w:t>
      </w:r>
    </w:p>
    <w:p w14:paraId="1DBF61F8" w14:textId="5DBCCF0A" w:rsidR="009617CC" w:rsidRPr="00157623" w:rsidRDefault="009617CC" w:rsidP="00157623">
      <w:pPr>
        <w:pStyle w:val="ListParagraph"/>
      </w:pPr>
      <w:r w:rsidRPr="00157623">
        <w:rPr>
          <w:b/>
          <w:bCs/>
        </w:rPr>
        <w:t>payment in lieu of notice</w:t>
      </w:r>
      <w:r w:rsidRPr="00157623">
        <w:t xml:space="preserve"> – </w:t>
      </w:r>
      <w:r w:rsidR="009851CC">
        <w:t xml:space="preserve">up to </w:t>
      </w:r>
      <w:r w:rsidRPr="00157623">
        <w:t>5 weeks (see s. 22)</w:t>
      </w:r>
    </w:p>
    <w:p w14:paraId="521E3355" w14:textId="5AAA32D9" w:rsidR="009617CC" w:rsidRDefault="009617CC" w:rsidP="00157623">
      <w:pPr>
        <w:pStyle w:val="ListParagraph"/>
      </w:pPr>
      <w:r w:rsidRPr="00157623">
        <w:rPr>
          <w:b/>
          <w:bCs/>
        </w:rPr>
        <w:t>redundancy pay</w:t>
      </w:r>
      <w:r>
        <w:rPr>
          <w:b/>
        </w:rPr>
        <w:t xml:space="preserve"> </w:t>
      </w:r>
      <w:r w:rsidRPr="002D702C">
        <w:t xml:space="preserve">– </w:t>
      </w:r>
      <w:r w:rsidR="009851CC">
        <w:t xml:space="preserve">up to </w:t>
      </w:r>
      <w:r>
        <w:t>4 weeks per full year of service (see s. 23)</w:t>
      </w:r>
      <w:r w:rsidR="00F1712B">
        <w:t xml:space="preserve"> – note</w:t>
      </w:r>
      <w:r w:rsidR="00C07949">
        <w:t xml:space="preserve"> </w:t>
      </w:r>
      <w:r w:rsidR="00393081">
        <w:t>the</w:t>
      </w:r>
      <w:r w:rsidR="00F1712B">
        <w:t xml:space="preserve"> governing instrument</w:t>
      </w:r>
      <w:r w:rsidR="00C07949">
        <w:t xml:space="preserve"> that provides for your redundancy entitlement</w:t>
      </w:r>
      <w:r w:rsidR="00F1712B">
        <w:t xml:space="preserve"> may </w:t>
      </w:r>
      <w:r w:rsidR="00C141DB">
        <w:t xml:space="preserve">also </w:t>
      </w:r>
      <w:r w:rsidR="00F1712B">
        <w:t xml:space="preserve">specify an upper limit </w:t>
      </w:r>
    </w:p>
    <w:p w14:paraId="6BA429F7" w14:textId="17980144" w:rsidR="009617CC" w:rsidRDefault="009617CC" w:rsidP="00BD1727">
      <w:r>
        <w:t xml:space="preserve">FEG does not cover unpaid superannuation </w:t>
      </w:r>
      <w:r w:rsidR="00C141DB">
        <w:t>guarantee amounts</w:t>
      </w:r>
      <w:r>
        <w:t xml:space="preserve">. If you have unremitted superannuation </w:t>
      </w:r>
      <w:r w:rsidR="00C141DB">
        <w:t xml:space="preserve">guarantee amounts </w:t>
      </w:r>
      <w:r>
        <w:t>you should contact the insolvency practitioner managing your former employer’s affairs to discuss your rights as an employee creditor.</w:t>
      </w:r>
    </w:p>
    <w:p w14:paraId="35E2CB67" w14:textId="77777777" w:rsidR="009617CC" w:rsidRPr="00CA3D05" w:rsidRDefault="009617CC" w:rsidP="00563DB7">
      <w:pPr>
        <w:pStyle w:val="Heading2"/>
      </w:pPr>
      <w:r w:rsidRPr="00765609">
        <w:t xml:space="preserve">Working out the amount of </w:t>
      </w:r>
      <w:r>
        <w:t xml:space="preserve">assistance FEG will pay </w:t>
      </w:r>
    </w:p>
    <w:p w14:paraId="58A1FE4A" w14:textId="028690AD" w:rsidR="009617CC" w:rsidRPr="00BD1727" w:rsidRDefault="009617CC" w:rsidP="00BD1727">
      <w:pPr>
        <w:rPr>
          <w:spacing w:val="-4"/>
        </w:rPr>
      </w:pPr>
      <w:r w:rsidRPr="00BD1727">
        <w:rPr>
          <w:spacing w:val="-4"/>
        </w:rPr>
        <w:t xml:space="preserve">FEG assistance for unpaid entitlements is calculated based on your existing terms and conditions of employment </w:t>
      </w:r>
      <w:r w:rsidR="00BE7874">
        <w:rPr>
          <w:spacing w:val="-4"/>
        </w:rPr>
        <w:br/>
      </w:r>
      <w:r w:rsidRPr="00BD1727">
        <w:rPr>
          <w:spacing w:val="-4"/>
        </w:rPr>
        <w:t>(</w:t>
      </w:r>
      <w:proofErr w:type="spellStart"/>
      <w:r w:rsidRPr="00BD1727">
        <w:rPr>
          <w:spacing w:val="-4"/>
        </w:rPr>
        <w:t>eg</w:t>
      </w:r>
      <w:proofErr w:type="spellEnd"/>
      <w:r w:rsidRPr="00BD1727">
        <w:rPr>
          <w:spacing w:val="-4"/>
        </w:rPr>
        <w:t>: industrial award, enterprise agreement, contract of employment, National Employment Standard</w:t>
      </w:r>
      <w:r w:rsidR="00604E02">
        <w:rPr>
          <w:spacing w:val="-4"/>
        </w:rPr>
        <w:t>s</w:t>
      </w:r>
      <w:r w:rsidRPr="00BD1727">
        <w:rPr>
          <w:spacing w:val="-4"/>
        </w:rPr>
        <w:t>).</w:t>
      </w:r>
    </w:p>
    <w:p w14:paraId="59A54ED9" w14:textId="77777777" w:rsidR="009617CC" w:rsidRDefault="009617CC" w:rsidP="00BD1727">
      <w:pPr>
        <w:pStyle w:val="Leadin"/>
      </w:pPr>
      <w:r>
        <w:t>The department liaises with the insolvency practitioner managing the affairs of your employer to obtain as much information as possible on:</w:t>
      </w:r>
    </w:p>
    <w:p w14:paraId="35CEBF3D" w14:textId="77777777" w:rsidR="009617CC" w:rsidRPr="000271BF" w:rsidRDefault="009617CC" w:rsidP="000271BF">
      <w:pPr>
        <w:pStyle w:val="ListParagraph"/>
      </w:pPr>
      <w:r>
        <w:t xml:space="preserve">your </w:t>
      </w:r>
      <w:r w:rsidRPr="000271BF">
        <w:t>circumstances with the insolvent employer</w:t>
      </w:r>
    </w:p>
    <w:p w14:paraId="578B49EC" w14:textId="77777777" w:rsidR="009617CC" w:rsidRPr="000271BF" w:rsidRDefault="009617CC" w:rsidP="000271BF">
      <w:pPr>
        <w:pStyle w:val="ListParagraph"/>
      </w:pPr>
      <w:r w:rsidRPr="000271BF">
        <w:t>your salary/wage rate</w:t>
      </w:r>
    </w:p>
    <w:p w14:paraId="159FB682" w14:textId="77777777" w:rsidR="009617CC" w:rsidRPr="000271BF" w:rsidRDefault="009617CC" w:rsidP="000271BF">
      <w:pPr>
        <w:pStyle w:val="ListParagraph"/>
      </w:pPr>
      <w:r w:rsidRPr="000271BF">
        <w:t>what entitlements have been left unpaid</w:t>
      </w:r>
    </w:p>
    <w:p w14:paraId="0DFBD62C" w14:textId="02EFA95A" w:rsidR="000271BF" w:rsidRDefault="009617CC" w:rsidP="00050305">
      <w:pPr>
        <w:pStyle w:val="ListParagraph"/>
      </w:pPr>
      <w:r w:rsidRPr="000271BF">
        <w:t>whether your</w:t>
      </w:r>
      <w:r>
        <w:t xml:space="preserve"> employer has sufficient funds to pay those entitlements within a reasonable period.</w:t>
      </w:r>
      <w:r w:rsidR="000271BF">
        <w:br w:type="page"/>
      </w:r>
    </w:p>
    <w:p w14:paraId="6ADDA225" w14:textId="0B210CFC" w:rsidR="009617CC" w:rsidRPr="00D52C24" w:rsidRDefault="009617CC" w:rsidP="00BD1727">
      <w:r>
        <w:lastRenderedPageBreak/>
        <w:t xml:space="preserve">The department will not pay FEG assistance for amounts that you have already been paid or amounts that are payable by another party (see s. 19 of the FEG Act). For example, if you are entitled to redundancy pay and your employer contributed to an industry redundancy fund, your unpaid redundancy should be paid by that fund and will not be paid under FEG. Similar arrangements may apply in some states or </w:t>
      </w:r>
      <w:r w:rsidRPr="00D52C24">
        <w:t>industries for long service leave.</w:t>
      </w:r>
    </w:p>
    <w:p w14:paraId="53A2620C" w14:textId="77777777" w:rsidR="009617CC" w:rsidRPr="00DC763C" w:rsidRDefault="009617CC" w:rsidP="00DC763C">
      <w:pPr>
        <w:pStyle w:val="Heading3"/>
      </w:pPr>
      <w:r w:rsidRPr="00DC763C">
        <w:t>FEG maximum weekly wage</w:t>
      </w:r>
    </w:p>
    <w:p w14:paraId="179842E6" w14:textId="66279260" w:rsidR="009617CC" w:rsidRDefault="009617CC" w:rsidP="00143EE9">
      <w:r>
        <w:t xml:space="preserve">When calculating the amount of FEG assistance payable, the FEG maximum weekly wage is applied. </w:t>
      </w:r>
      <w:r w:rsidR="00D508E7">
        <w:t xml:space="preserve">If you earn more than the maximum weekly wage, </w:t>
      </w:r>
      <w:r>
        <w:t xml:space="preserve">your FEG assistance can only be </w:t>
      </w:r>
      <w:r w:rsidR="00C02DFB">
        <w:t xml:space="preserve">paid </w:t>
      </w:r>
      <w:r>
        <w:t>a</w:t>
      </w:r>
      <w:r w:rsidR="00C02DFB">
        <w:t>t</w:t>
      </w:r>
      <w:r>
        <w:t xml:space="preserve"> </w:t>
      </w:r>
      <w:r w:rsidR="00D508E7">
        <w:t xml:space="preserve">the maximum </w:t>
      </w:r>
      <w:r>
        <w:t xml:space="preserve">weekly wage </w:t>
      </w:r>
      <w:r w:rsidR="00C02DFB">
        <w:t>capped rate</w:t>
      </w:r>
      <w:r w:rsidR="06B26014">
        <w:t xml:space="preserve"> </w:t>
      </w:r>
      <w:r w:rsidR="00D508E7">
        <w:t>(</w:t>
      </w:r>
      <w:r w:rsidR="00C02DFB">
        <w:t>$</w:t>
      </w:r>
      <w:r w:rsidR="00350F82" w:rsidRPr="4B23AC90">
        <w:t xml:space="preserve">2,793 </w:t>
      </w:r>
      <w:r w:rsidR="001F7711">
        <w:t>between</w:t>
      </w:r>
      <w:r w:rsidR="000349DA">
        <w:t xml:space="preserve"> 1 July 202</w:t>
      </w:r>
      <w:r w:rsidR="00350F82">
        <w:t>4</w:t>
      </w:r>
      <w:r w:rsidR="001F7711">
        <w:t xml:space="preserve"> and </w:t>
      </w:r>
      <w:r w:rsidR="000349DA">
        <w:t>30 June 202</w:t>
      </w:r>
      <w:r w:rsidR="00350F82">
        <w:t>5</w:t>
      </w:r>
      <w:r w:rsidR="000349DA">
        <w:t>)</w:t>
      </w:r>
      <w:r>
        <w:t xml:space="preserve">. </w:t>
      </w:r>
    </w:p>
    <w:p w14:paraId="474B318B" w14:textId="23EAF969" w:rsidR="009617CC" w:rsidRPr="00BF672D" w:rsidRDefault="009617CC" w:rsidP="00143EE9">
      <w:r>
        <w:t xml:space="preserve">The remaining unpaid entitlement for the portion of wages over </w:t>
      </w:r>
      <w:r w:rsidR="00E75042">
        <w:t xml:space="preserve">the </w:t>
      </w:r>
      <w:r w:rsidR="00436C25">
        <w:t xml:space="preserve">maximum weekly wage </w:t>
      </w:r>
      <w:r>
        <w:t xml:space="preserve">cap </w:t>
      </w:r>
      <w:r w:rsidR="009A540A">
        <w:t xml:space="preserve">can </w:t>
      </w:r>
      <w:r w:rsidR="00E75042">
        <w:t>be claimed from</w:t>
      </w:r>
      <w:r>
        <w:t xml:space="preserve"> </w:t>
      </w:r>
      <w:r w:rsidR="009A540A">
        <w:t>the insolvent estate</w:t>
      </w:r>
      <w:r>
        <w:t xml:space="preserve">. </w:t>
      </w:r>
    </w:p>
    <w:p w14:paraId="2AB87FFB" w14:textId="77777777" w:rsidR="009617CC" w:rsidRPr="00E45729" w:rsidRDefault="009617CC" w:rsidP="00DC763C">
      <w:pPr>
        <w:pStyle w:val="Heading3"/>
      </w:pPr>
      <w:r w:rsidRPr="00E45729">
        <w:t>Recently agreed changes in terms and conditions</w:t>
      </w:r>
    </w:p>
    <w:p w14:paraId="03129BE6" w14:textId="7CBF277D" w:rsidR="009617CC" w:rsidRPr="00E45729" w:rsidRDefault="009617CC" w:rsidP="00143EE9">
      <w:r>
        <w:t>Any favourable changes to your t</w:t>
      </w:r>
      <w:r w:rsidRPr="00E45729">
        <w:t xml:space="preserve">erms and </w:t>
      </w:r>
      <w:r w:rsidRPr="00CC7665">
        <w:t>conditions of employment within 6 months of your employment ending</w:t>
      </w:r>
      <w:r w:rsidR="009A540A">
        <w:t xml:space="preserve"> or the appointment of an insolvency practitioner</w:t>
      </w:r>
      <w:r w:rsidRPr="00CC7665">
        <w:t xml:space="preserve"> may be disregarded (see s. 25). If the department considers it was not reasonable to expect that your employer would have been in a financial position to satisfy improved conditions, the amount of FEG assistance may be calculated as if the terms and conditions had not been changed.</w:t>
      </w:r>
    </w:p>
    <w:p w14:paraId="7BF3869D" w14:textId="77777777" w:rsidR="009617CC" w:rsidRDefault="009617CC" w:rsidP="00DC763C">
      <w:pPr>
        <w:pStyle w:val="Heading3"/>
      </w:pPr>
      <w:r w:rsidRPr="00E45729">
        <w:t>Other things t</w:t>
      </w:r>
      <w:r>
        <w:t>hat may affect the amount of FEG assistance paid</w:t>
      </w:r>
    </w:p>
    <w:p w14:paraId="488040DA" w14:textId="0C73C8B6" w:rsidR="009617CC" w:rsidRDefault="009617CC" w:rsidP="00143EE9">
      <w:r>
        <w:t>Under the FEG Act, the amount of FEG assistance payable may be reduced by any debts you owe your former employer (see s. 17).</w:t>
      </w:r>
    </w:p>
    <w:p w14:paraId="7B44D9DC" w14:textId="77777777" w:rsidR="009617CC" w:rsidRDefault="009617CC" w:rsidP="00143EE9">
      <w:r>
        <w:t>FEG assistance may also not be payable in circumstances where the insolvency practitioner expects to have sufficient funds to pay your employment entitlements in full within 112 days of you lodging an effective claim or the date of the insolvency event (whichever is later) (see s. 18).</w:t>
      </w:r>
    </w:p>
    <w:p w14:paraId="1B66D7FE" w14:textId="77777777" w:rsidR="009617CC" w:rsidRPr="001827BE" w:rsidRDefault="009617CC" w:rsidP="00563DB7">
      <w:pPr>
        <w:pStyle w:val="Heading2"/>
      </w:pPr>
      <w:r w:rsidRPr="001C0099">
        <w:t>How can you help?</w:t>
      </w:r>
    </w:p>
    <w:p w14:paraId="5378E38B" w14:textId="77777777" w:rsidR="009617CC" w:rsidRDefault="009617CC" w:rsidP="00143EE9">
      <w:r>
        <w:t xml:space="preserve">You should provide all the information and documents requested in the FEG claim form to establish that you meet the eligibility conditions. </w:t>
      </w:r>
    </w:p>
    <w:p w14:paraId="5FBE3525" w14:textId="154429D3" w:rsidR="009617CC" w:rsidRDefault="009617CC" w:rsidP="00143EE9">
      <w:r w:rsidRPr="00BF672D">
        <w:t xml:space="preserve">For more information about the type of information you should provide please refer to the </w:t>
      </w:r>
      <w:hyperlink r:id="rId15" w:history="1">
        <w:r w:rsidRPr="003D72AC">
          <w:rPr>
            <w:rStyle w:val="Hyperlink"/>
          </w:rPr>
          <w:t>How do I apply for FEG assistance</w:t>
        </w:r>
      </w:hyperlink>
      <w:r w:rsidRPr="000D197D">
        <w:t xml:space="preserve"> fact sheet.</w:t>
      </w:r>
    </w:p>
    <w:p w14:paraId="1F09AAA1" w14:textId="77777777" w:rsidR="009617CC" w:rsidRPr="000B65EA" w:rsidRDefault="009617CC" w:rsidP="00143EE9">
      <w:r>
        <w:t xml:space="preserve">The department will try to obtain as much information as possible from </w:t>
      </w:r>
      <w:r w:rsidRPr="000B65EA">
        <w:t>the insolvency practitioner</w:t>
      </w:r>
      <w:r>
        <w:t xml:space="preserve"> about what you are owed. Sometimes, particularly if your employer had poor books and records, other information from your own records will be needed</w:t>
      </w:r>
      <w:r w:rsidRPr="000B65EA">
        <w:t>.</w:t>
      </w:r>
      <w:r>
        <w:t xml:space="preserve"> If we contact you to ask for more information, getting that information to us quickly will help us to finalise your claim quickly.</w:t>
      </w:r>
    </w:p>
    <w:p w14:paraId="05179DC8" w14:textId="77777777" w:rsidR="00525594" w:rsidRDefault="00525594" w:rsidP="009617CC">
      <w:pPr>
        <w:pStyle w:val="FEGHeading1"/>
      </w:pPr>
      <w:r>
        <w:br w:type="page"/>
      </w:r>
    </w:p>
    <w:p w14:paraId="50E3A254" w14:textId="0002C3A1" w:rsidR="009617CC" w:rsidRPr="00765609" w:rsidRDefault="009617CC" w:rsidP="00563DB7">
      <w:pPr>
        <w:pStyle w:val="Heading2"/>
      </w:pPr>
      <w:r w:rsidRPr="00765609">
        <w:lastRenderedPageBreak/>
        <w:t>Want more information?</w:t>
      </w:r>
    </w:p>
    <w:p w14:paraId="47D74110" w14:textId="7A04345E" w:rsidR="009617CC" w:rsidRPr="000B65EA" w:rsidRDefault="009617CC" w:rsidP="00143EE9">
      <w:pPr>
        <w:pStyle w:val="Leadin"/>
      </w:pPr>
      <w:r w:rsidRPr="000B65EA">
        <w:t>You can contact the FEG Hotline if you would like more information about eligibility for FEG assistance.</w:t>
      </w:r>
      <w:r>
        <w:t xml:space="preserve"> </w:t>
      </w:r>
      <w:r w:rsidR="00BE7874">
        <w:br/>
      </w:r>
      <w:r w:rsidRPr="000B65EA">
        <w:t>To contact the FEG Hotline:</w:t>
      </w:r>
    </w:p>
    <w:p w14:paraId="068CD2E2" w14:textId="28E76CC2" w:rsidR="009617CC" w:rsidRPr="00630E7D" w:rsidRDefault="009617CC" w:rsidP="005F3D32">
      <w:pPr>
        <w:pStyle w:val="ListParagraph"/>
      </w:pPr>
      <w:r w:rsidRPr="00630E7D">
        <w:t>phone 1300 135 040</w:t>
      </w:r>
      <w:r w:rsidR="00630E7D">
        <w:br/>
      </w:r>
      <w:r w:rsidRPr="00630E7D">
        <w:t>Mon</w:t>
      </w:r>
      <w:r w:rsidR="00F412E6">
        <w:t>day</w:t>
      </w:r>
      <w:r w:rsidRPr="00630E7D">
        <w:t xml:space="preserve"> - Fri</w:t>
      </w:r>
      <w:r w:rsidR="00F412E6">
        <w:t>day</w:t>
      </w:r>
      <w:r w:rsidRPr="00630E7D">
        <w:t>, 9am - 5pm (AEST/ADST)</w:t>
      </w:r>
    </w:p>
    <w:p w14:paraId="6382EE3C" w14:textId="646BC5C7" w:rsidR="009617CC" w:rsidRPr="006152A3" w:rsidRDefault="009617CC" w:rsidP="00630E7D">
      <w:pPr>
        <w:pStyle w:val="ListParagraph"/>
        <w:rPr>
          <w:color w:val="000000" w:themeColor="text1"/>
        </w:rPr>
      </w:pPr>
      <w:r w:rsidRPr="00630E7D">
        <w:t xml:space="preserve">email </w:t>
      </w:r>
      <w:hyperlink r:id="rId16" w:history="1">
        <w:r w:rsidR="001D625E" w:rsidRPr="001D625E">
          <w:rPr>
            <w:rStyle w:val="Hyperlink"/>
          </w:rPr>
          <w:t>FEG@dewr.gov.au</w:t>
        </w:r>
      </w:hyperlink>
    </w:p>
    <w:p w14:paraId="0D9836DB" w14:textId="74F51840" w:rsidR="009617CC" w:rsidRPr="00630E7D" w:rsidRDefault="009617CC" w:rsidP="00143EE9">
      <w:pPr>
        <w:rPr>
          <w:color w:val="000000" w:themeColor="text1"/>
          <w:spacing w:val="-4"/>
        </w:rPr>
      </w:pPr>
      <w:r w:rsidRPr="00630E7D">
        <w:rPr>
          <w:spacing w:val="-4"/>
        </w:rPr>
        <w:t xml:space="preserve">If you speak a language other than English, call the Translating and Interpreting Service (TIS) on </w:t>
      </w:r>
      <w:r w:rsidRPr="00630E7D">
        <w:rPr>
          <w:color w:val="000000" w:themeColor="text1"/>
          <w:spacing w:val="-4"/>
        </w:rPr>
        <w:t xml:space="preserve">13 14 50 for free help anytime. </w:t>
      </w:r>
      <w:r w:rsidRPr="00630E7D">
        <w:rPr>
          <w:spacing w:val="-4"/>
        </w:rPr>
        <w:t>If you speak an Indigenous language, call the Aboriginal Interpreter Service on 1800 334 944.</w:t>
      </w:r>
    </w:p>
    <w:p w14:paraId="0FF34E5D" w14:textId="51441CC7" w:rsidR="009617CC" w:rsidRDefault="009617CC" w:rsidP="00143EE9">
      <w:pPr>
        <w:rPr>
          <w:color w:val="000000" w:themeColor="text1"/>
        </w:rPr>
      </w:pPr>
      <w:r w:rsidRPr="006152A3">
        <w:rPr>
          <w:color w:val="000000" w:themeColor="text1"/>
        </w:rPr>
        <w:t xml:space="preserve">Further information is also available on the </w:t>
      </w:r>
      <w:hyperlink r:id="rId17" w:history="1">
        <w:r w:rsidRPr="003D72AC">
          <w:rPr>
            <w:rStyle w:val="Hyperlink"/>
          </w:rPr>
          <w:t>FEG website</w:t>
        </w:r>
      </w:hyperlink>
      <w:r w:rsidRPr="006152A3">
        <w:rPr>
          <w:color w:val="000000" w:themeColor="text1"/>
        </w:rPr>
        <w:t xml:space="preserve">. </w:t>
      </w:r>
    </w:p>
    <w:p w14:paraId="13739969" w14:textId="27486E36" w:rsidR="009617CC" w:rsidRDefault="009617CC" w:rsidP="00630E7D">
      <w:pPr>
        <w:pStyle w:val="Footer"/>
        <w:spacing w:before="480" w:afterLines="200" w:after="480"/>
        <w:rPr>
          <w:sz w:val="16"/>
          <w:szCs w:val="16"/>
        </w:rPr>
      </w:pPr>
      <w:r w:rsidRPr="00A80C38">
        <w:rPr>
          <w:sz w:val="16"/>
          <w:szCs w:val="16"/>
        </w:rPr>
        <w:t>The information contained in this fact sheet is of a general nature and explains, in summary form, the intended operation of the</w:t>
      </w:r>
      <w:r w:rsidR="00630E7D">
        <w:rPr>
          <w:sz w:val="16"/>
          <w:szCs w:val="16"/>
        </w:rPr>
        <w:br/>
      </w:r>
      <w:r w:rsidRPr="00A80C38">
        <w:rPr>
          <w:i/>
          <w:sz w:val="16"/>
          <w:szCs w:val="16"/>
        </w:rPr>
        <w:t>Fair Entitlements Guarantee Act 2012</w:t>
      </w:r>
      <w:r w:rsidRPr="00A80C38">
        <w:rPr>
          <w:sz w:val="16"/>
          <w:szCs w:val="16"/>
        </w:rPr>
        <w:t xml:space="preserve"> - it is not legal advice. Where necessary, you should seek your own independent legal advice relevant to your </w:t>
      </w:r>
      <w:proofErr w:type="gramStart"/>
      <w:r w:rsidRPr="00A80C38">
        <w:rPr>
          <w:sz w:val="16"/>
          <w:szCs w:val="16"/>
        </w:rPr>
        <w:t>particular circumstances</w:t>
      </w:r>
      <w:proofErr w:type="gramEnd"/>
      <w:r w:rsidRPr="00A80C38">
        <w:rPr>
          <w:sz w:val="16"/>
          <w:szCs w:val="16"/>
        </w:rPr>
        <w:t xml:space="preserve">. </w:t>
      </w:r>
      <w:r w:rsidRPr="00770448">
        <w:rPr>
          <w:sz w:val="16"/>
          <w:szCs w:val="16"/>
        </w:rPr>
        <w:t xml:space="preserve">The Commonwealth </w:t>
      </w:r>
      <w:r>
        <w:rPr>
          <w:sz w:val="16"/>
          <w:szCs w:val="16"/>
        </w:rPr>
        <w:t xml:space="preserve">does not make any representation or warranty about the accuracy, reliability, currency or completeness of the information contained in this fact sheet and </w:t>
      </w:r>
      <w:r w:rsidRPr="00770448">
        <w:rPr>
          <w:sz w:val="16"/>
          <w:szCs w:val="16"/>
        </w:rPr>
        <w:t xml:space="preserve">is not liable for any loss resulting from any </w:t>
      </w:r>
      <w:r w:rsidR="00630E7D">
        <w:rPr>
          <w:sz w:val="16"/>
          <w:szCs w:val="16"/>
        </w:rPr>
        <w:br/>
      </w:r>
      <w:r w:rsidRPr="00770448">
        <w:rPr>
          <w:sz w:val="16"/>
          <w:szCs w:val="16"/>
        </w:rPr>
        <w:t xml:space="preserve">action </w:t>
      </w:r>
      <w:proofErr w:type="gramStart"/>
      <w:r w:rsidRPr="00770448">
        <w:rPr>
          <w:sz w:val="16"/>
          <w:szCs w:val="16"/>
        </w:rPr>
        <w:t>taken</w:t>
      </w:r>
      <w:proofErr w:type="gramEnd"/>
      <w:r w:rsidRPr="00770448">
        <w:rPr>
          <w:sz w:val="16"/>
          <w:szCs w:val="16"/>
        </w:rPr>
        <w:t xml:space="preserve"> or reliance made by you on the information contained in this fact</w:t>
      </w:r>
      <w:r>
        <w:rPr>
          <w:sz w:val="16"/>
          <w:szCs w:val="16"/>
        </w:rPr>
        <w:t xml:space="preserve"> </w:t>
      </w:r>
      <w:r w:rsidRPr="00770448">
        <w:rPr>
          <w:sz w:val="16"/>
          <w:szCs w:val="16"/>
        </w:rPr>
        <w:t>sheet</w:t>
      </w:r>
      <w:r>
        <w:rPr>
          <w:sz w:val="16"/>
          <w:szCs w:val="16"/>
        </w:rPr>
        <w:t>.</w:t>
      </w:r>
    </w:p>
    <w:p w14:paraId="2546D58F" w14:textId="77777777" w:rsidR="002447DC" w:rsidRPr="002447DC" w:rsidRDefault="002447DC" w:rsidP="00630E7D">
      <w:pPr>
        <w:jc w:val="right"/>
      </w:pPr>
    </w:p>
    <w:sectPr w:rsidR="002447DC" w:rsidRPr="002447DC" w:rsidSect="00143EE9">
      <w:headerReference w:type="default" r:id="rId18"/>
      <w:headerReference w:type="first" r:id="rId19"/>
      <w:type w:val="continuous"/>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F4FBA" w14:textId="77777777" w:rsidR="0008258F" w:rsidRDefault="0008258F" w:rsidP="005F1007">
      <w:pPr>
        <w:spacing w:after="0"/>
      </w:pPr>
      <w:r>
        <w:separator/>
      </w:r>
    </w:p>
  </w:endnote>
  <w:endnote w:type="continuationSeparator" w:id="0">
    <w:p w14:paraId="4C059B27" w14:textId="77777777" w:rsidR="0008258F" w:rsidRDefault="0008258F" w:rsidP="005F1007">
      <w:pPr>
        <w:spacing w:after="0"/>
      </w:pPr>
      <w:r>
        <w:continuationSeparator/>
      </w:r>
    </w:p>
  </w:endnote>
  <w:endnote w:type="continuationNotice" w:id="1">
    <w:p w14:paraId="75A58BE5" w14:textId="77777777" w:rsidR="005F3D32" w:rsidRDefault="005F3D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E52" w14:textId="5FEC3DFD"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 xml:space="preserve">Updated: </w:t>
    </w:r>
    <w:bookmarkEnd w:id="0"/>
    <w:bookmarkEnd w:id="1"/>
    <w:r w:rsidR="00DC5F06">
      <w:rPr>
        <w:sz w:val="16"/>
      </w:rPr>
      <w:t>Ju</w:t>
    </w:r>
    <w:r w:rsidR="00705B45">
      <w:rPr>
        <w:sz w:val="16"/>
      </w:rPr>
      <w:t>ly</w:t>
    </w:r>
    <w:r w:rsidR="00050305">
      <w:rPr>
        <w:sz w:val="16"/>
      </w:rPr>
      <w:t xml:space="preserve"> </w:t>
    </w:r>
    <w:r w:rsidR="00143EE9">
      <w:rPr>
        <w:sz w:val="16"/>
      </w:rPr>
      <w:t>202</w:t>
    </w:r>
    <w:r w:rsidR="00705B45">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F9C8C" w14:textId="77777777" w:rsidR="0008258F" w:rsidRDefault="0008258F" w:rsidP="005F1007">
      <w:pPr>
        <w:spacing w:after="0"/>
      </w:pPr>
      <w:r>
        <w:separator/>
      </w:r>
    </w:p>
  </w:footnote>
  <w:footnote w:type="continuationSeparator" w:id="0">
    <w:p w14:paraId="39335239" w14:textId="77777777" w:rsidR="0008258F" w:rsidRDefault="0008258F" w:rsidP="005F1007">
      <w:pPr>
        <w:spacing w:after="0"/>
      </w:pPr>
      <w:r>
        <w:continuationSeparator/>
      </w:r>
    </w:p>
  </w:footnote>
  <w:footnote w:type="continuationNotice" w:id="1">
    <w:p w14:paraId="13E1F16B" w14:textId="77777777" w:rsidR="005F3D32" w:rsidRDefault="005F3D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F4CF" w14:textId="77777777" w:rsidR="003D13A1" w:rsidRDefault="003D13A1">
    <w:pPr>
      <w:pStyle w:val="Header"/>
    </w:pPr>
    <w:r>
      <w:rPr>
        <w:noProof/>
        <w:lang w:eastAsia="en-AU"/>
      </w:rPr>
      <w:drawing>
        <wp:anchor distT="0" distB="0" distL="114300" distR="114300" simplePos="0" relativeHeight="25165824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69978" w14:textId="77777777" w:rsidR="00321E90" w:rsidRDefault="00321E90">
    <w:pPr>
      <w:pStyle w:val="Header"/>
    </w:pPr>
    <w:r>
      <w:rPr>
        <w:noProof/>
        <w:lang w:eastAsia="en-AU"/>
      </w:rPr>
      <w:drawing>
        <wp:anchor distT="0" distB="0" distL="114300" distR="114300" simplePos="0" relativeHeight="25165824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58241"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2" o:spid="_x0000_s1026" type="#_x0000_t202" alt="&quot;&quot;" style="position:absolute;margin-left:399.15pt;margin-top:122.7pt;width:108.15pt;height:24.3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03D23D5"/>
    <w:multiLevelType w:val="hybridMultilevel"/>
    <w:tmpl w:val="AFECA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4B2C54"/>
    <w:multiLevelType w:val="hybridMultilevel"/>
    <w:tmpl w:val="B4721302"/>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6C52CE2"/>
    <w:multiLevelType w:val="hybridMultilevel"/>
    <w:tmpl w:val="48766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4A0D0B"/>
    <w:multiLevelType w:val="hybridMultilevel"/>
    <w:tmpl w:val="2474C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13578A"/>
    <w:multiLevelType w:val="hybridMultilevel"/>
    <w:tmpl w:val="182E080A"/>
    <w:lvl w:ilvl="0" w:tplc="E27AF72E">
      <w:start w:val="1"/>
      <w:numFmt w:val="bullet"/>
      <w:lvlText w:val=""/>
      <w:lvlJc w:val="left"/>
      <w:pPr>
        <w:ind w:left="644" w:hanging="360"/>
      </w:pPr>
      <w:rPr>
        <w:rFonts w:ascii="Symbol" w:hAnsi="Symbol" w:hint="default"/>
        <w:color w:val="000000" w:themeColor="text1"/>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1"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3D7ED0"/>
    <w:multiLevelType w:val="hybridMultilevel"/>
    <w:tmpl w:val="7352B5CE"/>
    <w:lvl w:ilvl="0" w:tplc="9FA4DCD8">
      <w:start w:val="1"/>
      <w:numFmt w:val="bullet"/>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D5F7A28"/>
    <w:multiLevelType w:val="hybridMultilevel"/>
    <w:tmpl w:val="2818A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55861119">
    <w:abstractNumId w:val="3"/>
  </w:num>
  <w:num w:numId="2" w16cid:durableId="923337965">
    <w:abstractNumId w:val="1"/>
  </w:num>
  <w:num w:numId="3" w16cid:durableId="806315817">
    <w:abstractNumId w:val="6"/>
  </w:num>
  <w:num w:numId="4" w16cid:durableId="831599826">
    <w:abstractNumId w:val="5"/>
  </w:num>
  <w:num w:numId="5" w16cid:durableId="103887530">
    <w:abstractNumId w:val="9"/>
  </w:num>
  <w:num w:numId="6" w16cid:durableId="1777747844">
    <w:abstractNumId w:val="11"/>
  </w:num>
  <w:num w:numId="7" w16cid:durableId="1585650024">
    <w:abstractNumId w:val="8"/>
  </w:num>
  <w:num w:numId="8" w16cid:durableId="1820657034">
    <w:abstractNumId w:val="2"/>
  </w:num>
  <w:num w:numId="9" w16cid:durableId="1425685801">
    <w:abstractNumId w:val="4"/>
  </w:num>
  <w:num w:numId="10" w16cid:durableId="496699198">
    <w:abstractNumId w:val="12"/>
  </w:num>
  <w:num w:numId="11" w16cid:durableId="1458528707">
    <w:abstractNumId w:val="0"/>
  </w:num>
  <w:num w:numId="12" w16cid:durableId="2097628536">
    <w:abstractNumId w:val="10"/>
  </w:num>
  <w:num w:numId="13" w16cid:durableId="1107241081">
    <w:abstractNumId w:val="7"/>
  </w:num>
  <w:num w:numId="14" w16cid:durableId="211940029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271BF"/>
    <w:rsid w:val="000327C0"/>
    <w:rsid w:val="00033867"/>
    <w:rsid w:val="00033C61"/>
    <w:rsid w:val="000349DA"/>
    <w:rsid w:val="00037DB3"/>
    <w:rsid w:val="000473A7"/>
    <w:rsid w:val="00050305"/>
    <w:rsid w:val="000542D5"/>
    <w:rsid w:val="00054BDA"/>
    <w:rsid w:val="0005501A"/>
    <w:rsid w:val="00066D43"/>
    <w:rsid w:val="00074EFF"/>
    <w:rsid w:val="0008258F"/>
    <w:rsid w:val="00090D89"/>
    <w:rsid w:val="000A43AB"/>
    <w:rsid w:val="000A5E40"/>
    <w:rsid w:val="000A78F5"/>
    <w:rsid w:val="000B56A7"/>
    <w:rsid w:val="000C237E"/>
    <w:rsid w:val="000C3AE1"/>
    <w:rsid w:val="000C638A"/>
    <w:rsid w:val="000C6625"/>
    <w:rsid w:val="000D0B11"/>
    <w:rsid w:val="000D472F"/>
    <w:rsid w:val="000F0D83"/>
    <w:rsid w:val="00100F54"/>
    <w:rsid w:val="00106165"/>
    <w:rsid w:val="00106D53"/>
    <w:rsid w:val="001133E2"/>
    <w:rsid w:val="00114A3D"/>
    <w:rsid w:val="00122246"/>
    <w:rsid w:val="001309B6"/>
    <w:rsid w:val="00130D31"/>
    <w:rsid w:val="00131F66"/>
    <w:rsid w:val="001338E7"/>
    <w:rsid w:val="00142953"/>
    <w:rsid w:val="00143EE9"/>
    <w:rsid w:val="0015395C"/>
    <w:rsid w:val="00157623"/>
    <w:rsid w:val="0016112D"/>
    <w:rsid w:val="00161394"/>
    <w:rsid w:val="00170825"/>
    <w:rsid w:val="00174A06"/>
    <w:rsid w:val="0018072D"/>
    <w:rsid w:val="001A278A"/>
    <w:rsid w:val="001A6421"/>
    <w:rsid w:val="001B1D40"/>
    <w:rsid w:val="001B31C6"/>
    <w:rsid w:val="001C6443"/>
    <w:rsid w:val="001D24EE"/>
    <w:rsid w:val="001D2D9F"/>
    <w:rsid w:val="001D3318"/>
    <w:rsid w:val="001D625E"/>
    <w:rsid w:val="001E4695"/>
    <w:rsid w:val="001E5F89"/>
    <w:rsid w:val="001F1ACE"/>
    <w:rsid w:val="001F7711"/>
    <w:rsid w:val="00210334"/>
    <w:rsid w:val="00211410"/>
    <w:rsid w:val="00212201"/>
    <w:rsid w:val="00213B15"/>
    <w:rsid w:val="00216E12"/>
    <w:rsid w:val="002179CF"/>
    <w:rsid w:val="00221C2F"/>
    <w:rsid w:val="00222C7A"/>
    <w:rsid w:val="00232A44"/>
    <w:rsid w:val="00240BC1"/>
    <w:rsid w:val="00241B53"/>
    <w:rsid w:val="00242693"/>
    <w:rsid w:val="00243E23"/>
    <w:rsid w:val="002447DC"/>
    <w:rsid w:val="002668B3"/>
    <w:rsid w:val="00275CC2"/>
    <w:rsid w:val="00275CFF"/>
    <w:rsid w:val="00277621"/>
    <w:rsid w:val="00295DD6"/>
    <w:rsid w:val="002A23FA"/>
    <w:rsid w:val="002A27B7"/>
    <w:rsid w:val="002B1EC4"/>
    <w:rsid w:val="002C7890"/>
    <w:rsid w:val="002D48CF"/>
    <w:rsid w:val="002E3EEE"/>
    <w:rsid w:val="00300731"/>
    <w:rsid w:val="0031499B"/>
    <w:rsid w:val="00315F83"/>
    <w:rsid w:val="00321E90"/>
    <w:rsid w:val="00323386"/>
    <w:rsid w:val="00323B72"/>
    <w:rsid w:val="00325465"/>
    <w:rsid w:val="0032739B"/>
    <w:rsid w:val="00332563"/>
    <w:rsid w:val="00332E18"/>
    <w:rsid w:val="00333186"/>
    <w:rsid w:val="00336712"/>
    <w:rsid w:val="00336EF1"/>
    <w:rsid w:val="00337B49"/>
    <w:rsid w:val="00344A3B"/>
    <w:rsid w:val="00350E4C"/>
    <w:rsid w:val="00350F82"/>
    <w:rsid w:val="003610E7"/>
    <w:rsid w:val="0036352C"/>
    <w:rsid w:val="003677B7"/>
    <w:rsid w:val="00372195"/>
    <w:rsid w:val="00372E9E"/>
    <w:rsid w:val="00373F8C"/>
    <w:rsid w:val="00380246"/>
    <w:rsid w:val="0038228E"/>
    <w:rsid w:val="00383A55"/>
    <w:rsid w:val="00393081"/>
    <w:rsid w:val="003B2413"/>
    <w:rsid w:val="003C3B84"/>
    <w:rsid w:val="003C494D"/>
    <w:rsid w:val="003C7012"/>
    <w:rsid w:val="003D13A1"/>
    <w:rsid w:val="003D4B32"/>
    <w:rsid w:val="003D526B"/>
    <w:rsid w:val="003D65AE"/>
    <w:rsid w:val="003D77A8"/>
    <w:rsid w:val="003D7AFC"/>
    <w:rsid w:val="003E72F6"/>
    <w:rsid w:val="003F5FEE"/>
    <w:rsid w:val="00400CD2"/>
    <w:rsid w:val="00405185"/>
    <w:rsid w:val="00406C81"/>
    <w:rsid w:val="00411216"/>
    <w:rsid w:val="00422D3C"/>
    <w:rsid w:val="004230BD"/>
    <w:rsid w:val="00427AFB"/>
    <w:rsid w:val="00427F2B"/>
    <w:rsid w:val="00436C25"/>
    <w:rsid w:val="004418C7"/>
    <w:rsid w:val="00444020"/>
    <w:rsid w:val="00444156"/>
    <w:rsid w:val="0044666D"/>
    <w:rsid w:val="00454E98"/>
    <w:rsid w:val="00455D67"/>
    <w:rsid w:val="0045649F"/>
    <w:rsid w:val="00461C74"/>
    <w:rsid w:val="004630A1"/>
    <w:rsid w:val="00466461"/>
    <w:rsid w:val="004666C8"/>
    <w:rsid w:val="004749E9"/>
    <w:rsid w:val="00483911"/>
    <w:rsid w:val="00484C33"/>
    <w:rsid w:val="00484E17"/>
    <w:rsid w:val="0048701C"/>
    <w:rsid w:val="0048754A"/>
    <w:rsid w:val="00487619"/>
    <w:rsid w:val="00493F17"/>
    <w:rsid w:val="00494170"/>
    <w:rsid w:val="00495A33"/>
    <w:rsid w:val="004A1B9E"/>
    <w:rsid w:val="004A6032"/>
    <w:rsid w:val="004B3FAE"/>
    <w:rsid w:val="004B6441"/>
    <w:rsid w:val="004B725D"/>
    <w:rsid w:val="004D146F"/>
    <w:rsid w:val="004D27C1"/>
    <w:rsid w:val="004E5691"/>
    <w:rsid w:val="004F0D3C"/>
    <w:rsid w:val="004F216C"/>
    <w:rsid w:val="004F46F9"/>
    <w:rsid w:val="004F77E4"/>
    <w:rsid w:val="00503972"/>
    <w:rsid w:val="00510C94"/>
    <w:rsid w:val="005124E7"/>
    <w:rsid w:val="005127EA"/>
    <w:rsid w:val="00517201"/>
    <w:rsid w:val="00525594"/>
    <w:rsid w:val="005303CC"/>
    <w:rsid w:val="005315D1"/>
    <w:rsid w:val="005321B7"/>
    <w:rsid w:val="00533D5E"/>
    <w:rsid w:val="0053438A"/>
    <w:rsid w:val="005363A4"/>
    <w:rsid w:val="00542934"/>
    <w:rsid w:val="00563DB7"/>
    <w:rsid w:val="005700EC"/>
    <w:rsid w:val="005719B9"/>
    <w:rsid w:val="005829AC"/>
    <w:rsid w:val="00590071"/>
    <w:rsid w:val="005B09E3"/>
    <w:rsid w:val="005B55F6"/>
    <w:rsid w:val="005D3B2C"/>
    <w:rsid w:val="005D462C"/>
    <w:rsid w:val="005E6559"/>
    <w:rsid w:val="005F1007"/>
    <w:rsid w:val="005F3D32"/>
    <w:rsid w:val="005F5131"/>
    <w:rsid w:val="00600E33"/>
    <w:rsid w:val="00604E02"/>
    <w:rsid w:val="00605879"/>
    <w:rsid w:val="006066F2"/>
    <w:rsid w:val="00623478"/>
    <w:rsid w:val="00623E4F"/>
    <w:rsid w:val="00624B69"/>
    <w:rsid w:val="006301BB"/>
    <w:rsid w:val="00630E7D"/>
    <w:rsid w:val="00632A20"/>
    <w:rsid w:val="006404C7"/>
    <w:rsid w:val="00646E2B"/>
    <w:rsid w:val="00657B23"/>
    <w:rsid w:val="00664634"/>
    <w:rsid w:val="0066581D"/>
    <w:rsid w:val="00665EC5"/>
    <w:rsid w:val="00666E53"/>
    <w:rsid w:val="006719E9"/>
    <w:rsid w:val="0068086C"/>
    <w:rsid w:val="00682012"/>
    <w:rsid w:val="00682871"/>
    <w:rsid w:val="0069016B"/>
    <w:rsid w:val="00694EE1"/>
    <w:rsid w:val="0069500D"/>
    <w:rsid w:val="006A16BC"/>
    <w:rsid w:val="006A7461"/>
    <w:rsid w:val="006B26DF"/>
    <w:rsid w:val="006B7907"/>
    <w:rsid w:val="006C05DC"/>
    <w:rsid w:val="006C2439"/>
    <w:rsid w:val="006C2C2B"/>
    <w:rsid w:val="006C313E"/>
    <w:rsid w:val="006E0C93"/>
    <w:rsid w:val="006E2464"/>
    <w:rsid w:val="006E73EF"/>
    <w:rsid w:val="006F34FE"/>
    <w:rsid w:val="006F7171"/>
    <w:rsid w:val="00704C72"/>
    <w:rsid w:val="00704D49"/>
    <w:rsid w:val="00705B45"/>
    <w:rsid w:val="0071455D"/>
    <w:rsid w:val="00724071"/>
    <w:rsid w:val="00742658"/>
    <w:rsid w:val="007427C3"/>
    <w:rsid w:val="007454D4"/>
    <w:rsid w:val="0075194F"/>
    <w:rsid w:val="00770307"/>
    <w:rsid w:val="00772E39"/>
    <w:rsid w:val="00777633"/>
    <w:rsid w:val="00777A1E"/>
    <w:rsid w:val="00794D48"/>
    <w:rsid w:val="007A0F88"/>
    <w:rsid w:val="007A581F"/>
    <w:rsid w:val="007A5929"/>
    <w:rsid w:val="007B09B5"/>
    <w:rsid w:val="007C7AA8"/>
    <w:rsid w:val="007F212D"/>
    <w:rsid w:val="007F370E"/>
    <w:rsid w:val="007F6345"/>
    <w:rsid w:val="00801900"/>
    <w:rsid w:val="00801CA4"/>
    <w:rsid w:val="00810EB7"/>
    <w:rsid w:val="00815788"/>
    <w:rsid w:val="00815818"/>
    <w:rsid w:val="0083541A"/>
    <w:rsid w:val="00842220"/>
    <w:rsid w:val="008442E3"/>
    <w:rsid w:val="008566F9"/>
    <w:rsid w:val="00860D0B"/>
    <w:rsid w:val="008637C5"/>
    <w:rsid w:val="008657DB"/>
    <w:rsid w:val="008712A2"/>
    <w:rsid w:val="00874A5A"/>
    <w:rsid w:val="0089269D"/>
    <w:rsid w:val="008A2EC4"/>
    <w:rsid w:val="008A5174"/>
    <w:rsid w:val="008A60F4"/>
    <w:rsid w:val="008B0AF4"/>
    <w:rsid w:val="008B1EF9"/>
    <w:rsid w:val="008D5A7F"/>
    <w:rsid w:val="008E3711"/>
    <w:rsid w:val="008E757E"/>
    <w:rsid w:val="008F0DA1"/>
    <w:rsid w:val="008F207C"/>
    <w:rsid w:val="008F33E5"/>
    <w:rsid w:val="008F464E"/>
    <w:rsid w:val="008F6454"/>
    <w:rsid w:val="00900316"/>
    <w:rsid w:val="00902E16"/>
    <w:rsid w:val="00905B21"/>
    <w:rsid w:val="0091005E"/>
    <w:rsid w:val="00911645"/>
    <w:rsid w:val="00920B7A"/>
    <w:rsid w:val="009227CD"/>
    <w:rsid w:val="009300CD"/>
    <w:rsid w:val="00932C7D"/>
    <w:rsid w:val="009354B8"/>
    <w:rsid w:val="00935DFC"/>
    <w:rsid w:val="00937B18"/>
    <w:rsid w:val="009576CB"/>
    <w:rsid w:val="009617CC"/>
    <w:rsid w:val="00963F4E"/>
    <w:rsid w:val="0096681A"/>
    <w:rsid w:val="009701DF"/>
    <w:rsid w:val="009851CC"/>
    <w:rsid w:val="00990524"/>
    <w:rsid w:val="009932BD"/>
    <w:rsid w:val="009944FA"/>
    <w:rsid w:val="009A540A"/>
    <w:rsid w:val="009A617A"/>
    <w:rsid w:val="009B093A"/>
    <w:rsid w:val="009B5C5D"/>
    <w:rsid w:val="009C48B4"/>
    <w:rsid w:val="009C760F"/>
    <w:rsid w:val="009D3C1F"/>
    <w:rsid w:val="009D530D"/>
    <w:rsid w:val="009D5FC3"/>
    <w:rsid w:val="009E09CB"/>
    <w:rsid w:val="009E0A73"/>
    <w:rsid w:val="009E34ED"/>
    <w:rsid w:val="009E68B2"/>
    <w:rsid w:val="009F224A"/>
    <w:rsid w:val="00A003E4"/>
    <w:rsid w:val="00A0200F"/>
    <w:rsid w:val="00A110A7"/>
    <w:rsid w:val="00A153A7"/>
    <w:rsid w:val="00A24AA5"/>
    <w:rsid w:val="00A25308"/>
    <w:rsid w:val="00A46360"/>
    <w:rsid w:val="00A64943"/>
    <w:rsid w:val="00A64F92"/>
    <w:rsid w:val="00A7033B"/>
    <w:rsid w:val="00A82501"/>
    <w:rsid w:val="00AA5A30"/>
    <w:rsid w:val="00AB2A1C"/>
    <w:rsid w:val="00AD15DA"/>
    <w:rsid w:val="00AD2164"/>
    <w:rsid w:val="00AD4F45"/>
    <w:rsid w:val="00AE0B9F"/>
    <w:rsid w:val="00AE3F47"/>
    <w:rsid w:val="00AF28BC"/>
    <w:rsid w:val="00AF5C33"/>
    <w:rsid w:val="00B0065B"/>
    <w:rsid w:val="00B01FD1"/>
    <w:rsid w:val="00B07470"/>
    <w:rsid w:val="00B07B55"/>
    <w:rsid w:val="00B15067"/>
    <w:rsid w:val="00B21241"/>
    <w:rsid w:val="00B24680"/>
    <w:rsid w:val="00B3470F"/>
    <w:rsid w:val="00B349DC"/>
    <w:rsid w:val="00B44EEA"/>
    <w:rsid w:val="00B45790"/>
    <w:rsid w:val="00B561D0"/>
    <w:rsid w:val="00B630B4"/>
    <w:rsid w:val="00B65EC5"/>
    <w:rsid w:val="00B72AE6"/>
    <w:rsid w:val="00B76664"/>
    <w:rsid w:val="00B9034C"/>
    <w:rsid w:val="00B91208"/>
    <w:rsid w:val="00B935FC"/>
    <w:rsid w:val="00B94C49"/>
    <w:rsid w:val="00B97615"/>
    <w:rsid w:val="00BA1D3B"/>
    <w:rsid w:val="00BA7ED5"/>
    <w:rsid w:val="00BD1727"/>
    <w:rsid w:val="00BD2D02"/>
    <w:rsid w:val="00BE5B52"/>
    <w:rsid w:val="00BE7874"/>
    <w:rsid w:val="00BF67A8"/>
    <w:rsid w:val="00C01E12"/>
    <w:rsid w:val="00C02DFB"/>
    <w:rsid w:val="00C04B15"/>
    <w:rsid w:val="00C07949"/>
    <w:rsid w:val="00C141DB"/>
    <w:rsid w:val="00C14394"/>
    <w:rsid w:val="00C21CBC"/>
    <w:rsid w:val="00C35EF7"/>
    <w:rsid w:val="00C438D8"/>
    <w:rsid w:val="00C453F8"/>
    <w:rsid w:val="00C538E5"/>
    <w:rsid w:val="00C5544E"/>
    <w:rsid w:val="00C559F1"/>
    <w:rsid w:val="00C56EA9"/>
    <w:rsid w:val="00C63F2F"/>
    <w:rsid w:val="00C70300"/>
    <w:rsid w:val="00C81DA8"/>
    <w:rsid w:val="00C86C69"/>
    <w:rsid w:val="00C93F8D"/>
    <w:rsid w:val="00CA7A31"/>
    <w:rsid w:val="00CB11B0"/>
    <w:rsid w:val="00CB2D19"/>
    <w:rsid w:val="00CC731E"/>
    <w:rsid w:val="00CD4388"/>
    <w:rsid w:val="00CD60BF"/>
    <w:rsid w:val="00CE549B"/>
    <w:rsid w:val="00CF0720"/>
    <w:rsid w:val="00D14AA8"/>
    <w:rsid w:val="00D164F5"/>
    <w:rsid w:val="00D219BC"/>
    <w:rsid w:val="00D25F32"/>
    <w:rsid w:val="00D327B6"/>
    <w:rsid w:val="00D44E60"/>
    <w:rsid w:val="00D47817"/>
    <w:rsid w:val="00D508E7"/>
    <w:rsid w:val="00D52B60"/>
    <w:rsid w:val="00D57B91"/>
    <w:rsid w:val="00D83784"/>
    <w:rsid w:val="00D858FE"/>
    <w:rsid w:val="00D85FF2"/>
    <w:rsid w:val="00DA66D0"/>
    <w:rsid w:val="00DB3360"/>
    <w:rsid w:val="00DB4731"/>
    <w:rsid w:val="00DB4AB3"/>
    <w:rsid w:val="00DC02D8"/>
    <w:rsid w:val="00DC1722"/>
    <w:rsid w:val="00DC3221"/>
    <w:rsid w:val="00DC5F06"/>
    <w:rsid w:val="00DC763C"/>
    <w:rsid w:val="00DD111B"/>
    <w:rsid w:val="00DD1BD7"/>
    <w:rsid w:val="00DD4E82"/>
    <w:rsid w:val="00DE1F5A"/>
    <w:rsid w:val="00DF74BC"/>
    <w:rsid w:val="00E0028D"/>
    <w:rsid w:val="00E07210"/>
    <w:rsid w:val="00E228AB"/>
    <w:rsid w:val="00E22A18"/>
    <w:rsid w:val="00E42DFF"/>
    <w:rsid w:val="00E47527"/>
    <w:rsid w:val="00E52671"/>
    <w:rsid w:val="00E5310C"/>
    <w:rsid w:val="00E70D8F"/>
    <w:rsid w:val="00E72AC8"/>
    <w:rsid w:val="00E75042"/>
    <w:rsid w:val="00E76A93"/>
    <w:rsid w:val="00E869DE"/>
    <w:rsid w:val="00E95BB9"/>
    <w:rsid w:val="00E95D3D"/>
    <w:rsid w:val="00E97075"/>
    <w:rsid w:val="00EB343B"/>
    <w:rsid w:val="00EB40F9"/>
    <w:rsid w:val="00EB78A9"/>
    <w:rsid w:val="00EC5120"/>
    <w:rsid w:val="00EC60D1"/>
    <w:rsid w:val="00EC7C4E"/>
    <w:rsid w:val="00ED3317"/>
    <w:rsid w:val="00EE23CC"/>
    <w:rsid w:val="00EE289B"/>
    <w:rsid w:val="00EE318E"/>
    <w:rsid w:val="00EE755B"/>
    <w:rsid w:val="00EF1542"/>
    <w:rsid w:val="00EF763E"/>
    <w:rsid w:val="00F02F02"/>
    <w:rsid w:val="00F10792"/>
    <w:rsid w:val="00F12224"/>
    <w:rsid w:val="00F1262D"/>
    <w:rsid w:val="00F1712B"/>
    <w:rsid w:val="00F21D2F"/>
    <w:rsid w:val="00F34717"/>
    <w:rsid w:val="00F412E6"/>
    <w:rsid w:val="00F5785B"/>
    <w:rsid w:val="00F61539"/>
    <w:rsid w:val="00F66E7F"/>
    <w:rsid w:val="00F719FD"/>
    <w:rsid w:val="00F729E5"/>
    <w:rsid w:val="00F803D7"/>
    <w:rsid w:val="00F86168"/>
    <w:rsid w:val="00F91049"/>
    <w:rsid w:val="00F93E22"/>
    <w:rsid w:val="00F96EB9"/>
    <w:rsid w:val="00FA15A5"/>
    <w:rsid w:val="00FA68F3"/>
    <w:rsid w:val="00FB1A8B"/>
    <w:rsid w:val="00FC0670"/>
    <w:rsid w:val="00FD13AB"/>
    <w:rsid w:val="00FD5430"/>
    <w:rsid w:val="00FD610B"/>
    <w:rsid w:val="06B26014"/>
    <w:rsid w:val="091C7ACD"/>
    <w:rsid w:val="172CFB67"/>
    <w:rsid w:val="194619B9"/>
    <w:rsid w:val="48A21359"/>
    <w:rsid w:val="5C0ABF55"/>
    <w:rsid w:val="776B85BD"/>
    <w:rsid w:val="7FF160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B"/>
    <w:rPr>
      <w:sz w:val="20"/>
    </w:rPr>
  </w:style>
  <w:style w:type="paragraph" w:styleId="Heading1">
    <w:name w:val="heading 1"/>
    <w:basedOn w:val="FEGTitle"/>
    <w:next w:val="Normal"/>
    <w:link w:val="Heading1Char"/>
    <w:uiPriority w:val="9"/>
    <w:qFormat/>
    <w:rsid w:val="00033C61"/>
    <w:pPr>
      <w:outlineLvl w:val="0"/>
    </w:pPr>
  </w:style>
  <w:style w:type="paragraph" w:styleId="Heading2">
    <w:name w:val="heading 2"/>
    <w:basedOn w:val="FEGHeading1"/>
    <w:next w:val="Normal"/>
    <w:link w:val="Heading2Char"/>
    <w:uiPriority w:val="9"/>
    <w:unhideWhenUsed/>
    <w:qFormat/>
    <w:rsid w:val="00563DB7"/>
    <w:pPr>
      <w:outlineLvl w:val="1"/>
    </w:pPr>
  </w:style>
  <w:style w:type="paragraph" w:styleId="Heading3">
    <w:name w:val="heading 3"/>
    <w:basedOn w:val="FEGHeading2"/>
    <w:next w:val="Normal"/>
    <w:link w:val="Heading3Char"/>
    <w:uiPriority w:val="9"/>
    <w:unhideWhenUsed/>
    <w:rsid w:val="00DC763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61"/>
    <w:rPr>
      <w:rFonts w:ascii="Arial" w:eastAsiaTheme="majorEastAsia" w:hAnsi="Arial" w:cstheme="majorBidi"/>
      <w:b/>
      <w:color w:val="78730A"/>
      <w:spacing w:val="5"/>
      <w:kern w:val="28"/>
      <w:sz w:val="48"/>
      <w:szCs w:val="52"/>
    </w:rPr>
  </w:style>
  <w:style w:type="character" w:customStyle="1" w:styleId="Heading2Char">
    <w:name w:val="Heading 2 Char"/>
    <w:basedOn w:val="DefaultParagraphFont"/>
    <w:link w:val="Heading2"/>
    <w:uiPriority w:val="9"/>
    <w:rsid w:val="00563DB7"/>
    <w:rPr>
      <w:rFonts w:ascii="Arial" w:eastAsiaTheme="majorEastAsia" w:hAnsi="Arial" w:cstheme="majorBidi"/>
      <w:b/>
      <w:bCs/>
      <w:color w:val="78730A"/>
      <w:sz w:val="28"/>
      <w:szCs w:val="28"/>
    </w:rPr>
  </w:style>
  <w:style w:type="character" w:customStyle="1" w:styleId="Heading3Char">
    <w:name w:val="Heading 3 Char"/>
    <w:basedOn w:val="DefaultParagraphFont"/>
    <w:link w:val="Heading3"/>
    <w:uiPriority w:val="9"/>
    <w:rsid w:val="00DC763C"/>
    <w:rPr>
      <w:rFonts w:ascii="Arial" w:eastAsiaTheme="majorEastAsia" w:hAnsi="Arial" w:cstheme="majorBidi"/>
      <w:b/>
      <w:bCs/>
      <w:sz w:val="20"/>
      <w:szCs w:val="28"/>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qForma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qFormat/>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unhideWhenUsed/>
    <w:rsid w:val="001E4695"/>
    <w:rPr>
      <w:szCs w:val="20"/>
    </w:rPr>
  </w:style>
  <w:style w:type="character" w:customStyle="1" w:styleId="CommentTextChar">
    <w:name w:val="Comment Text Char"/>
    <w:basedOn w:val="DefaultParagraphFont"/>
    <w:link w:val="CommentText"/>
    <w:uiPriority w:val="99"/>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 w:type="character" w:styleId="UnresolvedMention">
    <w:name w:val="Unresolved Mention"/>
    <w:basedOn w:val="DefaultParagraphFont"/>
    <w:uiPriority w:val="99"/>
    <w:semiHidden/>
    <w:unhideWhenUsed/>
    <w:rsid w:val="001D625E"/>
    <w:rPr>
      <w:color w:val="605E5C"/>
      <w:shd w:val="clear" w:color="auto" w:fill="E1DFDD"/>
    </w:rPr>
  </w:style>
  <w:style w:type="paragraph" w:styleId="Revision">
    <w:name w:val="Revision"/>
    <w:hidden/>
    <w:uiPriority w:val="99"/>
    <w:semiHidden/>
    <w:rsid w:val="00C141DB"/>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wr.gov.au/fair-entitlements-guarantee/resources/eligibility-feg-assistance-fact-shee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slation.gov.au/Series/C2012A00159" TargetMode="External"/><Relationship Id="rId17" Type="http://schemas.openxmlformats.org/officeDocument/2006/relationships/hyperlink" Target="https://www.dese.gov.au/fair-entitlements-guarantee/" TargetMode="External"/><Relationship Id="rId2" Type="http://schemas.openxmlformats.org/officeDocument/2006/relationships/numbering" Target="numbering.xml"/><Relationship Id="rId16" Type="http://schemas.openxmlformats.org/officeDocument/2006/relationships/hyperlink" Target="mailto:FEG@dewr.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dewr.gov.au/fair-entitlements-guarantee/resources/how-do-i-apply-feg-assistance-fact-sheet"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wr.gov.au/fair-entitlements-guarant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assistance can FEG provide Factsheet</dc:title>
  <dc:subject/>
  <dc:creator/>
  <cp:keywords/>
  <cp:lastModifiedBy/>
  <cp:revision>1</cp:revision>
  <dcterms:created xsi:type="dcterms:W3CDTF">2024-08-05T03:22:00Z</dcterms:created>
  <dcterms:modified xsi:type="dcterms:W3CDTF">2024-08-05T03:23:00Z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2024-08-05T03:23:08Z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72675eaf-5e5e-4e9a-983e-e4607e6a883d</vt:lpwstr>
  </property>
  <property fmtid="{D5CDD505-2E9C-101B-9397-08002B2CF9AE}" pid="8" name="MSIP_Label_79d889eb-932f-4752-8739-64d25806ef64_ContentBits">
    <vt:lpwstr>0</vt:lpwstr>
  </property>
</Properties>
</file>