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547C" w14:textId="53CA8927" w:rsidR="005565B8" w:rsidRDefault="0020133A" w:rsidP="00B912E9">
      <w:pPr>
        <w:spacing w:after="1320"/>
        <w:sectPr w:rsidR="005565B8" w:rsidSect="00300432">
          <w:footerReference w:type="default" r:id="rId8"/>
          <w:footerReference w:type="first" r:id="rId9"/>
          <w:pgSz w:w="11906" w:h="16838"/>
          <w:pgMar w:top="851" w:right="851" w:bottom="1418" w:left="851" w:header="680" w:footer="624" w:gutter="0"/>
          <w:cols w:space="708"/>
          <w:titlePg/>
          <w:docGrid w:linePitch="360"/>
        </w:sectPr>
      </w:pPr>
      <w:r>
        <w:rPr>
          <w:noProof/>
        </w:rPr>
        <w:drawing>
          <wp:inline distT="0" distB="0" distL="0" distR="0" wp14:anchorId="044ED25E" wp14:editId="27F04087">
            <wp:extent cx="2791761" cy="853440"/>
            <wp:effectExtent l="0" t="0" r="8890" b="3810"/>
            <wp:docPr id="1722629654" name="Graphic 1"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29654" name="Graphic 1" descr="Australian Government Department of Employment and Workplace Relation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98523" cy="855507"/>
                    </a:xfrm>
                    <a:prstGeom prst="rect">
                      <a:avLst/>
                    </a:prstGeom>
                  </pic:spPr>
                </pic:pic>
              </a:graphicData>
            </a:graphic>
          </wp:inline>
        </w:drawing>
      </w:r>
      <w:r w:rsidR="00286F3C">
        <w:rPr>
          <w:noProof/>
        </w:rPr>
        <mc:AlternateContent>
          <mc:Choice Requires="wps">
            <w:drawing>
              <wp:anchor distT="0" distB="0" distL="114300" distR="114300" simplePos="0" relativeHeight="251661312" behindDoc="1" locked="0" layoutInCell="1" allowOverlap="1" wp14:anchorId="6EDC1A19" wp14:editId="4950F95A">
                <wp:simplePos x="0" y="0"/>
                <wp:positionH relativeFrom="page">
                  <wp:align>left</wp:align>
                </wp:positionH>
                <wp:positionV relativeFrom="page">
                  <wp:posOffset>0</wp:posOffset>
                </wp:positionV>
                <wp:extent cx="7560000" cy="2016000"/>
                <wp:effectExtent l="0" t="0" r="3175" b="381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C46FA" id="Rectangle 3" o:spid="_x0000_s1026" alt="&quot;&quot;" style="position:absolute;margin-left:0;margin-top:0;width:595.3pt;height:158.7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" fillcolor="#404246" stroked="f" strokeweight="1pt">
                <w10:wrap anchorx="page" anchory="page"/>
              </v:rect>
            </w:pict>
          </mc:Fallback>
        </mc:AlternateContent>
      </w:r>
    </w:p>
    <w:p w14:paraId="7E8B0670" w14:textId="2F44A94C" w:rsidR="00654A65" w:rsidRPr="00654A65" w:rsidRDefault="0030173F" w:rsidP="00654A65">
      <w:pPr>
        <w:pStyle w:val="Title"/>
      </w:pPr>
      <w:r>
        <w:t>Redundancy</w:t>
      </w:r>
    </w:p>
    <w:p w14:paraId="3682FE62" w14:textId="45C0DC4A" w:rsidR="00654A65" w:rsidRPr="00D60AFB" w:rsidRDefault="0030173F" w:rsidP="00D60AFB">
      <w:pPr>
        <w:pStyle w:val="Subtitle"/>
      </w:pPr>
      <w:r w:rsidRPr="00D60AFB">
        <w:t>Your rights and considerations</w:t>
      </w:r>
    </w:p>
    <w:p w14:paraId="064D3AE9" w14:textId="43A3D8B0" w:rsidR="0030173F" w:rsidRDefault="0030173F" w:rsidP="00C52A65">
      <w:pPr>
        <w:spacing w:after="160"/>
        <w:rPr>
          <w:b/>
          <w:bCs/>
        </w:rPr>
      </w:pPr>
      <w:r w:rsidRPr="007358F0">
        <w:rPr>
          <w:b/>
          <w:bCs/>
        </w:rPr>
        <w:t>Losing your job can be a difficult time. This is a general guide to redundancy and other support services available to help you figure out what you’re entitled to and how you can restart your career.</w:t>
      </w:r>
    </w:p>
    <w:p w14:paraId="12CFDFB9" w14:textId="45C7645F" w:rsidR="0030173F" w:rsidRPr="0057754D" w:rsidRDefault="00376DD3" w:rsidP="00C52A65">
      <w:pPr>
        <w:spacing w:after="160"/>
        <w:rPr>
          <w:b/>
          <w:bCs/>
        </w:rPr>
      </w:pPr>
      <w:r>
        <w:rPr>
          <w:b/>
          <w:bCs/>
          <w:noProof/>
        </w:rPr>
        <w:drawing>
          <wp:inline distT="0" distB="0" distL="0" distR="0" wp14:anchorId="6607EDEB" wp14:editId="329EF0A4">
            <wp:extent cx="6263640" cy="1615440"/>
            <wp:effectExtent l="0" t="0" r="3810" b="3810"/>
            <wp:docPr id="195299969" name="Picture 5" descr="Graphic with the main points to remember:&#10;Understand your rights and entitlements&#10;Act quickly to find a new job&#10;Plan your finances&#10;Look after your mental and physical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9969" name="Picture 5" descr="Graphic with the main points to remember:&#10;Understand your rights and entitlements&#10;Act quickly to find a new job&#10;Plan your finances&#10;Look after your mental and physical heal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3640" cy="1615440"/>
                    </a:xfrm>
                    <a:prstGeom prst="rect">
                      <a:avLst/>
                    </a:prstGeom>
                    <a:noFill/>
                    <a:ln>
                      <a:noFill/>
                    </a:ln>
                  </pic:spPr>
                </pic:pic>
              </a:graphicData>
            </a:graphic>
          </wp:inline>
        </w:drawing>
      </w:r>
    </w:p>
    <w:p w14:paraId="1F38F395" w14:textId="77777777" w:rsidR="006D36DA" w:rsidRDefault="006D36DA" w:rsidP="0030173F">
      <w:pPr>
        <w:sectPr w:rsidR="006D36DA" w:rsidSect="00876539">
          <w:type w:val="continuous"/>
          <w:pgSz w:w="11906" w:h="16838"/>
          <w:pgMar w:top="1134" w:right="1021" w:bottom="1134" w:left="1021" w:header="0" w:footer="0" w:gutter="0"/>
          <w:cols w:space="340"/>
          <w:noEndnote/>
          <w:docGrid w:linePitch="272"/>
        </w:sectPr>
      </w:pPr>
    </w:p>
    <w:p w14:paraId="6E783AEA" w14:textId="0F04DF0F" w:rsidR="0030173F" w:rsidRPr="00807E08" w:rsidRDefault="0030173F" w:rsidP="00D60AFB">
      <w:pPr>
        <w:pStyle w:val="Heading2"/>
        <w:rPr>
          <w:rFonts w:eastAsia="Arial"/>
          <w:szCs w:val="32"/>
        </w:rPr>
      </w:pPr>
      <w:r w:rsidRPr="00807E08">
        <w:rPr>
          <w:rFonts w:eastAsia="Arial"/>
          <w:szCs w:val="32"/>
        </w:rPr>
        <w:t xml:space="preserve">Understand your rights </w:t>
      </w:r>
      <w:r w:rsidR="0057754D">
        <w:rPr>
          <w:rFonts w:eastAsia="Arial"/>
          <w:szCs w:val="32"/>
        </w:rPr>
        <w:br/>
      </w:r>
      <w:r w:rsidRPr="00807E08">
        <w:rPr>
          <w:rFonts w:eastAsia="Arial"/>
          <w:szCs w:val="32"/>
        </w:rPr>
        <w:t>and entitlements</w:t>
      </w:r>
    </w:p>
    <w:p w14:paraId="15791B7F" w14:textId="77777777" w:rsidR="0030173F" w:rsidRPr="00807E08" w:rsidRDefault="0030173F" w:rsidP="00D60AFB">
      <w:pPr>
        <w:pStyle w:val="Heading3"/>
        <w:rPr>
          <w:rFonts w:eastAsia="Arial"/>
          <w:szCs w:val="28"/>
        </w:rPr>
      </w:pPr>
      <w:r w:rsidRPr="00807E08">
        <w:rPr>
          <w:rFonts w:eastAsia="Arial"/>
          <w:szCs w:val="28"/>
        </w:rPr>
        <w:t>When can redundancy happen?</w:t>
      </w:r>
    </w:p>
    <w:p w14:paraId="1EDAD6C6" w14:textId="6020B73F" w:rsidR="0030173F" w:rsidRDefault="0030173F" w:rsidP="007358F0">
      <w:r>
        <w:t>Redundancy happens when a business no longer needs</w:t>
      </w:r>
      <w:r w:rsidR="006D36DA">
        <w:t xml:space="preserve"> </w:t>
      </w:r>
      <w:r>
        <w:rPr>
          <w:spacing w:val="4"/>
        </w:rPr>
        <w:t>a job done by anyone. It can also happen when the business</w:t>
      </w:r>
      <w:r w:rsidR="006D36DA">
        <w:rPr>
          <w:spacing w:val="4"/>
        </w:rPr>
        <w:t xml:space="preserve"> </w:t>
      </w:r>
      <w:r>
        <w:t>becomes bankrupt.</w:t>
      </w:r>
    </w:p>
    <w:p w14:paraId="4C6E20C7" w14:textId="1AF0B7C7" w:rsidR="0030173F" w:rsidRDefault="0030173F" w:rsidP="007358F0">
      <w:r>
        <w:t>If you think your redundancy is not genuine, you can log a claim with the Fair Work Commission within</w:t>
      </w:r>
      <w:r w:rsidR="00D70438">
        <w:br/>
      </w:r>
      <w:r>
        <w:t>21 days. Visit</w:t>
      </w:r>
      <w:r>
        <w:rPr>
          <w:b/>
          <w:color w:val="205D9E"/>
          <w:u w:val="single"/>
        </w:rPr>
        <w:t xml:space="preserve"> </w:t>
      </w:r>
      <w:hyperlink r:id="rId13">
        <w:r w:rsidRPr="007358F0">
          <w:rPr>
            <w:rStyle w:val="Hyperlink"/>
          </w:rPr>
          <w:t>www.fwc.gov.au</w:t>
        </w:r>
      </w:hyperlink>
      <w:r>
        <w:t xml:space="preserve"> for more information.</w:t>
      </w:r>
    </w:p>
    <w:p w14:paraId="37EC4AA2" w14:textId="77777777" w:rsidR="0030173F" w:rsidRDefault="0030173F" w:rsidP="00D60AFB">
      <w:pPr>
        <w:pStyle w:val="Heading3"/>
        <w:rPr>
          <w:rFonts w:eastAsia="Arial"/>
        </w:rPr>
      </w:pPr>
      <w:r>
        <w:rPr>
          <w:rFonts w:eastAsia="Arial"/>
        </w:rPr>
        <w:t xml:space="preserve">How can I determine </w:t>
      </w:r>
      <w:r w:rsidRPr="007358F0">
        <w:rPr>
          <w:rFonts w:eastAsia="Arial"/>
        </w:rPr>
        <w:t>my</w:t>
      </w:r>
      <w:r>
        <w:rPr>
          <w:rFonts w:eastAsia="Arial"/>
        </w:rPr>
        <w:t xml:space="preserve"> red</w:t>
      </w:r>
      <w:r w:rsidRPr="007358F0">
        <w:rPr>
          <w:rFonts w:eastAsia="Arial"/>
        </w:rPr>
        <w:t>unda</w:t>
      </w:r>
      <w:r>
        <w:rPr>
          <w:rFonts w:eastAsia="Arial"/>
        </w:rPr>
        <w:t>ncy pay and entitlements?</w:t>
      </w:r>
    </w:p>
    <w:p w14:paraId="7EF8089B" w14:textId="5C2143B8" w:rsidR="0030173F" w:rsidRDefault="0030173F" w:rsidP="007358F0">
      <w:r>
        <w:t>The Fair Work Ombudsman has a simple online tool</w:t>
      </w:r>
      <w:r w:rsidR="00D70438">
        <w:br/>
      </w:r>
      <w:r>
        <w:t xml:space="preserve">to help you calculate your entitlements. Go to </w:t>
      </w:r>
      <w:hyperlink r:id="rId14" w:history="1">
        <w:r w:rsidR="00573F71" w:rsidRPr="00573F71">
          <w:rPr>
            <w:rStyle w:val="Hyperlink"/>
          </w:rPr>
          <w:t>www.</w:t>
        </w:r>
        <w:r w:rsidRPr="00573F71">
          <w:rPr>
            <w:rStyle w:val="Hyperlink"/>
          </w:rPr>
          <w:t>calculate.fairwork.gov.au/EndingEmployment</w:t>
        </w:r>
      </w:hyperlink>
      <w:r>
        <w:rPr>
          <w:b/>
        </w:rPr>
        <w:t xml:space="preserve"> </w:t>
      </w:r>
      <w:r>
        <w:t>to access the tool.</w:t>
      </w:r>
    </w:p>
    <w:p w14:paraId="0C6F27C2" w14:textId="784B6B0A" w:rsidR="0030173F" w:rsidRDefault="0030173F" w:rsidP="007358F0">
      <w:pPr>
        <w:rPr>
          <w:spacing w:val="6"/>
        </w:rPr>
      </w:pPr>
      <w:r>
        <w:rPr>
          <w:spacing w:val="6"/>
        </w:rPr>
        <w:t>Visit</w:t>
      </w:r>
      <w:r w:rsidRPr="007358F0">
        <w:t xml:space="preserve"> </w:t>
      </w:r>
      <w:hyperlink r:id="rId15">
        <w:r w:rsidRPr="007358F0">
          <w:rPr>
            <w:rStyle w:val="Hyperlink"/>
          </w:rPr>
          <w:t>www.fairwork.gov.au/redundancy</w:t>
        </w:r>
      </w:hyperlink>
      <w:r>
        <w:rPr>
          <w:spacing w:val="6"/>
        </w:rPr>
        <w:t xml:space="preserve"> for more information about your redundancy rights and entitlements or call </w:t>
      </w:r>
      <w:r w:rsidRPr="007358F0">
        <w:rPr>
          <w:b/>
          <w:bCs/>
        </w:rPr>
        <w:t>13 13 94</w:t>
      </w:r>
      <w:r>
        <w:rPr>
          <w:b/>
          <w:spacing w:val="6"/>
        </w:rPr>
        <w:t xml:space="preserve"> </w:t>
      </w:r>
      <w:r>
        <w:rPr>
          <w:spacing w:val="6"/>
        </w:rPr>
        <w:t>from 8am to 5.30pm Monday to Friday.</w:t>
      </w:r>
    </w:p>
    <w:p w14:paraId="5DC7A6AB" w14:textId="3DF5853A" w:rsidR="0030173F" w:rsidRPr="007358F0" w:rsidRDefault="00D70438" w:rsidP="00D60AFB">
      <w:pPr>
        <w:pStyle w:val="Heading3"/>
        <w:rPr>
          <w:rFonts w:eastAsia="Arial"/>
        </w:rPr>
      </w:pPr>
      <w:r>
        <w:rPr>
          <w:spacing w:val="6"/>
        </w:rPr>
        <w:br w:type="column"/>
      </w:r>
      <w:r w:rsidR="0030173F" w:rsidRPr="007358F0">
        <w:rPr>
          <w:rFonts w:eastAsia="Arial"/>
        </w:rPr>
        <w:t xml:space="preserve">How much redundancy pay should </w:t>
      </w:r>
      <w:r w:rsidR="0057754D">
        <w:rPr>
          <w:rFonts w:eastAsia="Arial"/>
        </w:rPr>
        <w:br/>
      </w:r>
      <w:r w:rsidR="0030173F" w:rsidRPr="007358F0">
        <w:rPr>
          <w:rFonts w:eastAsia="Arial"/>
        </w:rPr>
        <w:t>I get?</w:t>
      </w:r>
    </w:p>
    <w:p w14:paraId="4F51D9CB" w14:textId="43B6037E" w:rsidR="0030173F" w:rsidRDefault="0030173F" w:rsidP="007358F0">
      <w:r>
        <w:t>Depending on how long you have worked for your employer, you may be entitled to redundancy pay.</w:t>
      </w:r>
      <w:r w:rsidR="00D70438">
        <w:br/>
      </w:r>
      <w:r>
        <w:t xml:space="preserve">The National Employment Standards, your employment contract, an enterprise agreement </w:t>
      </w:r>
      <w:r w:rsidR="0057754D">
        <w:br/>
      </w:r>
      <w:r>
        <w:t>or a Modern Award may outline these entitlements.</w:t>
      </w:r>
    </w:p>
    <w:p w14:paraId="121D1B43" w14:textId="77777777" w:rsidR="0030173F" w:rsidRDefault="0030173F" w:rsidP="007358F0">
      <w:r>
        <w:t>The National Employment Standards does not provide redundancy pay entitlements to:</w:t>
      </w:r>
    </w:p>
    <w:p w14:paraId="01AB9D01" w14:textId="77777777" w:rsidR="0030173F" w:rsidRDefault="0030173F" w:rsidP="007358F0">
      <w:pPr>
        <w:pStyle w:val="ListBullet"/>
      </w:pPr>
      <w:r>
        <w:t>employees with less than one year of service</w:t>
      </w:r>
    </w:p>
    <w:p w14:paraId="2FB2E3AA" w14:textId="40BC5C9D" w:rsidR="0030173F" w:rsidRDefault="0030173F" w:rsidP="007358F0">
      <w:pPr>
        <w:pStyle w:val="ListBullet"/>
      </w:pPr>
      <w:r>
        <w:t>employees of a small business with less than</w:t>
      </w:r>
      <w:r w:rsidR="00D70438">
        <w:br/>
      </w:r>
      <w:r>
        <w:t>15 staff</w:t>
      </w:r>
    </w:p>
    <w:p w14:paraId="7CD4C25B" w14:textId="77777777" w:rsidR="0030173F" w:rsidRDefault="0030173F" w:rsidP="007358F0">
      <w:pPr>
        <w:pStyle w:val="ListBullet"/>
      </w:pPr>
      <w:r>
        <w:t>casual employees.</w:t>
      </w:r>
    </w:p>
    <w:p w14:paraId="0931067D" w14:textId="77777777" w:rsidR="0030173F" w:rsidRDefault="0030173F" w:rsidP="007358F0">
      <w:r>
        <w:t>The redundancy pay is based on how long you have worked for your employer.</w:t>
      </w:r>
    </w:p>
    <w:p w14:paraId="38D28C67" w14:textId="77777777" w:rsidR="0030173F" w:rsidRPr="00C90466" w:rsidRDefault="0030173F" w:rsidP="00C90466">
      <w:pPr>
        <w:pStyle w:val="Tabletitle"/>
      </w:pPr>
      <w:r w:rsidRPr="00C90466">
        <w:t>Example of redundancy pay</w:t>
      </w:r>
    </w:p>
    <w:tbl>
      <w:tblPr>
        <w:tblStyle w:val="TableGrid"/>
        <w:tblW w:w="0" w:type="auto"/>
        <w:tblBorders>
          <w:top w:val="single" w:sz="4" w:space="0" w:color="404246"/>
          <w:left w:val="single" w:sz="4" w:space="0" w:color="404246"/>
          <w:bottom w:val="single" w:sz="4" w:space="0" w:color="404246"/>
          <w:right w:val="single" w:sz="4" w:space="0" w:color="404246"/>
          <w:insideH w:val="single" w:sz="4" w:space="0" w:color="404246"/>
          <w:insideV w:val="single" w:sz="4" w:space="0" w:color="404246"/>
        </w:tblBorders>
        <w:tblLook w:val="04A0" w:firstRow="1" w:lastRow="0" w:firstColumn="1" w:lastColumn="0" w:noHBand="0" w:noVBand="1"/>
      </w:tblPr>
      <w:tblGrid>
        <w:gridCol w:w="2768"/>
        <w:gridCol w:w="1870"/>
      </w:tblGrid>
      <w:tr w:rsidR="00D70438" w:rsidRPr="00D70438" w14:paraId="7A1415B4" w14:textId="77777777" w:rsidTr="0020133A">
        <w:trPr>
          <w:cnfStyle w:val="100000000000" w:firstRow="1" w:lastRow="0" w:firstColumn="0" w:lastColumn="0" w:oddVBand="0" w:evenVBand="0" w:oddHBand="0" w:evenHBand="0" w:firstRowFirstColumn="0" w:firstRowLastColumn="0" w:lastRowFirstColumn="0" w:lastRowLastColumn="0"/>
          <w:trHeight w:val="230"/>
        </w:trPr>
        <w:tc>
          <w:tcPr>
            <w:tcW w:w="2830" w:type="dxa"/>
            <w:shd w:val="clear" w:color="auto" w:fill="404246"/>
          </w:tcPr>
          <w:p w14:paraId="5731B182" w14:textId="2945B808" w:rsidR="0030173F" w:rsidRPr="0020133A" w:rsidRDefault="0030173F" w:rsidP="00C52A65">
            <w:pPr>
              <w:spacing w:after="0"/>
              <w:rPr>
                <w:color w:val="FFFFFF" w:themeColor="background1"/>
              </w:rPr>
            </w:pPr>
            <w:r w:rsidRPr="0020133A">
              <w:rPr>
                <w:color w:val="FFFFFF" w:themeColor="background1"/>
              </w:rPr>
              <w:t>Period of continuous service</w:t>
            </w:r>
          </w:p>
        </w:tc>
        <w:tc>
          <w:tcPr>
            <w:tcW w:w="1893" w:type="dxa"/>
            <w:shd w:val="clear" w:color="auto" w:fill="404246"/>
          </w:tcPr>
          <w:p w14:paraId="2873B5D9" w14:textId="12024164" w:rsidR="0030173F" w:rsidRPr="0020133A" w:rsidRDefault="0030173F" w:rsidP="00C52A65">
            <w:pPr>
              <w:spacing w:after="0"/>
              <w:rPr>
                <w:color w:val="FFFFFF" w:themeColor="background1"/>
              </w:rPr>
            </w:pPr>
            <w:r w:rsidRPr="0020133A">
              <w:rPr>
                <w:color w:val="FFFFFF" w:themeColor="background1"/>
              </w:rPr>
              <w:t>Redundancy Pay</w:t>
            </w:r>
          </w:p>
        </w:tc>
      </w:tr>
      <w:tr w:rsidR="0030173F" w:rsidRPr="00D70438" w14:paraId="65716EEF" w14:textId="77777777" w:rsidTr="0020133A">
        <w:trPr>
          <w:trHeight w:val="19"/>
        </w:trPr>
        <w:tc>
          <w:tcPr>
            <w:tcW w:w="2830" w:type="dxa"/>
          </w:tcPr>
          <w:p w14:paraId="6F918C5B" w14:textId="09DAABF4" w:rsidR="0030173F" w:rsidRPr="00D70438" w:rsidRDefault="0030173F" w:rsidP="00C52A65">
            <w:pPr>
              <w:spacing w:after="0"/>
              <w:rPr>
                <w:b/>
                <w:bCs/>
              </w:rPr>
            </w:pPr>
            <w:r w:rsidRPr="00D70438">
              <w:rPr>
                <w:b/>
                <w:bCs/>
              </w:rPr>
              <w:t>Between 1 and 2 years</w:t>
            </w:r>
          </w:p>
        </w:tc>
        <w:tc>
          <w:tcPr>
            <w:tcW w:w="1893" w:type="dxa"/>
          </w:tcPr>
          <w:p w14:paraId="3DC2638A" w14:textId="2A874A97" w:rsidR="0030173F" w:rsidRPr="00D70438" w:rsidRDefault="0030173F" w:rsidP="00C52A65">
            <w:pPr>
              <w:spacing w:after="0"/>
            </w:pPr>
            <w:r w:rsidRPr="00D70438">
              <w:t>4 weeks</w:t>
            </w:r>
          </w:p>
        </w:tc>
      </w:tr>
      <w:tr w:rsidR="0030173F" w:rsidRPr="00D70438" w14:paraId="0E073313" w14:textId="77777777" w:rsidTr="0020133A">
        <w:tc>
          <w:tcPr>
            <w:tcW w:w="2830" w:type="dxa"/>
          </w:tcPr>
          <w:p w14:paraId="4BB9C3CE" w14:textId="58C9105A" w:rsidR="0030173F" w:rsidRPr="00D70438" w:rsidRDefault="0030173F" w:rsidP="00C52A65">
            <w:pPr>
              <w:spacing w:after="0"/>
              <w:rPr>
                <w:b/>
                <w:bCs/>
              </w:rPr>
            </w:pPr>
            <w:r w:rsidRPr="00D70438">
              <w:rPr>
                <w:b/>
                <w:bCs/>
              </w:rPr>
              <w:t>Between 2 and 3 years</w:t>
            </w:r>
          </w:p>
        </w:tc>
        <w:tc>
          <w:tcPr>
            <w:tcW w:w="1893" w:type="dxa"/>
          </w:tcPr>
          <w:p w14:paraId="30998EC7" w14:textId="34642FB0" w:rsidR="0030173F" w:rsidRPr="00D70438" w:rsidRDefault="0030173F" w:rsidP="00C52A65">
            <w:pPr>
              <w:spacing w:after="0"/>
            </w:pPr>
            <w:r w:rsidRPr="00D70438">
              <w:t>6 weeks</w:t>
            </w:r>
          </w:p>
        </w:tc>
      </w:tr>
      <w:tr w:rsidR="0030173F" w:rsidRPr="00D70438" w14:paraId="4B171D82" w14:textId="77777777" w:rsidTr="0020133A">
        <w:tc>
          <w:tcPr>
            <w:tcW w:w="2830" w:type="dxa"/>
          </w:tcPr>
          <w:p w14:paraId="453F1E05" w14:textId="761F0DAF" w:rsidR="0030173F" w:rsidRPr="00D70438" w:rsidRDefault="0030173F" w:rsidP="00C52A65">
            <w:pPr>
              <w:spacing w:after="0"/>
              <w:rPr>
                <w:b/>
                <w:bCs/>
              </w:rPr>
            </w:pPr>
            <w:r w:rsidRPr="00D70438">
              <w:rPr>
                <w:b/>
                <w:bCs/>
              </w:rPr>
              <w:t>Between 3 and 4 years</w:t>
            </w:r>
          </w:p>
        </w:tc>
        <w:tc>
          <w:tcPr>
            <w:tcW w:w="1893" w:type="dxa"/>
          </w:tcPr>
          <w:p w14:paraId="216F6F8C" w14:textId="17C72D87" w:rsidR="0030173F" w:rsidRPr="00D70438" w:rsidRDefault="0030173F" w:rsidP="00C52A65">
            <w:pPr>
              <w:spacing w:after="0"/>
            </w:pPr>
            <w:r w:rsidRPr="00D70438">
              <w:t>7 weeks</w:t>
            </w:r>
          </w:p>
        </w:tc>
      </w:tr>
      <w:tr w:rsidR="0030173F" w:rsidRPr="00D70438" w14:paraId="40A33E85" w14:textId="77777777" w:rsidTr="0020133A">
        <w:tc>
          <w:tcPr>
            <w:tcW w:w="2830" w:type="dxa"/>
          </w:tcPr>
          <w:p w14:paraId="50D3E149" w14:textId="474D96EC" w:rsidR="0030173F" w:rsidRPr="00D70438" w:rsidRDefault="0030173F" w:rsidP="00C52A65">
            <w:pPr>
              <w:spacing w:after="0"/>
              <w:rPr>
                <w:b/>
                <w:bCs/>
              </w:rPr>
            </w:pPr>
            <w:r w:rsidRPr="00D70438">
              <w:rPr>
                <w:b/>
                <w:bCs/>
              </w:rPr>
              <w:t>Between 4 and 5 years</w:t>
            </w:r>
          </w:p>
        </w:tc>
        <w:tc>
          <w:tcPr>
            <w:tcW w:w="1893" w:type="dxa"/>
          </w:tcPr>
          <w:p w14:paraId="6B769E49" w14:textId="7EC411C5" w:rsidR="0030173F" w:rsidRPr="00D70438" w:rsidRDefault="0030173F" w:rsidP="00C52A65">
            <w:pPr>
              <w:spacing w:after="0"/>
            </w:pPr>
            <w:r w:rsidRPr="00D70438">
              <w:t>8 weeks</w:t>
            </w:r>
          </w:p>
        </w:tc>
      </w:tr>
    </w:tbl>
    <w:p w14:paraId="2FBEAE4A" w14:textId="61E4DD1F" w:rsidR="0030173F" w:rsidRDefault="0030173F" w:rsidP="00D60AFB">
      <w:pPr>
        <w:pStyle w:val="Heading3"/>
        <w:rPr>
          <w:rFonts w:eastAsia="Arial"/>
        </w:rPr>
      </w:pPr>
      <w:r>
        <w:rPr>
          <w:rFonts w:eastAsia="Arial"/>
        </w:rPr>
        <w:lastRenderedPageBreak/>
        <w:t>How much notice</w:t>
      </w:r>
      <w:r w:rsidR="00D70438">
        <w:rPr>
          <w:rFonts w:eastAsia="Arial"/>
        </w:rPr>
        <w:t xml:space="preserve"> </w:t>
      </w:r>
      <w:r>
        <w:rPr>
          <w:rFonts w:eastAsia="Arial"/>
        </w:rPr>
        <w:t>should I be given?</w:t>
      </w:r>
    </w:p>
    <w:p w14:paraId="41312586" w14:textId="37BA02FE" w:rsidR="0030173F" w:rsidRDefault="0030173F" w:rsidP="00C90466">
      <w:r>
        <w:t xml:space="preserve">There are minimum notice periods based on how </w:t>
      </w:r>
      <w:r w:rsidR="0057754D">
        <w:br/>
      </w:r>
      <w:r>
        <w:t xml:space="preserve">long you have worked for your employer. Casual employees, contractors, and some construction </w:t>
      </w:r>
      <w:r w:rsidR="0057754D">
        <w:br/>
      </w:r>
      <w:r>
        <w:t>and meat industry workers are not entitled to notice by the National Employment Standards.</w:t>
      </w:r>
    </w:p>
    <w:p w14:paraId="15795AF3" w14:textId="0BA42A4D" w:rsidR="0030173F" w:rsidRDefault="0030173F" w:rsidP="00C90466">
      <w:pPr>
        <w:pStyle w:val="Tabletitle"/>
      </w:pPr>
      <w:r w:rsidRPr="00C90466">
        <w:t>Example of the standard minimum notice</w:t>
      </w:r>
    </w:p>
    <w:tbl>
      <w:tblPr>
        <w:tblStyle w:val="TableGrid"/>
        <w:tblW w:w="0" w:type="auto"/>
        <w:tblBorders>
          <w:top w:val="single" w:sz="4" w:space="0" w:color="404246"/>
          <w:left w:val="single" w:sz="4" w:space="0" w:color="404246"/>
          <w:bottom w:val="single" w:sz="4" w:space="0" w:color="404246"/>
          <w:right w:val="single" w:sz="4" w:space="0" w:color="404246"/>
          <w:insideH w:val="single" w:sz="4" w:space="0" w:color="404246"/>
          <w:insideV w:val="single" w:sz="4" w:space="0" w:color="404246"/>
        </w:tblBorders>
        <w:tblLook w:val="04A0" w:firstRow="1" w:lastRow="0" w:firstColumn="1" w:lastColumn="0" w:noHBand="0" w:noVBand="1"/>
      </w:tblPr>
      <w:tblGrid>
        <w:gridCol w:w="2764"/>
        <w:gridCol w:w="1874"/>
      </w:tblGrid>
      <w:tr w:rsidR="00C90466" w:rsidRPr="00C90466" w14:paraId="35AFE933" w14:textId="77777777" w:rsidTr="0020133A">
        <w:trPr>
          <w:cnfStyle w:val="100000000000" w:firstRow="1" w:lastRow="0" w:firstColumn="0" w:lastColumn="0" w:oddVBand="0" w:evenVBand="0" w:oddHBand="0" w:evenHBand="0" w:firstRowFirstColumn="0" w:firstRowLastColumn="0" w:lastRowFirstColumn="0" w:lastRowLastColumn="0"/>
        </w:trPr>
        <w:tc>
          <w:tcPr>
            <w:tcW w:w="3539" w:type="dxa"/>
            <w:shd w:val="clear" w:color="auto" w:fill="404246"/>
          </w:tcPr>
          <w:p w14:paraId="3B1D36B7" w14:textId="77777777" w:rsidR="00C90466" w:rsidRPr="0020133A" w:rsidRDefault="00C90466" w:rsidP="00C52A65">
            <w:pPr>
              <w:spacing w:after="0"/>
              <w:rPr>
                <w:color w:val="FFFFFF" w:themeColor="background1"/>
              </w:rPr>
            </w:pPr>
            <w:r w:rsidRPr="0020133A">
              <w:rPr>
                <w:color w:val="FFFFFF" w:themeColor="background1"/>
              </w:rPr>
              <w:t>Period of continuous service</w:t>
            </w:r>
          </w:p>
        </w:tc>
        <w:tc>
          <w:tcPr>
            <w:tcW w:w="2410" w:type="dxa"/>
            <w:shd w:val="clear" w:color="auto" w:fill="404246"/>
          </w:tcPr>
          <w:p w14:paraId="6AC8D568" w14:textId="4B716A1A" w:rsidR="00C90466" w:rsidRPr="0020133A" w:rsidRDefault="00C90466" w:rsidP="00C52A65">
            <w:pPr>
              <w:spacing w:after="0"/>
              <w:rPr>
                <w:color w:val="FFFFFF" w:themeColor="background1"/>
              </w:rPr>
            </w:pPr>
            <w:r w:rsidRPr="0020133A">
              <w:rPr>
                <w:color w:val="FFFFFF" w:themeColor="background1"/>
              </w:rPr>
              <w:t>Notice Perio</w:t>
            </w:r>
            <w:r w:rsidR="00D70438" w:rsidRPr="0020133A">
              <w:rPr>
                <w:color w:val="FFFFFF" w:themeColor="background1"/>
              </w:rPr>
              <w:t>d</w:t>
            </w:r>
          </w:p>
        </w:tc>
      </w:tr>
      <w:tr w:rsidR="00C90466" w:rsidRPr="00C90466" w14:paraId="4CB2B31A" w14:textId="77777777" w:rsidTr="0020133A">
        <w:tc>
          <w:tcPr>
            <w:tcW w:w="3539" w:type="dxa"/>
          </w:tcPr>
          <w:p w14:paraId="38920B17" w14:textId="3C401F4E" w:rsidR="00C90466" w:rsidRPr="00C90466" w:rsidRDefault="00C90466" w:rsidP="00C52A65">
            <w:pPr>
              <w:spacing w:after="0"/>
              <w:rPr>
                <w:b/>
                <w:bCs/>
              </w:rPr>
            </w:pPr>
            <w:r w:rsidRPr="00C90466">
              <w:rPr>
                <w:b/>
                <w:bCs/>
              </w:rPr>
              <w:t>1 year or less</w:t>
            </w:r>
          </w:p>
        </w:tc>
        <w:tc>
          <w:tcPr>
            <w:tcW w:w="2410" w:type="dxa"/>
          </w:tcPr>
          <w:p w14:paraId="55C048B9" w14:textId="4008CB56" w:rsidR="00C90466" w:rsidRPr="00C90466" w:rsidRDefault="00C90466" w:rsidP="00C52A65">
            <w:pPr>
              <w:spacing w:after="0"/>
            </w:pPr>
            <w:r w:rsidRPr="00C90466">
              <w:t>1 week</w:t>
            </w:r>
          </w:p>
        </w:tc>
      </w:tr>
      <w:tr w:rsidR="00C90466" w:rsidRPr="00C90466" w14:paraId="55170D6A" w14:textId="77777777" w:rsidTr="0020133A">
        <w:tc>
          <w:tcPr>
            <w:tcW w:w="3539" w:type="dxa"/>
          </w:tcPr>
          <w:p w14:paraId="7E8DDABC" w14:textId="17286831" w:rsidR="00C90466" w:rsidRPr="00C90466" w:rsidRDefault="00C90466" w:rsidP="00C52A65">
            <w:pPr>
              <w:spacing w:after="0"/>
              <w:rPr>
                <w:b/>
                <w:bCs/>
              </w:rPr>
            </w:pPr>
            <w:r w:rsidRPr="00C90466">
              <w:rPr>
                <w:b/>
                <w:bCs/>
              </w:rPr>
              <w:t>Between 1 and 3 years</w:t>
            </w:r>
          </w:p>
        </w:tc>
        <w:tc>
          <w:tcPr>
            <w:tcW w:w="2410" w:type="dxa"/>
          </w:tcPr>
          <w:p w14:paraId="230D6CE3" w14:textId="013ACC6A" w:rsidR="00C90466" w:rsidRPr="00C90466" w:rsidRDefault="00C90466" w:rsidP="00C52A65">
            <w:pPr>
              <w:spacing w:after="0"/>
            </w:pPr>
            <w:r w:rsidRPr="00C90466">
              <w:t>2 weeks</w:t>
            </w:r>
          </w:p>
        </w:tc>
      </w:tr>
      <w:tr w:rsidR="00C90466" w:rsidRPr="00C90466" w14:paraId="2B31CC53" w14:textId="77777777" w:rsidTr="0020133A">
        <w:tc>
          <w:tcPr>
            <w:tcW w:w="3539" w:type="dxa"/>
          </w:tcPr>
          <w:p w14:paraId="706A8A40" w14:textId="2D7F4225" w:rsidR="00C90466" w:rsidRPr="00C90466" w:rsidRDefault="00C90466" w:rsidP="00C52A65">
            <w:pPr>
              <w:spacing w:after="0"/>
              <w:rPr>
                <w:b/>
                <w:bCs/>
              </w:rPr>
            </w:pPr>
            <w:r w:rsidRPr="00C90466">
              <w:rPr>
                <w:b/>
                <w:bCs/>
              </w:rPr>
              <w:t>Between 3 and 5 years</w:t>
            </w:r>
          </w:p>
        </w:tc>
        <w:tc>
          <w:tcPr>
            <w:tcW w:w="2410" w:type="dxa"/>
          </w:tcPr>
          <w:p w14:paraId="4246A4EC" w14:textId="465383E7" w:rsidR="00C90466" w:rsidRPr="00C90466" w:rsidRDefault="00C90466" w:rsidP="00C52A65">
            <w:pPr>
              <w:spacing w:after="0"/>
            </w:pPr>
            <w:r w:rsidRPr="00C90466">
              <w:t>3 weeks</w:t>
            </w:r>
          </w:p>
        </w:tc>
      </w:tr>
      <w:tr w:rsidR="00C90466" w:rsidRPr="00C90466" w14:paraId="64552F7F" w14:textId="77777777" w:rsidTr="0020133A">
        <w:tc>
          <w:tcPr>
            <w:tcW w:w="3539" w:type="dxa"/>
          </w:tcPr>
          <w:p w14:paraId="307856C8" w14:textId="4755F9FF" w:rsidR="00C90466" w:rsidRPr="00C90466" w:rsidRDefault="00C90466" w:rsidP="00C52A65">
            <w:pPr>
              <w:spacing w:after="0"/>
              <w:rPr>
                <w:b/>
                <w:bCs/>
              </w:rPr>
            </w:pPr>
            <w:r w:rsidRPr="00C90466">
              <w:rPr>
                <w:b/>
                <w:bCs/>
              </w:rPr>
              <w:t>More than 5 years</w:t>
            </w:r>
          </w:p>
        </w:tc>
        <w:tc>
          <w:tcPr>
            <w:tcW w:w="2410" w:type="dxa"/>
          </w:tcPr>
          <w:p w14:paraId="13A60D34" w14:textId="21894F1A" w:rsidR="00C90466" w:rsidRPr="00C90466" w:rsidRDefault="00C90466" w:rsidP="00C52A65">
            <w:pPr>
              <w:spacing w:after="0"/>
            </w:pPr>
            <w:r w:rsidRPr="00C90466">
              <w:t>4 weeks</w:t>
            </w:r>
          </w:p>
        </w:tc>
      </w:tr>
    </w:tbl>
    <w:p w14:paraId="2A70A2D0" w14:textId="29E91305" w:rsidR="0030173F" w:rsidRDefault="0030173F" w:rsidP="00D60AFB">
      <w:pPr>
        <w:pStyle w:val="Heading3"/>
        <w:rPr>
          <w:rFonts w:eastAsia="Arial"/>
        </w:rPr>
      </w:pPr>
      <w:r>
        <w:rPr>
          <w:rFonts w:eastAsia="Arial"/>
        </w:rPr>
        <w:t xml:space="preserve">What if my full entitlements have </w:t>
      </w:r>
      <w:r w:rsidR="0057754D">
        <w:rPr>
          <w:rFonts w:eastAsia="Arial"/>
        </w:rPr>
        <w:br/>
      </w:r>
      <w:r>
        <w:rPr>
          <w:rFonts w:eastAsia="Arial"/>
        </w:rPr>
        <w:t>not</w:t>
      </w:r>
      <w:r w:rsidR="0057754D">
        <w:rPr>
          <w:rFonts w:eastAsia="Arial"/>
        </w:rPr>
        <w:t xml:space="preserve"> </w:t>
      </w:r>
      <w:r>
        <w:rPr>
          <w:rFonts w:eastAsia="Arial"/>
        </w:rPr>
        <w:t>been paid?</w:t>
      </w:r>
    </w:p>
    <w:p w14:paraId="3E22DA02" w14:textId="5CB5D444" w:rsidR="0030173F" w:rsidRDefault="0030173F" w:rsidP="00C90466">
      <w:pPr>
        <w:pStyle w:val="ListBullet"/>
      </w:pPr>
      <w:r>
        <w:t>If the business is still operating, contact the</w:t>
      </w:r>
      <w:r w:rsidR="00D70438">
        <w:br/>
      </w:r>
      <w:r>
        <w:t>Fair Work Ombudsman by visiting</w:t>
      </w:r>
      <w:r>
        <w:rPr>
          <w:b/>
          <w:color w:val="205D9E"/>
          <w:u w:val="single"/>
        </w:rPr>
        <w:t xml:space="preserve"> </w:t>
      </w:r>
      <w:hyperlink r:id="rId16">
        <w:r w:rsidRPr="00C90466">
          <w:rPr>
            <w:rStyle w:val="Hyperlink"/>
          </w:rPr>
          <w:t>www.fairwork.gov.au</w:t>
        </w:r>
      </w:hyperlink>
      <w:r>
        <w:t xml:space="preserve"> or calling the Fair Work Infoline on </w:t>
      </w:r>
      <w:r>
        <w:rPr>
          <w:b/>
        </w:rPr>
        <w:t>13 13 94</w:t>
      </w:r>
      <w:r>
        <w:t>.</w:t>
      </w:r>
    </w:p>
    <w:p w14:paraId="5A124D66" w14:textId="6D8B7DBB" w:rsidR="0030173F" w:rsidRDefault="0030173F" w:rsidP="00C90466">
      <w:pPr>
        <w:pStyle w:val="ListBullet"/>
      </w:pPr>
      <w:r>
        <w:t xml:space="preserve">If your former employer has become bankrupt </w:t>
      </w:r>
      <w:r w:rsidR="0057754D">
        <w:br/>
      </w:r>
      <w:r>
        <w:t>or entered liquidation, you may be eligible for financial assistance through the Fair Entitlements Guarantee. For more information, visit</w:t>
      </w:r>
      <w:r>
        <w:rPr>
          <w:b/>
          <w:color w:val="205D9E"/>
          <w:u w:val="single"/>
        </w:rPr>
        <w:t xml:space="preserve"> </w:t>
      </w:r>
      <w:hyperlink r:id="rId17" w:history="1">
        <w:r w:rsidR="005F0B38">
          <w:rPr>
            <w:rStyle w:val="Hyperlink"/>
          </w:rPr>
          <w:t>www.dewr.gov.au/fair-entitlements-guarantee</w:t>
        </w:r>
      </w:hyperlink>
      <w:r w:rsidR="005F0B38">
        <w:t xml:space="preserve"> </w:t>
      </w:r>
      <w:r>
        <w:t xml:space="preserve">or call </w:t>
      </w:r>
      <w:r>
        <w:rPr>
          <w:b/>
        </w:rPr>
        <w:t>1300 135 040</w:t>
      </w:r>
      <w:r>
        <w:t>.</w:t>
      </w:r>
    </w:p>
    <w:p w14:paraId="0B30379F" w14:textId="34BAA9FF" w:rsidR="0030173F" w:rsidRDefault="0030173F" w:rsidP="00C90466">
      <w:r>
        <w:t xml:space="preserve">You should also check your superannuation fund </w:t>
      </w:r>
      <w:r w:rsidR="0057754D">
        <w:br/>
      </w:r>
      <w:r>
        <w:t xml:space="preserve">to ensure your employer has paid your contributions. If you are concerned your superannuation hasn’t been paid or is incorrect, you can contact the Australian Taxation Office on </w:t>
      </w:r>
      <w:r>
        <w:rPr>
          <w:b/>
        </w:rPr>
        <w:t xml:space="preserve">13 10 20 </w:t>
      </w:r>
      <w:r>
        <w:t>or visit</w:t>
      </w:r>
      <w:r>
        <w:rPr>
          <w:b/>
          <w:color w:val="205D9E"/>
          <w:u w:val="single"/>
        </w:rPr>
        <w:t xml:space="preserve"> </w:t>
      </w:r>
      <w:hyperlink r:id="rId18">
        <w:r w:rsidRPr="00C90466">
          <w:rPr>
            <w:rStyle w:val="Hyperlink"/>
          </w:rPr>
          <w:t>www.ato.gov.au/super</w:t>
        </w:r>
      </w:hyperlink>
      <w:r>
        <w:rPr>
          <w:b/>
          <w:color w:val="333740"/>
        </w:rPr>
        <w:t xml:space="preserve"> </w:t>
      </w:r>
    </w:p>
    <w:p w14:paraId="53D28203" w14:textId="77777777" w:rsidR="0030173F" w:rsidRDefault="0030173F" w:rsidP="00C90466"/>
    <w:p w14:paraId="4DD29038" w14:textId="77777777" w:rsidR="0030173F" w:rsidRDefault="0030173F" w:rsidP="002024EB">
      <w:pPr>
        <w:pStyle w:val="Heading2"/>
        <w:rPr>
          <w:rFonts w:eastAsia="Arial"/>
        </w:rPr>
      </w:pPr>
      <w:r>
        <w:br w:type="column"/>
      </w:r>
      <w:r>
        <w:rPr>
          <w:rFonts w:eastAsia="Arial"/>
        </w:rPr>
        <w:t>Act quickly to look for a</w:t>
      </w:r>
      <w:r w:rsidRPr="00C90466">
        <w:rPr>
          <w:rFonts w:eastAsia="Arial"/>
        </w:rPr>
        <w:t xml:space="preserve"> new job</w:t>
      </w:r>
    </w:p>
    <w:p w14:paraId="21F39A19" w14:textId="77777777" w:rsidR="0030173F" w:rsidRDefault="0030173F" w:rsidP="00C90466">
      <w:r>
        <w:t>Acting quickly to find a new job is important. Update your résumé to include all your skills and highlight skills that a new employer may value.</w:t>
      </w:r>
    </w:p>
    <w:p w14:paraId="196B7E30" w14:textId="77777777" w:rsidR="0030173F" w:rsidRDefault="0030173F" w:rsidP="00D60AFB">
      <w:pPr>
        <w:pStyle w:val="Heading3"/>
        <w:rPr>
          <w:rFonts w:eastAsia="Arial"/>
        </w:rPr>
      </w:pPr>
      <w:r>
        <w:rPr>
          <w:rFonts w:eastAsia="Arial"/>
        </w:rPr>
        <w:t xml:space="preserve">Where can I get help to find a new job? </w:t>
      </w:r>
    </w:p>
    <w:p w14:paraId="4BD4A764" w14:textId="77777777" w:rsidR="0030173F" w:rsidRPr="00D60AFB" w:rsidRDefault="0030173F" w:rsidP="00D60AFB">
      <w:pPr>
        <w:pStyle w:val="Heading4"/>
      </w:pPr>
      <w:r w:rsidRPr="00D60AFB">
        <w:t>Workforce Australia</w:t>
      </w:r>
    </w:p>
    <w:p w14:paraId="38268AC2" w14:textId="78187E17" w:rsidR="0030173F" w:rsidRPr="00404858" w:rsidRDefault="0030173F" w:rsidP="00C90466">
      <w:pPr>
        <w:rPr>
          <w:lang w:val="en-US"/>
        </w:rPr>
      </w:pPr>
      <w:r w:rsidRPr="00404858">
        <w:rPr>
          <w:lang w:val="en-US"/>
        </w:rPr>
        <w:t xml:space="preserve">The Australian Government’s Workforce Australia employment services will give individuals the knowledge and tools they need to get a job, learn </w:t>
      </w:r>
      <w:r w:rsidR="0057754D">
        <w:rPr>
          <w:lang w:val="en-US"/>
        </w:rPr>
        <w:br/>
      </w:r>
      <w:r w:rsidRPr="00404858">
        <w:rPr>
          <w:lang w:val="en-US"/>
        </w:rPr>
        <w:t>new skills or access the extra support if they need it.</w:t>
      </w:r>
    </w:p>
    <w:p w14:paraId="39A60FBD" w14:textId="416B6D2A" w:rsidR="0030173F" w:rsidRPr="00404858" w:rsidRDefault="0030173F" w:rsidP="00C90466">
      <w:pPr>
        <w:rPr>
          <w:lang w:val="en-US"/>
        </w:rPr>
      </w:pPr>
      <w:r w:rsidRPr="00404858">
        <w:rPr>
          <w:lang w:val="en-US"/>
        </w:rPr>
        <w:t xml:space="preserve">If you are a job-ready job seeker you will be placed </w:t>
      </w:r>
      <w:r w:rsidR="0057754D">
        <w:rPr>
          <w:lang w:val="en-US"/>
        </w:rPr>
        <w:br/>
      </w:r>
      <w:r w:rsidRPr="00404858">
        <w:rPr>
          <w:lang w:val="en-US"/>
        </w:rPr>
        <w:t xml:space="preserve">in our online employment services. If you need more support to get job ready an Employment Service Provider will support you with tailored services </w:t>
      </w:r>
      <w:r w:rsidR="0057754D">
        <w:rPr>
          <w:lang w:val="en-US"/>
        </w:rPr>
        <w:br/>
      </w:r>
      <w:r w:rsidRPr="00404858">
        <w:rPr>
          <w:lang w:val="en-US"/>
        </w:rPr>
        <w:t>to help you find and keep meaningful work.</w:t>
      </w:r>
    </w:p>
    <w:p w14:paraId="32B6A8A4" w14:textId="0575B31E" w:rsidR="0030173F" w:rsidRPr="00E20E5B" w:rsidRDefault="0030173F" w:rsidP="00C90466">
      <w:pPr>
        <w:rPr>
          <w:color w:val="343741"/>
          <w:szCs w:val="19"/>
        </w:rPr>
      </w:pPr>
      <w:r w:rsidRPr="00404858">
        <w:rPr>
          <w:lang w:val="en-US"/>
        </w:rPr>
        <w:t>If you would like to know more, including the details</w:t>
      </w:r>
      <w:r w:rsidR="00D70438">
        <w:rPr>
          <w:lang w:val="en-US"/>
        </w:rPr>
        <w:br/>
      </w:r>
      <w:r w:rsidRPr="00404858">
        <w:rPr>
          <w:lang w:val="en-US"/>
        </w:rPr>
        <w:t xml:space="preserve">of your local providers, visit </w:t>
      </w:r>
      <w:hyperlink r:id="rId19" w:history="1">
        <w:r w:rsidR="00573F71" w:rsidRPr="00573F71">
          <w:rPr>
            <w:rStyle w:val="Hyperlink"/>
            <w:lang w:val="en-US"/>
          </w:rPr>
          <w:t>www.</w:t>
        </w:r>
        <w:r w:rsidRPr="00573F71">
          <w:rPr>
            <w:rStyle w:val="Hyperlink"/>
          </w:rPr>
          <w:t>workforceaustralia.gov.au</w:t>
        </w:r>
      </w:hyperlink>
      <w:r>
        <w:rPr>
          <w:lang w:val="en-US"/>
        </w:rPr>
        <w:t xml:space="preserve"> </w:t>
      </w:r>
      <w:r w:rsidRPr="00404858">
        <w:rPr>
          <w:lang w:val="en-US"/>
        </w:rPr>
        <w:t>or call the Digital Support Contact Centre (DSCC) on</w:t>
      </w:r>
      <w:r>
        <w:rPr>
          <w:spacing w:val="7"/>
          <w:lang w:val="en-US"/>
        </w:rPr>
        <w:t xml:space="preserve"> </w:t>
      </w:r>
      <w:r w:rsidRPr="00351907">
        <w:rPr>
          <w:b/>
          <w:bCs/>
          <w:spacing w:val="7"/>
        </w:rPr>
        <w:t>1800 314 677</w:t>
      </w:r>
      <w:r>
        <w:rPr>
          <w:spacing w:val="7"/>
          <w:lang w:val="en-US"/>
        </w:rPr>
        <w:t>.</w:t>
      </w:r>
    </w:p>
    <w:p w14:paraId="24707365" w14:textId="1B5A972F" w:rsidR="0030173F" w:rsidRDefault="0030173F" w:rsidP="00D60AFB">
      <w:pPr>
        <w:pStyle w:val="Heading4"/>
        <w:rPr>
          <w:rFonts w:eastAsia="Arial"/>
        </w:rPr>
      </w:pPr>
      <w:r>
        <w:rPr>
          <w:rFonts w:eastAsia="Arial"/>
        </w:rPr>
        <w:t>What’s Next</w:t>
      </w:r>
      <w:r w:rsidR="00614FA3" w:rsidRPr="00347DFE">
        <w:rPr>
          <w:rFonts w:eastAsia="Arial"/>
        </w:rPr>
        <w:t>?</w:t>
      </w:r>
      <w:r>
        <w:rPr>
          <w:rFonts w:eastAsia="Arial"/>
        </w:rPr>
        <w:t xml:space="preserve"> website</w:t>
      </w:r>
    </w:p>
    <w:p w14:paraId="0907BF0A" w14:textId="6B004FDB" w:rsidR="0030173F" w:rsidRDefault="0030173F" w:rsidP="00573F71">
      <w:pPr>
        <w:spacing w:after="0"/>
      </w:pPr>
      <w:r>
        <w:t>The What’s Next</w:t>
      </w:r>
      <w:r w:rsidR="00614FA3" w:rsidRPr="00347DFE">
        <w:t>?</w:t>
      </w:r>
      <w:r>
        <w:t xml:space="preserve"> website has resources for retrenched workers. This includes information on careers, training opportunities, help with résumés </w:t>
      </w:r>
      <w:r w:rsidR="006A7CFA">
        <w:br/>
      </w:r>
      <w:r>
        <w:t>and practical tips for finding a new job. Go to</w:t>
      </w:r>
      <w:r w:rsidR="00573F71">
        <w:t xml:space="preserve"> </w:t>
      </w:r>
      <w:hyperlink r:id="rId20" w:history="1">
        <w:r w:rsidR="006A7CFA" w:rsidRPr="00C045DF">
          <w:rPr>
            <w:rStyle w:val="Hyperlink"/>
          </w:rPr>
          <w:t>www.WhatsNext.dewr.gov.au</w:t>
        </w:r>
      </w:hyperlink>
      <w:r>
        <w:t xml:space="preserve"> to find out more.</w:t>
      </w:r>
    </w:p>
    <w:p w14:paraId="01861846" w14:textId="77777777" w:rsidR="0030173F" w:rsidRDefault="0030173F" w:rsidP="00C90466"/>
    <w:p w14:paraId="27F7F34A" w14:textId="5108D839" w:rsidR="0030173F" w:rsidRDefault="0030173F">
      <w:pPr>
        <w:spacing w:after="160" w:line="259" w:lineRule="auto"/>
      </w:pPr>
      <w:r>
        <w:br w:type="page"/>
      </w:r>
    </w:p>
    <w:p w14:paraId="177B2AB8" w14:textId="77777777" w:rsidR="0030173F" w:rsidRDefault="0030173F" w:rsidP="002024EB">
      <w:pPr>
        <w:pStyle w:val="Heading2"/>
        <w:rPr>
          <w:rFonts w:eastAsia="Arial"/>
        </w:rPr>
      </w:pPr>
      <w:r>
        <w:rPr>
          <w:rFonts w:eastAsia="Arial"/>
        </w:rPr>
        <w:lastRenderedPageBreak/>
        <w:t>Plan how to best use your finances</w:t>
      </w:r>
    </w:p>
    <w:p w14:paraId="6B2287F1" w14:textId="485776A0" w:rsidR="0030173F" w:rsidRDefault="0030173F" w:rsidP="00C90466">
      <w:r>
        <w:t xml:space="preserve">It is important to get your finances in order quickly </w:t>
      </w:r>
      <w:r w:rsidR="0057754D">
        <w:br/>
      </w:r>
      <w:r>
        <w:t>so you have enough money to last until you find another job. These resources can help you with financial advice and aid:</w:t>
      </w:r>
    </w:p>
    <w:p w14:paraId="26C6241C" w14:textId="77777777" w:rsidR="0030173F" w:rsidRDefault="0030173F" w:rsidP="00C90466">
      <w:pPr>
        <w:pStyle w:val="ListBullet"/>
      </w:pPr>
      <w:r>
        <w:t>Money Smart is a government website with tips and tools to help make the most of your finances. Visit</w:t>
      </w:r>
      <w:r>
        <w:rPr>
          <w:b/>
          <w:color w:val="205D9E"/>
          <w:u w:val="single"/>
        </w:rPr>
        <w:t xml:space="preserve"> </w:t>
      </w:r>
      <w:hyperlink r:id="rId21" w:history="1">
        <w:r w:rsidRPr="00CD79EB">
          <w:rPr>
            <w:rStyle w:val="Hyperlink"/>
          </w:rPr>
          <w:t>www.moneysmart.gov.au</w:t>
        </w:r>
      </w:hyperlink>
      <w:r>
        <w:rPr>
          <w:b/>
          <w:color w:val="A3A6A9"/>
        </w:rPr>
        <w:t xml:space="preserve"> </w:t>
      </w:r>
    </w:p>
    <w:p w14:paraId="1A640DE2" w14:textId="77777777" w:rsidR="0030173F" w:rsidRDefault="0030173F" w:rsidP="00C90466">
      <w:pPr>
        <w:pStyle w:val="ListBullet"/>
      </w:pPr>
      <w:r>
        <w:t>Services Australia Financial Information Service. Visit</w:t>
      </w:r>
      <w:r w:rsidRPr="00CD79EB">
        <w:t xml:space="preserve"> </w:t>
      </w:r>
      <w:hyperlink r:id="rId22">
        <w:r w:rsidRPr="00CD79EB">
          <w:rPr>
            <w:rStyle w:val="Hyperlink"/>
          </w:rPr>
          <w:t>www.servicesaustralia.gov.au</w:t>
        </w:r>
      </w:hyperlink>
      <w:r>
        <w:rPr>
          <w:b/>
          <w:color w:val="A3A6A9"/>
        </w:rPr>
        <w:t xml:space="preserve"> </w:t>
      </w:r>
    </w:p>
    <w:p w14:paraId="0B754410" w14:textId="7534951E" w:rsidR="0030173F" w:rsidRDefault="0030173F" w:rsidP="00C90466">
      <w:pPr>
        <w:pStyle w:val="ListBullet"/>
      </w:pPr>
      <w:r>
        <w:t xml:space="preserve">Financial Counselling Australia can link you to free financial counsellors in your area. Visit </w:t>
      </w:r>
      <w:r>
        <w:rPr>
          <w:b/>
        </w:rPr>
        <w:t xml:space="preserve"> </w:t>
      </w:r>
      <w:hyperlink r:id="rId23">
        <w:r w:rsidR="00347DFE">
          <w:rPr>
            <w:rStyle w:val="Hyperlink"/>
          </w:rPr>
          <w:t>www.financialcounsellingaustralia.org.au</w:t>
        </w:r>
      </w:hyperlink>
    </w:p>
    <w:p w14:paraId="2CC0CCB1" w14:textId="4A9C4FF2" w:rsidR="0030173F" w:rsidRDefault="0030173F" w:rsidP="00C90466">
      <w:r>
        <w:t xml:space="preserve">The Australian Taxation Office can provide advice </w:t>
      </w:r>
      <w:r w:rsidR="0057754D">
        <w:br/>
      </w:r>
      <w:r>
        <w:t xml:space="preserve">on taxation of redundancy payments. </w:t>
      </w:r>
      <w:r w:rsidR="0057754D">
        <w:br/>
      </w:r>
      <w:r>
        <w:t>Visit</w:t>
      </w:r>
      <w:r>
        <w:rPr>
          <w:b/>
          <w:color w:val="205D9E"/>
          <w:u w:val="single"/>
        </w:rPr>
        <w:t xml:space="preserve"> </w:t>
      </w:r>
      <w:hyperlink r:id="rId24">
        <w:r w:rsidRPr="00CD79EB">
          <w:rPr>
            <w:rStyle w:val="Hyperlink"/>
          </w:rPr>
          <w:t>www.ato.gov.au</w:t>
        </w:r>
      </w:hyperlink>
      <w:r>
        <w:rPr>
          <w:b/>
          <w:color w:val="008276"/>
        </w:rPr>
        <w:t xml:space="preserve"> </w:t>
      </w:r>
    </w:p>
    <w:p w14:paraId="3996B50B" w14:textId="77777777" w:rsidR="00C90466" w:rsidRDefault="0030173F" w:rsidP="002024EB">
      <w:pPr>
        <w:pStyle w:val="Heading3"/>
        <w:rPr>
          <w:rFonts w:eastAsia="Arial"/>
        </w:rPr>
      </w:pPr>
      <w:r>
        <w:rPr>
          <w:rFonts w:eastAsia="Arial"/>
        </w:rPr>
        <w:t>What help can Services Australia provide?</w:t>
      </w:r>
    </w:p>
    <w:p w14:paraId="7B796296" w14:textId="34659F22" w:rsidR="0030173F" w:rsidRPr="00807E08" w:rsidRDefault="0030173F" w:rsidP="00B220F2">
      <w:pPr>
        <w:pStyle w:val="Heading4"/>
        <w:rPr>
          <w:rFonts w:ascii="Arial" w:eastAsia="Arial" w:hAnsi="Arial"/>
        </w:rPr>
      </w:pPr>
      <w:r w:rsidRPr="00807E08">
        <w:rPr>
          <w:rFonts w:eastAsia="Arial Narrow"/>
        </w:rPr>
        <w:t>Services Australia can assist you with:</w:t>
      </w:r>
    </w:p>
    <w:p w14:paraId="7AC80ED9" w14:textId="77777777" w:rsidR="0030173F" w:rsidRDefault="0030173F" w:rsidP="00CD79EB">
      <w:pPr>
        <w:pStyle w:val="ListBullet"/>
      </w:pPr>
      <w:r>
        <w:t>income support options</w:t>
      </w:r>
    </w:p>
    <w:p w14:paraId="67EE8C7F" w14:textId="77777777" w:rsidR="0030173F" w:rsidRDefault="0030173F" w:rsidP="00CD79EB">
      <w:pPr>
        <w:pStyle w:val="ListBullet"/>
        <w:rPr>
          <w:spacing w:val="2"/>
        </w:rPr>
      </w:pPr>
      <w:r>
        <w:rPr>
          <w:spacing w:val="2"/>
        </w:rPr>
        <w:t>effect of redundancy payment on receiving income support</w:t>
      </w:r>
    </w:p>
    <w:p w14:paraId="4590D31B" w14:textId="69B3CB5B" w:rsidR="0030173F" w:rsidRPr="00A33686" w:rsidRDefault="0030173F" w:rsidP="00CD79EB">
      <w:pPr>
        <w:pStyle w:val="ListBullet"/>
        <w:rPr>
          <w:spacing w:val="2"/>
        </w:rPr>
      </w:pPr>
      <w:r>
        <w:t xml:space="preserve">waiting periods (depending on the amount </w:t>
      </w:r>
      <w:r w:rsidR="0057754D">
        <w:br/>
      </w:r>
      <w:r>
        <w:t xml:space="preserve">of </w:t>
      </w:r>
      <w:r w:rsidRPr="00A33686">
        <w:rPr>
          <w:spacing w:val="2"/>
        </w:rPr>
        <w:t>money you have to support yourself)</w:t>
      </w:r>
    </w:p>
    <w:p w14:paraId="5FFF8D05" w14:textId="318D6290" w:rsidR="0030173F" w:rsidRPr="00A33686" w:rsidRDefault="0030173F" w:rsidP="00CD79EB">
      <w:pPr>
        <w:pStyle w:val="ListBullet"/>
        <w:rPr>
          <w:spacing w:val="2"/>
        </w:rPr>
      </w:pPr>
      <w:r w:rsidRPr="00A33686">
        <w:rPr>
          <w:spacing w:val="2"/>
        </w:rPr>
        <w:t xml:space="preserve">adjusting your Family Tax Benefit estimate </w:t>
      </w:r>
      <w:r w:rsidR="0057754D">
        <w:rPr>
          <w:spacing w:val="2"/>
        </w:rPr>
        <w:br/>
      </w:r>
      <w:r w:rsidRPr="00A33686">
        <w:rPr>
          <w:spacing w:val="2"/>
        </w:rPr>
        <w:t>or adjusting Child Support information</w:t>
      </w:r>
    </w:p>
    <w:p w14:paraId="69D1ED54" w14:textId="77777777" w:rsidR="0030173F" w:rsidRPr="00A33686" w:rsidRDefault="0030173F" w:rsidP="00CD79EB">
      <w:pPr>
        <w:pStyle w:val="ListBullet"/>
        <w:rPr>
          <w:spacing w:val="2"/>
        </w:rPr>
      </w:pPr>
      <w:r w:rsidRPr="00A33686">
        <w:rPr>
          <w:spacing w:val="2"/>
        </w:rPr>
        <w:t>Youth Allowance entitlements for dependent children.</w:t>
      </w:r>
    </w:p>
    <w:p w14:paraId="358A9AAA" w14:textId="77777777" w:rsidR="0030173F" w:rsidRDefault="0030173F" w:rsidP="00CD79EB">
      <w:pPr>
        <w:rPr>
          <w:color w:val="000000"/>
          <w:sz w:val="19"/>
        </w:rPr>
      </w:pPr>
      <w:r w:rsidRPr="00A33686">
        <w:rPr>
          <w:color w:val="000000"/>
          <w:szCs w:val="21"/>
        </w:rPr>
        <w:t>For more information, go to</w:t>
      </w:r>
      <w:r w:rsidRPr="00A33686">
        <w:rPr>
          <w:szCs w:val="21"/>
        </w:rPr>
        <w:t xml:space="preserve"> </w:t>
      </w:r>
      <w:hyperlink r:id="rId25">
        <w:r w:rsidRPr="00CD79EB">
          <w:rPr>
            <w:rStyle w:val="Hyperlink"/>
          </w:rPr>
          <w:t>www.servicesaustralia.gov.au</w:t>
        </w:r>
      </w:hyperlink>
      <w:r>
        <w:rPr>
          <w:b/>
          <w:color w:val="205D9E"/>
          <w:sz w:val="19"/>
        </w:rPr>
        <w:t xml:space="preserve"> </w:t>
      </w:r>
      <w:r>
        <w:rPr>
          <w:color w:val="000000"/>
          <w:sz w:val="19"/>
        </w:rPr>
        <w:t xml:space="preserve">or call </w:t>
      </w:r>
      <w:r>
        <w:rPr>
          <w:b/>
          <w:color w:val="000000"/>
          <w:sz w:val="19"/>
        </w:rPr>
        <w:t>13 28 50</w:t>
      </w:r>
      <w:r>
        <w:rPr>
          <w:color w:val="000000"/>
          <w:sz w:val="19"/>
        </w:rPr>
        <w:t>.</w:t>
      </w:r>
    </w:p>
    <w:p w14:paraId="215C3BDC" w14:textId="77777777" w:rsidR="0030173F" w:rsidRDefault="0030173F" w:rsidP="00D60AFB">
      <w:pPr>
        <w:pStyle w:val="Heading4"/>
        <w:rPr>
          <w:rFonts w:eastAsia="Arial"/>
        </w:rPr>
      </w:pPr>
      <w:r>
        <w:rPr>
          <w:rFonts w:eastAsia="Arial"/>
        </w:rPr>
        <w:t>Employment Separation Certificate</w:t>
      </w:r>
    </w:p>
    <w:p w14:paraId="6A712110" w14:textId="180AF57F" w:rsidR="0030173F" w:rsidRPr="00102E4F" w:rsidRDefault="0030173F" w:rsidP="00CD79EB">
      <w:r>
        <w:t xml:space="preserve">Your employer can provide you with an employment separation certificate or letter of termination when you stop work. Services Australia, other government agencies, or employment services providers can </w:t>
      </w:r>
      <w:r w:rsidR="0057754D">
        <w:br/>
      </w:r>
      <w:r>
        <w:t>use this certificate to determine if you can receive more help.</w:t>
      </w:r>
    </w:p>
    <w:p w14:paraId="110E6138" w14:textId="1E08799B" w:rsidR="0030173F" w:rsidRDefault="0030173F" w:rsidP="002024EB">
      <w:pPr>
        <w:pStyle w:val="Heading2"/>
        <w:rPr>
          <w:rFonts w:eastAsia="Arial"/>
        </w:rPr>
      </w:pPr>
      <w:r>
        <w:br w:type="column"/>
      </w:r>
      <w:r>
        <w:rPr>
          <w:rFonts w:eastAsia="Arial"/>
        </w:rPr>
        <w:t>Look after your health and wellbeing</w:t>
      </w:r>
    </w:p>
    <w:p w14:paraId="6FB4653A" w14:textId="43ADD9E0" w:rsidR="0030173F" w:rsidRDefault="0030173F" w:rsidP="00CD79EB">
      <w:r>
        <w:t>You can expect to have a range of reactions to losing your job. It is important to take care of your health and wellbeing as well as your family’s. If you or someone you know is having problems, including domestic and family violence, talking to someone</w:t>
      </w:r>
      <w:r w:rsidR="0057754D">
        <w:t xml:space="preserve"> </w:t>
      </w:r>
      <w:r w:rsidR="0057754D">
        <w:br/>
      </w:r>
      <w:r>
        <w:t>is an important first step.</w:t>
      </w:r>
    </w:p>
    <w:p w14:paraId="769C51A3" w14:textId="77777777" w:rsidR="0030173F" w:rsidRPr="006D36DA" w:rsidRDefault="0030173F" w:rsidP="00CD79EB">
      <w:pPr>
        <w:pStyle w:val="ListBullet"/>
        <w:rPr>
          <w:rFonts w:cstheme="minorHAnsi"/>
          <w:b/>
          <w:bCs/>
        </w:rPr>
      </w:pPr>
      <w:r w:rsidRPr="006D36DA">
        <w:rPr>
          <w:rStyle w:val="Style3"/>
        </w:rPr>
        <w:t>If you are in immediate danger, please call 000</w:t>
      </w:r>
      <w:r w:rsidRPr="006D36DA">
        <w:rPr>
          <w:rFonts w:eastAsia="Arial Narrow" w:cstheme="minorHAnsi"/>
        </w:rPr>
        <w:t>.</w:t>
      </w:r>
    </w:p>
    <w:p w14:paraId="65F4C5E3" w14:textId="77777777" w:rsidR="0030173F" w:rsidRPr="006D36DA" w:rsidRDefault="0030173F" w:rsidP="00CD79EB">
      <w:pPr>
        <w:pStyle w:val="ListBullet"/>
        <w:rPr>
          <w:rFonts w:eastAsia="Arial Narrow" w:cstheme="minorHAnsi"/>
          <w:color w:val="000000"/>
        </w:rPr>
      </w:pPr>
      <w:r w:rsidRPr="006D36DA">
        <w:rPr>
          <w:rFonts w:eastAsia="Arial Narrow" w:cstheme="minorHAnsi"/>
          <w:color w:val="000000"/>
        </w:rPr>
        <w:t xml:space="preserve">You can call </w:t>
      </w:r>
      <w:r w:rsidRPr="006D36DA">
        <w:rPr>
          <w:rFonts w:eastAsia="Arial Narrow" w:cstheme="minorHAnsi"/>
          <w:b/>
          <w:bCs/>
          <w:color w:val="000000"/>
        </w:rPr>
        <w:t>1800 RESPECT</w:t>
      </w:r>
      <w:r w:rsidRPr="006D36DA">
        <w:rPr>
          <w:rFonts w:eastAsia="Arial Narrow" w:cstheme="minorHAnsi"/>
          <w:color w:val="000000"/>
        </w:rPr>
        <w:t xml:space="preserve"> (1800 737 732 or </w:t>
      </w:r>
      <w:hyperlink r:id="rId26">
        <w:r w:rsidRPr="006D36DA">
          <w:rPr>
            <w:rStyle w:val="Hyperlink"/>
            <w:rFonts w:cstheme="minorHAnsi"/>
          </w:rPr>
          <w:t>www.1800respect.org.au</w:t>
        </w:r>
      </w:hyperlink>
      <w:r w:rsidRPr="006D36DA">
        <w:rPr>
          <w:rFonts w:eastAsia="Arial Narrow" w:cstheme="minorHAnsi"/>
          <w:color w:val="205D9E"/>
        </w:rPr>
        <w:t>)</w:t>
      </w:r>
      <w:r w:rsidRPr="006D36DA">
        <w:rPr>
          <w:rFonts w:eastAsia="Arial Narrow" w:cstheme="minorHAnsi"/>
          <w:color w:val="000000"/>
        </w:rPr>
        <w:t xml:space="preserve"> to speak to a domestic violence counsellor and access local support services.</w:t>
      </w:r>
    </w:p>
    <w:p w14:paraId="7A58700D" w14:textId="184F538F" w:rsidR="0030173F" w:rsidRPr="006D36DA" w:rsidRDefault="0030173F" w:rsidP="00CD79EB">
      <w:pPr>
        <w:pStyle w:val="ListBullet"/>
        <w:rPr>
          <w:rFonts w:eastAsia="Arial Narrow" w:cstheme="minorHAnsi"/>
          <w:color w:val="000000"/>
        </w:rPr>
      </w:pPr>
      <w:r w:rsidRPr="006D36DA">
        <w:rPr>
          <w:rFonts w:eastAsia="Arial Narrow" w:cstheme="minorHAnsi"/>
          <w:color w:val="000000"/>
        </w:rPr>
        <w:t>Your local GP</w:t>
      </w:r>
      <w:r w:rsidR="00A33686">
        <w:rPr>
          <w:rFonts w:eastAsia="Arial Narrow" w:cstheme="minorHAnsi"/>
          <w:color w:val="000000"/>
        </w:rPr>
        <w:t>.</w:t>
      </w:r>
    </w:p>
    <w:p w14:paraId="2DCF93B7" w14:textId="18A1FD67" w:rsidR="0030173F" w:rsidRPr="006D36DA" w:rsidRDefault="0030173F" w:rsidP="00CD79EB">
      <w:pPr>
        <w:pStyle w:val="ListBullet"/>
        <w:rPr>
          <w:rFonts w:eastAsia="Arial Narrow" w:cstheme="minorHAnsi"/>
          <w:color w:val="000000"/>
        </w:rPr>
      </w:pPr>
      <w:r w:rsidRPr="006D36DA">
        <w:rPr>
          <w:rFonts w:eastAsia="Arial Narrow" w:cstheme="minorHAnsi"/>
          <w:color w:val="000000"/>
        </w:rPr>
        <w:t xml:space="preserve">Lifeline provides online, phone and face-to-face crisis support. You can call them on </w:t>
      </w:r>
      <w:r w:rsidRPr="006D36DA">
        <w:rPr>
          <w:rFonts w:eastAsia="Arial Narrow" w:cstheme="minorHAnsi"/>
          <w:b/>
          <w:bCs/>
          <w:color w:val="000000"/>
        </w:rPr>
        <w:t>13 11 14</w:t>
      </w:r>
      <w:r w:rsidRPr="006D36DA">
        <w:rPr>
          <w:rFonts w:eastAsia="Arial Narrow" w:cstheme="minorHAnsi"/>
          <w:color w:val="000000"/>
        </w:rPr>
        <w:t xml:space="preserve"> </w:t>
      </w:r>
      <w:r w:rsidR="00376DD3">
        <w:rPr>
          <w:rFonts w:eastAsia="Arial Narrow" w:cstheme="minorHAnsi"/>
          <w:color w:val="000000"/>
        </w:rPr>
        <w:br/>
      </w:r>
      <w:r w:rsidRPr="006D36DA">
        <w:rPr>
          <w:rFonts w:eastAsia="Arial Narrow" w:cstheme="minorHAnsi"/>
          <w:color w:val="000000"/>
        </w:rPr>
        <w:t xml:space="preserve">or visit </w:t>
      </w:r>
      <w:hyperlink r:id="rId27">
        <w:r w:rsidRPr="006D36DA">
          <w:rPr>
            <w:rStyle w:val="Hyperlink"/>
            <w:rFonts w:cstheme="minorHAnsi"/>
          </w:rPr>
          <w:t>www.lifeline.org.au</w:t>
        </w:r>
      </w:hyperlink>
      <w:r w:rsidRPr="006D36DA">
        <w:rPr>
          <w:rFonts w:eastAsia="Arial Narrow" w:cstheme="minorHAnsi"/>
          <w:color w:val="A3A6A9"/>
        </w:rPr>
        <w:t xml:space="preserve"> </w:t>
      </w:r>
    </w:p>
    <w:p w14:paraId="0F62AA07" w14:textId="77777777" w:rsidR="0030173F" w:rsidRPr="006D36DA" w:rsidRDefault="0030173F" w:rsidP="00CD79EB">
      <w:pPr>
        <w:pStyle w:val="ListBullet"/>
        <w:rPr>
          <w:rFonts w:eastAsia="Arial Narrow" w:cstheme="minorHAnsi"/>
          <w:color w:val="000000"/>
          <w:spacing w:val="6"/>
        </w:rPr>
      </w:pPr>
      <w:r w:rsidRPr="006D36DA">
        <w:rPr>
          <w:rFonts w:eastAsia="Arial Narrow" w:cstheme="minorHAnsi"/>
          <w:color w:val="000000"/>
          <w:spacing w:val="6"/>
        </w:rPr>
        <w:t xml:space="preserve">Beyond Blue provides free support services and information on depression and anxiety for all age groups. You can call them on </w:t>
      </w:r>
      <w:r w:rsidRPr="006D36DA">
        <w:rPr>
          <w:rFonts w:eastAsia="Arial Narrow" w:cstheme="minorHAnsi"/>
          <w:b/>
          <w:bCs/>
          <w:color w:val="000000"/>
          <w:spacing w:val="6"/>
        </w:rPr>
        <w:t>1300 22 46 36</w:t>
      </w:r>
      <w:r w:rsidRPr="006D36DA">
        <w:rPr>
          <w:rFonts w:eastAsia="Arial Narrow" w:cstheme="minorHAnsi"/>
          <w:color w:val="000000"/>
          <w:spacing w:val="6"/>
        </w:rPr>
        <w:t xml:space="preserve"> or visit </w:t>
      </w:r>
      <w:hyperlink r:id="rId28">
        <w:r w:rsidRPr="006D36DA">
          <w:rPr>
            <w:rStyle w:val="Hyperlink"/>
            <w:rFonts w:cstheme="minorHAnsi"/>
          </w:rPr>
          <w:t>www.beyondblue.org.au</w:t>
        </w:r>
      </w:hyperlink>
      <w:r w:rsidRPr="006D36DA">
        <w:rPr>
          <w:rFonts w:eastAsia="Arial Narrow" w:cstheme="minorHAnsi"/>
          <w:color w:val="A3A6A9"/>
          <w:spacing w:val="6"/>
        </w:rPr>
        <w:t xml:space="preserve"> </w:t>
      </w:r>
    </w:p>
    <w:p w14:paraId="57217A26" w14:textId="4DDC08BA" w:rsidR="0030173F" w:rsidRPr="006D36DA" w:rsidRDefault="0030173F" w:rsidP="00CD79EB">
      <w:pPr>
        <w:pStyle w:val="ListBullet"/>
        <w:rPr>
          <w:rFonts w:eastAsia="Arial Narrow" w:cstheme="minorHAnsi"/>
          <w:color w:val="000000"/>
        </w:rPr>
      </w:pPr>
      <w:r w:rsidRPr="006D36DA">
        <w:rPr>
          <w:rFonts w:eastAsia="Arial Narrow" w:cstheme="minorHAnsi"/>
          <w:color w:val="000000"/>
        </w:rPr>
        <w:t xml:space="preserve">MensLine provides telephone and online support, information, and referral services. You can call them on </w:t>
      </w:r>
      <w:r w:rsidRPr="006D36DA">
        <w:rPr>
          <w:rFonts w:eastAsia="Arial Narrow" w:cstheme="minorHAnsi"/>
          <w:b/>
          <w:bCs/>
          <w:color w:val="000000"/>
        </w:rPr>
        <w:t>1300 78 99 78</w:t>
      </w:r>
      <w:r w:rsidRPr="006D36DA">
        <w:rPr>
          <w:rFonts w:eastAsia="Arial Narrow" w:cstheme="minorHAnsi"/>
          <w:color w:val="000000"/>
        </w:rPr>
        <w:t xml:space="preserve"> or by visiting</w:t>
      </w:r>
      <w:r w:rsidRPr="006D36DA">
        <w:rPr>
          <w:rFonts w:cstheme="minorHAnsi"/>
        </w:rPr>
        <w:t xml:space="preserve"> </w:t>
      </w:r>
      <w:hyperlink r:id="rId29">
        <w:r w:rsidR="00347DFE">
          <w:rPr>
            <w:rStyle w:val="Hyperlink"/>
            <w:rFonts w:cstheme="minorHAnsi"/>
          </w:rPr>
          <w:t>www.mensline.org.au</w:t>
        </w:r>
      </w:hyperlink>
      <w:r w:rsidRPr="006D36DA">
        <w:rPr>
          <w:rFonts w:eastAsia="Arial Narrow" w:cstheme="minorHAnsi"/>
          <w:color w:val="000000"/>
        </w:rPr>
        <w:t xml:space="preserve"> </w:t>
      </w:r>
    </w:p>
    <w:sectPr w:rsidR="0030173F" w:rsidRPr="006D36DA" w:rsidSect="00D075B5">
      <w:type w:val="continuous"/>
      <w:pgSz w:w="11906" w:h="16838"/>
      <w:pgMar w:top="1418" w:right="1021" w:bottom="1418" w:left="1021" w:header="0" w:footer="624" w:gutter="0"/>
      <w:cols w:num="2" w:space="567"/>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8D212" w14:textId="77777777" w:rsidR="00FE0BBC" w:rsidRDefault="00FE0BBC" w:rsidP="00EE7FDA">
      <w:pPr>
        <w:spacing w:after="0"/>
      </w:pPr>
      <w:r>
        <w:separator/>
      </w:r>
    </w:p>
  </w:endnote>
  <w:endnote w:type="continuationSeparator" w:id="0">
    <w:p w14:paraId="34DF2027" w14:textId="77777777" w:rsidR="00FE0BBC" w:rsidRDefault="00FE0BBC"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DD719" w14:textId="59EBC39C" w:rsidR="00105919" w:rsidRPr="0057754D" w:rsidRDefault="0057754D" w:rsidP="00300432">
    <w:pPr>
      <w:pStyle w:val="Footer"/>
      <w:ind w:right="170"/>
      <w:jc w:val="right"/>
    </w:pPr>
    <w:r w:rsidRPr="0057754D">
      <w:rPr>
        <w:b/>
        <w:bCs/>
        <w:noProof/>
      </w:rPr>
      <mc:AlternateContent>
        <mc:Choice Requires="wps">
          <w:drawing>
            <wp:anchor distT="0" distB="0" distL="114300" distR="114300" simplePos="0" relativeHeight="251661312" behindDoc="0" locked="0" layoutInCell="1" allowOverlap="1" wp14:anchorId="699EF8C1" wp14:editId="46E84AD7">
              <wp:simplePos x="0" y="0"/>
              <wp:positionH relativeFrom="margin">
                <wp:posOffset>-639445</wp:posOffset>
              </wp:positionH>
              <wp:positionV relativeFrom="paragraph">
                <wp:posOffset>336550</wp:posOffset>
              </wp:positionV>
              <wp:extent cx="7543800" cy="190500"/>
              <wp:effectExtent l="0" t="0" r="0" b="0"/>
              <wp:wrapNone/>
              <wp:docPr id="1458541341"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43800" cy="190500"/>
                      </a:xfrm>
                      <a:prstGeom prst="rect">
                        <a:avLst/>
                      </a:prstGeom>
                      <a:solidFill>
                        <a:srgbClr val="7A9F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A2273" id="Rectangle 4" o:spid="_x0000_s1026" alt="&quot;&quot;" style="position:absolute;margin-left:-50.35pt;margin-top:26.5pt;width:594pt;height: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" fillcolor="#7a9f4c" stroked="f" strokeweight="1pt">
              <w10:wrap anchorx="margin"/>
            </v:rect>
          </w:pict>
        </mc:Fallback>
      </mc:AlternateContent>
    </w:r>
    <w:sdt>
      <w:sdtPr>
        <w:id w:val="354925035"/>
        <w:docPartObj>
          <w:docPartGallery w:val="Page Numbers (Bottom of Page)"/>
          <w:docPartUnique/>
        </w:docPartObj>
      </w:sdtPr>
      <w:sdtEndPr/>
      <w:sdtContent>
        <w:sdt>
          <w:sdtPr>
            <w:id w:val="-837379761"/>
            <w:docPartObj>
              <w:docPartGallery w:val="Page Numbers (Top of Page)"/>
              <w:docPartUnique/>
            </w:docPartObj>
          </w:sdtPr>
          <w:sdtEndPr/>
          <w:sdtContent>
            <w:r w:rsidR="006D36DA" w:rsidRPr="0057754D">
              <w:rPr>
                <w:b/>
                <w:bCs/>
              </w:rPr>
              <w:t>Redundancy – Your rights and considerations</w:t>
            </w:r>
            <w:r w:rsidR="006D36DA" w:rsidRPr="0057754D">
              <w:t xml:space="preserve"> | Page </w:t>
            </w:r>
            <w:r w:rsidR="006D36DA" w:rsidRPr="0057754D">
              <w:rPr>
                <w:sz w:val="24"/>
                <w:szCs w:val="24"/>
              </w:rPr>
              <w:fldChar w:fldCharType="begin"/>
            </w:r>
            <w:r w:rsidR="006D36DA" w:rsidRPr="0057754D">
              <w:instrText xml:space="preserve"> PAGE </w:instrText>
            </w:r>
            <w:r w:rsidR="006D36DA" w:rsidRPr="0057754D">
              <w:rPr>
                <w:sz w:val="24"/>
                <w:szCs w:val="24"/>
              </w:rPr>
              <w:fldChar w:fldCharType="separate"/>
            </w:r>
            <w:r w:rsidR="006D36DA" w:rsidRPr="0057754D">
              <w:rPr>
                <w:sz w:val="24"/>
                <w:szCs w:val="24"/>
              </w:rPr>
              <w:t>1</w:t>
            </w:r>
            <w:r w:rsidR="006D36DA" w:rsidRPr="0057754D">
              <w:rPr>
                <w:sz w:val="24"/>
                <w:szCs w:val="24"/>
              </w:rPr>
              <w:fldChar w:fldCharType="end"/>
            </w:r>
            <w:r w:rsidR="006D36DA" w:rsidRPr="0057754D">
              <w:t xml:space="preserve"> of </w:t>
            </w:r>
            <w:r w:rsidR="00807E08" w:rsidRPr="0057754D">
              <w:fldChar w:fldCharType="begin"/>
            </w:r>
            <w:r w:rsidR="00807E08" w:rsidRPr="0057754D">
              <w:instrText xml:space="preserve"> NUMPAGES  </w:instrText>
            </w:r>
            <w:r w:rsidR="00807E08" w:rsidRPr="0057754D">
              <w:fldChar w:fldCharType="separate"/>
            </w:r>
            <w:r w:rsidR="006D36DA" w:rsidRPr="0057754D">
              <w:rPr>
                <w:sz w:val="24"/>
                <w:szCs w:val="24"/>
              </w:rPr>
              <w:t>4</w:t>
            </w:r>
            <w:r w:rsidR="00807E08" w:rsidRPr="0057754D">
              <w:rPr>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405454"/>
      <w:docPartObj>
        <w:docPartGallery w:val="Page Numbers (Bottom of Page)"/>
        <w:docPartUnique/>
      </w:docPartObj>
    </w:sdtPr>
    <w:sdtEndPr/>
    <w:sdtContent>
      <w:sdt>
        <w:sdtPr>
          <w:id w:val="-1705238520"/>
          <w:docPartObj>
            <w:docPartGallery w:val="Page Numbers (Top of Page)"/>
            <w:docPartUnique/>
          </w:docPartObj>
        </w:sdtPr>
        <w:sdtEndPr/>
        <w:sdtContent>
          <w:p w14:paraId="70E34D44" w14:textId="7D1BFA5B" w:rsidR="00105919" w:rsidRPr="006D36DA" w:rsidRDefault="0057754D" w:rsidP="006D36DA">
            <w:pPr>
              <w:pStyle w:val="Footer"/>
              <w:ind w:right="170"/>
              <w:jc w:val="right"/>
            </w:pPr>
            <w:r w:rsidRPr="0057754D">
              <w:rPr>
                <w:b/>
                <w:bCs/>
                <w:noProof/>
              </w:rPr>
              <mc:AlternateContent>
                <mc:Choice Requires="wps">
                  <w:drawing>
                    <wp:anchor distT="0" distB="0" distL="114300" distR="114300" simplePos="0" relativeHeight="251663360" behindDoc="0" locked="0" layoutInCell="1" allowOverlap="1" wp14:anchorId="35607543" wp14:editId="588C051A">
                      <wp:simplePos x="0" y="0"/>
                      <wp:positionH relativeFrom="margin">
                        <wp:posOffset>-532765</wp:posOffset>
                      </wp:positionH>
                      <wp:positionV relativeFrom="paragraph">
                        <wp:posOffset>336550</wp:posOffset>
                      </wp:positionV>
                      <wp:extent cx="7543800" cy="190500"/>
                      <wp:effectExtent l="0" t="0" r="0" b="0"/>
                      <wp:wrapNone/>
                      <wp:docPr id="146594115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43800" cy="190500"/>
                              </a:xfrm>
                              <a:prstGeom prst="rect">
                                <a:avLst/>
                              </a:prstGeom>
                              <a:solidFill>
                                <a:srgbClr val="7A9F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9C3CF" id="Rectangle 4" o:spid="_x0000_s1026" alt="&quot;&quot;" style="position:absolute;margin-left:-41.95pt;margin-top:26.5pt;width:594pt;height:1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" fillcolor="#7a9f4c" stroked="f" strokeweight="1pt">
                      <w10:wrap anchorx="margin"/>
                    </v:rect>
                  </w:pict>
                </mc:Fallback>
              </mc:AlternateContent>
            </w:r>
            <w:r w:rsidR="006D36DA" w:rsidRPr="0057754D">
              <w:rPr>
                <w:b/>
                <w:bCs/>
              </w:rPr>
              <w:t>Redundancy – Your rights and considerations</w:t>
            </w:r>
            <w:r w:rsidR="006D36DA" w:rsidRPr="0057754D">
              <w:t xml:space="preserve"> | Page </w:t>
            </w:r>
            <w:r w:rsidR="006D36DA" w:rsidRPr="0057754D">
              <w:rPr>
                <w:sz w:val="24"/>
                <w:szCs w:val="24"/>
              </w:rPr>
              <w:fldChar w:fldCharType="begin"/>
            </w:r>
            <w:r w:rsidR="006D36DA" w:rsidRPr="0057754D">
              <w:instrText xml:space="preserve"> PAGE </w:instrText>
            </w:r>
            <w:r w:rsidR="006D36DA" w:rsidRPr="0057754D">
              <w:rPr>
                <w:sz w:val="24"/>
                <w:szCs w:val="24"/>
              </w:rPr>
              <w:fldChar w:fldCharType="separate"/>
            </w:r>
            <w:r w:rsidR="006D36DA" w:rsidRPr="0057754D">
              <w:rPr>
                <w:noProof/>
              </w:rPr>
              <w:t>2</w:t>
            </w:r>
            <w:r w:rsidR="006D36DA" w:rsidRPr="0057754D">
              <w:rPr>
                <w:sz w:val="24"/>
                <w:szCs w:val="24"/>
              </w:rPr>
              <w:fldChar w:fldCharType="end"/>
            </w:r>
            <w:r w:rsidR="006D36DA" w:rsidRPr="0057754D">
              <w:t xml:space="preserve"> of </w:t>
            </w:r>
            <w:r w:rsidR="00807E08" w:rsidRPr="0057754D">
              <w:fldChar w:fldCharType="begin"/>
            </w:r>
            <w:r w:rsidR="00807E08" w:rsidRPr="0057754D">
              <w:instrText xml:space="preserve"> NUMPAGES  </w:instrText>
            </w:r>
            <w:r w:rsidR="00807E08" w:rsidRPr="0057754D">
              <w:fldChar w:fldCharType="separate"/>
            </w:r>
            <w:r w:rsidR="006D36DA" w:rsidRPr="0057754D">
              <w:rPr>
                <w:noProof/>
              </w:rPr>
              <w:t>2</w:t>
            </w:r>
            <w:r w:rsidR="00807E08" w:rsidRPr="0057754D">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B86D2" w14:textId="77777777" w:rsidR="00FE0BBC" w:rsidRDefault="00FE0BBC" w:rsidP="00D105E6">
      <w:pPr>
        <w:spacing w:after="60"/>
      </w:pPr>
      <w:r>
        <w:separator/>
      </w:r>
    </w:p>
  </w:footnote>
  <w:footnote w:type="continuationSeparator" w:id="0">
    <w:p w14:paraId="544B666E" w14:textId="77777777" w:rsidR="00FE0BBC" w:rsidRDefault="00FE0BBC" w:rsidP="00EE7F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AD2984E"/>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112C438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EC16CF"/>
    <w:multiLevelType w:val="multilevel"/>
    <w:tmpl w:val="5CA6AC66"/>
    <w:lvl w:ilvl="0">
      <w:numFmt w:val="bullet"/>
      <w:lvlText w:val="·"/>
      <w:lvlJc w:val="left"/>
      <w:pPr>
        <w:tabs>
          <w:tab w:val="left" w:pos="288"/>
        </w:tabs>
      </w:pPr>
      <w:rPr>
        <w:rFonts w:ascii="Symbol" w:eastAsia="Symbol" w:hAnsi="Symbol"/>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8224E2"/>
    <w:multiLevelType w:val="multilevel"/>
    <w:tmpl w:val="B10A65AC"/>
    <w:numStyleLink w:val="Style1"/>
  </w:abstractNum>
  <w:abstractNum w:abstractNumId="6"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2EE53EF4"/>
    <w:multiLevelType w:val="multilevel"/>
    <w:tmpl w:val="4C06E666"/>
    <w:numStyleLink w:val="RSCBNumberList1"/>
  </w:abstractNum>
  <w:abstractNum w:abstractNumId="9"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0" w15:restartNumberingAfterBreak="0">
    <w:nsid w:val="4EA66EE7"/>
    <w:multiLevelType w:val="multilevel"/>
    <w:tmpl w:val="D9809BC4"/>
    <w:lvl w:ilvl="0">
      <w:numFmt w:val="bullet"/>
      <w:lvlText w:val="·"/>
      <w:lvlJc w:val="left"/>
      <w:pPr>
        <w:tabs>
          <w:tab w:val="left" w:pos="360"/>
        </w:tabs>
      </w:pPr>
      <w:rPr>
        <w:rFonts w:ascii="Symbol" w:eastAsia="Symbol" w:hAnsi="Symbol"/>
        <w:color w:val="000000"/>
        <w:spacing w:val="3"/>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DD04F5"/>
    <w:multiLevelType w:val="multilevel"/>
    <w:tmpl w:val="4C06E666"/>
    <w:numStyleLink w:val="RSCBNumberList1"/>
  </w:abstractNum>
  <w:abstractNum w:abstractNumId="12"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05018438">
    <w:abstractNumId w:val="9"/>
  </w:num>
  <w:num w:numId="2" w16cid:durableId="1037659854">
    <w:abstractNumId w:val="11"/>
  </w:num>
  <w:num w:numId="3" w16cid:durableId="316571200">
    <w:abstractNumId w:val="12"/>
  </w:num>
  <w:num w:numId="4" w16cid:durableId="1596941197">
    <w:abstractNumId w:val="5"/>
  </w:num>
  <w:num w:numId="5" w16cid:durableId="778067022">
    <w:abstractNumId w:val="2"/>
  </w:num>
  <w:num w:numId="6" w16cid:durableId="92433128">
    <w:abstractNumId w:val="6"/>
  </w:num>
  <w:num w:numId="7" w16cid:durableId="812525573">
    <w:abstractNumId w:val="3"/>
  </w:num>
  <w:num w:numId="8" w16cid:durableId="1092092058">
    <w:abstractNumId w:val="7"/>
  </w:num>
  <w:num w:numId="9" w16cid:durableId="1721855501">
    <w:abstractNumId w:val="8"/>
  </w:num>
  <w:num w:numId="10" w16cid:durableId="1834953610">
    <w:abstractNumId w:val="10"/>
  </w:num>
  <w:num w:numId="11" w16cid:durableId="230115935">
    <w:abstractNumId w:val="4"/>
  </w:num>
  <w:num w:numId="12" w16cid:durableId="120928495">
    <w:abstractNumId w:val="1"/>
  </w:num>
  <w:num w:numId="13" w16cid:durableId="60951234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11BA5"/>
    <w:rsid w:val="00037765"/>
    <w:rsid w:val="00052659"/>
    <w:rsid w:val="00052B07"/>
    <w:rsid w:val="00075A06"/>
    <w:rsid w:val="0009541A"/>
    <w:rsid w:val="000E406E"/>
    <w:rsid w:val="00105919"/>
    <w:rsid w:val="0013557F"/>
    <w:rsid w:val="00145A12"/>
    <w:rsid w:val="00155F8B"/>
    <w:rsid w:val="0016510A"/>
    <w:rsid w:val="00165A2C"/>
    <w:rsid w:val="00195EF0"/>
    <w:rsid w:val="001B6D04"/>
    <w:rsid w:val="001C6347"/>
    <w:rsid w:val="001C65BE"/>
    <w:rsid w:val="001F444A"/>
    <w:rsid w:val="001F7332"/>
    <w:rsid w:val="0020133A"/>
    <w:rsid w:val="002024EB"/>
    <w:rsid w:val="00216413"/>
    <w:rsid w:val="00244DD6"/>
    <w:rsid w:val="002462D7"/>
    <w:rsid w:val="00253AD5"/>
    <w:rsid w:val="00257065"/>
    <w:rsid w:val="002678F4"/>
    <w:rsid w:val="00275860"/>
    <w:rsid w:val="00275D69"/>
    <w:rsid w:val="00286F3C"/>
    <w:rsid w:val="002E766F"/>
    <w:rsid w:val="00300432"/>
    <w:rsid w:val="0030173F"/>
    <w:rsid w:val="00312F55"/>
    <w:rsid w:val="0031425C"/>
    <w:rsid w:val="00316088"/>
    <w:rsid w:val="003267A5"/>
    <w:rsid w:val="00347DFE"/>
    <w:rsid w:val="00376DD3"/>
    <w:rsid w:val="003B13B2"/>
    <w:rsid w:val="003E21F8"/>
    <w:rsid w:val="003F0880"/>
    <w:rsid w:val="00426E46"/>
    <w:rsid w:val="00440F0C"/>
    <w:rsid w:val="00454E6A"/>
    <w:rsid w:val="0046637C"/>
    <w:rsid w:val="0047432C"/>
    <w:rsid w:val="004B48A5"/>
    <w:rsid w:val="004D00B2"/>
    <w:rsid w:val="004D32B2"/>
    <w:rsid w:val="004E0D94"/>
    <w:rsid w:val="004F3CE3"/>
    <w:rsid w:val="004F5993"/>
    <w:rsid w:val="00517064"/>
    <w:rsid w:val="00522E88"/>
    <w:rsid w:val="00530795"/>
    <w:rsid w:val="005565B8"/>
    <w:rsid w:val="00566A2E"/>
    <w:rsid w:val="005725B2"/>
    <w:rsid w:val="00573F71"/>
    <w:rsid w:val="00575DFC"/>
    <w:rsid w:val="0057754D"/>
    <w:rsid w:val="00577A33"/>
    <w:rsid w:val="00582D06"/>
    <w:rsid w:val="00586EA4"/>
    <w:rsid w:val="005A4AE2"/>
    <w:rsid w:val="005D150B"/>
    <w:rsid w:val="005D2489"/>
    <w:rsid w:val="005F08A3"/>
    <w:rsid w:val="005F0B38"/>
    <w:rsid w:val="005F2F3E"/>
    <w:rsid w:val="00601C23"/>
    <w:rsid w:val="00614FA3"/>
    <w:rsid w:val="0063350D"/>
    <w:rsid w:val="00654A65"/>
    <w:rsid w:val="00657B92"/>
    <w:rsid w:val="00691F21"/>
    <w:rsid w:val="006A7CFA"/>
    <w:rsid w:val="006B166B"/>
    <w:rsid w:val="006D1E27"/>
    <w:rsid w:val="006D36DA"/>
    <w:rsid w:val="006D7710"/>
    <w:rsid w:val="006F2229"/>
    <w:rsid w:val="00706143"/>
    <w:rsid w:val="00730B97"/>
    <w:rsid w:val="007358F0"/>
    <w:rsid w:val="00737C1D"/>
    <w:rsid w:val="00771BAB"/>
    <w:rsid w:val="00774BA7"/>
    <w:rsid w:val="0078584C"/>
    <w:rsid w:val="007A3566"/>
    <w:rsid w:val="007B2A31"/>
    <w:rsid w:val="007C3D4E"/>
    <w:rsid w:val="007D4962"/>
    <w:rsid w:val="007F63CC"/>
    <w:rsid w:val="0080594C"/>
    <w:rsid w:val="00807BCF"/>
    <w:rsid w:val="00807E08"/>
    <w:rsid w:val="00813629"/>
    <w:rsid w:val="00817BD6"/>
    <w:rsid w:val="00832F2D"/>
    <w:rsid w:val="008447BA"/>
    <w:rsid w:val="00876539"/>
    <w:rsid w:val="00886F46"/>
    <w:rsid w:val="008A28DA"/>
    <w:rsid w:val="008B15BA"/>
    <w:rsid w:val="008D7A55"/>
    <w:rsid w:val="008F24CE"/>
    <w:rsid w:val="00911E67"/>
    <w:rsid w:val="00931FEE"/>
    <w:rsid w:val="00961F5C"/>
    <w:rsid w:val="00973379"/>
    <w:rsid w:val="009916DD"/>
    <w:rsid w:val="00997BE6"/>
    <w:rsid w:val="00997CDE"/>
    <w:rsid w:val="009B4A2D"/>
    <w:rsid w:val="009D079F"/>
    <w:rsid w:val="009F652B"/>
    <w:rsid w:val="00A112E2"/>
    <w:rsid w:val="00A1654A"/>
    <w:rsid w:val="00A23D73"/>
    <w:rsid w:val="00A33686"/>
    <w:rsid w:val="00A34D39"/>
    <w:rsid w:val="00A513A6"/>
    <w:rsid w:val="00A70EEB"/>
    <w:rsid w:val="00A713BC"/>
    <w:rsid w:val="00A74FD2"/>
    <w:rsid w:val="00A81FB9"/>
    <w:rsid w:val="00A82BDB"/>
    <w:rsid w:val="00A86747"/>
    <w:rsid w:val="00AA03F6"/>
    <w:rsid w:val="00AA2FD8"/>
    <w:rsid w:val="00B00423"/>
    <w:rsid w:val="00B220F2"/>
    <w:rsid w:val="00B81A68"/>
    <w:rsid w:val="00B912E9"/>
    <w:rsid w:val="00BA48C8"/>
    <w:rsid w:val="00BB57FE"/>
    <w:rsid w:val="00BD6E26"/>
    <w:rsid w:val="00BE133B"/>
    <w:rsid w:val="00BE54EE"/>
    <w:rsid w:val="00BE6D94"/>
    <w:rsid w:val="00BF2EE7"/>
    <w:rsid w:val="00BF7BDF"/>
    <w:rsid w:val="00C04E0C"/>
    <w:rsid w:val="00C230BC"/>
    <w:rsid w:val="00C30A1E"/>
    <w:rsid w:val="00C50AA1"/>
    <w:rsid w:val="00C52A65"/>
    <w:rsid w:val="00C55508"/>
    <w:rsid w:val="00C66B71"/>
    <w:rsid w:val="00C90466"/>
    <w:rsid w:val="00CD38C9"/>
    <w:rsid w:val="00CD5F0D"/>
    <w:rsid w:val="00CD79EB"/>
    <w:rsid w:val="00CF6EBF"/>
    <w:rsid w:val="00D075B5"/>
    <w:rsid w:val="00D105E6"/>
    <w:rsid w:val="00D60AFB"/>
    <w:rsid w:val="00D70438"/>
    <w:rsid w:val="00D84DC0"/>
    <w:rsid w:val="00D910F9"/>
    <w:rsid w:val="00D93059"/>
    <w:rsid w:val="00D97626"/>
    <w:rsid w:val="00DA46BB"/>
    <w:rsid w:val="00DD4EBE"/>
    <w:rsid w:val="00DE1663"/>
    <w:rsid w:val="00DE3F6C"/>
    <w:rsid w:val="00DF0B8A"/>
    <w:rsid w:val="00DF60E1"/>
    <w:rsid w:val="00E55470"/>
    <w:rsid w:val="00E814A0"/>
    <w:rsid w:val="00EB5D83"/>
    <w:rsid w:val="00EC4486"/>
    <w:rsid w:val="00EC63BF"/>
    <w:rsid w:val="00ED3F85"/>
    <w:rsid w:val="00EE511B"/>
    <w:rsid w:val="00EE59F7"/>
    <w:rsid w:val="00EE68B6"/>
    <w:rsid w:val="00EE7FDA"/>
    <w:rsid w:val="00EF27F0"/>
    <w:rsid w:val="00F0359A"/>
    <w:rsid w:val="00F121AC"/>
    <w:rsid w:val="00F23048"/>
    <w:rsid w:val="00F23C4B"/>
    <w:rsid w:val="00F25A17"/>
    <w:rsid w:val="00F36B35"/>
    <w:rsid w:val="00F54B75"/>
    <w:rsid w:val="00F55BB9"/>
    <w:rsid w:val="00FA1736"/>
    <w:rsid w:val="00FD107E"/>
    <w:rsid w:val="00FD6726"/>
    <w:rsid w:val="00FE0BBC"/>
    <w:rsid w:val="00FF5068"/>
    <w:rsid w:val="00FF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3EE40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3A"/>
    <w:pPr>
      <w:spacing w:after="120" w:line="240" w:lineRule="auto"/>
    </w:pPr>
    <w:rPr>
      <w:color w:val="404246"/>
      <w:sz w:val="21"/>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2024EB"/>
    <w:pPr>
      <w:keepNext/>
      <w:keepLines/>
      <w:spacing w:before="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qFormat/>
    <w:rsid w:val="00807E08"/>
    <w:pPr>
      <w:keepNext/>
      <w:keepLines/>
      <w:spacing w:before="240"/>
      <w:outlineLvl w:val="2"/>
    </w:pPr>
    <w:rPr>
      <w:rFonts w:ascii="Calibri" w:eastAsiaTheme="majorEastAsia" w:hAnsi="Calibri" w:cstheme="majorBidi"/>
      <w:b/>
      <w:color w:val="5D7A38"/>
      <w:sz w:val="28"/>
      <w:szCs w:val="24"/>
    </w:rPr>
  </w:style>
  <w:style w:type="paragraph" w:styleId="Heading4">
    <w:name w:val="heading 4"/>
    <w:basedOn w:val="Normal"/>
    <w:next w:val="Normal"/>
    <w:link w:val="Heading4Char"/>
    <w:uiPriority w:val="9"/>
    <w:qFormat/>
    <w:rsid w:val="00807E08"/>
    <w:pPr>
      <w:keepNext/>
      <w:keepLines/>
      <w:spacing w:before="240"/>
      <w:outlineLvl w:val="3"/>
    </w:pPr>
    <w:rPr>
      <w:rFonts w:ascii="Calibri" w:eastAsiaTheme="majorEastAsia" w:hAnsi="Calibri" w:cstheme="majorBidi"/>
      <w:b/>
      <w:sz w:val="24"/>
    </w:rPr>
  </w:style>
  <w:style w:type="paragraph" w:styleId="Heading5">
    <w:name w:val="heading 5"/>
    <w:basedOn w:val="Normal"/>
    <w:next w:val="Normal"/>
    <w:link w:val="Heading5Char"/>
    <w:uiPriority w:val="9"/>
    <w:rsid w:val="00D70438"/>
    <w:pPr>
      <w:keepNext/>
      <w:keepLines/>
      <w:spacing w:before="240"/>
      <w:outlineLvl w:val="4"/>
    </w:pPr>
    <w:rPr>
      <w:rFonts w:ascii="Calibri" w:eastAsiaTheme="majorEastAsia" w:hAnsi="Calibri" w:cstheme="majorBidi"/>
      <w:b/>
      <w:color w:val="051532"/>
      <w:sz w:val="23"/>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Heading1"/>
    <w:next w:val="Heading1"/>
    <w:link w:val="TitleChar"/>
    <w:uiPriority w:val="10"/>
    <w:qFormat/>
    <w:rsid w:val="0020133A"/>
    <w:pPr>
      <w:spacing w:before="520" w:after="0"/>
      <w:contextualSpacing/>
    </w:pPr>
    <w:rPr>
      <w:color w:val="404246"/>
      <w:spacing w:val="-10"/>
      <w:kern w:val="28"/>
      <w:sz w:val="48"/>
      <w:szCs w:val="56"/>
    </w:rPr>
  </w:style>
  <w:style w:type="character" w:customStyle="1" w:styleId="TitleChar">
    <w:name w:val="Title Char"/>
    <w:basedOn w:val="DefaultParagraphFont"/>
    <w:link w:val="Title"/>
    <w:uiPriority w:val="10"/>
    <w:rsid w:val="0020133A"/>
    <w:rPr>
      <w:rFonts w:ascii="Calibri" w:eastAsiaTheme="majorEastAsia" w:hAnsi="Calibri" w:cstheme="majorBidi"/>
      <w:b/>
      <w:color w:val="404246"/>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2024EB"/>
    <w:rPr>
      <w:rFonts w:ascii="Calibri" w:eastAsiaTheme="majorEastAsia" w:hAnsi="Calibri" w:cstheme="majorBidi"/>
      <w:b/>
      <w:color w:val="404246"/>
      <w:sz w:val="32"/>
      <w:szCs w:val="26"/>
    </w:rPr>
  </w:style>
  <w:style w:type="character" w:customStyle="1" w:styleId="Heading3Char">
    <w:name w:val="Heading 3 Char"/>
    <w:basedOn w:val="DefaultParagraphFont"/>
    <w:link w:val="Heading3"/>
    <w:uiPriority w:val="9"/>
    <w:rsid w:val="00807E08"/>
    <w:rPr>
      <w:rFonts w:ascii="Calibri" w:eastAsiaTheme="majorEastAsia" w:hAnsi="Calibri" w:cstheme="majorBidi"/>
      <w:b/>
      <w:color w:val="5D7A38"/>
      <w:sz w:val="28"/>
      <w:szCs w:val="24"/>
    </w:rPr>
  </w:style>
  <w:style w:type="character" w:customStyle="1" w:styleId="Heading4Char">
    <w:name w:val="Heading 4 Char"/>
    <w:basedOn w:val="DefaultParagraphFont"/>
    <w:link w:val="Heading4"/>
    <w:uiPriority w:val="9"/>
    <w:rsid w:val="00807E08"/>
    <w:rPr>
      <w:rFonts w:ascii="Calibri" w:eastAsiaTheme="majorEastAsia" w:hAnsi="Calibri" w:cstheme="majorBidi"/>
      <w:b/>
      <w:color w:val="404246"/>
      <w:sz w:val="24"/>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20133A"/>
    <w:rPr>
      <w:b/>
      <w:color w:val="404246"/>
      <w:u w:val="single"/>
    </w:rPr>
  </w:style>
  <w:style w:type="table" w:styleId="TableGrid">
    <w:name w:val="Table Grid"/>
    <w:aliases w:val="NSRB Table"/>
    <w:basedOn w:val="TableNormal"/>
    <w:uiPriority w:val="39"/>
    <w:rsid w:val="00C52A65"/>
    <w:pPr>
      <w:spacing w:after="0" w:line="240" w:lineRule="auto"/>
    </w:pPr>
    <w:rPr>
      <w:sz w:val="20"/>
    </w:r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tcMar>
        <w:bottom w:w="45" w:type="dxa"/>
      </w:tcMar>
      <w:vAlign w:val="center"/>
    </w:tcPr>
    <w:tblStylePr w:type="firstRow">
      <w:pPr>
        <w:jc w:val="left"/>
      </w:pPr>
      <w:rPr>
        <w:rFonts w:ascii="Calibri" w:hAnsi="Calibri"/>
        <w:b/>
        <w:color w:val="FFFFFF" w:themeColor="background1"/>
        <w:sz w:val="20"/>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D70438"/>
    <w:pPr>
      <w:tabs>
        <w:tab w:val="center" w:pos="4513"/>
        <w:tab w:val="right" w:pos="9026"/>
      </w:tabs>
      <w:spacing w:after="0"/>
    </w:pPr>
    <w:rPr>
      <w:sz w:val="17"/>
    </w:rPr>
  </w:style>
  <w:style w:type="character" w:customStyle="1" w:styleId="FooterChar">
    <w:name w:val="Footer Char"/>
    <w:basedOn w:val="DefaultParagraphFont"/>
    <w:link w:val="Footer"/>
    <w:uiPriority w:val="99"/>
    <w:rsid w:val="00D70438"/>
    <w:rPr>
      <w:sz w:val="17"/>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20133A"/>
    <w:pPr>
      <w:numPr>
        <w:ilvl w:val="1"/>
      </w:numPr>
      <w:spacing w:after="360"/>
    </w:pPr>
    <w:rPr>
      <w:rFonts w:ascii="Calibri" w:eastAsiaTheme="minorEastAsia" w:hAnsi="Calibri"/>
      <w:b/>
      <w:color w:val="5D7A38"/>
      <w:sz w:val="40"/>
    </w:rPr>
  </w:style>
  <w:style w:type="character" w:customStyle="1" w:styleId="SubtitleChar">
    <w:name w:val="Subtitle Char"/>
    <w:basedOn w:val="DefaultParagraphFont"/>
    <w:link w:val="Subtitle"/>
    <w:uiPriority w:val="11"/>
    <w:rsid w:val="0020133A"/>
    <w:rPr>
      <w:rFonts w:ascii="Calibri" w:eastAsiaTheme="minorEastAsia" w:hAnsi="Calibri"/>
      <w:b/>
      <w:color w:val="5D7A38"/>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D70438"/>
    <w:rPr>
      <w:rFonts w:ascii="Calibri" w:eastAsiaTheme="majorEastAsia" w:hAnsi="Calibri" w:cstheme="majorBidi"/>
      <w:b/>
      <w:color w:val="051532"/>
      <w:sz w:val="23"/>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30173F"/>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Tabletitle">
    <w:name w:val="Table title"/>
    <w:basedOn w:val="Normal"/>
    <w:qFormat/>
    <w:rsid w:val="00C90466"/>
    <w:pPr>
      <w:spacing w:before="240"/>
    </w:pPr>
    <w:rPr>
      <w:b/>
      <w:bCs/>
    </w:rPr>
  </w:style>
  <w:style w:type="paragraph" w:customStyle="1" w:styleId="Tablename">
    <w:name w:val="Table name"/>
    <w:basedOn w:val="Tabletitle"/>
    <w:qFormat/>
    <w:rsid w:val="00C90466"/>
  </w:style>
  <w:style w:type="table" w:styleId="PlainTable2">
    <w:name w:val="Plain Table 2"/>
    <w:basedOn w:val="TableNormal"/>
    <w:uiPriority w:val="42"/>
    <w:rsid w:val="00C90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yle3">
    <w:name w:val="Style3"/>
    <w:basedOn w:val="DefaultParagraphFont"/>
    <w:uiPriority w:val="1"/>
    <w:qFormat/>
    <w:rsid w:val="006D36DA"/>
    <w:rPr>
      <w:rFonts w:cstheme="minorHAnsi"/>
      <w:b/>
      <w:bCs/>
      <w:color w:val="C00000"/>
    </w:rPr>
  </w:style>
  <w:style w:type="paragraph" w:customStyle="1" w:styleId="Tabletext">
    <w:name w:val="Table text"/>
    <w:basedOn w:val="Normal"/>
    <w:qFormat/>
    <w:rsid w:val="00D70438"/>
    <w:pPr>
      <w:spacing w:after="0"/>
    </w:pPr>
    <w:rPr>
      <w:b/>
      <w:bCs/>
    </w:rPr>
  </w:style>
  <w:style w:type="character" w:styleId="UnresolvedMention">
    <w:name w:val="Unresolved Mention"/>
    <w:basedOn w:val="DefaultParagraphFont"/>
    <w:uiPriority w:val="99"/>
    <w:semiHidden/>
    <w:unhideWhenUsed/>
    <w:rsid w:val="00886F46"/>
    <w:rPr>
      <w:color w:val="605E5C"/>
      <w:shd w:val="clear" w:color="auto" w:fill="E1DFDD"/>
    </w:rPr>
  </w:style>
  <w:style w:type="character" w:styleId="FollowedHyperlink">
    <w:name w:val="FollowedHyperlink"/>
    <w:basedOn w:val="DefaultParagraphFont"/>
    <w:uiPriority w:val="99"/>
    <w:semiHidden/>
    <w:rsid w:val="005F0B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fwc.gov.au" TargetMode="External"/><Relationship Id="rId18" Type="http://schemas.openxmlformats.org/officeDocument/2006/relationships/hyperlink" Target="https://www.ato.gov.au/super/" TargetMode="External"/><Relationship Id="rId26" Type="http://schemas.openxmlformats.org/officeDocument/2006/relationships/hyperlink" Target="http://www.1800respect.org.au" TargetMode="External"/><Relationship Id="rId3" Type="http://schemas.openxmlformats.org/officeDocument/2006/relationships/styles" Target="styles.xml"/><Relationship Id="rId21" Type="http://schemas.openxmlformats.org/officeDocument/2006/relationships/hyperlink" Target="http://www.moneysmart.gov.a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ewr.gov.au/fair-entitlements-guarantee" TargetMode="External"/><Relationship Id="rId25" Type="http://schemas.openxmlformats.org/officeDocument/2006/relationships/hyperlink" Target="https://www.servicesaustralia.gov.au/" TargetMode="External"/><Relationship Id="rId2" Type="http://schemas.openxmlformats.org/officeDocument/2006/relationships/numbering" Target="numbering.xml"/><Relationship Id="rId16" Type="http://schemas.openxmlformats.org/officeDocument/2006/relationships/hyperlink" Target="http://www.fairwork.gov.au" TargetMode="External"/><Relationship Id="rId20" Type="http://schemas.openxmlformats.org/officeDocument/2006/relationships/hyperlink" Target="http://www.WhatsNext.dewr.gov.au" TargetMode="External"/><Relationship Id="rId29" Type="http://schemas.openxmlformats.org/officeDocument/2006/relationships/hyperlink" Target="http://www.mensline.org.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hyperlink" Target="https://www.ato.gov.au" TargetMode="External"/><Relationship Id="rId5" Type="http://schemas.openxmlformats.org/officeDocument/2006/relationships/webSettings" Target="webSettings.xml"/><Relationship Id="rId15" Type="http://schemas.openxmlformats.org/officeDocument/2006/relationships/hyperlink" Target="http://www.fairwork.gov.au/redundancy" TargetMode="External"/><Relationship Id="rId23" Type="http://schemas.openxmlformats.org/officeDocument/2006/relationships/hyperlink" Target="http://www.financialcounsellingaustralia.org.au" TargetMode="External"/><Relationship Id="rId28" Type="http://schemas.openxmlformats.org/officeDocument/2006/relationships/hyperlink" Target="https://www.beyondblue.org.au/" TargetMode="External"/><Relationship Id="rId10" Type="http://schemas.openxmlformats.org/officeDocument/2006/relationships/image" Target="media/image1.png"/><Relationship Id="rId19" Type="http://schemas.openxmlformats.org/officeDocument/2006/relationships/hyperlink" Target="https://www.workforceaustralia.gov.a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lculate.fairwork.gov.au/EndingEmployment" TargetMode="External"/><Relationship Id="rId22" Type="http://schemas.openxmlformats.org/officeDocument/2006/relationships/hyperlink" Target="https://www.servicesaustralia.gov.au/" TargetMode="External"/><Relationship Id="rId27" Type="http://schemas.openxmlformats.org/officeDocument/2006/relationships/hyperlink" Target="https://www.lifeline.org.a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5385</Characters>
  <Application>Microsoft Office Word</Application>
  <DocSecurity>0</DocSecurity>
  <Lines>181</Lines>
  <Paragraphs>78</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Redundancy: Your rights and considerations</dc:title>
  <dc:subject/>
  <dc:creator/>
  <cp:keywords/>
  <dc:description/>
  <cp:lastModifiedBy/>
  <cp:revision>1</cp:revision>
  <dcterms:created xsi:type="dcterms:W3CDTF">2024-07-24T01:49:00Z</dcterms:created>
  <dcterms:modified xsi:type="dcterms:W3CDTF">2024-07-24T01:51:00Z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2024-07-24T01:50:20Z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853fa074-f497-47b7-a44d-9037b6d3d4eb</vt:lpwstr>
  </property>
  <property fmtid="{D5CDD505-2E9C-101B-9397-08002B2CF9AE}" pid="8" name="MSIP_Label_79d889eb-932f-4752-8739-64d25806ef64_ContentBits">
    <vt:lpwstr>0</vt:lpwstr>
  </property>
</Properties>
</file>