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1AE4A" w14:textId="679F9CC3" w:rsidR="00E62781" w:rsidRPr="00E62781" w:rsidRDefault="00CB5C00" w:rsidP="00B214BF">
      <w:pPr>
        <w:pStyle w:val="Heading1"/>
        <w:rPr>
          <w:rStyle w:val="BlueBackground"/>
        </w:rPr>
      </w:pPr>
      <w:r w:rsidRPr="00B214BF">
        <w:t> </w:t>
      </w:r>
      <w:r w:rsidR="00A26644" w:rsidRPr="00B214BF">
        <w:t xml:space="preserve">Transition to Work </w:t>
      </w:r>
      <w:r w:rsidR="00373F66" w:rsidRPr="00B214BF">
        <w:t>C</w:t>
      </w:r>
      <w:r w:rsidR="00623692" w:rsidRPr="00B214BF">
        <w:t xml:space="preserve">onsultation </w:t>
      </w:r>
      <w:r w:rsidR="00373F66" w:rsidRPr="00B214BF">
        <w:t>P</w:t>
      </w:r>
      <w:r w:rsidR="00623692" w:rsidRPr="00B214BF">
        <w:t>aper</w:t>
      </w:r>
      <w:r w:rsidR="00A26644" w:rsidRPr="00B214BF">
        <w:tab/>
      </w:r>
      <w:r w:rsidR="00E62781" w:rsidRPr="00B214BF">
        <w:br/>
      </w:r>
      <w:r w:rsidRPr="00B214BF">
        <w:t> </w:t>
      </w:r>
      <w:r w:rsidR="002B2F5C" w:rsidRPr="00B214BF">
        <w:t xml:space="preserve">Enhancements to </w:t>
      </w:r>
      <w:proofErr w:type="spellStart"/>
      <w:r w:rsidR="002B2F5C" w:rsidRPr="00B214BF">
        <w:t>TtW</w:t>
      </w:r>
      <w:proofErr w:type="spellEnd"/>
      <w:r w:rsidR="00CF0E14" w:rsidRPr="00B214BF">
        <w:tab/>
      </w:r>
      <w:r w:rsidR="00E62781" w:rsidRPr="00E62781">
        <w:rPr>
          <w:rStyle w:val="BlueBackground"/>
        </w:rPr>
        <w:t> </w:t>
      </w:r>
    </w:p>
    <w:p w14:paraId="635CA9B0" w14:textId="1D8C4F14" w:rsidR="00B03878" w:rsidRDefault="00B03878" w:rsidP="00E62781"/>
    <w:p w14:paraId="2AC273D4" w14:textId="77777777" w:rsidR="00335583" w:rsidRDefault="00335583" w:rsidP="00E62781"/>
    <w:p w14:paraId="740DD3C4" w14:textId="4FEE276C" w:rsidR="00DB6FA2" w:rsidRPr="00DB6FA2" w:rsidRDefault="00DB6FA2" w:rsidP="00DB6FA2">
      <w:pPr>
        <w:rPr>
          <w:rFonts w:ascii="Bahnschrift Condensed" w:eastAsiaTheme="majorEastAsia" w:hAnsi="Bahnschrift Condensed" w:cstheme="majorBidi"/>
          <w:b/>
          <w:color w:val="003E6A"/>
          <w:sz w:val="40"/>
          <w:szCs w:val="40"/>
        </w:rPr>
      </w:pPr>
      <w:r w:rsidRPr="00DB6FA2">
        <w:rPr>
          <w:rFonts w:ascii="Bahnschrift Condensed" w:eastAsiaTheme="majorEastAsia" w:hAnsi="Bahnschrift Condensed" w:cstheme="majorBidi"/>
          <w:b/>
          <w:color w:val="003E6A"/>
          <w:sz w:val="40"/>
          <w:szCs w:val="40"/>
        </w:rPr>
        <w:t xml:space="preserve">Transition to Work is a well-regarded, successful service. While the department intends to maintain the core components of </w:t>
      </w:r>
      <w:proofErr w:type="spellStart"/>
      <w:r w:rsidRPr="00DB6FA2">
        <w:rPr>
          <w:rFonts w:ascii="Bahnschrift Condensed" w:eastAsiaTheme="majorEastAsia" w:hAnsi="Bahnschrift Condensed" w:cstheme="majorBidi"/>
          <w:b/>
          <w:color w:val="003E6A"/>
          <w:sz w:val="40"/>
          <w:szCs w:val="40"/>
        </w:rPr>
        <w:t>TtW</w:t>
      </w:r>
      <w:proofErr w:type="spellEnd"/>
      <w:r w:rsidRPr="00DB6FA2">
        <w:rPr>
          <w:rFonts w:ascii="Bahnschrift Condensed" w:eastAsiaTheme="majorEastAsia" w:hAnsi="Bahnschrift Condensed" w:cstheme="majorBidi"/>
          <w:b/>
          <w:color w:val="003E6A"/>
          <w:sz w:val="40"/>
          <w:szCs w:val="40"/>
        </w:rPr>
        <w:t xml:space="preserve"> that led to its current success, there is always opportunity for improvement, and a need for some change to integrate </w:t>
      </w:r>
      <w:proofErr w:type="spellStart"/>
      <w:r w:rsidRPr="00DB6FA2">
        <w:rPr>
          <w:rFonts w:ascii="Bahnschrift Condensed" w:eastAsiaTheme="majorEastAsia" w:hAnsi="Bahnschrift Condensed" w:cstheme="majorBidi"/>
          <w:b/>
          <w:color w:val="003E6A"/>
          <w:sz w:val="40"/>
          <w:szCs w:val="40"/>
        </w:rPr>
        <w:t>TtW</w:t>
      </w:r>
      <w:proofErr w:type="spellEnd"/>
      <w:r w:rsidRPr="00DB6FA2">
        <w:rPr>
          <w:rFonts w:ascii="Bahnschrift Condensed" w:eastAsiaTheme="majorEastAsia" w:hAnsi="Bahnschrift Condensed" w:cstheme="majorBidi"/>
          <w:b/>
          <w:color w:val="003E6A"/>
          <w:sz w:val="40"/>
          <w:szCs w:val="40"/>
        </w:rPr>
        <w:t xml:space="preserve"> into the New Employment Services.</w:t>
      </w:r>
    </w:p>
    <w:p w14:paraId="53E0CADA" w14:textId="58725786" w:rsidR="00176213" w:rsidRDefault="00176213" w:rsidP="00176213"/>
    <w:tbl>
      <w:tblPr>
        <w:tblStyle w:val="TableGrid"/>
        <w:tblW w:w="5000" w:type="pct"/>
        <w:tblBorders>
          <w:top w:val="single" w:sz="4" w:space="0" w:color="7EC5E1"/>
          <w:left w:val="single" w:sz="4" w:space="0" w:color="7EC5E1"/>
          <w:bottom w:val="single" w:sz="4" w:space="0" w:color="7EC5E1"/>
          <w:right w:val="single" w:sz="4" w:space="0" w:color="7EC5E1"/>
          <w:insideH w:val="single" w:sz="4" w:space="0" w:color="7EC5E1"/>
          <w:insideV w:val="single" w:sz="4" w:space="0" w:color="7EC5E1"/>
        </w:tblBorders>
        <w:tblLook w:val="04A0" w:firstRow="1" w:lastRow="0" w:firstColumn="1" w:lastColumn="0" w:noHBand="0" w:noVBand="1"/>
      </w:tblPr>
      <w:tblGrid>
        <w:gridCol w:w="7038"/>
        <w:gridCol w:w="6910"/>
      </w:tblGrid>
      <w:tr w:rsidR="00373F66" w14:paraId="4866708F" w14:textId="77777777" w:rsidTr="00B75F8C">
        <w:trPr>
          <w:trHeight w:val="769"/>
        </w:trPr>
        <w:tc>
          <w:tcPr>
            <w:tcW w:w="2523" w:type="pct"/>
            <w:vAlign w:val="center"/>
          </w:tcPr>
          <w:p w14:paraId="044AAEA2" w14:textId="25525228" w:rsidR="00373F66" w:rsidRPr="00373F66" w:rsidRDefault="00373F66" w:rsidP="00373F66">
            <w:pPr>
              <w:pStyle w:val="Heading3"/>
              <w:outlineLvl w:val="2"/>
              <w:rPr>
                <w:b w:val="0"/>
                <w:bCs/>
                <w:sz w:val="32"/>
                <w:szCs w:val="18"/>
              </w:rPr>
            </w:pPr>
            <w:r>
              <w:t xml:space="preserve">Current </w:t>
            </w:r>
            <w:proofErr w:type="spellStart"/>
            <w:r>
              <w:t>TtW</w:t>
            </w:r>
            <w:proofErr w:type="spellEnd"/>
            <w:r>
              <w:t xml:space="preserve"> </w:t>
            </w:r>
            <w:r w:rsidR="00C61C5A">
              <w:t>a</w:t>
            </w:r>
            <w:r>
              <w:t>rrangements</w:t>
            </w:r>
          </w:p>
        </w:tc>
        <w:tc>
          <w:tcPr>
            <w:tcW w:w="2477" w:type="pct"/>
            <w:vAlign w:val="center"/>
          </w:tcPr>
          <w:p w14:paraId="401A34C0" w14:textId="51DDEDBD" w:rsidR="00373F66" w:rsidRPr="00373F66" w:rsidRDefault="00373F66" w:rsidP="00373F66">
            <w:pPr>
              <w:pStyle w:val="Heading3"/>
              <w:outlineLvl w:val="2"/>
              <w:rPr>
                <w:b w:val="0"/>
                <w:bCs/>
                <w:sz w:val="32"/>
                <w:szCs w:val="18"/>
              </w:rPr>
            </w:pPr>
            <w:r>
              <w:t xml:space="preserve">Proposed </w:t>
            </w:r>
            <w:proofErr w:type="spellStart"/>
            <w:r>
              <w:t>TtW</w:t>
            </w:r>
            <w:proofErr w:type="spellEnd"/>
            <w:r>
              <w:t xml:space="preserve"> arrangements   </w:t>
            </w:r>
          </w:p>
        </w:tc>
      </w:tr>
      <w:tr w:rsidR="006318B3" w14:paraId="6F4701B9" w14:textId="77777777" w:rsidTr="00B75F8C">
        <w:trPr>
          <w:trHeight w:val="2465"/>
        </w:trPr>
        <w:tc>
          <w:tcPr>
            <w:tcW w:w="2523" w:type="pct"/>
            <w:vAlign w:val="center"/>
          </w:tcPr>
          <w:p w14:paraId="463D702E" w14:textId="4171A1F4" w:rsidR="006318B3" w:rsidRPr="00373F66" w:rsidRDefault="006318B3" w:rsidP="00DB6FA2">
            <w:pPr>
              <w:pStyle w:val="Heading3"/>
              <w:outlineLvl w:val="2"/>
              <w:rPr>
                <w:b w:val="0"/>
                <w:bCs/>
                <w:sz w:val="32"/>
                <w:szCs w:val="18"/>
              </w:rPr>
            </w:pPr>
            <w:r w:rsidRPr="00373F66">
              <w:rPr>
                <w:b w:val="0"/>
                <w:bCs/>
                <w:sz w:val="32"/>
                <w:szCs w:val="18"/>
              </w:rPr>
              <w:t xml:space="preserve">Eligibility targets young people who would otherwise be in Stream B of </w:t>
            </w:r>
            <w:proofErr w:type="spellStart"/>
            <w:r w:rsidRPr="00373F66">
              <w:rPr>
                <w:b w:val="0"/>
                <w:bCs/>
                <w:sz w:val="32"/>
                <w:szCs w:val="18"/>
              </w:rPr>
              <w:t>jobactive</w:t>
            </w:r>
            <w:proofErr w:type="spellEnd"/>
            <w:r w:rsidRPr="00373F66">
              <w:rPr>
                <w:b w:val="0"/>
                <w:bCs/>
                <w:sz w:val="32"/>
                <w:szCs w:val="18"/>
              </w:rPr>
              <w:t>, with a particular focus on early school leavers and Indigenous young people</w:t>
            </w:r>
            <w:r w:rsidR="00C048C3">
              <w:rPr>
                <w:b w:val="0"/>
                <w:bCs/>
                <w:sz w:val="32"/>
                <w:szCs w:val="18"/>
              </w:rPr>
              <w:t>.</w:t>
            </w:r>
            <w:r w:rsidRPr="00373F66">
              <w:rPr>
                <w:b w:val="0"/>
                <w:bCs/>
                <w:sz w:val="32"/>
                <w:szCs w:val="18"/>
              </w:rPr>
              <w:t xml:space="preserve"> </w:t>
            </w:r>
          </w:p>
        </w:tc>
        <w:tc>
          <w:tcPr>
            <w:tcW w:w="2477" w:type="pct"/>
            <w:vAlign w:val="center"/>
          </w:tcPr>
          <w:p w14:paraId="3E05602A" w14:textId="2BD0A240" w:rsidR="00373F66" w:rsidRPr="00DB6FA2" w:rsidRDefault="006318B3" w:rsidP="00DB6FA2">
            <w:pPr>
              <w:pStyle w:val="Heading3"/>
              <w:outlineLvl w:val="2"/>
              <w:rPr>
                <w:b w:val="0"/>
                <w:bCs/>
                <w:sz w:val="32"/>
                <w:szCs w:val="18"/>
              </w:rPr>
            </w:pPr>
            <w:r w:rsidRPr="00373F66">
              <w:rPr>
                <w:b w:val="0"/>
                <w:bCs/>
                <w:sz w:val="32"/>
                <w:szCs w:val="18"/>
              </w:rPr>
              <w:t>Eligibility may be based on a range of risk factors that identify young people who face a heightened risk of not being able to successfully transition to employment. This will enable a larger number of young people with more complex non-vocational barriers to benefit from the service.</w:t>
            </w:r>
          </w:p>
        </w:tc>
      </w:tr>
      <w:tr w:rsidR="006318B3" w14:paraId="49BFA3D6" w14:textId="77777777" w:rsidTr="00B75F8C">
        <w:trPr>
          <w:trHeight w:val="2024"/>
        </w:trPr>
        <w:tc>
          <w:tcPr>
            <w:tcW w:w="2523" w:type="pct"/>
            <w:vAlign w:val="center"/>
          </w:tcPr>
          <w:p w14:paraId="121A0794" w14:textId="373D3045" w:rsidR="006318B3" w:rsidRPr="00373F66" w:rsidRDefault="006318B3" w:rsidP="00373F66">
            <w:pPr>
              <w:pStyle w:val="Heading3"/>
              <w:outlineLvl w:val="2"/>
              <w:rPr>
                <w:b w:val="0"/>
                <w:bCs/>
                <w:sz w:val="32"/>
                <w:szCs w:val="18"/>
              </w:rPr>
            </w:pPr>
            <w:r w:rsidRPr="00373F66">
              <w:rPr>
                <w:b w:val="0"/>
                <w:bCs/>
                <w:sz w:val="32"/>
                <w:szCs w:val="18"/>
              </w:rPr>
              <w:t>18 months maximum duration of service</w:t>
            </w:r>
            <w:r w:rsidR="00C048C3">
              <w:rPr>
                <w:b w:val="0"/>
                <w:bCs/>
                <w:sz w:val="32"/>
                <w:szCs w:val="18"/>
              </w:rPr>
              <w:t>.</w:t>
            </w:r>
            <w:r w:rsidRPr="00373F66">
              <w:rPr>
                <w:b w:val="0"/>
                <w:bCs/>
                <w:sz w:val="32"/>
                <w:szCs w:val="18"/>
              </w:rPr>
              <w:t xml:space="preserve"> </w:t>
            </w:r>
          </w:p>
        </w:tc>
        <w:tc>
          <w:tcPr>
            <w:tcW w:w="2477" w:type="pct"/>
            <w:vAlign w:val="center"/>
          </w:tcPr>
          <w:p w14:paraId="0BA16580" w14:textId="37F28B6D" w:rsidR="006318B3" w:rsidRPr="00373F66" w:rsidRDefault="006318B3" w:rsidP="00373F66">
            <w:pPr>
              <w:pStyle w:val="Heading3"/>
              <w:outlineLvl w:val="2"/>
              <w:rPr>
                <w:b w:val="0"/>
                <w:bCs/>
                <w:sz w:val="32"/>
                <w:szCs w:val="18"/>
              </w:rPr>
            </w:pPr>
            <w:r w:rsidRPr="00373F66">
              <w:rPr>
                <w:b w:val="0"/>
                <w:bCs/>
                <w:sz w:val="32"/>
                <w:szCs w:val="18"/>
              </w:rPr>
              <w:t xml:space="preserve">24 months maximum duration of service for those with complex non-vocational barriers. The maximum of 18 months in the service would remain for those with mainly vocational barriers. </w:t>
            </w:r>
          </w:p>
        </w:tc>
      </w:tr>
      <w:tr w:rsidR="006318B3" w14:paraId="33DEE81B" w14:textId="77777777" w:rsidTr="00B75F8C">
        <w:trPr>
          <w:trHeight w:val="3981"/>
        </w:trPr>
        <w:tc>
          <w:tcPr>
            <w:tcW w:w="2523" w:type="pct"/>
            <w:vAlign w:val="center"/>
          </w:tcPr>
          <w:p w14:paraId="04AB7B70" w14:textId="7A86FDDA" w:rsidR="006318B3" w:rsidRPr="00373F66" w:rsidRDefault="006318B3" w:rsidP="00373F66">
            <w:pPr>
              <w:spacing w:after="160" w:line="259" w:lineRule="auto"/>
              <w:rPr>
                <w:rFonts w:ascii="Bahnschrift Condensed" w:hAnsi="Bahnschrift Condensed"/>
                <w:bCs/>
                <w:color w:val="003E6A"/>
                <w:sz w:val="32"/>
                <w:szCs w:val="18"/>
              </w:rPr>
            </w:pPr>
            <w:r w:rsidRPr="00373F66">
              <w:rPr>
                <w:rFonts w:ascii="Bahnschrift Condensed" w:hAnsi="Bahnschrift Condensed"/>
                <w:bCs/>
                <w:color w:val="003E6A"/>
                <w:sz w:val="32"/>
                <w:szCs w:val="18"/>
              </w:rPr>
              <w:t xml:space="preserve">For job seekers subject to </w:t>
            </w:r>
            <w:proofErr w:type="spellStart"/>
            <w:r w:rsidRPr="00373F66">
              <w:rPr>
                <w:rFonts w:ascii="Bahnschrift Condensed" w:hAnsi="Bahnschrift Condensed"/>
                <w:bCs/>
                <w:color w:val="003E6A"/>
                <w:sz w:val="32"/>
                <w:szCs w:val="18"/>
              </w:rPr>
              <w:t>RapidConnect</w:t>
            </w:r>
            <w:proofErr w:type="spellEnd"/>
            <w:r w:rsidRPr="00373F66">
              <w:rPr>
                <w:rFonts w:ascii="Bahnschrift Condensed" w:hAnsi="Bahnschrift Condensed"/>
                <w:bCs/>
                <w:color w:val="003E6A"/>
                <w:sz w:val="32"/>
                <w:szCs w:val="18"/>
              </w:rPr>
              <w:t xml:space="preserve">, their income support will be paid from the date of their </w:t>
            </w:r>
            <w:r w:rsidR="00C048C3">
              <w:rPr>
                <w:rFonts w:ascii="Bahnschrift Condensed" w:hAnsi="Bahnschrift Condensed"/>
                <w:bCs/>
                <w:color w:val="003E6A"/>
                <w:sz w:val="32"/>
                <w:szCs w:val="18"/>
              </w:rPr>
              <w:t>i</w:t>
            </w:r>
            <w:r w:rsidRPr="00373F66">
              <w:rPr>
                <w:rFonts w:ascii="Bahnschrift Condensed" w:hAnsi="Bahnschrift Condensed"/>
                <w:bCs/>
                <w:color w:val="003E6A"/>
                <w:sz w:val="32"/>
                <w:szCs w:val="18"/>
              </w:rPr>
              <w:t xml:space="preserve">nitial </w:t>
            </w:r>
            <w:r w:rsidR="00C048C3">
              <w:rPr>
                <w:rFonts w:ascii="Bahnschrift Condensed" w:hAnsi="Bahnschrift Condensed"/>
                <w:bCs/>
                <w:color w:val="003E6A"/>
                <w:sz w:val="32"/>
                <w:szCs w:val="18"/>
              </w:rPr>
              <w:t>a</w:t>
            </w:r>
            <w:r w:rsidRPr="00373F66">
              <w:rPr>
                <w:rFonts w:ascii="Bahnschrift Condensed" w:hAnsi="Bahnschrift Condensed"/>
                <w:bCs/>
                <w:color w:val="003E6A"/>
                <w:sz w:val="32"/>
                <w:szCs w:val="18"/>
              </w:rPr>
              <w:t>ppointment attendance.</w:t>
            </w:r>
          </w:p>
          <w:p w14:paraId="57FD1565" w14:textId="41AB28C4" w:rsidR="006318B3" w:rsidRPr="00373F66" w:rsidRDefault="006318B3" w:rsidP="00373F66">
            <w:pPr>
              <w:pStyle w:val="Heading3"/>
              <w:outlineLvl w:val="2"/>
              <w:rPr>
                <w:b w:val="0"/>
                <w:bCs/>
                <w:sz w:val="32"/>
                <w:szCs w:val="18"/>
              </w:rPr>
            </w:pPr>
            <w:r w:rsidRPr="00373F66">
              <w:rPr>
                <w:b w:val="0"/>
                <w:bCs/>
                <w:sz w:val="32"/>
                <w:szCs w:val="18"/>
              </w:rPr>
              <w:t xml:space="preserve">From here, no income support payment consequences apply if young people in receipt of activity tested income support payments do not participate appropriately in the service.  An exit from the service along with referral to </w:t>
            </w:r>
            <w:proofErr w:type="spellStart"/>
            <w:r w:rsidRPr="00373F66">
              <w:rPr>
                <w:b w:val="0"/>
                <w:bCs/>
                <w:sz w:val="32"/>
                <w:szCs w:val="18"/>
              </w:rPr>
              <w:t>jobactive</w:t>
            </w:r>
            <w:proofErr w:type="spellEnd"/>
            <w:r w:rsidRPr="00373F66">
              <w:rPr>
                <w:b w:val="0"/>
                <w:bCs/>
                <w:sz w:val="32"/>
                <w:szCs w:val="18"/>
              </w:rPr>
              <w:t xml:space="preserve"> occurs if young people display repeated non</w:t>
            </w:r>
            <w:r w:rsidRPr="00373F66">
              <w:rPr>
                <w:b w:val="0"/>
                <w:bCs/>
                <w:sz w:val="32"/>
                <w:szCs w:val="18"/>
              </w:rPr>
              <w:noBreakHyphen/>
              <w:t>compliance.</w:t>
            </w:r>
          </w:p>
        </w:tc>
        <w:tc>
          <w:tcPr>
            <w:tcW w:w="2477" w:type="pct"/>
            <w:vAlign w:val="center"/>
          </w:tcPr>
          <w:p w14:paraId="232A9690" w14:textId="5F5F9B75" w:rsidR="006318B3" w:rsidRPr="00373F66" w:rsidRDefault="006318B3" w:rsidP="00373F66">
            <w:pPr>
              <w:pStyle w:val="Heading3"/>
              <w:outlineLvl w:val="2"/>
              <w:rPr>
                <w:b w:val="0"/>
                <w:bCs/>
                <w:sz w:val="32"/>
                <w:szCs w:val="18"/>
              </w:rPr>
            </w:pPr>
            <w:r w:rsidRPr="00373F66">
              <w:rPr>
                <w:b w:val="0"/>
                <w:bCs/>
                <w:sz w:val="32"/>
                <w:szCs w:val="18"/>
              </w:rPr>
              <w:t>A one-off use of payment suspension where income support payments may be temporarily put on hold</w:t>
            </w:r>
            <w:r w:rsidR="00C048C3">
              <w:rPr>
                <w:b w:val="0"/>
                <w:bCs/>
                <w:sz w:val="32"/>
                <w:szCs w:val="18"/>
              </w:rPr>
              <w:t>,</w:t>
            </w:r>
            <w:r w:rsidRPr="00373F66">
              <w:rPr>
                <w:b w:val="0"/>
                <w:bCs/>
                <w:sz w:val="32"/>
                <w:szCs w:val="18"/>
              </w:rPr>
              <w:t xml:space="preserve"> where an eligible young person receiving activity tested income support does not attend the first appointment without providing a valid reason (including where the young person cannot be contacted by the </w:t>
            </w:r>
            <w:proofErr w:type="spellStart"/>
            <w:r w:rsidRPr="00373F66">
              <w:rPr>
                <w:b w:val="0"/>
                <w:bCs/>
                <w:sz w:val="32"/>
                <w:szCs w:val="18"/>
              </w:rPr>
              <w:t>TtW</w:t>
            </w:r>
            <w:proofErr w:type="spellEnd"/>
            <w:r w:rsidRPr="00373F66">
              <w:rPr>
                <w:b w:val="0"/>
                <w:bCs/>
                <w:sz w:val="32"/>
                <w:szCs w:val="18"/>
              </w:rPr>
              <w:t xml:space="preserve"> </w:t>
            </w:r>
            <w:r w:rsidR="00C048C3">
              <w:rPr>
                <w:b w:val="0"/>
                <w:bCs/>
                <w:sz w:val="32"/>
                <w:szCs w:val="18"/>
              </w:rPr>
              <w:t>p</w:t>
            </w:r>
            <w:r w:rsidRPr="00373F66">
              <w:rPr>
                <w:b w:val="0"/>
                <w:bCs/>
                <w:sz w:val="32"/>
                <w:szCs w:val="18"/>
              </w:rPr>
              <w:t xml:space="preserve">rovider to facilitate attendance at the first appointment despite the </w:t>
            </w:r>
            <w:r w:rsidR="00C048C3">
              <w:rPr>
                <w:b w:val="0"/>
                <w:bCs/>
                <w:sz w:val="32"/>
                <w:szCs w:val="18"/>
              </w:rPr>
              <w:t>p</w:t>
            </w:r>
            <w:r w:rsidRPr="00373F66">
              <w:rPr>
                <w:b w:val="0"/>
                <w:bCs/>
                <w:sz w:val="32"/>
                <w:szCs w:val="18"/>
              </w:rPr>
              <w:t>rovider’s best efforts). Once the young person commences in the service, current arrangements will continue to apply.</w:t>
            </w:r>
          </w:p>
        </w:tc>
      </w:tr>
      <w:tr w:rsidR="006318B3" w14:paraId="4812656A" w14:textId="77777777" w:rsidTr="00B75F8C">
        <w:trPr>
          <w:trHeight w:val="1690"/>
        </w:trPr>
        <w:tc>
          <w:tcPr>
            <w:tcW w:w="2523" w:type="pct"/>
            <w:vAlign w:val="center"/>
          </w:tcPr>
          <w:p w14:paraId="097B2CD4" w14:textId="71DBB4DD" w:rsidR="006318B3" w:rsidRPr="00373F66" w:rsidRDefault="006318B3" w:rsidP="00373F66">
            <w:pPr>
              <w:pStyle w:val="Heading3"/>
              <w:outlineLvl w:val="2"/>
              <w:rPr>
                <w:b w:val="0"/>
                <w:bCs/>
                <w:sz w:val="32"/>
                <w:szCs w:val="18"/>
              </w:rPr>
            </w:pPr>
            <w:r w:rsidRPr="00373F66">
              <w:rPr>
                <w:b w:val="0"/>
                <w:bCs/>
                <w:sz w:val="32"/>
                <w:szCs w:val="18"/>
              </w:rPr>
              <w:t xml:space="preserve">Performance targets linked to 12 Week Outcomes achieved by mainstream employment services over a preceding </w:t>
            </w:r>
            <w:proofErr w:type="gramStart"/>
            <w:r w:rsidR="00C048C3">
              <w:rPr>
                <w:b w:val="0"/>
                <w:bCs/>
                <w:sz w:val="32"/>
                <w:szCs w:val="18"/>
              </w:rPr>
              <w:t xml:space="preserve">3 </w:t>
            </w:r>
            <w:r w:rsidRPr="00373F66">
              <w:rPr>
                <w:b w:val="0"/>
                <w:bCs/>
                <w:sz w:val="32"/>
                <w:szCs w:val="18"/>
              </w:rPr>
              <w:t>year</w:t>
            </w:r>
            <w:proofErr w:type="gramEnd"/>
            <w:r w:rsidRPr="00373F66">
              <w:rPr>
                <w:b w:val="0"/>
                <w:bCs/>
                <w:sz w:val="32"/>
                <w:szCs w:val="18"/>
              </w:rPr>
              <w:t xml:space="preserve"> period</w:t>
            </w:r>
            <w:r w:rsidR="00C048C3">
              <w:rPr>
                <w:b w:val="0"/>
                <w:bCs/>
                <w:sz w:val="32"/>
                <w:szCs w:val="18"/>
              </w:rPr>
              <w:t>.</w:t>
            </w:r>
            <w:r w:rsidRPr="00373F66">
              <w:rPr>
                <w:b w:val="0"/>
                <w:bCs/>
                <w:sz w:val="32"/>
                <w:szCs w:val="18"/>
              </w:rPr>
              <w:t xml:space="preserve"> </w:t>
            </w:r>
          </w:p>
        </w:tc>
        <w:tc>
          <w:tcPr>
            <w:tcW w:w="2477" w:type="pct"/>
            <w:vAlign w:val="center"/>
          </w:tcPr>
          <w:p w14:paraId="55736C66" w14:textId="14B66891" w:rsidR="006318B3" w:rsidRPr="00373F66" w:rsidRDefault="006318B3" w:rsidP="00373F66">
            <w:pPr>
              <w:pStyle w:val="Heading3"/>
              <w:outlineLvl w:val="2"/>
              <w:rPr>
                <w:b w:val="0"/>
                <w:bCs/>
                <w:sz w:val="32"/>
                <w:szCs w:val="18"/>
              </w:rPr>
            </w:pPr>
            <w:r w:rsidRPr="00373F66">
              <w:rPr>
                <w:b w:val="0"/>
                <w:bCs/>
                <w:sz w:val="32"/>
                <w:szCs w:val="18"/>
              </w:rPr>
              <w:t xml:space="preserve">Move to a Provider Performance Framework that will better foster continuous improvement by all </w:t>
            </w:r>
            <w:proofErr w:type="spellStart"/>
            <w:r w:rsidRPr="00373F66">
              <w:rPr>
                <w:b w:val="0"/>
                <w:bCs/>
                <w:sz w:val="32"/>
                <w:szCs w:val="18"/>
              </w:rPr>
              <w:t>TtW</w:t>
            </w:r>
            <w:proofErr w:type="spellEnd"/>
            <w:r w:rsidRPr="00373F66">
              <w:rPr>
                <w:b w:val="0"/>
                <w:bCs/>
                <w:sz w:val="32"/>
                <w:szCs w:val="18"/>
              </w:rPr>
              <w:t xml:space="preserve"> </w:t>
            </w:r>
            <w:r w:rsidR="00C048C3">
              <w:rPr>
                <w:b w:val="0"/>
                <w:bCs/>
                <w:sz w:val="32"/>
                <w:szCs w:val="18"/>
              </w:rPr>
              <w:t>p</w:t>
            </w:r>
            <w:r w:rsidRPr="00373F66">
              <w:rPr>
                <w:b w:val="0"/>
                <w:bCs/>
                <w:sz w:val="32"/>
                <w:szCs w:val="18"/>
              </w:rPr>
              <w:t>roviders over the life of the Deed.</w:t>
            </w:r>
          </w:p>
        </w:tc>
      </w:tr>
      <w:tr w:rsidR="006318B3" w14:paraId="2A5A3FB7" w14:textId="77777777" w:rsidTr="00B75F8C">
        <w:trPr>
          <w:trHeight w:val="1383"/>
        </w:trPr>
        <w:tc>
          <w:tcPr>
            <w:tcW w:w="2523" w:type="pct"/>
            <w:vAlign w:val="center"/>
          </w:tcPr>
          <w:p w14:paraId="04C95D9E" w14:textId="34D633E8" w:rsidR="006318B3" w:rsidRPr="00373F66" w:rsidRDefault="006318B3" w:rsidP="00373F66">
            <w:pPr>
              <w:pStyle w:val="Heading3"/>
              <w:outlineLvl w:val="2"/>
              <w:rPr>
                <w:b w:val="0"/>
                <w:bCs/>
                <w:sz w:val="32"/>
                <w:szCs w:val="18"/>
              </w:rPr>
            </w:pPr>
            <w:r w:rsidRPr="00373F66">
              <w:rPr>
                <w:b w:val="0"/>
                <w:bCs/>
                <w:sz w:val="32"/>
                <w:szCs w:val="18"/>
              </w:rPr>
              <w:t xml:space="preserve">Manual adjustment of Funded Places allocated to each </w:t>
            </w:r>
            <w:r w:rsidR="00C048C3">
              <w:rPr>
                <w:b w:val="0"/>
                <w:bCs/>
                <w:sz w:val="32"/>
                <w:szCs w:val="18"/>
              </w:rPr>
              <w:t>p</w:t>
            </w:r>
            <w:r w:rsidRPr="00373F66">
              <w:rPr>
                <w:b w:val="0"/>
                <w:bCs/>
                <w:sz w:val="32"/>
                <w:szCs w:val="18"/>
              </w:rPr>
              <w:t>rovider at the contract level.</w:t>
            </w:r>
          </w:p>
        </w:tc>
        <w:tc>
          <w:tcPr>
            <w:tcW w:w="2477" w:type="pct"/>
            <w:vAlign w:val="center"/>
          </w:tcPr>
          <w:p w14:paraId="3C191C2A" w14:textId="15F53056" w:rsidR="006318B3" w:rsidRPr="00373F66" w:rsidRDefault="006318B3" w:rsidP="00373F66">
            <w:pPr>
              <w:rPr>
                <w:rFonts w:ascii="Bahnschrift Condensed" w:hAnsi="Bahnschrift Condensed"/>
                <w:bCs/>
                <w:color w:val="003E6A"/>
                <w:sz w:val="32"/>
                <w:szCs w:val="18"/>
              </w:rPr>
            </w:pPr>
            <w:r w:rsidRPr="00373F66">
              <w:rPr>
                <w:rFonts w:ascii="Bahnschrift Condensed" w:hAnsi="Bahnschrift Condensed"/>
                <w:bCs/>
                <w:color w:val="003E6A"/>
                <w:sz w:val="32"/>
                <w:szCs w:val="18"/>
              </w:rPr>
              <w:t>A new and more automated method for calculating and putting in place adjustments for Funded Places.</w:t>
            </w:r>
          </w:p>
        </w:tc>
      </w:tr>
    </w:tbl>
    <w:p w14:paraId="793003C6" w14:textId="77777777" w:rsidR="00E62781" w:rsidRPr="00176213" w:rsidRDefault="00E62781" w:rsidP="00176213"/>
    <w:sectPr w:rsidR="00E62781" w:rsidRPr="00176213" w:rsidSect="00C443E9">
      <w:headerReference w:type="default" r:id="rId8"/>
      <w:pgSz w:w="16838" w:h="23811" w:code="8"/>
      <w:pgMar w:top="311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FB3B4" w14:textId="77777777" w:rsidR="00465479" w:rsidRDefault="00465479" w:rsidP="00AE2818">
      <w:pPr>
        <w:spacing w:after="0" w:line="240" w:lineRule="auto"/>
      </w:pPr>
      <w:r>
        <w:separator/>
      </w:r>
    </w:p>
  </w:endnote>
  <w:endnote w:type="continuationSeparator" w:id="0">
    <w:p w14:paraId="035A5963" w14:textId="77777777" w:rsidR="00465479" w:rsidRDefault="00465479" w:rsidP="00AE2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31FEC" w14:textId="77777777" w:rsidR="00465479" w:rsidRDefault="00465479" w:rsidP="00AE2818">
      <w:pPr>
        <w:spacing w:after="0" w:line="240" w:lineRule="auto"/>
      </w:pPr>
      <w:r>
        <w:separator/>
      </w:r>
    </w:p>
  </w:footnote>
  <w:footnote w:type="continuationSeparator" w:id="0">
    <w:p w14:paraId="6E419B17" w14:textId="77777777" w:rsidR="00465479" w:rsidRDefault="00465479" w:rsidP="00AE2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30C8A" w14:textId="77777777" w:rsidR="00AE2818" w:rsidRDefault="00AE2818">
    <w:pPr>
      <w:pStyle w:val="Header"/>
    </w:pPr>
    <w:r>
      <w:rPr>
        <w:noProof/>
      </w:rPr>
      <w:drawing>
        <wp:anchor distT="0" distB="0" distL="114300" distR="114300" simplePos="0" relativeHeight="251658240" behindDoc="1" locked="0" layoutInCell="1" allowOverlap="1" wp14:anchorId="3C2ADCF2" wp14:editId="536B1631">
          <wp:simplePos x="0" y="0"/>
          <wp:positionH relativeFrom="page">
            <wp:align>left</wp:align>
          </wp:positionH>
          <wp:positionV relativeFrom="paragraph">
            <wp:posOffset>-449580</wp:posOffset>
          </wp:positionV>
          <wp:extent cx="10701195" cy="15133320"/>
          <wp:effectExtent l="0" t="0" r="5080" b="0"/>
          <wp:wrapNone/>
          <wp:docPr id="12" name="Picture 1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710024" cy="1514580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60E2B"/>
    <w:multiLevelType w:val="hybridMultilevel"/>
    <w:tmpl w:val="94840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3E9"/>
    <w:rsid w:val="00076456"/>
    <w:rsid w:val="00176213"/>
    <w:rsid w:val="001A04D6"/>
    <w:rsid w:val="002B2F5C"/>
    <w:rsid w:val="00305882"/>
    <w:rsid w:val="00327F62"/>
    <w:rsid w:val="00335583"/>
    <w:rsid w:val="00373F66"/>
    <w:rsid w:val="003906C1"/>
    <w:rsid w:val="00465479"/>
    <w:rsid w:val="00623692"/>
    <w:rsid w:val="006318B3"/>
    <w:rsid w:val="00740A99"/>
    <w:rsid w:val="007B3ED8"/>
    <w:rsid w:val="008C74F0"/>
    <w:rsid w:val="009062CA"/>
    <w:rsid w:val="00944FF5"/>
    <w:rsid w:val="009A2E78"/>
    <w:rsid w:val="009F6A02"/>
    <w:rsid w:val="00A26644"/>
    <w:rsid w:val="00A6051D"/>
    <w:rsid w:val="00AA009C"/>
    <w:rsid w:val="00AE2818"/>
    <w:rsid w:val="00B03878"/>
    <w:rsid w:val="00B214BF"/>
    <w:rsid w:val="00B75F8C"/>
    <w:rsid w:val="00BA0BD4"/>
    <w:rsid w:val="00C048C3"/>
    <w:rsid w:val="00C31EE2"/>
    <w:rsid w:val="00C443E9"/>
    <w:rsid w:val="00C61C5A"/>
    <w:rsid w:val="00CB5C00"/>
    <w:rsid w:val="00CF0E14"/>
    <w:rsid w:val="00DB6FA2"/>
    <w:rsid w:val="00E627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BA5C42"/>
  <w15:chartTrackingRefBased/>
  <w15:docId w15:val="{916E6BE7-FB46-4A44-9DD5-C6AD8C3F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4BF"/>
    <w:pPr>
      <w:keepNext/>
      <w:keepLines/>
      <w:pBdr>
        <w:top w:val="single" w:sz="36" w:space="1" w:color="003E6A"/>
        <w:left w:val="single" w:sz="36" w:space="4" w:color="003E6A"/>
        <w:bottom w:val="single" w:sz="36" w:space="1" w:color="003E6A"/>
        <w:right w:val="single" w:sz="36" w:space="4" w:color="003E6A"/>
      </w:pBdr>
      <w:shd w:val="clear" w:color="auto" w:fill="003E6A"/>
      <w:tabs>
        <w:tab w:val="left" w:pos="567"/>
        <w:tab w:val="left" w:pos="2694"/>
      </w:tabs>
      <w:spacing w:before="240" w:after="0" w:line="240" w:lineRule="auto"/>
      <w:jc w:val="right"/>
      <w:outlineLvl w:val="0"/>
    </w:pPr>
    <w:rPr>
      <w:rFonts w:ascii="Bahnschrift Condensed" w:eastAsiaTheme="majorEastAsia" w:hAnsi="Bahnschrift Condensed" w:cstheme="majorBidi"/>
      <w:b/>
      <w:color w:val="FFFFFF" w:themeColor="background1"/>
      <w:sz w:val="96"/>
      <w:szCs w:val="32"/>
    </w:rPr>
  </w:style>
  <w:style w:type="paragraph" w:styleId="Heading2">
    <w:name w:val="heading 2"/>
    <w:basedOn w:val="Normal"/>
    <w:next w:val="Normal"/>
    <w:link w:val="Heading2Char"/>
    <w:uiPriority w:val="9"/>
    <w:unhideWhenUsed/>
    <w:qFormat/>
    <w:rsid w:val="00176213"/>
    <w:pPr>
      <w:keepNext/>
      <w:keepLines/>
      <w:spacing w:before="40" w:after="0"/>
      <w:outlineLvl w:val="1"/>
    </w:pPr>
    <w:rPr>
      <w:rFonts w:ascii="Bahnschrift Condensed" w:eastAsiaTheme="majorEastAsia" w:hAnsi="Bahnschrift Condensed" w:cstheme="majorBidi"/>
      <w:b/>
      <w:color w:val="003E6A"/>
      <w:sz w:val="52"/>
      <w:szCs w:val="26"/>
    </w:rPr>
  </w:style>
  <w:style w:type="paragraph" w:styleId="Heading3">
    <w:name w:val="heading 3"/>
    <w:basedOn w:val="Normal"/>
    <w:next w:val="Normal"/>
    <w:link w:val="Heading3Char"/>
    <w:uiPriority w:val="9"/>
    <w:unhideWhenUsed/>
    <w:qFormat/>
    <w:rsid w:val="00176213"/>
    <w:pPr>
      <w:outlineLvl w:val="2"/>
    </w:pPr>
    <w:rPr>
      <w:rFonts w:ascii="Bahnschrift Condensed" w:hAnsi="Bahnschrift Condensed"/>
      <w:b/>
      <w:color w:val="003E6A"/>
      <w:sz w:val="40"/>
    </w:rPr>
  </w:style>
  <w:style w:type="paragraph" w:styleId="Heading4">
    <w:name w:val="heading 4"/>
    <w:basedOn w:val="Normal"/>
    <w:next w:val="Normal"/>
    <w:link w:val="Heading4Char"/>
    <w:uiPriority w:val="9"/>
    <w:unhideWhenUsed/>
    <w:rsid w:val="00176213"/>
    <w:pPr>
      <w:keepNext/>
      <w:keepLines/>
      <w:spacing w:before="40" w:after="0"/>
      <w:outlineLvl w:val="3"/>
    </w:pPr>
    <w:rPr>
      <w:rFonts w:ascii="Bahnschrift Condensed" w:eastAsiaTheme="majorEastAsia" w:hAnsi="Bahnschrift Condensed" w:cstheme="majorBidi"/>
      <w:iCs/>
      <w:color w:val="003E6A"/>
      <w:sz w:val="36"/>
    </w:rPr>
  </w:style>
  <w:style w:type="paragraph" w:styleId="Heading5">
    <w:name w:val="heading 5"/>
    <w:basedOn w:val="Normal"/>
    <w:next w:val="Normal"/>
    <w:link w:val="Heading5Char"/>
    <w:uiPriority w:val="9"/>
    <w:unhideWhenUsed/>
    <w:qFormat/>
    <w:rsid w:val="00176213"/>
    <w:pPr>
      <w:keepNext/>
      <w:keepLines/>
      <w:spacing w:before="40" w:after="0"/>
      <w:outlineLvl w:val="4"/>
    </w:pPr>
    <w:rPr>
      <w:rFonts w:ascii="Bahnschrift Condensed" w:eastAsiaTheme="majorEastAsia" w:hAnsi="Bahnschrift Condensed" w:cstheme="majorBidi"/>
      <w:color w:val="003E6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4BF"/>
    <w:rPr>
      <w:rFonts w:ascii="Bahnschrift Condensed" w:eastAsiaTheme="majorEastAsia" w:hAnsi="Bahnschrift Condensed" w:cstheme="majorBidi"/>
      <w:b/>
      <w:color w:val="FFFFFF" w:themeColor="background1"/>
      <w:sz w:val="96"/>
      <w:szCs w:val="32"/>
      <w:shd w:val="clear" w:color="auto" w:fill="003E6A"/>
    </w:rPr>
  </w:style>
  <w:style w:type="character" w:customStyle="1" w:styleId="BlueBackground">
    <w:name w:val="Blue Background"/>
    <w:basedOn w:val="DefaultParagraphFont"/>
    <w:uiPriority w:val="1"/>
    <w:qFormat/>
    <w:rsid w:val="00CF0E14"/>
    <w:rPr>
      <w:bdr w:val="single" w:sz="36" w:space="0" w:color="003E6A"/>
      <w:shd w:val="clear" w:color="auto" w:fill="003E6A"/>
    </w:rPr>
  </w:style>
  <w:style w:type="paragraph" w:styleId="Header">
    <w:name w:val="header"/>
    <w:basedOn w:val="Normal"/>
    <w:link w:val="HeaderChar"/>
    <w:uiPriority w:val="99"/>
    <w:unhideWhenUsed/>
    <w:rsid w:val="00AE28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818"/>
  </w:style>
  <w:style w:type="paragraph" w:styleId="Footer">
    <w:name w:val="footer"/>
    <w:basedOn w:val="Normal"/>
    <w:link w:val="FooterChar"/>
    <w:uiPriority w:val="99"/>
    <w:unhideWhenUsed/>
    <w:rsid w:val="00AE28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818"/>
  </w:style>
  <w:style w:type="character" w:customStyle="1" w:styleId="Heading2Char">
    <w:name w:val="Heading 2 Char"/>
    <w:basedOn w:val="DefaultParagraphFont"/>
    <w:link w:val="Heading2"/>
    <w:uiPriority w:val="9"/>
    <w:rsid w:val="00176213"/>
    <w:rPr>
      <w:rFonts w:ascii="Bahnschrift Condensed" w:eastAsiaTheme="majorEastAsia" w:hAnsi="Bahnschrift Condensed" w:cstheme="majorBidi"/>
      <w:b/>
      <w:color w:val="003E6A"/>
      <w:sz w:val="52"/>
      <w:szCs w:val="26"/>
    </w:rPr>
  </w:style>
  <w:style w:type="character" w:customStyle="1" w:styleId="Heading3Char">
    <w:name w:val="Heading 3 Char"/>
    <w:basedOn w:val="DefaultParagraphFont"/>
    <w:link w:val="Heading3"/>
    <w:uiPriority w:val="9"/>
    <w:rsid w:val="00176213"/>
    <w:rPr>
      <w:rFonts w:ascii="Bahnschrift Condensed" w:hAnsi="Bahnschrift Condensed"/>
      <w:b/>
      <w:color w:val="003E6A"/>
      <w:sz w:val="40"/>
    </w:rPr>
  </w:style>
  <w:style w:type="character" w:customStyle="1" w:styleId="Heading4Char">
    <w:name w:val="Heading 4 Char"/>
    <w:basedOn w:val="DefaultParagraphFont"/>
    <w:link w:val="Heading4"/>
    <w:uiPriority w:val="9"/>
    <w:rsid w:val="00176213"/>
    <w:rPr>
      <w:rFonts w:ascii="Bahnschrift Condensed" w:eastAsiaTheme="majorEastAsia" w:hAnsi="Bahnschrift Condensed" w:cstheme="majorBidi"/>
      <w:iCs/>
      <w:color w:val="003E6A"/>
      <w:sz w:val="36"/>
    </w:rPr>
  </w:style>
  <w:style w:type="character" w:customStyle="1" w:styleId="Heading5Char">
    <w:name w:val="Heading 5 Char"/>
    <w:basedOn w:val="DefaultParagraphFont"/>
    <w:link w:val="Heading5"/>
    <w:uiPriority w:val="9"/>
    <w:rsid w:val="00176213"/>
    <w:rPr>
      <w:rFonts w:ascii="Bahnschrift Condensed" w:eastAsiaTheme="majorEastAsia" w:hAnsi="Bahnschrift Condensed" w:cstheme="majorBidi"/>
      <w:color w:val="003E6A"/>
      <w:sz w:val="28"/>
    </w:rPr>
  </w:style>
  <w:style w:type="table" w:styleId="TableGrid">
    <w:name w:val="Table Grid"/>
    <w:basedOn w:val="TableNormal"/>
    <w:uiPriority w:val="39"/>
    <w:rsid w:val="00A26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692"/>
    <w:pPr>
      <w:ind w:left="720"/>
      <w:contextualSpacing/>
    </w:pPr>
  </w:style>
  <w:style w:type="paragraph" w:styleId="BalloonText">
    <w:name w:val="Balloon Text"/>
    <w:basedOn w:val="Normal"/>
    <w:link w:val="BalloonTextChar"/>
    <w:uiPriority w:val="99"/>
    <w:semiHidden/>
    <w:unhideWhenUsed/>
    <w:rsid w:val="003906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6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M3853\AppData\Local\Microsoft\Windows\INetCache\Content.Outlook\JWWZJLWB\TtW%20A3%20Word%20poster%20template%20-%20Componetns%20to%20be%20retained_%20(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3F0CE-3965-47A2-AA12-E1D6E7331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TtW A3 Word poster template - Componetns to be retained_ (002).dotx</Template>
  <TotalTime>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TtW Conference Poster</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TtW Conference Poster</dc:title>
  <dc:subject/>
  <dc:creator>MAHER,Kelly</dc:creator>
  <cp:keywords/>
  <dc:description/>
  <cp:lastModifiedBy>JOWETT,Aidan</cp:lastModifiedBy>
  <cp:revision>2</cp:revision>
  <dcterms:created xsi:type="dcterms:W3CDTF">2021-06-22T00:07:00Z</dcterms:created>
  <dcterms:modified xsi:type="dcterms:W3CDTF">2021-06-22T00:07:00Z</dcterms:modified>
</cp:coreProperties>
</file>