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1AE4A" w14:textId="6925AAB7" w:rsidR="00E62781" w:rsidRPr="00E62781" w:rsidRDefault="00CB5C00" w:rsidP="00FD3BEE">
      <w:pPr>
        <w:pStyle w:val="Heading1"/>
        <w:rPr>
          <w:rStyle w:val="BlueBackground"/>
        </w:rPr>
      </w:pPr>
      <w:r w:rsidRPr="00F93229">
        <w:t> </w:t>
      </w:r>
      <w:r w:rsidR="00A26644" w:rsidRPr="008C58B4">
        <w:rPr>
          <w:b/>
          <w:bCs/>
          <w:szCs w:val="96"/>
        </w:rPr>
        <w:t xml:space="preserve">Transition to Work </w:t>
      </w:r>
      <w:r w:rsidR="00013DD8" w:rsidRPr="008C58B4">
        <w:rPr>
          <w:b/>
          <w:bCs/>
          <w:szCs w:val="96"/>
        </w:rPr>
        <w:t>Consultation Paper</w:t>
      </w:r>
      <w:r w:rsidR="00013DD8" w:rsidRPr="008C58B4">
        <w:rPr>
          <w:b/>
          <w:bCs/>
          <w:szCs w:val="96"/>
        </w:rPr>
        <w:tab/>
      </w:r>
      <w:r w:rsidR="00E62781" w:rsidRPr="008C58B4">
        <w:rPr>
          <w:b/>
          <w:bCs/>
          <w:szCs w:val="96"/>
        </w:rPr>
        <w:br/>
      </w:r>
      <w:r w:rsidRPr="008C58B4">
        <w:rPr>
          <w:b/>
          <w:bCs/>
          <w:szCs w:val="96"/>
        </w:rPr>
        <w:t> </w:t>
      </w:r>
      <w:r w:rsidR="00734B2C" w:rsidRPr="008C58B4">
        <w:rPr>
          <w:b/>
          <w:bCs/>
          <w:szCs w:val="96"/>
        </w:rPr>
        <w:t>Components to be retained</w:t>
      </w:r>
      <w:r w:rsidR="00013DD8">
        <w:rPr>
          <w:rStyle w:val="BlueBackground"/>
        </w:rPr>
        <w:tab/>
      </w:r>
      <w:r w:rsidR="00E62781" w:rsidRPr="00E62781">
        <w:rPr>
          <w:rStyle w:val="BlueBackground"/>
        </w:rPr>
        <w:t> </w:t>
      </w:r>
    </w:p>
    <w:p w14:paraId="3728CAB9" w14:textId="77777777" w:rsidR="00FD3BEE" w:rsidRPr="0042313F" w:rsidRDefault="00FD3BEE" w:rsidP="00FD3BEE">
      <w:pPr>
        <w:rPr>
          <w:sz w:val="24"/>
          <w:szCs w:val="24"/>
        </w:rPr>
      </w:pPr>
      <w:r w:rsidRPr="0042313F">
        <w:rPr>
          <w:sz w:val="24"/>
          <w:szCs w:val="24"/>
        </w:rPr>
        <w:t xml:space="preserve">Transition to Work is a well-regarded, successful service. While there is always opportunity for improvement, and a need for some change to integrate </w:t>
      </w:r>
      <w:proofErr w:type="spellStart"/>
      <w:r w:rsidRPr="0042313F">
        <w:rPr>
          <w:sz w:val="24"/>
          <w:szCs w:val="24"/>
        </w:rPr>
        <w:t>TtW</w:t>
      </w:r>
      <w:proofErr w:type="spellEnd"/>
      <w:r w:rsidRPr="0042313F">
        <w:rPr>
          <w:sz w:val="24"/>
          <w:szCs w:val="24"/>
        </w:rPr>
        <w:t xml:space="preserve"> into the New Employment Services Model, the department’s intention is to maintain the core components of </w:t>
      </w:r>
      <w:proofErr w:type="spellStart"/>
      <w:r w:rsidRPr="0042313F">
        <w:rPr>
          <w:sz w:val="24"/>
          <w:szCs w:val="24"/>
        </w:rPr>
        <w:t>TtW</w:t>
      </w:r>
      <w:proofErr w:type="spellEnd"/>
      <w:r w:rsidRPr="0042313F">
        <w:rPr>
          <w:sz w:val="24"/>
          <w:szCs w:val="24"/>
        </w:rPr>
        <w:t xml:space="preserve"> that led to its current success. </w:t>
      </w:r>
    </w:p>
    <w:tbl>
      <w:tblPr>
        <w:tblStyle w:val="TableGrid"/>
        <w:tblW w:w="13966" w:type="dxa"/>
        <w:tblBorders>
          <w:top w:val="single" w:sz="4" w:space="0" w:color="7EC5E1"/>
          <w:left w:val="single" w:sz="4" w:space="0" w:color="7EC5E1"/>
          <w:bottom w:val="single" w:sz="4" w:space="0" w:color="7EC5E1"/>
          <w:right w:val="single" w:sz="4" w:space="0" w:color="7EC5E1"/>
          <w:insideH w:val="single" w:sz="4" w:space="0" w:color="7EC5E1"/>
          <w:insideV w:val="single" w:sz="4" w:space="0" w:color="7EC5E1"/>
        </w:tblBorders>
        <w:tblLook w:val="04A0" w:firstRow="1" w:lastRow="0" w:firstColumn="1" w:lastColumn="0" w:noHBand="0" w:noVBand="1"/>
      </w:tblPr>
      <w:tblGrid>
        <w:gridCol w:w="4111"/>
        <w:gridCol w:w="9855"/>
      </w:tblGrid>
      <w:tr w:rsidR="00013DD8" w14:paraId="201F3CF8" w14:textId="77777777" w:rsidTr="00EB3F09">
        <w:trPr>
          <w:trHeight w:val="783"/>
        </w:trPr>
        <w:tc>
          <w:tcPr>
            <w:tcW w:w="4111" w:type="dxa"/>
            <w:vAlign w:val="center"/>
          </w:tcPr>
          <w:p w14:paraId="36943D2C" w14:textId="7E7B4BF1" w:rsidR="00013DD8" w:rsidRPr="009877D2" w:rsidRDefault="00013DD8" w:rsidP="00FD3BEE">
            <w:pPr>
              <w:pStyle w:val="Heading3"/>
              <w:outlineLvl w:val="2"/>
              <w:rPr>
                <w:b/>
                <w:bCs/>
                <w:sz w:val="28"/>
                <w:szCs w:val="16"/>
              </w:rPr>
            </w:pPr>
            <w:r>
              <w:t>Component</w:t>
            </w:r>
          </w:p>
        </w:tc>
        <w:tc>
          <w:tcPr>
            <w:tcW w:w="9855" w:type="dxa"/>
            <w:vAlign w:val="center"/>
          </w:tcPr>
          <w:p w14:paraId="6FFB8B63" w14:textId="5D15FADD" w:rsidR="00013DD8" w:rsidRPr="009877D2" w:rsidRDefault="00013DD8" w:rsidP="00FD3BEE">
            <w:pPr>
              <w:pStyle w:val="Heading3"/>
              <w:outlineLvl w:val="2"/>
              <w:rPr>
                <w:b/>
                <w:bCs/>
                <w:sz w:val="28"/>
                <w:szCs w:val="28"/>
              </w:rPr>
            </w:pPr>
            <w:r>
              <w:t>Description</w:t>
            </w:r>
          </w:p>
        </w:tc>
      </w:tr>
      <w:tr w:rsidR="00734B2C" w14:paraId="6F4701B9" w14:textId="77777777" w:rsidTr="00EB3F09">
        <w:trPr>
          <w:trHeight w:val="1452"/>
        </w:trPr>
        <w:tc>
          <w:tcPr>
            <w:tcW w:w="4111" w:type="dxa"/>
            <w:vAlign w:val="center"/>
          </w:tcPr>
          <w:p w14:paraId="463D702E" w14:textId="3A190A4C" w:rsidR="00734B2C" w:rsidRPr="00013DD8" w:rsidRDefault="00734B2C" w:rsidP="00FD3BEE">
            <w:pPr>
              <w:pStyle w:val="Heading3"/>
              <w:outlineLvl w:val="2"/>
              <w:rPr>
                <w:b/>
              </w:rPr>
            </w:pPr>
            <w:r w:rsidRPr="00013DD8">
              <w:t>Non-competitive service delivery</w:t>
            </w:r>
          </w:p>
        </w:tc>
        <w:tc>
          <w:tcPr>
            <w:tcW w:w="9855" w:type="dxa"/>
            <w:vAlign w:val="center"/>
          </w:tcPr>
          <w:p w14:paraId="3E05602A" w14:textId="6545B726" w:rsidR="00734B2C" w:rsidRPr="00013DD8" w:rsidRDefault="00734B2C" w:rsidP="00FD3BEE">
            <w:pPr>
              <w:pStyle w:val="Heading3"/>
              <w:outlineLvl w:val="2"/>
              <w:rPr>
                <w:b/>
              </w:rPr>
            </w:pPr>
            <w:r w:rsidRPr="00013DD8">
              <w:t xml:space="preserve">The non-competitive nature of the </w:t>
            </w:r>
            <w:proofErr w:type="spellStart"/>
            <w:r w:rsidRPr="00013DD8">
              <w:t>TtW</w:t>
            </w:r>
            <w:proofErr w:type="spellEnd"/>
            <w:r w:rsidRPr="00013DD8">
              <w:t xml:space="preserve"> service, with one </w:t>
            </w:r>
            <w:r w:rsidR="002D58A7">
              <w:t>p</w:t>
            </w:r>
            <w:r w:rsidRPr="00013DD8">
              <w:t xml:space="preserve">rovider operating per dedicated service location, has supported </w:t>
            </w:r>
            <w:proofErr w:type="spellStart"/>
            <w:r w:rsidRPr="00013DD8">
              <w:t>TtW</w:t>
            </w:r>
            <w:proofErr w:type="spellEnd"/>
            <w:r w:rsidRPr="00013DD8">
              <w:t xml:space="preserve"> </w:t>
            </w:r>
            <w:r w:rsidR="002D58A7">
              <w:t>p</w:t>
            </w:r>
            <w:r w:rsidRPr="00013DD8">
              <w:t xml:space="preserve">roviders to develop a strong collaborative approach and to share best practice approaches. </w:t>
            </w:r>
          </w:p>
        </w:tc>
      </w:tr>
      <w:tr w:rsidR="00734B2C" w14:paraId="49BFA3D6" w14:textId="77777777" w:rsidTr="00EB3F09">
        <w:trPr>
          <w:trHeight w:val="1834"/>
        </w:trPr>
        <w:tc>
          <w:tcPr>
            <w:tcW w:w="4111" w:type="dxa"/>
            <w:vAlign w:val="center"/>
          </w:tcPr>
          <w:p w14:paraId="121A0794" w14:textId="1D863F1F" w:rsidR="00734B2C" w:rsidRPr="00013DD8" w:rsidRDefault="00734B2C" w:rsidP="00FD3BEE">
            <w:pPr>
              <w:pStyle w:val="Heading3"/>
              <w:outlineLvl w:val="2"/>
              <w:rPr>
                <w:b/>
              </w:rPr>
            </w:pPr>
            <w:r w:rsidRPr="00013DD8">
              <w:t>Consequences for non</w:t>
            </w:r>
            <w:r w:rsidRPr="00013DD8">
              <w:noBreakHyphen/>
              <w:t xml:space="preserve">compliance with Mutual Obligation requirements </w:t>
            </w:r>
          </w:p>
        </w:tc>
        <w:tc>
          <w:tcPr>
            <w:tcW w:w="9855" w:type="dxa"/>
            <w:vAlign w:val="center"/>
          </w:tcPr>
          <w:p w14:paraId="0BA16580" w14:textId="3E90212B" w:rsidR="00734B2C" w:rsidRPr="00013DD8" w:rsidRDefault="00734B2C" w:rsidP="00FD3BEE">
            <w:pPr>
              <w:pStyle w:val="Heading3"/>
              <w:outlineLvl w:val="2"/>
              <w:rPr>
                <w:b/>
              </w:rPr>
            </w:pPr>
            <w:proofErr w:type="spellStart"/>
            <w:r w:rsidRPr="00013DD8">
              <w:t>TtW</w:t>
            </w:r>
            <w:proofErr w:type="spellEnd"/>
            <w:r w:rsidRPr="00013DD8">
              <w:t xml:space="preserve"> will remain a voluntary service that eligible young people in receipt of activity tested income support can choose to participate in to satisfy their mutual obligation requirements. Participants who fail to engage in the service and meet participation requirements will be exited and transferred to an Enhanced Services </w:t>
            </w:r>
            <w:r w:rsidR="002D58A7">
              <w:t>p</w:t>
            </w:r>
            <w:r w:rsidRPr="00013DD8">
              <w:t>rovider.</w:t>
            </w:r>
          </w:p>
        </w:tc>
      </w:tr>
      <w:tr w:rsidR="00734B2C" w14:paraId="33DEE81B" w14:textId="77777777" w:rsidTr="00EB3F09">
        <w:trPr>
          <w:trHeight w:val="1090"/>
        </w:trPr>
        <w:tc>
          <w:tcPr>
            <w:tcW w:w="4111" w:type="dxa"/>
            <w:vAlign w:val="center"/>
          </w:tcPr>
          <w:p w14:paraId="57FD1565" w14:textId="52DA6C04" w:rsidR="00734B2C" w:rsidRPr="00013DD8" w:rsidRDefault="00734B2C" w:rsidP="00FD3BEE">
            <w:pPr>
              <w:pStyle w:val="Heading3"/>
              <w:outlineLvl w:val="2"/>
              <w:rPr>
                <w:b/>
              </w:rPr>
            </w:pPr>
            <w:r w:rsidRPr="00013DD8">
              <w:t>Eligibility for disengaged youth not in receipt of income support</w:t>
            </w:r>
          </w:p>
        </w:tc>
        <w:tc>
          <w:tcPr>
            <w:tcW w:w="9855" w:type="dxa"/>
            <w:vAlign w:val="center"/>
          </w:tcPr>
          <w:p w14:paraId="232A9690" w14:textId="2CDC47E2" w:rsidR="00734B2C" w:rsidRPr="00013DD8" w:rsidRDefault="00734B2C" w:rsidP="00FD3BEE">
            <w:pPr>
              <w:pStyle w:val="Heading3"/>
              <w:outlineLvl w:val="2"/>
              <w:rPr>
                <w:b/>
              </w:rPr>
            </w:pPr>
            <w:r w:rsidRPr="00013DD8">
              <w:t>Access for disadvantaged young people not in receipt of income support who are disengaged from training or employment will be retained.</w:t>
            </w:r>
          </w:p>
        </w:tc>
      </w:tr>
      <w:tr w:rsidR="00734B2C" w14:paraId="4812656A" w14:textId="77777777" w:rsidTr="00EB3F09">
        <w:trPr>
          <w:trHeight w:val="1489"/>
        </w:trPr>
        <w:tc>
          <w:tcPr>
            <w:tcW w:w="4111" w:type="dxa"/>
            <w:vAlign w:val="center"/>
          </w:tcPr>
          <w:p w14:paraId="097B2CD4" w14:textId="53304BEF" w:rsidR="00734B2C" w:rsidRPr="00013DD8" w:rsidRDefault="00734B2C" w:rsidP="00FD3BEE">
            <w:pPr>
              <w:pStyle w:val="Heading3"/>
              <w:outlineLvl w:val="2"/>
              <w:rPr>
                <w:b/>
              </w:rPr>
            </w:pPr>
            <w:r w:rsidRPr="00013DD8">
              <w:t>Flexible service delivery</w:t>
            </w:r>
          </w:p>
        </w:tc>
        <w:tc>
          <w:tcPr>
            <w:tcW w:w="9855" w:type="dxa"/>
            <w:vAlign w:val="center"/>
          </w:tcPr>
          <w:p w14:paraId="55736C66" w14:textId="3A554BD5" w:rsidR="00734B2C" w:rsidRPr="00013DD8" w:rsidRDefault="00734B2C" w:rsidP="00FD3BEE">
            <w:pPr>
              <w:pStyle w:val="Heading3"/>
              <w:outlineLvl w:val="2"/>
              <w:rPr>
                <w:b/>
              </w:rPr>
            </w:pPr>
            <w:proofErr w:type="spellStart"/>
            <w:r w:rsidRPr="00013DD8">
              <w:t>TtW</w:t>
            </w:r>
            <w:proofErr w:type="spellEnd"/>
            <w:r w:rsidRPr="00013DD8">
              <w:t xml:space="preserve"> </w:t>
            </w:r>
            <w:r w:rsidR="00574FB3">
              <w:t>p</w:t>
            </w:r>
            <w:r w:rsidRPr="00013DD8">
              <w:t xml:space="preserve">roviders will maintain the flexibility to determine appropriate activities that will best support each young person’s development and use their funding to support this, with minimal administrative burden. </w:t>
            </w:r>
          </w:p>
        </w:tc>
      </w:tr>
      <w:tr w:rsidR="00734B2C" w14:paraId="2A5A3FB7" w14:textId="77777777" w:rsidTr="00EB3F09">
        <w:trPr>
          <w:trHeight w:val="5052"/>
        </w:trPr>
        <w:tc>
          <w:tcPr>
            <w:tcW w:w="4111" w:type="dxa"/>
            <w:vAlign w:val="center"/>
          </w:tcPr>
          <w:p w14:paraId="04C95D9E" w14:textId="20C7828A" w:rsidR="00734B2C" w:rsidRPr="00013DD8" w:rsidRDefault="00734B2C" w:rsidP="00FD3BEE">
            <w:pPr>
              <w:pStyle w:val="Heading3"/>
              <w:outlineLvl w:val="2"/>
              <w:rPr>
                <w:b/>
              </w:rPr>
            </w:pPr>
            <w:r w:rsidRPr="00013DD8">
              <w:t>Demand-driven funding and a funding model that encourages upfront investment in young people</w:t>
            </w:r>
          </w:p>
        </w:tc>
        <w:tc>
          <w:tcPr>
            <w:tcW w:w="9855" w:type="dxa"/>
            <w:vAlign w:val="center"/>
          </w:tcPr>
          <w:p w14:paraId="6F19CB01" w14:textId="77777777" w:rsidR="00734B2C" w:rsidRPr="00013DD8" w:rsidRDefault="00734B2C" w:rsidP="00FD3BEE">
            <w:r w:rsidRPr="00013DD8">
              <w:t xml:space="preserve">The </w:t>
            </w:r>
            <w:proofErr w:type="spellStart"/>
            <w:r w:rsidRPr="00013DD8">
              <w:t>TtW</w:t>
            </w:r>
            <w:proofErr w:type="spellEnd"/>
            <w:r w:rsidRPr="00013DD8">
              <w:t xml:space="preserve"> funding model to:</w:t>
            </w:r>
          </w:p>
          <w:p w14:paraId="4B8DE32B" w14:textId="14278C62" w:rsidR="00734B2C" w:rsidRPr="00013DD8" w:rsidRDefault="00734B2C" w:rsidP="00FD3BEE">
            <w:pPr>
              <w:pStyle w:val="ListParagraph"/>
              <w:numPr>
                <w:ilvl w:val="0"/>
                <w:numId w:val="1"/>
              </w:numPr>
            </w:pPr>
            <w:r w:rsidRPr="00013DD8">
              <w:t xml:space="preserve">remain weighted more to </w:t>
            </w:r>
            <w:r w:rsidR="00574FB3">
              <w:t>S</w:t>
            </w:r>
            <w:r w:rsidRPr="00013DD8">
              <w:t xml:space="preserve">ervice </w:t>
            </w:r>
            <w:r w:rsidR="00574FB3">
              <w:t>F</w:t>
            </w:r>
            <w:r w:rsidRPr="00013DD8">
              <w:t xml:space="preserve">ees than </w:t>
            </w:r>
            <w:r w:rsidR="00574FB3">
              <w:t>O</w:t>
            </w:r>
            <w:r w:rsidRPr="00013DD8">
              <w:t xml:space="preserve">utcome </w:t>
            </w:r>
            <w:r w:rsidR="00574FB3">
              <w:t>P</w:t>
            </w:r>
            <w:r w:rsidRPr="00013DD8">
              <w:t>ayments to enable upfront investment in young people</w:t>
            </w:r>
          </w:p>
          <w:p w14:paraId="1D50C190" w14:textId="77777777" w:rsidR="00734B2C" w:rsidRPr="00013DD8" w:rsidRDefault="00734B2C" w:rsidP="00FD3BEE">
            <w:pPr>
              <w:pStyle w:val="ListParagraph"/>
              <w:numPr>
                <w:ilvl w:val="0"/>
                <w:numId w:val="1"/>
              </w:numPr>
            </w:pPr>
            <w:r w:rsidRPr="00013DD8">
              <w:t>continue to give equal value to Education and Employment Outcomes</w:t>
            </w:r>
          </w:p>
          <w:p w14:paraId="3E1E7C17" w14:textId="4C4148F8" w:rsidR="00734B2C" w:rsidRPr="00013DD8" w:rsidRDefault="00734B2C" w:rsidP="00FD3BEE">
            <w:pPr>
              <w:pStyle w:val="ListParagraph"/>
              <w:numPr>
                <w:ilvl w:val="0"/>
                <w:numId w:val="1"/>
              </w:numPr>
            </w:pPr>
            <w:r w:rsidRPr="00013DD8">
              <w:t xml:space="preserve">remain at levels which support intensive servicing and facilitate low consultant to </w:t>
            </w:r>
            <w:r w:rsidR="00574FB3">
              <w:t>p</w:t>
            </w:r>
            <w:r w:rsidRPr="00013DD8">
              <w:t>articipant ratios</w:t>
            </w:r>
          </w:p>
          <w:p w14:paraId="3C191C2A" w14:textId="16AEF410" w:rsidR="00734B2C" w:rsidRPr="00013DD8" w:rsidRDefault="00734B2C" w:rsidP="00FD3BEE">
            <w:pPr>
              <w:pStyle w:val="ListParagraph"/>
              <w:numPr>
                <w:ilvl w:val="0"/>
                <w:numId w:val="1"/>
              </w:numPr>
              <w:rPr>
                <w:bCs/>
              </w:rPr>
            </w:pPr>
            <w:r w:rsidRPr="00013DD8">
              <w:t xml:space="preserve">continue to be based on Funded Places that different individuals can occupy at different points in time rather than fees linked to transactional events for individual </w:t>
            </w:r>
            <w:r w:rsidR="00574FB3">
              <w:t>p</w:t>
            </w:r>
            <w:r w:rsidRPr="00013DD8">
              <w:t xml:space="preserve">articipants. A Funded Place is a unit of servicing under the Transition to Work Deed for the </w:t>
            </w:r>
            <w:r w:rsidR="00574FB3">
              <w:t>p</w:t>
            </w:r>
            <w:r w:rsidRPr="00013DD8">
              <w:t xml:space="preserve">rovider to service one or more </w:t>
            </w:r>
            <w:r w:rsidR="00574FB3">
              <w:t>p</w:t>
            </w:r>
            <w:r w:rsidRPr="00013DD8">
              <w:t xml:space="preserve">articipants over time in a particular </w:t>
            </w:r>
            <w:r w:rsidR="00574FB3">
              <w:t>e</w:t>
            </w:r>
            <w:r w:rsidRPr="00013DD8">
              <w:t xml:space="preserve">mployment </w:t>
            </w:r>
            <w:r w:rsidR="00574FB3">
              <w:t>r</w:t>
            </w:r>
            <w:r w:rsidRPr="00013DD8">
              <w:t>egion.</w:t>
            </w:r>
          </w:p>
        </w:tc>
      </w:tr>
      <w:tr w:rsidR="00734B2C" w14:paraId="46EC7548" w14:textId="77777777" w:rsidTr="00EB3F09">
        <w:trPr>
          <w:trHeight w:val="1819"/>
        </w:trPr>
        <w:tc>
          <w:tcPr>
            <w:tcW w:w="4111" w:type="dxa"/>
            <w:vAlign w:val="center"/>
          </w:tcPr>
          <w:p w14:paraId="7E8E0820" w14:textId="20E79CCF" w:rsidR="00734B2C" w:rsidRPr="00013DD8" w:rsidRDefault="00734B2C" w:rsidP="00FD3BEE">
            <w:pPr>
              <w:pStyle w:val="Heading3"/>
              <w:outlineLvl w:val="2"/>
              <w:rPr>
                <w:b/>
              </w:rPr>
            </w:pPr>
            <w:r w:rsidRPr="00013DD8">
              <w:t>Youth Bonus Wage Subsidy</w:t>
            </w:r>
          </w:p>
        </w:tc>
        <w:tc>
          <w:tcPr>
            <w:tcW w:w="9855" w:type="dxa"/>
            <w:vAlign w:val="center"/>
          </w:tcPr>
          <w:p w14:paraId="29DAB8B3" w14:textId="50D5D5CA" w:rsidR="00734B2C" w:rsidRPr="00013DD8" w:rsidRDefault="00734B2C" w:rsidP="00FD3BEE">
            <w:pPr>
              <w:rPr>
                <w:bCs/>
              </w:rPr>
            </w:pPr>
            <w:r w:rsidRPr="00013DD8">
              <w:t xml:space="preserve">Access to the Youth Bonus Wage Subsidy of $10,000 will remain to support the hiring of </w:t>
            </w:r>
            <w:proofErr w:type="spellStart"/>
            <w:r w:rsidRPr="00013DD8">
              <w:t>TtW</w:t>
            </w:r>
            <w:proofErr w:type="spellEnd"/>
            <w:r w:rsidRPr="00013DD8">
              <w:t xml:space="preserve"> </w:t>
            </w:r>
            <w:r w:rsidR="00574FB3">
              <w:t>p</w:t>
            </w:r>
            <w:r w:rsidRPr="00013DD8">
              <w:t>articipants who are in receipt of income support and have mutual obligation requirements. This will help ensure that disadvantaged young people will be more competitive in the labour market.</w:t>
            </w:r>
          </w:p>
        </w:tc>
      </w:tr>
    </w:tbl>
    <w:p w14:paraId="793003C6" w14:textId="77777777" w:rsidR="00E62781" w:rsidRPr="00013DD8" w:rsidRDefault="00E62781" w:rsidP="00FD3BEE"/>
    <w:sectPr w:rsidR="00E62781" w:rsidRPr="00013DD8" w:rsidSect="00013DD8">
      <w:headerReference w:type="default" r:id="rId8"/>
      <w:pgSz w:w="16838" w:h="23811" w:code="8"/>
      <w:pgMar w:top="3119"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10C05" w14:textId="77777777" w:rsidR="00C443E9" w:rsidRDefault="00C443E9" w:rsidP="00FD3BEE">
      <w:r>
        <w:separator/>
      </w:r>
    </w:p>
  </w:endnote>
  <w:endnote w:type="continuationSeparator" w:id="0">
    <w:p w14:paraId="0CF66EB6" w14:textId="77777777" w:rsidR="00C443E9" w:rsidRDefault="00C443E9" w:rsidP="00FD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DBC77" w14:textId="77777777" w:rsidR="00C443E9" w:rsidRDefault="00C443E9" w:rsidP="00FD3BEE">
      <w:r>
        <w:separator/>
      </w:r>
    </w:p>
  </w:footnote>
  <w:footnote w:type="continuationSeparator" w:id="0">
    <w:p w14:paraId="459BCC0B" w14:textId="77777777" w:rsidR="00C443E9" w:rsidRDefault="00C443E9" w:rsidP="00FD3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30C8A" w14:textId="77777777" w:rsidR="00AE2818" w:rsidRDefault="00AE2818" w:rsidP="00FD3BEE">
    <w:pPr>
      <w:pStyle w:val="Header"/>
    </w:pPr>
    <w:r>
      <w:rPr>
        <w:noProof/>
      </w:rPr>
      <w:drawing>
        <wp:anchor distT="0" distB="0" distL="114300" distR="114300" simplePos="0" relativeHeight="251658240" behindDoc="1" locked="0" layoutInCell="1" allowOverlap="1" wp14:anchorId="3C2ADCF2" wp14:editId="536B1631">
          <wp:simplePos x="0" y="0"/>
          <wp:positionH relativeFrom="page">
            <wp:align>left</wp:align>
          </wp:positionH>
          <wp:positionV relativeFrom="paragraph">
            <wp:posOffset>-449580</wp:posOffset>
          </wp:positionV>
          <wp:extent cx="10701195" cy="15133320"/>
          <wp:effectExtent l="0" t="0" r="5080" b="0"/>
          <wp:wrapNone/>
          <wp:docPr id="9" name="Picture 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10024" cy="1514580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60E2B"/>
    <w:multiLevelType w:val="hybridMultilevel"/>
    <w:tmpl w:val="AA2AB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E9"/>
    <w:rsid w:val="00013DD8"/>
    <w:rsid w:val="0011479C"/>
    <w:rsid w:val="00176213"/>
    <w:rsid w:val="002B2F5C"/>
    <w:rsid w:val="002D58A7"/>
    <w:rsid w:val="00327F62"/>
    <w:rsid w:val="003C137E"/>
    <w:rsid w:val="0040380E"/>
    <w:rsid w:val="00420C53"/>
    <w:rsid w:val="0042313F"/>
    <w:rsid w:val="00475CE5"/>
    <w:rsid w:val="00574FB3"/>
    <w:rsid w:val="00623692"/>
    <w:rsid w:val="006318B3"/>
    <w:rsid w:val="00734B2C"/>
    <w:rsid w:val="00740A99"/>
    <w:rsid w:val="007B3ED8"/>
    <w:rsid w:val="007B5367"/>
    <w:rsid w:val="008974D4"/>
    <w:rsid w:val="008C58B4"/>
    <w:rsid w:val="00944FF5"/>
    <w:rsid w:val="009877D2"/>
    <w:rsid w:val="009A2E78"/>
    <w:rsid w:val="009F6A02"/>
    <w:rsid w:val="00A26644"/>
    <w:rsid w:val="00A6051D"/>
    <w:rsid w:val="00AE2818"/>
    <w:rsid w:val="00B03878"/>
    <w:rsid w:val="00BC29F3"/>
    <w:rsid w:val="00C443E9"/>
    <w:rsid w:val="00CB5C00"/>
    <w:rsid w:val="00CF0E14"/>
    <w:rsid w:val="00E62781"/>
    <w:rsid w:val="00EB3F09"/>
    <w:rsid w:val="00F93229"/>
    <w:rsid w:val="00FD3B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8BA5C42"/>
  <w15:chartTrackingRefBased/>
  <w15:docId w15:val="{916E6BE7-FB46-4A44-9DD5-C6AD8C3F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8974D4"/>
    <w:pPr>
      <w:keepNext/>
      <w:keepLines/>
      <w:spacing w:before="40"/>
      <w:outlineLvl w:val="1"/>
    </w:pPr>
    <w:rPr>
      <w:rFonts w:ascii="Bahnschrift Condensed" w:eastAsiaTheme="majorEastAsia" w:hAnsi="Bahnschrift Condensed" w:cstheme="majorBidi"/>
      <w:b/>
      <w:color w:val="003E6A"/>
      <w:sz w:val="32"/>
      <w:szCs w:val="40"/>
    </w:rPr>
  </w:style>
  <w:style w:type="paragraph" w:styleId="Heading1">
    <w:name w:val="heading 1"/>
    <w:basedOn w:val="Normal"/>
    <w:next w:val="Normal"/>
    <w:link w:val="Heading1Char"/>
    <w:uiPriority w:val="9"/>
    <w:qFormat/>
    <w:rsid w:val="00BC29F3"/>
    <w:pPr>
      <w:pBdr>
        <w:top w:val="single" w:sz="36" w:space="1" w:color="003E6A"/>
        <w:left w:val="single" w:sz="36" w:space="4" w:color="003E6A"/>
        <w:bottom w:val="single" w:sz="36" w:space="1" w:color="003E6A"/>
        <w:right w:val="single" w:sz="36" w:space="4" w:color="003E6A"/>
      </w:pBdr>
      <w:shd w:val="clear" w:color="auto" w:fill="003E6A"/>
      <w:tabs>
        <w:tab w:val="left" w:pos="567"/>
        <w:tab w:val="left" w:pos="2694"/>
      </w:tabs>
      <w:spacing w:before="240" w:line="240" w:lineRule="auto"/>
      <w:jc w:val="right"/>
      <w:outlineLvl w:val="0"/>
    </w:pPr>
    <w:rPr>
      <w:b w:val="0"/>
      <w:color w:val="FFFFFF" w:themeColor="background1"/>
      <w:sz w:val="96"/>
      <w:szCs w:val="32"/>
    </w:rPr>
  </w:style>
  <w:style w:type="paragraph" w:styleId="Heading2">
    <w:name w:val="heading 2"/>
    <w:basedOn w:val="Normal"/>
    <w:next w:val="Normal"/>
    <w:link w:val="Heading2Char"/>
    <w:uiPriority w:val="9"/>
    <w:unhideWhenUsed/>
    <w:qFormat/>
    <w:rsid w:val="00176213"/>
    <w:pPr>
      <w:spacing w:after="0"/>
    </w:pPr>
    <w:rPr>
      <w:b w:val="0"/>
      <w:sz w:val="52"/>
      <w:szCs w:val="26"/>
    </w:rPr>
  </w:style>
  <w:style w:type="paragraph" w:styleId="Heading3">
    <w:name w:val="heading 3"/>
    <w:basedOn w:val="Normal"/>
    <w:next w:val="Normal"/>
    <w:link w:val="Heading3Char"/>
    <w:uiPriority w:val="9"/>
    <w:unhideWhenUsed/>
    <w:qFormat/>
    <w:rsid w:val="00176213"/>
    <w:pPr>
      <w:outlineLvl w:val="2"/>
    </w:pPr>
    <w:rPr>
      <w:b w:val="0"/>
      <w:sz w:val="40"/>
    </w:rPr>
  </w:style>
  <w:style w:type="paragraph" w:styleId="Heading4">
    <w:name w:val="heading 4"/>
    <w:basedOn w:val="Normal"/>
    <w:next w:val="Normal"/>
    <w:link w:val="Heading4Char"/>
    <w:uiPriority w:val="9"/>
    <w:unhideWhenUsed/>
    <w:rsid w:val="00176213"/>
    <w:pPr>
      <w:spacing w:after="0"/>
      <w:outlineLvl w:val="3"/>
    </w:pPr>
    <w:rPr>
      <w:iCs/>
      <w:sz w:val="36"/>
    </w:rPr>
  </w:style>
  <w:style w:type="paragraph" w:styleId="Heading5">
    <w:name w:val="heading 5"/>
    <w:basedOn w:val="Normal"/>
    <w:next w:val="Normal"/>
    <w:link w:val="Heading5Char"/>
    <w:uiPriority w:val="9"/>
    <w:unhideWhenUsed/>
    <w:qFormat/>
    <w:rsid w:val="00176213"/>
    <w:pPr>
      <w:spacing w:after="0"/>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F3"/>
    <w:rPr>
      <w:rFonts w:ascii="Bahnschrift Condensed" w:eastAsiaTheme="majorEastAsia" w:hAnsi="Bahnschrift Condensed" w:cstheme="majorBidi"/>
      <w:color w:val="FFFFFF" w:themeColor="background1"/>
      <w:sz w:val="96"/>
      <w:szCs w:val="32"/>
      <w:shd w:val="clear" w:color="auto" w:fill="003E6A"/>
    </w:rPr>
  </w:style>
  <w:style w:type="character" w:customStyle="1" w:styleId="BlueBackground">
    <w:name w:val="Blue Background"/>
    <w:basedOn w:val="DefaultParagraphFont"/>
    <w:uiPriority w:val="1"/>
    <w:qFormat/>
    <w:rsid w:val="00CF0E14"/>
    <w:rPr>
      <w:bdr w:val="single" w:sz="36" w:space="0" w:color="003E6A"/>
      <w:shd w:val="clear" w:color="auto" w:fill="003E6A"/>
    </w:rPr>
  </w:style>
  <w:style w:type="paragraph" w:styleId="Header">
    <w:name w:val="header"/>
    <w:basedOn w:val="Normal"/>
    <w:link w:val="HeaderChar"/>
    <w:uiPriority w:val="99"/>
    <w:unhideWhenUsed/>
    <w:rsid w:val="00AE2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818"/>
  </w:style>
  <w:style w:type="paragraph" w:styleId="Footer">
    <w:name w:val="footer"/>
    <w:basedOn w:val="Normal"/>
    <w:link w:val="FooterChar"/>
    <w:uiPriority w:val="99"/>
    <w:unhideWhenUsed/>
    <w:rsid w:val="00AE2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818"/>
  </w:style>
  <w:style w:type="character" w:customStyle="1" w:styleId="Heading2Char">
    <w:name w:val="Heading 2 Char"/>
    <w:basedOn w:val="DefaultParagraphFont"/>
    <w:link w:val="Heading2"/>
    <w:uiPriority w:val="9"/>
    <w:rsid w:val="00176213"/>
    <w:rPr>
      <w:rFonts w:ascii="Bahnschrift Condensed" w:eastAsiaTheme="majorEastAsia" w:hAnsi="Bahnschrift Condensed" w:cstheme="majorBidi"/>
      <w:b/>
      <w:color w:val="003E6A"/>
      <w:sz w:val="52"/>
      <w:szCs w:val="26"/>
    </w:rPr>
  </w:style>
  <w:style w:type="character" w:customStyle="1" w:styleId="Heading3Char">
    <w:name w:val="Heading 3 Char"/>
    <w:basedOn w:val="DefaultParagraphFont"/>
    <w:link w:val="Heading3"/>
    <w:uiPriority w:val="9"/>
    <w:rsid w:val="00176213"/>
    <w:rPr>
      <w:rFonts w:ascii="Bahnschrift Condensed" w:hAnsi="Bahnschrift Condensed"/>
      <w:b/>
      <w:color w:val="003E6A"/>
      <w:sz w:val="40"/>
    </w:rPr>
  </w:style>
  <w:style w:type="character" w:customStyle="1" w:styleId="Heading4Char">
    <w:name w:val="Heading 4 Char"/>
    <w:basedOn w:val="DefaultParagraphFont"/>
    <w:link w:val="Heading4"/>
    <w:uiPriority w:val="9"/>
    <w:rsid w:val="00176213"/>
    <w:rPr>
      <w:rFonts w:ascii="Bahnschrift Condensed" w:eastAsiaTheme="majorEastAsia" w:hAnsi="Bahnschrift Condensed" w:cstheme="majorBidi"/>
      <w:iCs/>
      <w:color w:val="003E6A"/>
      <w:sz w:val="36"/>
    </w:rPr>
  </w:style>
  <w:style w:type="character" w:customStyle="1" w:styleId="Heading5Char">
    <w:name w:val="Heading 5 Char"/>
    <w:basedOn w:val="DefaultParagraphFont"/>
    <w:link w:val="Heading5"/>
    <w:uiPriority w:val="9"/>
    <w:rsid w:val="00176213"/>
    <w:rPr>
      <w:rFonts w:ascii="Bahnschrift Condensed" w:eastAsiaTheme="majorEastAsia" w:hAnsi="Bahnschrift Condensed" w:cstheme="majorBidi"/>
      <w:color w:val="003E6A"/>
      <w:sz w:val="28"/>
    </w:rPr>
  </w:style>
  <w:style w:type="table" w:styleId="TableGrid">
    <w:name w:val="Table Grid"/>
    <w:basedOn w:val="TableNormal"/>
    <w:uiPriority w:val="39"/>
    <w:rsid w:val="00A26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692"/>
    <w:pPr>
      <w:ind w:left="720"/>
      <w:contextualSpacing/>
    </w:pPr>
  </w:style>
  <w:style w:type="paragraph" w:styleId="BalloonText">
    <w:name w:val="Balloon Text"/>
    <w:basedOn w:val="Normal"/>
    <w:link w:val="BalloonTextChar"/>
    <w:uiPriority w:val="99"/>
    <w:semiHidden/>
    <w:unhideWhenUsed/>
    <w:rsid w:val="002D5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3853\AppData\Local\Microsoft\Windows\INetCache\Content.Outlook\JWWZJLWB\TtW%20A3%20Word%20poster%20template%20-%20Componetns%20to%20be%20retained_%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F0CE-3965-47A2-AA12-E1D6E733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TtW A3 Word poster template - Componetns to be retained_ (002).dotx</Template>
  <TotalTime>1</TotalTime>
  <Pages>1</Pages>
  <Words>379</Words>
  <Characters>2161</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TtW Conference Poster</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TtW Conference Poster</dc:title>
  <dc:subject/>
  <dc:creator>MAHER,Kelly</dc:creator>
  <cp:keywords/>
  <dc:description/>
  <cp:lastModifiedBy>JOWETT,Aidan</cp:lastModifiedBy>
  <cp:revision>2</cp:revision>
  <cp:lastPrinted>2021-06-21T04:41:00Z</cp:lastPrinted>
  <dcterms:created xsi:type="dcterms:W3CDTF">2021-06-22T00:06:00Z</dcterms:created>
  <dcterms:modified xsi:type="dcterms:W3CDTF">2021-06-22T00:06:00Z</dcterms:modified>
</cp:coreProperties>
</file>