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2603C" w14:textId="64C435FD"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rPr>
        <w:drawing>
          <wp:anchor distT="0" distB="0" distL="114300" distR="114300" simplePos="0" relativeHeight="251658240" behindDoc="1" locked="1" layoutInCell="1" allowOverlap="1" wp14:anchorId="7347124A" wp14:editId="56581B60">
            <wp:simplePos x="0" y="0"/>
            <wp:positionH relativeFrom="column">
              <wp:posOffset>-476250</wp:posOffset>
            </wp:positionH>
            <wp:positionV relativeFrom="page">
              <wp:posOffset>-25400</wp:posOffset>
            </wp:positionV>
            <wp:extent cx="7592400" cy="2167200"/>
            <wp:effectExtent l="0" t="0" r="0" b="5080"/>
            <wp:wrapNone/>
            <wp:docPr id="7" name="Picture 7" descr="Decorativ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rPr>
        <w:drawing>
          <wp:inline distT="0" distB="0" distL="0" distR="0" wp14:anchorId="6F267C9A" wp14:editId="328710CA">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12"/>
                    <a:stretch>
                      <a:fillRect/>
                    </a:stretch>
                  </pic:blipFill>
                  <pic:spPr>
                    <a:xfrm>
                      <a:off x="0" y="0"/>
                      <a:ext cx="2331725" cy="716281"/>
                    </a:xfrm>
                    <a:prstGeom prst="rect">
                      <a:avLst/>
                    </a:prstGeom>
                  </pic:spPr>
                </pic:pic>
              </a:graphicData>
            </a:graphic>
          </wp:inline>
        </w:drawing>
      </w:r>
    </w:p>
    <w:p w14:paraId="32A29A1E" w14:textId="760F11EC" w:rsidR="002B1CE5" w:rsidRPr="003C714F" w:rsidRDefault="003C714F" w:rsidP="00610A38">
      <w:pPr>
        <w:pStyle w:val="Title"/>
        <w:rPr>
          <w:sz w:val="44"/>
          <w:szCs w:val="40"/>
        </w:rPr>
      </w:pPr>
      <w:r w:rsidRPr="003C714F">
        <w:rPr>
          <w:sz w:val="44"/>
          <w:szCs w:val="40"/>
        </w:rPr>
        <w:t xml:space="preserve">The Online </w:t>
      </w:r>
      <w:r w:rsidR="00CC631D">
        <w:rPr>
          <w:sz w:val="44"/>
          <w:szCs w:val="40"/>
        </w:rPr>
        <w:t>Job Seeker Classification Instrument</w:t>
      </w:r>
      <w:r w:rsidR="00F756BD">
        <w:rPr>
          <w:sz w:val="44"/>
          <w:szCs w:val="40"/>
        </w:rPr>
        <w:t xml:space="preserve"> (JSCI)</w:t>
      </w:r>
      <w:r w:rsidR="00CC631D">
        <w:rPr>
          <w:sz w:val="44"/>
          <w:szCs w:val="40"/>
        </w:rPr>
        <w:t xml:space="preserve"> Trial</w:t>
      </w:r>
      <w:r w:rsidRPr="003C714F">
        <w:rPr>
          <w:sz w:val="44"/>
          <w:szCs w:val="40"/>
        </w:rPr>
        <w:t xml:space="preserve"> evaluation</w:t>
      </w:r>
    </w:p>
    <w:p w14:paraId="22FF2CD8" w14:textId="073BB109" w:rsidR="002B1CE5" w:rsidRPr="00A24E6E" w:rsidRDefault="003C714F" w:rsidP="002B1CE5">
      <w:pPr>
        <w:pStyle w:val="Subtitle"/>
      </w:pPr>
      <w:r>
        <w:t>Summary of key findings</w:t>
      </w:r>
      <w:r w:rsidR="00147824">
        <w:t xml:space="preserve"> and department response</w:t>
      </w:r>
    </w:p>
    <w:p w14:paraId="509146A6" w14:textId="24331A01" w:rsidR="00B81348" w:rsidRDefault="00B81348" w:rsidP="00833904">
      <w:pPr>
        <w:pStyle w:val="Heading2"/>
      </w:pPr>
      <w:r>
        <w:t>Overview</w:t>
      </w:r>
    </w:p>
    <w:p w14:paraId="57796A2F" w14:textId="5132EF73" w:rsidR="00B81348" w:rsidRPr="00ED5DD0" w:rsidRDefault="00B81348" w:rsidP="00B86848">
      <w:pPr>
        <w:rPr>
          <w:sz w:val="24"/>
          <w:szCs w:val="24"/>
        </w:rPr>
      </w:pPr>
      <w:r w:rsidRPr="00ED5DD0">
        <w:rPr>
          <w:sz w:val="24"/>
          <w:szCs w:val="24"/>
        </w:rPr>
        <w:t>The On</w:t>
      </w:r>
      <w:r w:rsidR="00D74AB8" w:rsidRPr="00ED5DD0">
        <w:rPr>
          <w:sz w:val="24"/>
          <w:szCs w:val="24"/>
        </w:rPr>
        <w:t>l</w:t>
      </w:r>
      <w:r w:rsidRPr="00ED5DD0">
        <w:rPr>
          <w:sz w:val="24"/>
          <w:szCs w:val="24"/>
        </w:rPr>
        <w:t xml:space="preserve">ine JSCI Trial was designed to test the feasibility of delivering the JSCI online. The JSCI is a departmental tool to predict a job seeker’s likelihood of becoming or remaining long term unemployed, and to determine the best level of employment servicing for the job seeker. The JSCI assesses job seekers </w:t>
      </w:r>
      <w:proofErr w:type="gramStart"/>
      <w:r w:rsidRPr="00ED5DD0">
        <w:rPr>
          <w:sz w:val="24"/>
          <w:szCs w:val="24"/>
        </w:rPr>
        <w:t>on the basis of</w:t>
      </w:r>
      <w:proofErr w:type="gramEnd"/>
      <w:r w:rsidRPr="00ED5DD0">
        <w:rPr>
          <w:sz w:val="24"/>
          <w:szCs w:val="24"/>
        </w:rPr>
        <w:t xml:space="preserve"> a range of factors</w:t>
      </w:r>
      <w:r w:rsidR="00E3529C" w:rsidRPr="00ED5DD0">
        <w:rPr>
          <w:sz w:val="24"/>
          <w:szCs w:val="24"/>
        </w:rPr>
        <w:t>,</w:t>
      </w:r>
      <w:r w:rsidRPr="00ED5DD0">
        <w:rPr>
          <w:sz w:val="24"/>
          <w:szCs w:val="24"/>
        </w:rPr>
        <w:t xml:space="preserve"> such as educational attainment and recent labour market experiences. A higher JSCI score means a job seeker has a greater likelihood of remaining unemployed for at least 12 months.</w:t>
      </w:r>
    </w:p>
    <w:p w14:paraId="6575E8DC" w14:textId="4EDBC51E" w:rsidR="00B81348" w:rsidRPr="00ED5DD0" w:rsidRDefault="00B81348" w:rsidP="00B86848">
      <w:pPr>
        <w:rPr>
          <w:sz w:val="24"/>
          <w:szCs w:val="24"/>
        </w:rPr>
      </w:pPr>
      <w:r w:rsidRPr="00ED5DD0">
        <w:rPr>
          <w:sz w:val="24"/>
          <w:szCs w:val="24"/>
        </w:rPr>
        <w:t>The Job Seeker Snapshot (JSS) is the online version of the JSCI, which has traditionally been conducted through telephone or in-person interviews</w:t>
      </w:r>
      <w:bookmarkStart w:id="0" w:name="_Hlk61424501"/>
      <w:r w:rsidRPr="00ED5DD0">
        <w:rPr>
          <w:sz w:val="24"/>
          <w:szCs w:val="24"/>
        </w:rPr>
        <w:t>. The JSS captures the same information as the interview based JSCI, but the wording and sequencing of some questions have been adapted to the online environment.</w:t>
      </w:r>
    </w:p>
    <w:bookmarkEnd w:id="0"/>
    <w:p w14:paraId="2530A43A" w14:textId="7563179F" w:rsidR="00B81348" w:rsidRPr="00B81348" w:rsidRDefault="00B81348" w:rsidP="002454A5">
      <w:r w:rsidRPr="00ED5DD0">
        <w:rPr>
          <w:sz w:val="24"/>
          <w:szCs w:val="24"/>
        </w:rPr>
        <w:t xml:space="preserve">The Trial was conducted from July 2018 to March 2020. </w:t>
      </w:r>
      <w:bookmarkStart w:id="1" w:name="_Hlk61424578"/>
      <w:r w:rsidRPr="00ED5DD0">
        <w:rPr>
          <w:sz w:val="24"/>
          <w:szCs w:val="24"/>
        </w:rPr>
        <w:t xml:space="preserve">With the advent of the COVID-19 pandemic and the introduction of Online Employment Services (OES), the trial was terminated, </w:t>
      </w:r>
      <w:r w:rsidR="003B2A32" w:rsidRPr="00ED5DD0">
        <w:rPr>
          <w:sz w:val="24"/>
          <w:szCs w:val="24"/>
        </w:rPr>
        <w:t>and the</w:t>
      </w:r>
      <w:r w:rsidRPr="00ED5DD0">
        <w:rPr>
          <w:sz w:val="24"/>
          <w:szCs w:val="24"/>
        </w:rPr>
        <w:t xml:space="preserve"> JSS has</w:t>
      </w:r>
      <w:r w:rsidR="003B2A32" w:rsidRPr="00ED5DD0">
        <w:rPr>
          <w:sz w:val="24"/>
          <w:szCs w:val="24"/>
        </w:rPr>
        <w:t xml:space="preserve"> since</w:t>
      </w:r>
      <w:r w:rsidRPr="00ED5DD0">
        <w:rPr>
          <w:sz w:val="24"/>
          <w:szCs w:val="24"/>
        </w:rPr>
        <w:t xml:space="preserve"> been rolled out broadly as part of OES.</w:t>
      </w:r>
    </w:p>
    <w:bookmarkEnd w:id="1"/>
    <w:p w14:paraId="3E65B154" w14:textId="7938A68F" w:rsidR="00A17E35" w:rsidRPr="00232AD8" w:rsidRDefault="003B2A32" w:rsidP="00833904">
      <w:pPr>
        <w:pStyle w:val="Heading2"/>
      </w:pPr>
      <w:r>
        <w:t>JSS</w:t>
      </w:r>
      <w:r w:rsidR="00F756BD">
        <w:t xml:space="preserve"> completion </w:t>
      </w:r>
      <w:r w:rsidR="00A17E35" w:rsidRPr="00232AD8">
        <w:t xml:space="preserve">had </w:t>
      </w:r>
      <w:r w:rsidR="00A17E35">
        <w:t xml:space="preserve">more </w:t>
      </w:r>
      <w:r w:rsidR="00A17E35" w:rsidRPr="00232AD8">
        <w:t>consisten</w:t>
      </w:r>
      <w:r w:rsidR="00A17E35">
        <w:t>t</w:t>
      </w:r>
      <w:r w:rsidR="00A17E35" w:rsidRPr="00232AD8">
        <w:t xml:space="preserve"> </w:t>
      </w:r>
      <w:r w:rsidR="00147824">
        <w:t xml:space="preserve">responses </w:t>
      </w:r>
      <w:r w:rsidR="00A17E35" w:rsidRPr="00232AD8">
        <w:t xml:space="preserve">and streaming outcomes </w:t>
      </w:r>
    </w:p>
    <w:p w14:paraId="5E50BA81" w14:textId="19BF3E6D" w:rsidR="00A17E35" w:rsidRPr="00990995" w:rsidRDefault="00A17E35" w:rsidP="00990995">
      <w:pPr>
        <w:rPr>
          <w:sz w:val="24"/>
          <w:szCs w:val="24"/>
        </w:rPr>
      </w:pPr>
      <w:r w:rsidRPr="00990995">
        <w:rPr>
          <w:sz w:val="24"/>
          <w:szCs w:val="24"/>
        </w:rPr>
        <w:t xml:space="preserve">When JSCI responses were re-tested through a follow-up survey as part of the evaluation, the vast majority of the survey participants who completed either the JSS or the </w:t>
      </w:r>
      <w:r w:rsidR="00E3529C" w:rsidRPr="00990995">
        <w:rPr>
          <w:sz w:val="24"/>
          <w:szCs w:val="24"/>
        </w:rPr>
        <w:t>interview based</w:t>
      </w:r>
      <w:r w:rsidRPr="00990995">
        <w:rPr>
          <w:sz w:val="24"/>
          <w:szCs w:val="24"/>
        </w:rPr>
        <w:t xml:space="preserve"> JSCI were consistently allocated into the</w:t>
      </w:r>
      <w:r w:rsidR="003B2A32" w:rsidRPr="00990995">
        <w:rPr>
          <w:sz w:val="24"/>
          <w:szCs w:val="24"/>
        </w:rPr>
        <w:t xml:space="preserve"> same</w:t>
      </w:r>
      <w:r w:rsidRPr="00990995">
        <w:rPr>
          <w:sz w:val="24"/>
          <w:szCs w:val="24"/>
        </w:rPr>
        <w:t xml:space="preserve"> </w:t>
      </w:r>
      <w:r w:rsidR="00833904" w:rsidRPr="00990995">
        <w:rPr>
          <w:sz w:val="24"/>
          <w:szCs w:val="24"/>
        </w:rPr>
        <w:t xml:space="preserve">employment </w:t>
      </w:r>
      <w:r w:rsidRPr="00990995">
        <w:rPr>
          <w:sz w:val="24"/>
          <w:szCs w:val="24"/>
        </w:rPr>
        <w:t>services streams. Nonetheless</w:t>
      </w:r>
      <w:bookmarkStart w:id="2" w:name="_Hlk61425016"/>
      <w:r w:rsidRPr="00990995">
        <w:rPr>
          <w:sz w:val="24"/>
          <w:szCs w:val="24"/>
        </w:rPr>
        <w:t>, the JSS completers had statistically significantly more consistent JSCI scores than the comparison group who completed the interview</w:t>
      </w:r>
      <w:r w:rsidR="004006AA" w:rsidRPr="00990995">
        <w:rPr>
          <w:sz w:val="24"/>
          <w:szCs w:val="24"/>
        </w:rPr>
        <w:noBreakHyphen/>
      </w:r>
      <w:r w:rsidRPr="00990995">
        <w:rPr>
          <w:sz w:val="24"/>
          <w:szCs w:val="24"/>
        </w:rPr>
        <w:t>based JSCI, resulting in slightly greater consistency in streaming outcomes for online completers</w:t>
      </w:r>
      <w:bookmarkEnd w:id="2"/>
      <w:r w:rsidRPr="00990995">
        <w:rPr>
          <w:sz w:val="24"/>
          <w:szCs w:val="24"/>
        </w:rPr>
        <w:t xml:space="preserve">. This could be due to the nature of online completion, which allowed more time for job seekers to consider their responses. </w:t>
      </w:r>
    </w:p>
    <w:p w14:paraId="079E61BA" w14:textId="7DCA970F" w:rsidR="00CC631D" w:rsidRDefault="00F25488" w:rsidP="003C714F">
      <w:pPr>
        <w:pStyle w:val="Heading2"/>
      </w:pPr>
      <w:r>
        <w:t xml:space="preserve">The </w:t>
      </w:r>
      <w:r w:rsidR="003B2A32">
        <w:t>JSS</w:t>
      </w:r>
      <w:r>
        <w:t xml:space="preserve"> was easy to use</w:t>
      </w:r>
      <w:r w:rsidR="00B46478">
        <w:t xml:space="preserve"> and time efficient</w:t>
      </w:r>
    </w:p>
    <w:p w14:paraId="7E9DBE25" w14:textId="704C81A3" w:rsidR="00B46478" w:rsidRPr="00990995" w:rsidRDefault="00B46478" w:rsidP="00990995">
      <w:pPr>
        <w:rPr>
          <w:sz w:val="24"/>
          <w:szCs w:val="24"/>
        </w:rPr>
      </w:pPr>
      <w:r w:rsidRPr="00990995">
        <w:rPr>
          <w:sz w:val="24"/>
          <w:szCs w:val="24"/>
        </w:rPr>
        <w:t xml:space="preserve">More than 98% of the </w:t>
      </w:r>
      <w:r w:rsidR="007067A5" w:rsidRPr="00990995">
        <w:rPr>
          <w:sz w:val="24"/>
          <w:szCs w:val="24"/>
        </w:rPr>
        <w:t xml:space="preserve">job seekers </w:t>
      </w:r>
      <w:r w:rsidRPr="00990995">
        <w:rPr>
          <w:sz w:val="24"/>
          <w:szCs w:val="24"/>
        </w:rPr>
        <w:t xml:space="preserve">who commenced the </w:t>
      </w:r>
      <w:r w:rsidR="007067A5" w:rsidRPr="00990995">
        <w:rPr>
          <w:sz w:val="24"/>
          <w:szCs w:val="24"/>
        </w:rPr>
        <w:t xml:space="preserve">JSS </w:t>
      </w:r>
      <w:r w:rsidRPr="00990995">
        <w:rPr>
          <w:sz w:val="24"/>
          <w:szCs w:val="24"/>
        </w:rPr>
        <w:t>completed it</w:t>
      </w:r>
      <w:r w:rsidR="00E3529C" w:rsidRPr="00990995">
        <w:rPr>
          <w:sz w:val="24"/>
          <w:szCs w:val="24"/>
        </w:rPr>
        <w:t>,</w:t>
      </w:r>
      <w:r w:rsidRPr="00990995">
        <w:rPr>
          <w:sz w:val="24"/>
          <w:szCs w:val="24"/>
        </w:rPr>
        <w:t xml:space="preserve"> and more than 90% of </w:t>
      </w:r>
      <w:r w:rsidR="007067A5" w:rsidRPr="00990995">
        <w:rPr>
          <w:sz w:val="24"/>
          <w:szCs w:val="24"/>
        </w:rPr>
        <w:t xml:space="preserve">those </w:t>
      </w:r>
      <w:r w:rsidRPr="00990995">
        <w:rPr>
          <w:sz w:val="24"/>
          <w:szCs w:val="24"/>
        </w:rPr>
        <w:t xml:space="preserve">who completed the JSS found that it was easy to use and navigate. </w:t>
      </w:r>
      <w:r w:rsidR="006F6EF6" w:rsidRPr="00990995">
        <w:rPr>
          <w:sz w:val="24"/>
          <w:szCs w:val="24"/>
        </w:rPr>
        <w:t xml:space="preserve">However, </w:t>
      </w:r>
      <w:bookmarkStart w:id="3" w:name="_Hlk61425644"/>
      <w:r w:rsidR="006F6EF6" w:rsidRPr="00990995">
        <w:rPr>
          <w:sz w:val="24"/>
          <w:szCs w:val="24"/>
        </w:rPr>
        <w:t xml:space="preserve">completion </w:t>
      </w:r>
      <w:r w:rsidR="007067A5" w:rsidRPr="00990995">
        <w:rPr>
          <w:sz w:val="24"/>
          <w:szCs w:val="24"/>
        </w:rPr>
        <w:t xml:space="preserve">of </w:t>
      </w:r>
      <w:r w:rsidR="00833904" w:rsidRPr="00990995">
        <w:rPr>
          <w:sz w:val="24"/>
          <w:szCs w:val="24"/>
        </w:rPr>
        <w:t xml:space="preserve">the </w:t>
      </w:r>
      <w:r w:rsidR="007067A5" w:rsidRPr="00990995">
        <w:rPr>
          <w:sz w:val="24"/>
          <w:szCs w:val="24"/>
        </w:rPr>
        <w:t xml:space="preserve">online JSCI </w:t>
      </w:r>
      <w:r w:rsidR="006F6EF6" w:rsidRPr="00990995">
        <w:rPr>
          <w:sz w:val="24"/>
          <w:szCs w:val="24"/>
        </w:rPr>
        <w:t>was voluntary</w:t>
      </w:r>
      <w:bookmarkEnd w:id="3"/>
      <w:r w:rsidR="006F6EF6" w:rsidRPr="00990995">
        <w:rPr>
          <w:sz w:val="24"/>
          <w:szCs w:val="24"/>
        </w:rPr>
        <w:t>, and around half of job seekers selected for the trial did not complete the JSS.</w:t>
      </w:r>
    </w:p>
    <w:p w14:paraId="7639C9E8" w14:textId="6AF58AD7" w:rsidR="00B46478" w:rsidRPr="00990995" w:rsidRDefault="00147824" w:rsidP="00990995">
      <w:pPr>
        <w:rPr>
          <w:sz w:val="24"/>
          <w:szCs w:val="24"/>
        </w:rPr>
      </w:pPr>
      <w:r w:rsidRPr="00990995">
        <w:rPr>
          <w:sz w:val="24"/>
          <w:szCs w:val="24"/>
        </w:rPr>
        <w:lastRenderedPageBreak/>
        <w:t xml:space="preserve">The evaluation found </w:t>
      </w:r>
      <w:r w:rsidR="00DD09C0" w:rsidRPr="00990995">
        <w:rPr>
          <w:sz w:val="24"/>
          <w:szCs w:val="24"/>
        </w:rPr>
        <w:t xml:space="preserve">that </w:t>
      </w:r>
      <w:r w:rsidRPr="00990995">
        <w:rPr>
          <w:sz w:val="24"/>
          <w:szCs w:val="24"/>
        </w:rPr>
        <w:t>the JSS was</w:t>
      </w:r>
      <w:r w:rsidR="006F6EF6" w:rsidRPr="00990995">
        <w:rPr>
          <w:sz w:val="24"/>
          <w:szCs w:val="24"/>
        </w:rPr>
        <w:t xml:space="preserve"> time efficien</w:t>
      </w:r>
      <w:r w:rsidRPr="00990995">
        <w:rPr>
          <w:sz w:val="24"/>
          <w:szCs w:val="24"/>
        </w:rPr>
        <w:t>t</w:t>
      </w:r>
      <w:r w:rsidR="006F6EF6" w:rsidRPr="00990995">
        <w:rPr>
          <w:sz w:val="24"/>
          <w:szCs w:val="24"/>
        </w:rPr>
        <w:t xml:space="preserve">, </w:t>
      </w:r>
      <w:r w:rsidR="00F25488" w:rsidRPr="00990995">
        <w:rPr>
          <w:sz w:val="24"/>
          <w:szCs w:val="24"/>
        </w:rPr>
        <w:t>generally t</w:t>
      </w:r>
      <w:r w:rsidR="00CA32B2" w:rsidRPr="00990995">
        <w:rPr>
          <w:sz w:val="24"/>
          <w:szCs w:val="24"/>
        </w:rPr>
        <w:t>aking</w:t>
      </w:r>
      <w:r w:rsidR="00F25488" w:rsidRPr="00990995">
        <w:rPr>
          <w:sz w:val="24"/>
          <w:szCs w:val="24"/>
        </w:rPr>
        <w:t xml:space="preserve"> </w:t>
      </w:r>
      <w:r w:rsidR="00DD09C0" w:rsidRPr="00990995">
        <w:rPr>
          <w:sz w:val="24"/>
          <w:szCs w:val="24"/>
        </w:rPr>
        <w:t xml:space="preserve">no more than </w:t>
      </w:r>
      <w:r w:rsidR="00F25488" w:rsidRPr="00990995">
        <w:rPr>
          <w:sz w:val="24"/>
          <w:szCs w:val="24"/>
        </w:rPr>
        <w:t xml:space="preserve">10 to 15 minutes to complete, </w:t>
      </w:r>
      <w:r w:rsidR="00CA32B2" w:rsidRPr="00990995">
        <w:rPr>
          <w:sz w:val="24"/>
          <w:szCs w:val="24"/>
        </w:rPr>
        <w:t xml:space="preserve">which </w:t>
      </w:r>
      <w:r w:rsidR="00166796" w:rsidRPr="00990995">
        <w:rPr>
          <w:sz w:val="24"/>
          <w:szCs w:val="24"/>
        </w:rPr>
        <w:t>was</w:t>
      </w:r>
      <w:r w:rsidR="00CA32B2" w:rsidRPr="00990995">
        <w:rPr>
          <w:sz w:val="24"/>
          <w:szCs w:val="24"/>
        </w:rPr>
        <w:t xml:space="preserve"> </w:t>
      </w:r>
      <w:r w:rsidR="00F25488" w:rsidRPr="00990995">
        <w:rPr>
          <w:sz w:val="24"/>
          <w:szCs w:val="24"/>
        </w:rPr>
        <w:t xml:space="preserve">comparable to the time </w:t>
      </w:r>
      <w:r w:rsidR="004A4F91" w:rsidRPr="00990995">
        <w:rPr>
          <w:sz w:val="24"/>
          <w:szCs w:val="24"/>
        </w:rPr>
        <w:t xml:space="preserve">required </w:t>
      </w:r>
      <w:r w:rsidR="00F25488" w:rsidRPr="00990995">
        <w:rPr>
          <w:sz w:val="24"/>
          <w:szCs w:val="24"/>
        </w:rPr>
        <w:t xml:space="preserve">to undertake the </w:t>
      </w:r>
      <w:r w:rsidR="00E3529C" w:rsidRPr="00990995">
        <w:rPr>
          <w:sz w:val="24"/>
          <w:szCs w:val="24"/>
        </w:rPr>
        <w:t>interview based</w:t>
      </w:r>
      <w:r w:rsidR="00F25488" w:rsidRPr="00990995">
        <w:rPr>
          <w:sz w:val="24"/>
          <w:szCs w:val="24"/>
        </w:rPr>
        <w:t xml:space="preserve"> </w:t>
      </w:r>
      <w:r w:rsidR="00B46478" w:rsidRPr="00990995">
        <w:rPr>
          <w:sz w:val="24"/>
          <w:szCs w:val="24"/>
        </w:rPr>
        <w:t>J</w:t>
      </w:r>
      <w:r w:rsidR="00F25488" w:rsidRPr="00990995">
        <w:rPr>
          <w:sz w:val="24"/>
          <w:szCs w:val="24"/>
        </w:rPr>
        <w:t xml:space="preserve">SCI. </w:t>
      </w:r>
      <w:r w:rsidR="00B46478" w:rsidRPr="00990995">
        <w:rPr>
          <w:sz w:val="24"/>
          <w:szCs w:val="24"/>
        </w:rPr>
        <w:t>Furthermore, JSS completers were referred to a service provider slightly faster than the comparison group.</w:t>
      </w:r>
    </w:p>
    <w:p w14:paraId="05E2AB37" w14:textId="6419ACE5" w:rsidR="004A4F91" w:rsidRDefault="004A4F91" w:rsidP="004A4F91">
      <w:pPr>
        <w:pStyle w:val="Heading2"/>
      </w:pPr>
      <w:r>
        <w:t>JSS completers mostly had a positive experience</w:t>
      </w:r>
    </w:p>
    <w:p w14:paraId="63CF0690" w14:textId="4F37458B" w:rsidR="004A4F91" w:rsidRPr="00F25488" w:rsidRDefault="004A4F91" w:rsidP="004A4F91">
      <w:pPr>
        <w:rPr>
          <w:sz w:val="24"/>
          <w:szCs w:val="24"/>
        </w:rPr>
      </w:pPr>
      <w:r w:rsidRPr="00F25488">
        <w:rPr>
          <w:sz w:val="24"/>
          <w:szCs w:val="24"/>
        </w:rPr>
        <w:t>Most trial completers had a positive experience with the JSS. A majority</w:t>
      </w:r>
      <w:r w:rsidR="00833904">
        <w:rPr>
          <w:sz w:val="24"/>
          <w:szCs w:val="24"/>
        </w:rPr>
        <w:t xml:space="preserve"> </w:t>
      </w:r>
      <w:r w:rsidR="00833904" w:rsidRPr="00F25488">
        <w:rPr>
          <w:sz w:val="24"/>
          <w:szCs w:val="24"/>
        </w:rPr>
        <w:t xml:space="preserve">(72%) </w:t>
      </w:r>
      <w:r w:rsidRPr="00F25488">
        <w:rPr>
          <w:sz w:val="24"/>
          <w:szCs w:val="24"/>
        </w:rPr>
        <w:t>of the</w:t>
      </w:r>
      <w:r w:rsidR="007067A5">
        <w:rPr>
          <w:sz w:val="24"/>
          <w:szCs w:val="24"/>
        </w:rPr>
        <w:t xml:space="preserve"> </w:t>
      </w:r>
      <w:r w:rsidR="007067A5" w:rsidRPr="00F25488">
        <w:rPr>
          <w:sz w:val="24"/>
          <w:szCs w:val="24"/>
        </w:rPr>
        <w:t xml:space="preserve">respondents </w:t>
      </w:r>
      <w:r w:rsidR="00ED5DD0">
        <w:rPr>
          <w:sz w:val="24"/>
          <w:szCs w:val="24"/>
        </w:rPr>
        <w:t xml:space="preserve">surveyed for the evaluation </w:t>
      </w:r>
      <w:r w:rsidR="00833904">
        <w:rPr>
          <w:sz w:val="24"/>
          <w:szCs w:val="24"/>
        </w:rPr>
        <w:t>to</w:t>
      </w:r>
      <w:r w:rsidR="007067A5">
        <w:rPr>
          <w:sz w:val="24"/>
          <w:szCs w:val="24"/>
        </w:rPr>
        <w:t xml:space="preserve"> the</w:t>
      </w:r>
      <w:r w:rsidRPr="00F25488">
        <w:rPr>
          <w:sz w:val="24"/>
          <w:szCs w:val="24"/>
        </w:rPr>
        <w:t xml:space="preserve"> 2018 Job Seeker Survey</w:t>
      </w:r>
      <w:r w:rsidR="007067A5">
        <w:rPr>
          <w:sz w:val="24"/>
          <w:szCs w:val="24"/>
        </w:rPr>
        <w:t>, a study designed to inform the evaluation,</w:t>
      </w:r>
      <w:r w:rsidRPr="00F25488">
        <w:rPr>
          <w:sz w:val="24"/>
          <w:szCs w:val="24"/>
        </w:rPr>
        <w:t xml:space="preserve"> stated that online would be their preferred way to complete the JSCI if they made another claim. </w:t>
      </w:r>
    </w:p>
    <w:p w14:paraId="183BBB40" w14:textId="6C4CC921" w:rsidR="004A4F91" w:rsidRPr="00F25488" w:rsidRDefault="004A4F91" w:rsidP="004A4F91">
      <w:pPr>
        <w:rPr>
          <w:sz w:val="24"/>
          <w:szCs w:val="24"/>
        </w:rPr>
      </w:pPr>
      <w:r w:rsidRPr="00F25488">
        <w:rPr>
          <w:sz w:val="24"/>
          <w:szCs w:val="24"/>
        </w:rPr>
        <w:t>Further</w:t>
      </w:r>
      <w:r w:rsidR="00F756BD">
        <w:rPr>
          <w:sz w:val="24"/>
          <w:szCs w:val="24"/>
        </w:rPr>
        <w:t>more</w:t>
      </w:r>
      <w:r w:rsidRPr="00F25488">
        <w:rPr>
          <w:sz w:val="24"/>
          <w:szCs w:val="24"/>
        </w:rPr>
        <w:t>,</w:t>
      </w:r>
      <w:r w:rsidR="00781F73">
        <w:rPr>
          <w:sz w:val="24"/>
          <w:szCs w:val="24"/>
        </w:rPr>
        <w:t xml:space="preserve"> </w:t>
      </w:r>
      <w:r w:rsidR="00781F73" w:rsidRPr="00F25488">
        <w:rPr>
          <w:sz w:val="24"/>
          <w:szCs w:val="24"/>
        </w:rPr>
        <w:t>the 2019 Job Seeker Snapshot Survey</w:t>
      </w:r>
      <w:r w:rsidR="00781F73">
        <w:rPr>
          <w:sz w:val="24"/>
          <w:szCs w:val="24"/>
        </w:rPr>
        <w:t>, another study to inform the evaluation, found that</w:t>
      </w:r>
      <w:r w:rsidRPr="00F25488">
        <w:rPr>
          <w:sz w:val="24"/>
          <w:szCs w:val="24"/>
        </w:rPr>
        <w:t xml:space="preserve"> two-thirds (66%) of </w:t>
      </w:r>
      <w:r w:rsidR="00944BF8">
        <w:rPr>
          <w:sz w:val="24"/>
          <w:szCs w:val="24"/>
        </w:rPr>
        <w:t xml:space="preserve">the survey </w:t>
      </w:r>
      <w:r w:rsidR="00CA32B2">
        <w:rPr>
          <w:sz w:val="24"/>
          <w:szCs w:val="24"/>
        </w:rPr>
        <w:t>respondents</w:t>
      </w:r>
      <w:r w:rsidR="00944BF8">
        <w:rPr>
          <w:sz w:val="24"/>
          <w:szCs w:val="24"/>
        </w:rPr>
        <w:t xml:space="preserve"> who </w:t>
      </w:r>
      <w:r w:rsidR="0016074C">
        <w:rPr>
          <w:sz w:val="24"/>
          <w:szCs w:val="24"/>
        </w:rPr>
        <w:t>either completed or attempte</w:t>
      </w:r>
      <w:r w:rsidR="00944BF8">
        <w:rPr>
          <w:sz w:val="24"/>
          <w:szCs w:val="24"/>
        </w:rPr>
        <w:t>d</w:t>
      </w:r>
      <w:r w:rsidR="0016074C">
        <w:rPr>
          <w:sz w:val="24"/>
          <w:szCs w:val="24"/>
        </w:rPr>
        <w:t xml:space="preserve"> to complete the</w:t>
      </w:r>
      <w:r w:rsidR="00944BF8">
        <w:rPr>
          <w:sz w:val="24"/>
          <w:szCs w:val="24"/>
        </w:rPr>
        <w:t xml:space="preserve"> JSS</w:t>
      </w:r>
      <w:r w:rsidR="00CA32B2">
        <w:rPr>
          <w:sz w:val="24"/>
          <w:szCs w:val="24"/>
        </w:rPr>
        <w:t xml:space="preserve"> </w:t>
      </w:r>
      <w:r w:rsidRPr="00F25488">
        <w:rPr>
          <w:sz w:val="24"/>
          <w:szCs w:val="24"/>
        </w:rPr>
        <w:t xml:space="preserve">would recommend the JSS to other job seekers. This proportion was higher among younger groups, likely reflecting differing digital literacy across </w:t>
      </w:r>
      <w:r w:rsidR="00781F73">
        <w:rPr>
          <w:sz w:val="24"/>
          <w:szCs w:val="24"/>
        </w:rPr>
        <w:t>age group</w:t>
      </w:r>
      <w:r w:rsidRPr="00F25488">
        <w:rPr>
          <w:sz w:val="24"/>
          <w:szCs w:val="24"/>
        </w:rPr>
        <w:t xml:space="preserve">s. </w:t>
      </w:r>
    </w:p>
    <w:p w14:paraId="452A5962" w14:textId="081D31E2" w:rsidR="00BF49EA" w:rsidRDefault="00781F73" w:rsidP="003C714F">
      <w:pPr>
        <w:pStyle w:val="Heading2"/>
      </w:pPr>
      <w:bookmarkStart w:id="4" w:name="_Hlk58831725"/>
      <w:r>
        <w:t>There are</w:t>
      </w:r>
      <w:r w:rsidR="00BF49EA">
        <w:t xml:space="preserve"> barriers to online completion </w:t>
      </w:r>
    </w:p>
    <w:p w14:paraId="12A76522" w14:textId="189BF181" w:rsidR="00781F73" w:rsidRDefault="00944BF8" w:rsidP="00BF49EA">
      <w:pPr>
        <w:rPr>
          <w:sz w:val="24"/>
          <w:szCs w:val="24"/>
        </w:rPr>
      </w:pPr>
      <w:r>
        <w:rPr>
          <w:sz w:val="24"/>
          <w:szCs w:val="24"/>
        </w:rPr>
        <w:t>A descripti</w:t>
      </w:r>
      <w:r w:rsidR="00ED5DD0">
        <w:rPr>
          <w:sz w:val="24"/>
          <w:szCs w:val="24"/>
        </w:rPr>
        <w:t>ve</w:t>
      </w:r>
      <w:r>
        <w:rPr>
          <w:sz w:val="24"/>
          <w:szCs w:val="24"/>
        </w:rPr>
        <w:t xml:space="preserve"> analysis of the data shows </w:t>
      </w:r>
      <w:r w:rsidR="00BF49EA">
        <w:rPr>
          <w:sz w:val="24"/>
          <w:szCs w:val="24"/>
        </w:rPr>
        <w:t>that older people, Indigenous Australians, people with vocational qualifications and people with disabilities or unstable living situations were less likely to complete the JSS.</w:t>
      </w:r>
      <w:r w:rsidR="00781F73">
        <w:rPr>
          <w:sz w:val="24"/>
          <w:szCs w:val="24"/>
        </w:rPr>
        <w:t xml:space="preserve"> </w:t>
      </w:r>
      <w:r>
        <w:rPr>
          <w:sz w:val="24"/>
          <w:szCs w:val="24"/>
        </w:rPr>
        <w:t xml:space="preserve">But further </w:t>
      </w:r>
      <w:r w:rsidR="00781F73" w:rsidRPr="004A4F91">
        <w:rPr>
          <w:sz w:val="24"/>
          <w:szCs w:val="24"/>
        </w:rPr>
        <w:t xml:space="preserve">analysis </w:t>
      </w:r>
      <w:r>
        <w:rPr>
          <w:sz w:val="24"/>
          <w:szCs w:val="24"/>
        </w:rPr>
        <w:t xml:space="preserve">using statistical models </w:t>
      </w:r>
      <w:r w:rsidR="00781F73" w:rsidRPr="004A4F91">
        <w:rPr>
          <w:sz w:val="24"/>
          <w:szCs w:val="24"/>
        </w:rPr>
        <w:t>found that digital literacy</w:t>
      </w:r>
      <w:r w:rsidR="00781F73">
        <w:rPr>
          <w:sz w:val="24"/>
          <w:szCs w:val="24"/>
        </w:rPr>
        <w:t xml:space="preserve"> </w:t>
      </w:r>
      <w:r w:rsidR="00781F73" w:rsidRPr="004A4F91">
        <w:rPr>
          <w:sz w:val="24"/>
          <w:szCs w:val="24"/>
        </w:rPr>
        <w:t xml:space="preserve">was the most important determinant of JSS completion and could account for most of the differences across demographic groups. </w:t>
      </w:r>
      <w:r w:rsidR="00781F73">
        <w:rPr>
          <w:sz w:val="24"/>
          <w:szCs w:val="24"/>
        </w:rPr>
        <w:t xml:space="preserve">Nonetheless, </w:t>
      </w:r>
      <w:r w:rsidR="00781F73" w:rsidRPr="004A4F91">
        <w:rPr>
          <w:sz w:val="24"/>
          <w:szCs w:val="24"/>
        </w:rPr>
        <w:t>being younger than 20 years of age (qualitative research suggests this group may have been less likely to engage due to passive detachment), having a disability or having experienced an unstable living situation remained significantly correlated with failure to complete</w:t>
      </w:r>
      <w:r w:rsidR="00781F73">
        <w:rPr>
          <w:sz w:val="24"/>
          <w:szCs w:val="24"/>
        </w:rPr>
        <w:t xml:space="preserve"> the </w:t>
      </w:r>
      <w:r w:rsidR="00CA32B2">
        <w:rPr>
          <w:sz w:val="24"/>
          <w:szCs w:val="24"/>
        </w:rPr>
        <w:t>JSS</w:t>
      </w:r>
      <w:r w:rsidR="00781F73" w:rsidRPr="004A4F91">
        <w:rPr>
          <w:sz w:val="24"/>
          <w:szCs w:val="24"/>
        </w:rPr>
        <w:t>.</w:t>
      </w:r>
    </w:p>
    <w:p w14:paraId="2D3D699C" w14:textId="150F85BA" w:rsidR="00BF49EA" w:rsidRDefault="00CA32B2" w:rsidP="00BA7A81">
      <w:pPr>
        <w:rPr>
          <w:sz w:val="24"/>
          <w:szCs w:val="24"/>
        </w:rPr>
      </w:pPr>
      <w:r>
        <w:rPr>
          <w:sz w:val="24"/>
          <w:szCs w:val="24"/>
        </w:rPr>
        <w:t>S</w:t>
      </w:r>
      <w:r w:rsidR="00A17E35">
        <w:rPr>
          <w:sz w:val="24"/>
          <w:szCs w:val="24"/>
        </w:rPr>
        <w:t>ystems</w:t>
      </w:r>
      <w:r w:rsidR="00A17E35" w:rsidRPr="00BF49EA">
        <w:rPr>
          <w:sz w:val="24"/>
          <w:szCs w:val="24"/>
        </w:rPr>
        <w:t xml:space="preserve"> and technical issues</w:t>
      </w:r>
      <w:r w:rsidR="00A17E35">
        <w:rPr>
          <w:sz w:val="24"/>
          <w:szCs w:val="24"/>
        </w:rPr>
        <w:t xml:space="preserve"> </w:t>
      </w:r>
      <w:r w:rsidR="00A17E35" w:rsidRPr="00BF49EA">
        <w:rPr>
          <w:sz w:val="24"/>
          <w:szCs w:val="24"/>
        </w:rPr>
        <w:t>also</w:t>
      </w:r>
      <w:r w:rsidR="00A17E35">
        <w:rPr>
          <w:sz w:val="24"/>
          <w:szCs w:val="24"/>
        </w:rPr>
        <w:t xml:space="preserve"> impacted JSS completion</w:t>
      </w:r>
      <w:r>
        <w:rPr>
          <w:sz w:val="24"/>
          <w:szCs w:val="24"/>
        </w:rPr>
        <w:t xml:space="preserve"> rates</w:t>
      </w:r>
      <w:r w:rsidR="00A17E35" w:rsidRPr="00BF49EA">
        <w:rPr>
          <w:sz w:val="24"/>
          <w:szCs w:val="24"/>
        </w:rPr>
        <w:t>.</w:t>
      </w:r>
      <w:r w:rsidR="00A17E35">
        <w:rPr>
          <w:sz w:val="24"/>
          <w:szCs w:val="24"/>
        </w:rPr>
        <w:t xml:space="preserve"> </w:t>
      </w:r>
      <w:r w:rsidR="00BA7A81">
        <w:rPr>
          <w:sz w:val="24"/>
          <w:szCs w:val="24"/>
        </w:rPr>
        <w:t xml:space="preserve">Job seekers </w:t>
      </w:r>
      <w:r w:rsidR="00E3529C">
        <w:rPr>
          <w:sz w:val="24"/>
          <w:szCs w:val="24"/>
        </w:rPr>
        <w:t>viewed</w:t>
      </w:r>
      <w:r w:rsidR="00E3529C" w:rsidRPr="00BA7A81">
        <w:rPr>
          <w:sz w:val="24"/>
          <w:szCs w:val="24"/>
        </w:rPr>
        <w:t xml:space="preserve"> navigating</w:t>
      </w:r>
      <w:r w:rsidR="00944BF8">
        <w:rPr>
          <w:sz w:val="24"/>
          <w:szCs w:val="24"/>
        </w:rPr>
        <w:t xml:space="preserve"> </w:t>
      </w:r>
      <w:r w:rsidR="00BA7A81" w:rsidRPr="00BA7A81">
        <w:rPr>
          <w:sz w:val="24"/>
          <w:szCs w:val="24"/>
        </w:rPr>
        <w:t xml:space="preserve">different platforms within </w:t>
      </w:r>
      <w:proofErr w:type="spellStart"/>
      <w:r w:rsidR="00BA7A81" w:rsidRPr="00BA7A81">
        <w:rPr>
          <w:sz w:val="24"/>
          <w:szCs w:val="24"/>
        </w:rPr>
        <w:t>myGov</w:t>
      </w:r>
      <w:proofErr w:type="spellEnd"/>
      <w:r w:rsidR="00BA7A81" w:rsidRPr="00BA7A81">
        <w:rPr>
          <w:sz w:val="24"/>
          <w:szCs w:val="24"/>
        </w:rPr>
        <w:t xml:space="preserve"> between the initial claim for income support and completing the JSS</w:t>
      </w:r>
      <w:r w:rsidR="00BA7A81">
        <w:rPr>
          <w:sz w:val="24"/>
          <w:szCs w:val="24"/>
        </w:rPr>
        <w:t xml:space="preserve"> as troublesome</w:t>
      </w:r>
      <w:r w:rsidR="00BA7A81" w:rsidRPr="00BA7A81">
        <w:rPr>
          <w:sz w:val="24"/>
          <w:szCs w:val="24"/>
        </w:rPr>
        <w:t>.</w:t>
      </w:r>
      <w:r w:rsidR="00BA7A81">
        <w:rPr>
          <w:sz w:val="24"/>
          <w:szCs w:val="24"/>
        </w:rPr>
        <w:t xml:space="preserve"> </w:t>
      </w:r>
      <w:r w:rsidR="00A17E35">
        <w:rPr>
          <w:sz w:val="24"/>
          <w:szCs w:val="24"/>
        </w:rPr>
        <w:t xml:space="preserve">Many </w:t>
      </w:r>
      <w:r w:rsidR="00BA7A81" w:rsidRPr="00BA7A81">
        <w:rPr>
          <w:sz w:val="24"/>
          <w:szCs w:val="24"/>
        </w:rPr>
        <w:t>non</w:t>
      </w:r>
      <w:r w:rsidR="00BA7A81" w:rsidRPr="00BA7A81">
        <w:rPr>
          <w:sz w:val="24"/>
          <w:szCs w:val="24"/>
        </w:rPr>
        <w:noBreakHyphen/>
        <w:t>completers report</w:t>
      </w:r>
      <w:r w:rsidR="00BA7A81">
        <w:rPr>
          <w:sz w:val="24"/>
          <w:szCs w:val="24"/>
        </w:rPr>
        <w:t>ed</w:t>
      </w:r>
      <w:r w:rsidR="00BA7A81" w:rsidRPr="00BA7A81">
        <w:rPr>
          <w:sz w:val="24"/>
          <w:szCs w:val="24"/>
        </w:rPr>
        <w:t xml:space="preserve"> they had problems logging into </w:t>
      </w:r>
      <w:proofErr w:type="spellStart"/>
      <w:r w:rsidR="00BA7A81" w:rsidRPr="00BA7A81">
        <w:rPr>
          <w:sz w:val="24"/>
          <w:szCs w:val="24"/>
        </w:rPr>
        <w:t>myGov</w:t>
      </w:r>
      <w:proofErr w:type="spellEnd"/>
      <w:r>
        <w:rPr>
          <w:sz w:val="24"/>
          <w:szCs w:val="24"/>
        </w:rPr>
        <w:t xml:space="preserve"> or the</w:t>
      </w:r>
      <w:r w:rsidR="002C6845">
        <w:rPr>
          <w:sz w:val="24"/>
          <w:szCs w:val="24"/>
        </w:rPr>
        <w:t xml:space="preserve"> </w:t>
      </w:r>
      <w:proofErr w:type="spellStart"/>
      <w:r w:rsidR="00BA7A81" w:rsidRPr="00BA7A81">
        <w:rPr>
          <w:sz w:val="24"/>
          <w:szCs w:val="24"/>
        </w:rPr>
        <w:t>jobactive</w:t>
      </w:r>
      <w:proofErr w:type="spellEnd"/>
      <w:r w:rsidR="00BA7A81" w:rsidRPr="00BA7A81">
        <w:rPr>
          <w:sz w:val="24"/>
          <w:szCs w:val="24"/>
        </w:rPr>
        <w:t xml:space="preserve"> </w:t>
      </w:r>
      <w:r>
        <w:rPr>
          <w:sz w:val="24"/>
          <w:szCs w:val="24"/>
        </w:rPr>
        <w:t xml:space="preserve">website </w:t>
      </w:r>
      <w:r w:rsidR="00BA7A81" w:rsidRPr="00BA7A81">
        <w:rPr>
          <w:sz w:val="24"/>
          <w:szCs w:val="24"/>
        </w:rPr>
        <w:t>or did not get around to logging in.</w:t>
      </w:r>
      <w:r w:rsidR="00BA7A81">
        <w:rPr>
          <w:sz w:val="24"/>
          <w:szCs w:val="24"/>
        </w:rPr>
        <w:t xml:space="preserve"> </w:t>
      </w:r>
    </w:p>
    <w:p w14:paraId="144AB37C" w14:textId="788F24AE" w:rsidR="00B86848" w:rsidRDefault="00B86848" w:rsidP="00B86848">
      <w:pPr>
        <w:pStyle w:val="Heading2"/>
      </w:pPr>
      <w:r>
        <w:t>The Department is addressing the</w:t>
      </w:r>
      <w:r w:rsidR="00ED5DD0">
        <w:t>se</w:t>
      </w:r>
      <w:r>
        <w:t xml:space="preserve"> barriers</w:t>
      </w:r>
    </w:p>
    <w:p w14:paraId="7B8DB97A" w14:textId="5465616D" w:rsidR="0075368E" w:rsidRDefault="0075368E" w:rsidP="00BA7A81">
      <w:pPr>
        <w:rPr>
          <w:sz w:val="24"/>
          <w:szCs w:val="24"/>
        </w:rPr>
      </w:pPr>
      <w:r>
        <w:rPr>
          <w:sz w:val="24"/>
          <w:szCs w:val="24"/>
        </w:rPr>
        <w:t>The department’s response</w:t>
      </w:r>
      <w:r w:rsidR="00B86848">
        <w:rPr>
          <w:sz w:val="24"/>
          <w:szCs w:val="24"/>
        </w:rPr>
        <w:t xml:space="preserve"> to the findings</w:t>
      </w:r>
      <w:r>
        <w:rPr>
          <w:sz w:val="24"/>
          <w:szCs w:val="24"/>
        </w:rPr>
        <w:t>, included in the evaluation report, outlines how these barriers</w:t>
      </w:r>
      <w:r w:rsidR="00B86848">
        <w:rPr>
          <w:sz w:val="24"/>
          <w:szCs w:val="24"/>
        </w:rPr>
        <w:t xml:space="preserve"> are being addressed in order</w:t>
      </w:r>
      <w:r>
        <w:rPr>
          <w:sz w:val="24"/>
          <w:szCs w:val="24"/>
        </w:rPr>
        <w:t xml:space="preserve"> to improve the online delivery of the JSCI</w:t>
      </w:r>
      <w:r w:rsidR="00CD4005">
        <w:rPr>
          <w:sz w:val="24"/>
          <w:szCs w:val="24"/>
        </w:rPr>
        <w:t xml:space="preserve"> and appropriate referrals to services</w:t>
      </w:r>
      <w:r>
        <w:rPr>
          <w:sz w:val="24"/>
          <w:szCs w:val="24"/>
        </w:rPr>
        <w:t xml:space="preserve">. </w:t>
      </w:r>
    </w:p>
    <w:p w14:paraId="6389773F" w14:textId="77777777" w:rsidR="00B061D9" w:rsidRDefault="00B86848" w:rsidP="00BA7A81">
      <w:pPr>
        <w:rPr>
          <w:sz w:val="24"/>
          <w:szCs w:val="24"/>
        </w:rPr>
      </w:pPr>
      <w:r>
        <w:rPr>
          <w:sz w:val="24"/>
          <w:szCs w:val="24"/>
        </w:rPr>
        <w:t xml:space="preserve">In particular, the response notes that </w:t>
      </w:r>
      <w:r w:rsidRPr="002454A5">
        <w:rPr>
          <w:sz w:val="24"/>
          <w:szCs w:val="24"/>
        </w:rPr>
        <w:t xml:space="preserve">digital service delivery may not be appropriate for some job seekers, such as those with limited digital access or low levels of digital literacy. Job seekers who are unable to complete their </w:t>
      </w:r>
      <w:r w:rsidR="00990995">
        <w:rPr>
          <w:sz w:val="24"/>
          <w:szCs w:val="24"/>
        </w:rPr>
        <w:t>JSS</w:t>
      </w:r>
      <w:r w:rsidRPr="002454A5">
        <w:rPr>
          <w:sz w:val="24"/>
          <w:szCs w:val="24"/>
        </w:rPr>
        <w:t xml:space="preserve"> will be able to access the telephone and face to face interviews currently conducted by Services Australia or by employment service providers.</w:t>
      </w:r>
      <w:r w:rsidR="00B061D9">
        <w:rPr>
          <w:sz w:val="24"/>
          <w:szCs w:val="24"/>
        </w:rPr>
        <w:t xml:space="preserve"> </w:t>
      </w:r>
    </w:p>
    <w:p w14:paraId="00DE73A6" w14:textId="3DE8C063" w:rsidR="00B86848" w:rsidRPr="002454A5" w:rsidRDefault="00B061D9" w:rsidP="00BA7A81">
      <w:pPr>
        <w:rPr>
          <w:sz w:val="24"/>
          <w:szCs w:val="24"/>
        </w:rPr>
      </w:pPr>
      <w:r w:rsidRPr="00167FD1">
        <w:rPr>
          <w:sz w:val="24"/>
          <w:szCs w:val="24"/>
        </w:rPr>
        <w:lastRenderedPageBreak/>
        <w:t xml:space="preserve">Allocating job seekers to online servicing is currently determined by their JSCI scores. </w:t>
      </w:r>
      <w:r w:rsidR="008820B3" w:rsidRPr="00167FD1">
        <w:rPr>
          <w:sz w:val="24"/>
          <w:szCs w:val="24"/>
        </w:rPr>
        <w:t xml:space="preserve">However, safeguard measures, such as </w:t>
      </w:r>
      <w:r w:rsidRPr="00167FD1">
        <w:rPr>
          <w:sz w:val="24"/>
          <w:szCs w:val="24"/>
        </w:rPr>
        <w:t xml:space="preserve">Digital Assessments and Digital Service Reviews, have been introduced </w:t>
      </w:r>
      <w:r w:rsidR="00781A87" w:rsidRPr="00167FD1">
        <w:rPr>
          <w:sz w:val="24"/>
          <w:szCs w:val="24"/>
        </w:rPr>
        <w:t xml:space="preserve">to help </w:t>
      </w:r>
      <w:r w:rsidRPr="00167FD1">
        <w:rPr>
          <w:sz w:val="24"/>
          <w:szCs w:val="24"/>
        </w:rPr>
        <w:t xml:space="preserve">identify job seekers who may not have the </w:t>
      </w:r>
      <w:r w:rsidR="008820B3" w:rsidRPr="00167FD1">
        <w:rPr>
          <w:sz w:val="24"/>
          <w:szCs w:val="24"/>
        </w:rPr>
        <w:t xml:space="preserve">access or </w:t>
      </w:r>
      <w:r w:rsidRPr="00167FD1">
        <w:rPr>
          <w:sz w:val="24"/>
          <w:szCs w:val="24"/>
        </w:rPr>
        <w:t xml:space="preserve">ability to participate </w:t>
      </w:r>
      <w:r w:rsidR="00781A87" w:rsidRPr="00167FD1">
        <w:rPr>
          <w:sz w:val="24"/>
          <w:szCs w:val="24"/>
        </w:rPr>
        <w:t xml:space="preserve">in </w:t>
      </w:r>
      <w:r w:rsidRPr="00167FD1">
        <w:rPr>
          <w:sz w:val="24"/>
          <w:szCs w:val="24"/>
        </w:rPr>
        <w:t xml:space="preserve">online </w:t>
      </w:r>
      <w:r w:rsidR="00781A87" w:rsidRPr="00167FD1">
        <w:rPr>
          <w:sz w:val="24"/>
          <w:szCs w:val="24"/>
        </w:rPr>
        <w:t xml:space="preserve">servicing </w:t>
      </w:r>
      <w:r w:rsidRPr="00167FD1">
        <w:rPr>
          <w:sz w:val="24"/>
          <w:szCs w:val="24"/>
        </w:rPr>
        <w:t xml:space="preserve">and prompt them to consider </w:t>
      </w:r>
      <w:r w:rsidR="008820B3" w:rsidRPr="00167FD1">
        <w:rPr>
          <w:sz w:val="24"/>
          <w:szCs w:val="24"/>
        </w:rPr>
        <w:t xml:space="preserve">moving </w:t>
      </w:r>
      <w:r w:rsidRPr="00167FD1">
        <w:rPr>
          <w:sz w:val="24"/>
          <w:szCs w:val="24"/>
        </w:rPr>
        <w:t>into face-to-face servicing</w:t>
      </w:r>
      <w:r w:rsidR="00781A87" w:rsidRPr="00167FD1">
        <w:rPr>
          <w:sz w:val="24"/>
          <w:szCs w:val="24"/>
        </w:rPr>
        <w:t>.</w:t>
      </w:r>
      <w:r w:rsidR="003E5187" w:rsidRPr="00167FD1">
        <w:rPr>
          <w:sz w:val="24"/>
          <w:szCs w:val="24"/>
        </w:rPr>
        <w:t xml:space="preserve"> </w:t>
      </w:r>
      <w:r w:rsidR="008820B3" w:rsidRPr="00167FD1">
        <w:rPr>
          <w:sz w:val="24"/>
          <w:szCs w:val="24"/>
        </w:rPr>
        <w:t>Job seekers can also choose to move from online servicing to provider servicing at any time.</w:t>
      </w:r>
    </w:p>
    <w:p w14:paraId="151F136A" w14:textId="55FE0130" w:rsidR="00B86848" w:rsidRDefault="00B86848" w:rsidP="00BA7A81">
      <w:pPr>
        <w:rPr>
          <w:sz w:val="24"/>
          <w:szCs w:val="24"/>
        </w:rPr>
      </w:pPr>
      <w:r>
        <w:rPr>
          <w:sz w:val="24"/>
          <w:szCs w:val="24"/>
        </w:rPr>
        <w:t xml:space="preserve">The response also explains that the </w:t>
      </w:r>
      <w:bookmarkStart w:id="5" w:name="_Hlk61426227"/>
      <w:r>
        <w:rPr>
          <w:sz w:val="24"/>
          <w:szCs w:val="24"/>
        </w:rPr>
        <w:t xml:space="preserve">Department has worked with Services Australia to address a range of early technical issues and is continuing to work with </w:t>
      </w:r>
      <w:r w:rsidRPr="002454A5">
        <w:rPr>
          <w:sz w:val="24"/>
          <w:szCs w:val="24"/>
        </w:rPr>
        <w:t>the Department of Social Services and Services Australia to identify how best to reduce duplication and inefficiencies in the income support application and employment services assessment processes</w:t>
      </w:r>
      <w:bookmarkStart w:id="6" w:name="_Hlk61426215"/>
      <w:r w:rsidRPr="002454A5">
        <w:rPr>
          <w:sz w:val="24"/>
          <w:szCs w:val="24"/>
        </w:rPr>
        <w:t xml:space="preserve">. </w:t>
      </w:r>
      <w:bookmarkEnd w:id="5"/>
      <w:r w:rsidRPr="002454A5">
        <w:rPr>
          <w:sz w:val="24"/>
          <w:szCs w:val="24"/>
        </w:rPr>
        <w:t xml:space="preserve">This </w:t>
      </w:r>
      <w:r w:rsidR="00ED5DD0">
        <w:rPr>
          <w:sz w:val="24"/>
          <w:szCs w:val="24"/>
        </w:rPr>
        <w:t xml:space="preserve">intent is to </w:t>
      </w:r>
      <w:r w:rsidRPr="002454A5">
        <w:rPr>
          <w:sz w:val="24"/>
          <w:szCs w:val="24"/>
        </w:rPr>
        <w:t xml:space="preserve">allow the </w:t>
      </w:r>
      <w:r w:rsidR="00990995">
        <w:rPr>
          <w:sz w:val="24"/>
          <w:szCs w:val="24"/>
        </w:rPr>
        <w:t>JSS</w:t>
      </w:r>
      <w:r w:rsidRPr="002454A5">
        <w:rPr>
          <w:sz w:val="24"/>
          <w:szCs w:val="24"/>
        </w:rPr>
        <w:t xml:space="preserve"> to be prepopulated as part of the online claim workflow and enhance the user experience.</w:t>
      </w:r>
    </w:p>
    <w:bookmarkEnd w:id="4"/>
    <w:bookmarkEnd w:id="6"/>
    <w:p w14:paraId="6157BF4D" w14:textId="66A88FDF" w:rsidR="004A4F91" w:rsidRDefault="004A4F91" w:rsidP="004A4F91">
      <w:pPr>
        <w:pStyle w:val="Heading2"/>
      </w:pPr>
      <w:r>
        <w:t>Online completion was cost-effective</w:t>
      </w:r>
    </w:p>
    <w:p w14:paraId="3F179562" w14:textId="3F1A0FBA" w:rsidR="003C714F" w:rsidRPr="00E11B6D" w:rsidRDefault="004A4F91">
      <w:r w:rsidRPr="004A4F91">
        <w:rPr>
          <w:rFonts w:cstheme="minorHAnsi"/>
          <w:sz w:val="24"/>
          <w:szCs w:val="24"/>
        </w:rPr>
        <w:t>A key consideration in the provision of employment services is cost-effectiveness.</w:t>
      </w:r>
      <w:r w:rsidR="00BF49EA">
        <w:rPr>
          <w:rFonts w:cstheme="minorHAnsi"/>
          <w:sz w:val="24"/>
          <w:szCs w:val="24"/>
        </w:rPr>
        <w:t xml:space="preserve"> </w:t>
      </w:r>
      <w:r w:rsidR="00966E3F">
        <w:rPr>
          <w:rFonts w:cstheme="minorHAnsi"/>
          <w:sz w:val="24"/>
          <w:szCs w:val="24"/>
        </w:rPr>
        <w:t>As c</w:t>
      </w:r>
      <w:r w:rsidR="00BF49EA" w:rsidRPr="00BF49EA">
        <w:rPr>
          <w:rFonts w:cstheme="minorHAnsi"/>
          <w:sz w:val="24"/>
          <w:szCs w:val="24"/>
        </w:rPr>
        <w:t>ompleting the</w:t>
      </w:r>
      <w:r w:rsidR="00966E3F">
        <w:rPr>
          <w:rFonts w:cstheme="minorHAnsi"/>
          <w:sz w:val="24"/>
          <w:szCs w:val="24"/>
        </w:rPr>
        <w:t xml:space="preserve"> JSS</w:t>
      </w:r>
      <w:r w:rsidR="00BF49EA" w:rsidRPr="00BF49EA">
        <w:rPr>
          <w:rFonts w:cstheme="minorHAnsi"/>
          <w:sz w:val="24"/>
          <w:szCs w:val="24"/>
        </w:rPr>
        <w:t xml:space="preserve"> without an interview freed up time and resources</w:t>
      </w:r>
      <w:r w:rsidR="00966E3F">
        <w:rPr>
          <w:rFonts w:cstheme="minorHAnsi"/>
          <w:sz w:val="24"/>
          <w:szCs w:val="24"/>
        </w:rPr>
        <w:t xml:space="preserve"> and </w:t>
      </w:r>
      <w:r w:rsidR="00ED5DD0">
        <w:rPr>
          <w:rFonts w:cstheme="minorHAnsi"/>
          <w:sz w:val="24"/>
          <w:szCs w:val="24"/>
        </w:rPr>
        <w:t xml:space="preserve">was found to deliver </w:t>
      </w:r>
      <w:r w:rsidR="00966E3F" w:rsidRPr="004A4F91">
        <w:rPr>
          <w:rFonts w:cstheme="minorHAnsi"/>
          <w:sz w:val="24"/>
          <w:szCs w:val="24"/>
        </w:rPr>
        <w:t>similar results in terms of JSCI scores and</w:t>
      </w:r>
      <w:r w:rsidR="00966E3F">
        <w:rPr>
          <w:rFonts w:cstheme="minorHAnsi"/>
          <w:sz w:val="24"/>
          <w:szCs w:val="24"/>
        </w:rPr>
        <w:t xml:space="preserve"> servicing streams,</w:t>
      </w:r>
      <w:r w:rsidR="00ED5DD0">
        <w:rPr>
          <w:rFonts w:cstheme="minorHAnsi"/>
          <w:sz w:val="24"/>
          <w:szCs w:val="24"/>
        </w:rPr>
        <w:t xml:space="preserve"> the</w:t>
      </w:r>
      <w:r w:rsidR="004D11CD">
        <w:rPr>
          <w:rFonts w:cstheme="minorHAnsi"/>
          <w:sz w:val="24"/>
          <w:szCs w:val="24"/>
        </w:rPr>
        <w:t xml:space="preserve"> </w:t>
      </w:r>
      <w:r w:rsidR="00966E3F">
        <w:rPr>
          <w:rFonts w:cstheme="minorHAnsi"/>
          <w:sz w:val="24"/>
          <w:szCs w:val="24"/>
        </w:rPr>
        <w:t xml:space="preserve">JSS </w:t>
      </w:r>
      <w:r w:rsidR="00ED5DD0">
        <w:rPr>
          <w:rFonts w:cstheme="minorHAnsi"/>
          <w:sz w:val="24"/>
          <w:szCs w:val="24"/>
        </w:rPr>
        <w:t xml:space="preserve">provides a </w:t>
      </w:r>
      <w:r w:rsidR="00966E3F">
        <w:rPr>
          <w:rFonts w:cstheme="minorHAnsi"/>
          <w:sz w:val="24"/>
          <w:szCs w:val="24"/>
        </w:rPr>
        <w:t>cost-</w:t>
      </w:r>
      <w:r w:rsidR="00166796">
        <w:rPr>
          <w:rFonts w:cstheme="minorHAnsi"/>
          <w:sz w:val="24"/>
          <w:szCs w:val="24"/>
        </w:rPr>
        <w:t>effective</w:t>
      </w:r>
      <w:r w:rsidR="00166796" w:rsidRPr="004A4F91">
        <w:rPr>
          <w:rFonts w:cstheme="minorHAnsi"/>
          <w:sz w:val="24"/>
          <w:szCs w:val="24"/>
        </w:rPr>
        <w:t xml:space="preserve"> </w:t>
      </w:r>
      <w:r w:rsidRPr="004A4F91">
        <w:rPr>
          <w:rFonts w:cstheme="minorHAnsi"/>
          <w:sz w:val="24"/>
          <w:szCs w:val="24"/>
        </w:rPr>
        <w:t>option</w:t>
      </w:r>
      <w:r w:rsidR="0016074C">
        <w:rPr>
          <w:rFonts w:cstheme="minorHAnsi"/>
          <w:sz w:val="24"/>
          <w:szCs w:val="24"/>
        </w:rPr>
        <w:t>.</w:t>
      </w:r>
    </w:p>
    <w:sectPr w:rsidR="003C714F" w:rsidRPr="00E11B6D"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E605A" w14:textId="77777777" w:rsidR="00CD1060" w:rsidRDefault="00CD1060" w:rsidP="0051352E">
      <w:pPr>
        <w:spacing w:after="0" w:line="240" w:lineRule="auto"/>
      </w:pPr>
      <w:r>
        <w:separator/>
      </w:r>
    </w:p>
  </w:endnote>
  <w:endnote w:type="continuationSeparator" w:id="0">
    <w:p w14:paraId="3848A79C" w14:textId="77777777" w:rsidR="00CD1060" w:rsidRDefault="00CD1060"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CAA8B" w14:textId="77777777" w:rsidR="00CD1060" w:rsidRDefault="00CD1060" w:rsidP="0051352E">
      <w:pPr>
        <w:spacing w:after="0" w:line="240" w:lineRule="auto"/>
      </w:pPr>
      <w:r>
        <w:separator/>
      </w:r>
    </w:p>
  </w:footnote>
  <w:footnote w:type="continuationSeparator" w:id="0">
    <w:p w14:paraId="08680086" w14:textId="77777777" w:rsidR="00CD1060" w:rsidRDefault="00CD1060"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F5838"/>
    <w:multiLevelType w:val="hybridMultilevel"/>
    <w:tmpl w:val="969099FC"/>
    <w:lvl w:ilvl="0" w:tplc="BE66FA2A">
      <w:start w:val="1"/>
      <w:numFmt w:val="bullet"/>
      <w:lvlText w:val=""/>
      <w:lvlJc w:val="left"/>
      <w:pPr>
        <w:ind w:left="720" w:hanging="360"/>
      </w:pPr>
      <w:rPr>
        <w:rFonts w:ascii="Symbol" w:hAnsi="Symbol" w:hint="default"/>
        <w:color w:val="auto"/>
      </w:rPr>
    </w:lvl>
    <w:lvl w:ilvl="1" w:tplc="CE66AA8C">
      <w:start w:val="1"/>
      <w:numFmt w:val="bullet"/>
      <w:lvlText w:val="o"/>
      <w:lvlJc w:val="left"/>
      <w:pPr>
        <w:ind w:left="1440" w:hanging="360"/>
      </w:pPr>
      <w:rPr>
        <w:rFonts w:ascii="Courier New" w:hAnsi="Courier New" w:cs="Courier New" w:hint="default"/>
      </w:rPr>
    </w:lvl>
    <w:lvl w:ilvl="2" w:tplc="48AC4F3C">
      <w:start w:val="1"/>
      <w:numFmt w:val="bullet"/>
      <w:lvlText w:val=""/>
      <w:lvlJc w:val="left"/>
      <w:pPr>
        <w:ind w:left="2160" w:hanging="360"/>
      </w:pPr>
      <w:rPr>
        <w:rFonts w:ascii="Wingdings" w:hAnsi="Wingdings" w:hint="default"/>
      </w:rPr>
    </w:lvl>
    <w:lvl w:ilvl="3" w:tplc="0458FFCE" w:tentative="1">
      <w:start w:val="1"/>
      <w:numFmt w:val="bullet"/>
      <w:lvlText w:val=""/>
      <w:lvlJc w:val="left"/>
      <w:pPr>
        <w:ind w:left="2880" w:hanging="360"/>
      </w:pPr>
      <w:rPr>
        <w:rFonts w:ascii="Symbol" w:hAnsi="Symbol" w:hint="default"/>
      </w:rPr>
    </w:lvl>
    <w:lvl w:ilvl="4" w:tplc="46D48348" w:tentative="1">
      <w:start w:val="1"/>
      <w:numFmt w:val="bullet"/>
      <w:lvlText w:val="o"/>
      <w:lvlJc w:val="left"/>
      <w:pPr>
        <w:ind w:left="3600" w:hanging="360"/>
      </w:pPr>
      <w:rPr>
        <w:rFonts w:ascii="Courier New" w:hAnsi="Courier New" w:cs="Courier New" w:hint="default"/>
      </w:rPr>
    </w:lvl>
    <w:lvl w:ilvl="5" w:tplc="D37AA3FC" w:tentative="1">
      <w:start w:val="1"/>
      <w:numFmt w:val="bullet"/>
      <w:lvlText w:val=""/>
      <w:lvlJc w:val="left"/>
      <w:pPr>
        <w:ind w:left="4320" w:hanging="360"/>
      </w:pPr>
      <w:rPr>
        <w:rFonts w:ascii="Wingdings" w:hAnsi="Wingdings" w:hint="default"/>
      </w:rPr>
    </w:lvl>
    <w:lvl w:ilvl="6" w:tplc="8A509FB4" w:tentative="1">
      <w:start w:val="1"/>
      <w:numFmt w:val="bullet"/>
      <w:lvlText w:val=""/>
      <w:lvlJc w:val="left"/>
      <w:pPr>
        <w:ind w:left="5040" w:hanging="360"/>
      </w:pPr>
      <w:rPr>
        <w:rFonts w:ascii="Symbol" w:hAnsi="Symbol" w:hint="default"/>
      </w:rPr>
    </w:lvl>
    <w:lvl w:ilvl="7" w:tplc="30D83D40" w:tentative="1">
      <w:start w:val="1"/>
      <w:numFmt w:val="bullet"/>
      <w:lvlText w:val="o"/>
      <w:lvlJc w:val="left"/>
      <w:pPr>
        <w:ind w:left="5760" w:hanging="360"/>
      </w:pPr>
      <w:rPr>
        <w:rFonts w:ascii="Courier New" w:hAnsi="Courier New" w:cs="Courier New" w:hint="default"/>
      </w:rPr>
    </w:lvl>
    <w:lvl w:ilvl="8" w:tplc="46743D16" w:tentative="1">
      <w:start w:val="1"/>
      <w:numFmt w:val="bullet"/>
      <w:lvlText w:val=""/>
      <w:lvlJc w:val="left"/>
      <w:pPr>
        <w:ind w:left="64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4F"/>
    <w:rsid w:val="00034D0E"/>
    <w:rsid w:val="00047447"/>
    <w:rsid w:val="00052BBC"/>
    <w:rsid w:val="000A453D"/>
    <w:rsid w:val="000C23E4"/>
    <w:rsid w:val="00147824"/>
    <w:rsid w:val="00157F35"/>
    <w:rsid w:val="0016074C"/>
    <w:rsid w:val="00166796"/>
    <w:rsid w:val="00167FD1"/>
    <w:rsid w:val="00217EAB"/>
    <w:rsid w:val="0022498C"/>
    <w:rsid w:val="002454A5"/>
    <w:rsid w:val="002724D0"/>
    <w:rsid w:val="002A7840"/>
    <w:rsid w:val="002B1CE5"/>
    <w:rsid w:val="002C6845"/>
    <w:rsid w:val="002E34B0"/>
    <w:rsid w:val="002F4DB3"/>
    <w:rsid w:val="00303339"/>
    <w:rsid w:val="00320036"/>
    <w:rsid w:val="00334F01"/>
    <w:rsid w:val="00350FFA"/>
    <w:rsid w:val="00382F07"/>
    <w:rsid w:val="003B2A32"/>
    <w:rsid w:val="003C714F"/>
    <w:rsid w:val="003E5187"/>
    <w:rsid w:val="004006AA"/>
    <w:rsid w:val="00414677"/>
    <w:rsid w:val="00422A84"/>
    <w:rsid w:val="00453C04"/>
    <w:rsid w:val="00485DC4"/>
    <w:rsid w:val="00497764"/>
    <w:rsid w:val="004A4F91"/>
    <w:rsid w:val="004D11CD"/>
    <w:rsid w:val="0051352E"/>
    <w:rsid w:val="00517DA7"/>
    <w:rsid w:val="00520A33"/>
    <w:rsid w:val="00527AE4"/>
    <w:rsid w:val="0055569D"/>
    <w:rsid w:val="005D7CE7"/>
    <w:rsid w:val="00610A38"/>
    <w:rsid w:val="00630DDF"/>
    <w:rsid w:val="006E5D6E"/>
    <w:rsid w:val="006F6EF6"/>
    <w:rsid w:val="007067A5"/>
    <w:rsid w:val="00721B03"/>
    <w:rsid w:val="00727162"/>
    <w:rsid w:val="0075239C"/>
    <w:rsid w:val="0075368E"/>
    <w:rsid w:val="007570DC"/>
    <w:rsid w:val="00781A87"/>
    <w:rsid w:val="00781F73"/>
    <w:rsid w:val="00786873"/>
    <w:rsid w:val="007A7E3F"/>
    <w:rsid w:val="007B1ABA"/>
    <w:rsid w:val="007B74C5"/>
    <w:rsid w:val="00833904"/>
    <w:rsid w:val="008507C1"/>
    <w:rsid w:val="00861934"/>
    <w:rsid w:val="008820B3"/>
    <w:rsid w:val="008F0AC9"/>
    <w:rsid w:val="00931186"/>
    <w:rsid w:val="0093473D"/>
    <w:rsid w:val="00944BF8"/>
    <w:rsid w:val="00944ECC"/>
    <w:rsid w:val="00966E3F"/>
    <w:rsid w:val="00972F57"/>
    <w:rsid w:val="00990995"/>
    <w:rsid w:val="00995280"/>
    <w:rsid w:val="00A17E35"/>
    <w:rsid w:val="00A24E6E"/>
    <w:rsid w:val="00A43694"/>
    <w:rsid w:val="00A56FC7"/>
    <w:rsid w:val="00A668BF"/>
    <w:rsid w:val="00A72575"/>
    <w:rsid w:val="00A74071"/>
    <w:rsid w:val="00A754E4"/>
    <w:rsid w:val="00AA124A"/>
    <w:rsid w:val="00AA2A96"/>
    <w:rsid w:val="00AF04A2"/>
    <w:rsid w:val="00AF452E"/>
    <w:rsid w:val="00B061D9"/>
    <w:rsid w:val="00B100CC"/>
    <w:rsid w:val="00B46478"/>
    <w:rsid w:val="00B6689D"/>
    <w:rsid w:val="00B72368"/>
    <w:rsid w:val="00B81348"/>
    <w:rsid w:val="00B86848"/>
    <w:rsid w:val="00BA7A81"/>
    <w:rsid w:val="00BF49EA"/>
    <w:rsid w:val="00C54D58"/>
    <w:rsid w:val="00C573E1"/>
    <w:rsid w:val="00C60222"/>
    <w:rsid w:val="00C736D3"/>
    <w:rsid w:val="00C95DF6"/>
    <w:rsid w:val="00CA32B2"/>
    <w:rsid w:val="00CB061A"/>
    <w:rsid w:val="00CC631D"/>
    <w:rsid w:val="00CD1060"/>
    <w:rsid w:val="00CD4005"/>
    <w:rsid w:val="00D072D6"/>
    <w:rsid w:val="00D10B02"/>
    <w:rsid w:val="00D74AB8"/>
    <w:rsid w:val="00D76010"/>
    <w:rsid w:val="00DA1B7B"/>
    <w:rsid w:val="00DB79DF"/>
    <w:rsid w:val="00DC2DFF"/>
    <w:rsid w:val="00DD09C0"/>
    <w:rsid w:val="00E3529C"/>
    <w:rsid w:val="00E963D8"/>
    <w:rsid w:val="00EA32F7"/>
    <w:rsid w:val="00ED5DD0"/>
    <w:rsid w:val="00F230CD"/>
    <w:rsid w:val="00F25488"/>
    <w:rsid w:val="00F51C18"/>
    <w:rsid w:val="00F71F2D"/>
    <w:rsid w:val="00F756BD"/>
    <w:rsid w:val="00F979CE"/>
    <w:rsid w:val="00FA31E2"/>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C35759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aliases w:val="Body Bullets 1,Bullet Point,Bullet point,Bullet points,CV text,Content descriptions,Dot pt,F5 List Paragraph,L,List Paragraph1,List Paragraph11,List Paragraph111,Main,Medium Grid 1 - Accent 21,Numbered Paragraph,Recommendation,Table text"/>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Body">
    <w:name w:val="Body"/>
    <w:basedOn w:val="Normal"/>
    <w:link w:val="BodyChar"/>
    <w:qFormat/>
    <w:rsid w:val="003C714F"/>
    <w:rPr>
      <w:rFonts w:eastAsiaTheme="minorEastAsia"/>
      <w:lang w:eastAsia="en-AU"/>
    </w:rPr>
  </w:style>
  <w:style w:type="character" w:customStyle="1" w:styleId="BodyChar">
    <w:name w:val="Body Char"/>
    <w:basedOn w:val="DefaultParagraphFont"/>
    <w:link w:val="Body"/>
    <w:rsid w:val="003C714F"/>
    <w:rPr>
      <w:rFonts w:eastAsiaTheme="minorEastAsia"/>
      <w:lang w:eastAsia="en-AU"/>
    </w:rPr>
  </w:style>
  <w:style w:type="character" w:customStyle="1" w:styleId="ListParagraphChar">
    <w:name w:val="List Paragraph Char"/>
    <w:aliases w:val="Body Bullets 1 Char,Bullet Point Char,Bullet point Char,Bullet points Char,CV text Char,Content descriptions Char,Dot pt Char,F5 List Paragraph Char,L Char,List Paragraph1 Char,List Paragraph11 Char,List Paragraph111 Char,Main Char"/>
    <w:basedOn w:val="DefaultParagraphFont"/>
    <w:link w:val="ListParagraph"/>
    <w:uiPriority w:val="34"/>
    <w:qFormat/>
    <w:rsid w:val="003C714F"/>
  </w:style>
  <w:style w:type="paragraph" w:styleId="NormalWeb">
    <w:name w:val="Normal (Web)"/>
    <w:basedOn w:val="Normal"/>
    <w:link w:val="NormalWebChar"/>
    <w:uiPriority w:val="99"/>
    <w:unhideWhenUsed/>
    <w:rsid w:val="00F25488"/>
    <w:rPr>
      <w:rFonts w:ascii="Times New Roman" w:hAnsi="Times New Roman" w:cs="Times New Roman"/>
      <w:sz w:val="24"/>
      <w:szCs w:val="24"/>
    </w:rPr>
  </w:style>
  <w:style w:type="character" w:customStyle="1" w:styleId="NormalWebChar">
    <w:name w:val="Normal (Web) Char"/>
    <w:basedOn w:val="DefaultParagraphFont"/>
    <w:link w:val="NormalWeb"/>
    <w:uiPriority w:val="99"/>
    <w:locked/>
    <w:rsid w:val="00F25488"/>
    <w:rPr>
      <w:rFonts w:ascii="Times New Roman" w:hAnsi="Times New Roman" w:cs="Times New Roman"/>
      <w:sz w:val="24"/>
      <w:szCs w:val="24"/>
    </w:rPr>
  </w:style>
  <w:style w:type="paragraph" w:styleId="FootnoteText">
    <w:name w:val="footnote text"/>
    <w:aliases w:val="AFPC 1-9,AFPC,Footnote Text Char1 Char,Footnote Text Char Char Char,Footnote Text Char Char Char Char Char Char Char Char Char Char Char,Footnote Text Char Char Char Char Char Char Char Char,Footnote Text Char2 Char,Char,AFPC Footnote Text"/>
    <w:basedOn w:val="Normal"/>
    <w:link w:val="FootnoteTextChar"/>
    <w:uiPriority w:val="99"/>
    <w:qFormat/>
    <w:rsid w:val="00F25488"/>
    <w:pPr>
      <w:tabs>
        <w:tab w:val="left" w:pos="142"/>
      </w:tabs>
      <w:spacing w:after="0"/>
      <w:ind w:left="142" w:hanging="142"/>
    </w:pPr>
    <w:rPr>
      <w:rFonts w:eastAsiaTheme="minorEastAsia"/>
      <w:sz w:val="18"/>
      <w:szCs w:val="20"/>
    </w:rPr>
  </w:style>
  <w:style w:type="character" w:customStyle="1" w:styleId="FootnoteTextChar">
    <w:name w:val="Footnote Text Char"/>
    <w:aliases w:val="AFPC 1-9 Char,AFPC Char,Footnote Text Char1 Char Char,Footnote Text Char Char Char Char,Footnote Text Char Char Char Char Char Char Char Char Char Char Char Char,Footnote Text Char Char Char Char Char Char Char Char Char,Char Char"/>
    <w:basedOn w:val="DefaultParagraphFont"/>
    <w:link w:val="FootnoteText"/>
    <w:uiPriority w:val="99"/>
    <w:rsid w:val="00F25488"/>
    <w:rPr>
      <w:rFonts w:eastAsiaTheme="minorEastAsia"/>
      <w:sz w:val="18"/>
      <w:szCs w:val="20"/>
    </w:rPr>
  </w:style>
  <w:style w:type="character" w:styleId="FootnoteReference">
    <w:name w:val="footnote reference"/>
    <w:aliases w:val="AFPC Footnote Reference"/>
    <w:basedOn w:val="DefaultParagraphFont"/>
    <w:uiPriority w:val="99"/>
    <w:qFormat/>
    <w:rsid w:val="00F25488"/>
    <w:rPr>
      <w:vertAlign w:val="superscript"/>
    </w:rPr>
  </w:style>
  <w:style w:type="paragraph" w:customStyle="1" w:styleId="Footnote">
    <w:name w:val="Footnote"/>
    <w:basedOn w:val="Normal"/>
    <w:qFormat/>
    <w:rsid w:val="00F25488"/>
    <w:pPr>
      <w:tabs>
        <w:tab w:val="left" w:pos="426"/>
      </w:tabs>
      <w:spacing w:before="60" w:after="0" w:line="240" w:lineRule="auto"/>
    </w:pPr>
    <w:rPr>
      <w:rFonts w:ascii="Calibri" w:hAnsi="Calibri" w:cs="Times New Roman"/>
      <w:sz w:val="18"/>
      <w:szCs w:val="20"/>
      <w:lang w:eastAsia="en-AU"/>
    </w:rPr>
  </w:style>
  <w:style w:type="character" w:styleId="CommentReference">
    <w:name w:val="annotation reference"/>
    <w:basedOn w:val="DefaultParagraphFont"/>
    <w:uiPriority w:val="99"/>
    <w:semiHidden/>
    <w:unhideWhenUsed/>
    <w:rsid w:val="00147824"/>
    <w:rPr>
      <w:sz w:val="16"/>
      <w:szCs w:val="16"/>
    </w:rPr>
  </w:style>
  <w:style w:type="paragraph" w:styleId="CommentText">
    <w:name w:val="annotation text"/>
    <w:basedOn w:val="Normal"/>
    <w:link w:val="CommentTextChar"/>
    <w:uiPriority w:val="99"/>
    <w:semiHidden/>
    <w:unhideWhenUsed/>
    <w:rsid w:val="00147824"/>
    <w:pPr>
      <w:spacing w:line="240" w:lineRule="auto"/>
    </w:pPr>
    <w:rPr>
      <w:sz w:val="20"/>
      <w:szCs w:val="20"/>
    </w:rPr>
  </w:style>
  <w:style w:type="character" w:customStyle="1" w:styleId="CommentTextChar">
    <w:name w:val="Comment Text Char"/>
    <w:basedOn w:val="DefaultParagraphFont"/>
    <w:link w:val="CommentText"/>
    <w:uiPriority w:val="99"/>
    <w:semiHidden/>
    <w:rsid w:val="00147824"/>
    <w:rPr>
      <w:sz w:val="20"/>
      <w:szCs w:val="20"/>
    </w:rPr>
  </w:style>
  <w:style w:type="paragraph" w:styleId="CommentSubject">
    <w:name w:val="annotation subject"/>
    <w:basedOn w:val="CommentText"/>
    <w:next w:val="CommentText"/>
    <w:link w:val="CommentSubjectChar"/>
    <w:uiPriority w:val="99"/>
    <w:semiHidden/>
    <w:unhideWhenUsed/>
    <w:rsid w:val="00147824"/>
    <w:rPr>
      <w:b/>
      <w:bCs/>
    </w:rPr>
  </w:style>
  <w:style w:type="character" w:customStyle="1" w:styleId="CommentSubjectChar">
    <w:name w:val="Comment Subject Char"/>
    <w:basedOn w:val="CommentTextChar"/>
    <w:link w:val="CommentSubject"/>
    <w:uiPriority w:val="99"/>
    <w:semiHidden/>
    <w:rsid w:val="001478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7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rodapp.application.enet\OfficeTemplates\DESE\Factsheet%20Template.dotx"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B11AF11166FB1A41B5B3325837D43261" ma:contentTypeVersion="" ma:contentTypeDescription="PDMS Document Site Content Type" ma:contentTypeScope="" ma:versionID="b011bd5ddd0fb58302ab199991bfba8c">
  <xsd:schema xmlns:xsd="http://www.w3.org/2001/XMLSchema" xmlns:xs="http://www.w3.org/2001/XMLSchema" xmlns:p="http://schemas.microsoft.com/office/2006/metadata/properties" xmlns:ns2="316B2D51-86F6-4C6A-8049-E491E46928C0" targetNamespace="http://schemas.microsoft.com/office/2006/metadata/properties" ma:root="true" ma:fieldsID="6b4cb9141f5f1f6572e2461379dfd83d" ns2:_="">
    <xsd:import namespace="316B2D51-86F6-4C6A-8049-E491E46928C0"/>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B2D51-86F6-4C6A-8049-E491E46928C0"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316B2D51-86F6-4C6A-8049-E491E46928C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82632F-2CF5-494D-8350-EB295C989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6B2D51-86F6-4C6A-8049-E491E4692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A5CED-1B90-43FA-AB90-9647035710E9}">
  <ds:schemaRefs>
    <ds:schemaRef ds:uri="http://schemas.openxmlformats.org/officeDocument/2006/bibliography"/>
  </ds:schemaRefs>
</ds:datastoreItem>
</file>

<file path=customXml/itemProps3.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316B2D51-86F6-4C6A-8049-E491E46928C0"/>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Factsheet Template.dotx</Template>
  <TotalTime>0</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
  <cp:keywords/>
  <dc:description/>
  <cp:lastModifiedBy/>
  <cp:revision>1</cp:revision>
  <dcterms:created xsi:type="dcterms:W3CDTF">2021-03-18T04:10:00Z</dcterms:created>
  <dcterms:modified xsi:type="dcterms:W3CDTF">2021-03-18T05:38:00Z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0x010100266966F133664895A6EE3632470D45F500B11AF11166FB1A41B5B3325837D43261</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ies>
</file>