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60407" w14:textId="0656B190" w:rsidR="00B03459" w:rsidRDefault="00B03459" w:rsidP="00B03459">
      <w:pPr>
        <w:pStyle w:val="Title"/>
        <w:jc w:val="right"/>
      </w:pPr>
      <w:bookmarkStart w:id="0" w:name="_GoBack"/>
    </w:p>
    <w:p w14:paraId="5DBCE295" w14:textId="77777777" w:rsidR="007F1FE0" w:rsidRDefault="007F1FE0" w:rsidP="007F1FE0">
      <w:pPr>
        <w:pStyle w:val="Title"/>
        <w:jc w:val="right"/>
        <w:rPr>
          <w:b/>
          <w:color w:val="767171" w:themeColor="background2" w:themeShade="80"/>
          <w:sz w:val="32"/>
          <w:szCs w:val="32"/>
        </w:rPr>
      </w:pPr>
      <w:r>
        <w:rPr>
          <w:noProof/>
          <w:lang w:eastAsia="en-AU"/>
        </w:rPr>
        <w:drawing>
          <wp:inline distT="0" distB="0" distL="0" distR="0" wp14:anchorId="19A0375D" wp14:editId="3278A2FC">
            <wp:extent cx="1958196" cy="1198784"/>
            <wp:effectExtent l="0" t="0" r="4445" b="1905"/>
            <wp:docPr id="3" name="Picture 3" descr="Australian Government - job active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stralian Government - job active logo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61929" cy="120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F53BD" w14:textId="45BBD9D4" w:rsidR="00427921" w:rsidRDefault="00B03459" w:rsidP="007F1FE0">
      <w:pPr>
        <w:pStyle w:val="Title"/>
      </w:pPr>
      <w:r w:rsidRPr="0027592B">
        <w:rPr>
          <w:b/>
          <w:color w:val="767171" w:themeColor="background2" w:themeShade="80"/>
          <w:sz w:val="32"/>
          <w:szCs w:val="32"/>
        </w:rPr>
        <w:t>Guideline</w:t>
      </w:r>
      <w:proofErr w:type="gramStart"/>
      <w:r w:rsidRPr="0027592B">
        <w:rPr>
          <w:color w:val="767171" w:themeColor="background2" w:themeShade="80"/>
          <w:sz w:val="32"/>
          <w:szCs w:val="32"/>
        </w:rPr>
        <w:t>:</w:t>
      </w:r>
      <w:proofErr w:type="gramEnd"/>
      <w:r>
        <w:br/>
      </w:r>
      <w:r w:rsidR="00427921">
        <w:t xml:space="preserve">New Employment Services Trial </w:t>
      </w:r>
      <w:r w:rsidR="001F35FD">
        <w:t xml:space="preserve">(NEST) </w:t>
      </w:r>
      <w:r w:rsidR="007F1FE0">
        <w:t xml:space="preserve">- </w:t>
      </w:r>
    </w:p>
    <w:p w14:paraId="22D535E5" w14:textId="03601982" w:rsidR="00146FF3" w:rsidRDefault="0026083D" w:rsidP="00146FF3">
      <w:pPr>
        <w:pStyle w:val="Title"/>
      </w:pPr>
      <w:r>
        <w:t>Str</w:t>
      </w:r>
      <w:r w:rsidR="00D252CF">
        <w:t>onger Transitions</w:t>
      </w:r>
    </w:p>
    <w:p w14:paraId="68815241" w14:textId="442F4C00" w:rsidR="0004462D" w:rsidRDefault="0004462D" w:rsidP="00B75469">
      <w:pPr>
        <w:pStyle w:val="guidelinetext"/>
        <w:ind w:left="0"/>
      </w:pPr>
      <w:r w:rsidRPr="00A676E8">
        <w:t xml:space="preserve">The Stronger Transitions </w:t>
      </w:r>
      <w:r w:rsidR="00224296">
        <w:t>P</w:t>
      </w:r>
      <w:r w:rsidRPr="00A676E8">
        <w:t xml:space="preserve">ackage </w:t>
      </w:r>
      <w:r>
        <w:t xml:space="preserve">(Stronger Transitions) </w:t>
      </w:r>
      <w:r w:rsidRPr="00A676E8">
        <w:t xml:space="preserve">provides support to individuals, in five identified </w:t>
      </w:r>
      <w:r w:rsidR="00D711A1">
        <w:t>r</w:t>
      </w:r>
      <w:r w:rsidRPr="00A676E8">
        <w:t xml:space="preserve">egions that </w:t>
      </w:r>
      <w:proofErr w:type="gramStart"/>
      <w:r w:rsidRPr="00A676E8">
        <w:t xml:space="preserve">have been </w:t>
      </w:r>
      <w:r w:rsidR="00D711A1">
        <w:t xml:space="preserve">especially </w:t>
      </w:r>
      <w:r w:rsidRPr="00A676E8">
        <w:t>impacted</w:t>
      </w:r>
      <w:proofErr w:type="gramEnd"/>
      <w:r w:rsidRPr="00A676E8">
        <w:t xml:space="preserve"> by structural change, to transition to new jobs and prepare for the jobs of the future.</w:t>
      </w:r>
      <w:r>
        <w:t xml:space="preserve"> Intensive assistance includes pre</w:t>
      </w:r>
      <w:r>
        <w:noBreakHyphen/>
        <w:t xml:space="preserve">retrenchment support, provided outside </w:t>
      </w:r>
      <w:r w:rsidR="00427921">
        <w:t>New Employment Services Trial (NEST)</w:t>
      </w:r>
      <w:r>
        <w:t>, and post</w:t>
      </w:r>
      <w:r>
        <w:noBreakHyphen/>
        <w:t xml:space="preserve">retrenchment support delivered by </w:t>
      </w:r>
      <w:r w:rsidR="00427921">
        <w:t xml:space="preserve">NEST </w:t>
      </w:r>
      <w:r w:rsidR="000B171C">
        <w:t>Provider</w:t>
      </w:r>
      <w:r>
        <w:t>s (</w:t>
      </w:r>
      <w:r w:rsidR="000B171C">
        <w:t>NEST Provider</w:t>
      </w:r>
      <w:r w:rsidR="00DA00AA">
        <w:t>s).</w:t>
      </w:r>
    </w:p>
    <w:p w14:paraId="443D6D11" w14:textId="7E145F01" w:rsidR="0004462D" w:rsidRDefault="0066404E" w:rsidP="00B75469">
      <w:pPr>
        <w:pStyle w:val="guidelinetext"/>
        <w:ind w:left="0"/>
      </w:pPr>
      <w:r w:rsidRPr="0066404E">
        <w:t xml:space="preserve">This Guideline details the core elements and requirements for </w:t>
      </w:r>
      <w:r w:rsidR="000B171C">
        <w:t>NEST Provider</w:t>
      </w:r>
      <w:r w:rsidRPr="0066404E">
        <w:t>s in managing and servicing</w:t>
      </w:r>
      <w:r w:rsidR="0004462D">
        <w:t xml:space="preserve"> retrenched workers </w:t>
      </w:r>
      <w:r w:rsidRPr="0066404E">
        <w:t xml:space="preserve">who </w:t>
      </w:r>
      <w:r w:rsidR="00FB0EEE">
        <w:t>are eligible for</w:t>
      </w:r>
      <w:r w:rsidR="00860931">
        <w:t xml:space="preserve"> post</w:t>
      </w:r>
      <w:r w:rsidR="00860931">
        <w:noBreakHyphen/>
        <w:t>retrenchment</w:t>
      </w:r>
      <w:r w:rsidR="0004462D">
        <w:t xml:space="preserve"> </w:t>
      </w:r>
      <w:r w:rsidR="00FB0EEE">
        <w:t>support under Stronger Transitions</w:t>
      </w:r>
      <w:r w:rsidR="00DA00AA">
        <w:t>.</w:t>
      </w:r>
    </w:p>
    <w:p w14:paraId="038DFCC5" w14:textId="03D4369F" w:rsidR="0066404E" w:rsidRDefault="00224296" w:rsidP="00B75469">
      <w:pPr>
        <w:pStyle w:val="guidelinetext"/>
        <w:ind w:left="0"/>
      </w:pPr>
      <w:r>
        <w:t>Stronger Transitions Eligible Participants (</w:t>
      </w:r>
      <w:r w:rsidR="00970CA8">
        <w:t>P</w:t>
      </w:r>
      <w:r>
        <w:t xml:space="preserve">articipants) </w:t>
      </w:r>
      <w:r w:rsidR="0066404E" w:rsidRPr="0066404E">
        <w:t>are eligible f</w:t>
      </w:r>
      <w:r w:rsidR="005804D8">
        <w:t xml:space="preserve">or immediate access to </w:t>
      </w:r>
      <w:r w:rsidR="00427921">
        <w:t>NEST Enhanced Services</w:t>
      </w:r>
      <w:r w:rsidR="0004462D">
        <w:t xml:space="preserve"> upon commencement</w:t>
      </w:r>
      <w:r w:rsidR="005804D8">
        <w:t>. A</w:t>
      </w:r>
      <w:r w:rsidR="0066404E" w:rsidRPr="0066404E">
        <w:t xml:space="preserve">ny relevant Guidelines or materials that apply to </w:t>
      </w:r>
      <w:r w:rsidR="00427921">
        <w:t>NEST Enhanced Services</w:t>
      </w:r>
      <w:r w:rsidR="0066404E" w:rsidRPr="0066404E">
        <w:t xml:space="preserve"> job seekers more generally also apply to </w:t>
      </w:r>
      <w:r w:rsidR="00D00D80">
        <w:t>P</w:t>
      </w:r>
      <w:r w:rsidR="005804D8">
        <w:t>articipants,</w:t>
      </w:r>
      <w:r w:rsidR="0066404E" w:rsidRPr="0066404E">
        <w:t xml:space="preserve"> unless otherwise specif</w:t>
      </w:r>
      <w:r w:rsidR="005804D8">
        <w:t>ied in the relevant Guidelines.</w:t>
      </w:r>
    </w:p>
    <w:p w14:paraId="6153524B" w14:textId="77777777" w:rsidR="0066404E" w:rsidRDefault="0066404E" w:rsidP="0066404E"/>
    <w:p w14:paraId="5488F0AB" w14:textId="77777777" w:rsidR="002E6FDB" w:rsidRDefault="002E6FDB" w:rsidP="005D72CD">
      <w:pPr>
        <w:tabs>
          <w:tab w:val="right" w:pos="1701"/>
        </w:tabs>
        <w:sectPr w:rsidR="002E6FDB" w:rsidSect="00B03459">
          <w:headerReference w:type="default" r:id="rId12"/>
          <w:footerReference w:type="default" r:id="rId13"/>
          <w:pgSz w:w="11906" w:h="16838"/>
          <w:pgMar w:top="426" w:right="1440" w:bottom="1440" w:left="1440" w:header="708" w:footer="708" w:gutter="0"/>
          <w:cols w:space="708"/>
          <w:titlePg/>
          <w:docGrid w:linePitch="360"/>
        </w:sectPr>
      </w:pPr>
    </w:p>
    <w:p w14:paraId="2485BFC4" w14:textId="223EDB97" w:rsidR="008A194F" w:rsidRPr="005D72CD" w:rsidRDefault="008A194F" w:rsidP="00D911DD">
      <w:pPr>
        <w:rPr>
          <w:color w:val="385623" w:themeColor="accent6" w:themeShade="80"/>
        </w:rPr>
      </w:pPr>
      <w:r w:rsidRPr="0027592B">
        <w:rPr>
          <w:color w:val="767171" w:themeColor="background2" w:themeShade="80"/>
        </w:rPr>
        <w:t>Version</w:t>
      </w:r>
      <w:r w:rsidR="004B7969" w:rsidRPr="0027592B">
        <w:rPr>
          <w:color w:val="767171" w:themeColor="background2" w:themeShade="80"/>
        </w:rPr>
        <w:t>:</w:t>
      </w:r>
      <w:r w:rsidR="00837E53">
        <w:rPr>
          <w:color w:val="767171" w:themeColor="background2" w:themeShade="80"/>
        </w:rPr>
        <w:t xml:space="preserve"> </w:t>
      </w:r>
      <w:r w:rsidR="00FB0EEE">
        <w:t>1.</w:t>
      </w:r>
      <w:r w:rsidR="00995205">
        <w:t>0</w:t>
      </w:r>
    </w:p>
    <w:p w14:paraId="3A1A8E68" w14:textId="0B25D9D5" w:rsidR="008A194F" w:rsidRDefault="00D911DD" w:rsidP="00D911DD">
      <w:r>
        <w:rPr>
          <w:color w:val="767171" w:themeColor="background2" w:themeShade="80"/>
        </w:rPr>
        <w:br w:type="column"/>
      </w:r>
      <w:r w:rsidR="008A194F" w:rsidRPr="0027592B">
        <w:rPr>
          <w:color w:val="767171" w:themeColor="background2" w:themeShade="80"/>
        </w:rPr>
        <w:t>Published</w:t>
      </w:r>
      <w:r w:rsidR="00E12AFD" w:rsidRPr="0027592B">
        <w:rPr>
          <w:color w:val="767171" w:themeColor="background2" w:themeShade="80"/>
        </w:rPr>
        <w:t xml:space="preserve"> on</w:t>
      </w:r>
      <w:r w:rsidR="004B7969" w:rsidRPr="0027592B">
        <w:rPr>
          <w:color w:val="767171" w:themeColor="background2" w:themeShade="80"/>
        </w:rPr>
        <w:t>:</w:t>
      </w:r>
      <w:r w:rsidR="00837E53">
        <w:t xml:space="preserve"> </w:t>
      </w:r>
      <w:r w:rsidR="007F1FE0">
        <w:t>25 October</w:t>
      </w:r>
      <w:r w:rsidR="00995205">
        <w:t xml:space="preserve"> 2019</w:t>
      </w:r>
    </w:p>
    <w:p w14:paraId="27D5FB35" w14:textId="24BD8458" w:rsidR="00837E53" w:rsidRPr="002E6FDB" w:rsidRDefault="008A194F">
      <w:pPr>
        <w:rPr>
          <w:color w:val="385623" w:themeColor="accent6" w:themeShade="80"/>
        </w:rPr>
        <w:sectPr w:rsidR="00837E53" w:rsidRPr="002E6FDB" w:rsidSect="00837E53"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27592B">
        <w:rPr>
          <w:color w:val="767171" w:themeColor="background2" w:themeShade="80"/>
        </w:rPr>
        <w:t>Effective</w:t>
      </w:r>
      <w:r w:rsidR="00E12AFD" w:rsidRPr="0027592B">
        <w:rPr>
          <w:color w:val="767171" w:themeColor="background2" w:themeShade="80"/>
        </w:rPr>
        <w:t xml:space="preserve"> from</w:t>
      </w:r>
      <w:r w:rsidR="004B7969" w:rsidRPr="0027592B">
        <w:rPr>
          <w:color w:val="767171" w:themeColor="background2" w:themeShade="80"/>
        </w:rPr>
        <w:t>:</w:t>
      </w:r>
      <w:r w:rsidR="00837E53">
        <w:t xml:space="preserve"> </w:t>
      </w:r>
      <w:r w:rsidR="007F1FE0">
        <w:t>4 November</w:t>
      </w:r>
      <w:r w:rsidR="00995205">
        <w:t xml:space="preserve"> 2019</w:t>
      </w:r>
    </w:p>
    <w:p w14:paraId="5712E869" w14:textId="77777777" w:rsidR="004B7969" w:rsidRPr="0027592B" w:rsidRDefault="004B7969" w:rsidP="0027592B">
      <w:pPr>
        <w:pStyle w:val="guidelinedocinfo"/>
      </w:pPr>
      <w:r w:rsidRPr="0027592B">
        <w:t>Related documents and references</w:t>
      </w:r>
    </w:p>
    <w:p w14:paraId="0B6ADAEA" w14:textId="77777777" w:rsidR="00F46AEF" w:rsidRDefault="00F46AEF" w:rsidP="00D911DD">
      <w:pPr>
        <w:pStyle w:val="guidelinechanges"/>
        <w:sectPr w:rsidR="00F46AEF" w:rsidSect="00837E53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D5D0386" w14:textId="6B95D8FA" w:rsidR="0026083D" w:rsidRPr="00ED76B4" w:rsidRDefault="00427921" w:rsidP="0026083D">
      <w:pPr>
        <w:pStyle w:val="guidelinechanges"/>
      </w:pPr>
      <w:r>
        <w:t xml:space="preserve">New Employment Services Trial (NEST) </w:t>
      </w:r>
      <w:r w:rsidR="0026083D" w:rsidRPr="00D2637E">
        <w:t>Direct Registration Guideline</w:t>
      </w:r>
    </w:p>
    <w:p w14:paraId="145CEE38" w14:textId="57EE1E7F" w:rsidR="0004462D" w:rsidRPr="00ED76B4" w:rsidRDefault="0004462D" w:rsidP="0004462D">
      <w:pPr>
        <w:pStyle w:val="guidelinechanges"/>
      </w:pPr>
      <w:r w:rsidRPr="00D2637E">
        <w:t>Using the Employment Fund General Account Guideline</w:t>
      </w:r>
    </w:p>
    <w:p w14:paraId="3FA16F4E" w14:textId="5873490B" w:rsidR="00F46AEF" w:rsidRPr="00ED76B4" w:rsidRDefault="00F46AEF" w:rsidP="00904CE6">
      <w:pPr>
        <w:pStyle w:val="guidelinechanges"/>
        <w:rPr>
          <w:rStyle w:val="Hyperlink"/>
        </w:rPr>
        <w:sectPr w:rsidR="00F46AEF" w:rsidRPr="00ED76B4" w:rsidSect="00F46AEF"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F37D024" w14:textId="3F79566C" w:rsidR="004A5441" w:rsidRPr="00ED76B4" w:rsidRDefault="00427921" w:rsidP="00904CE6">
      <w:pPr>
        <w:pStyle w:val="guidelinechanges"/>
        <w:rPr>
          <w:rStyle w:val="Hyperlink"/>
          <w:szCs w:val="20"/>
        </w:rPr>
      </w:pPr>
      <w:r>
        <w:t xml:space="preserve">New Employment Services Trial (NEST) </w:t>
      </w:r>
      <w:r w:rsidR="004A5441" w:rsidRPr="00D2637E">
        <w:rPr>
          <w:szCs w:val="20"/>
        </w:rPr>
        <w:t>Eligibility Referral and Commencement Guideline</w:t>
      </w:r>
    </w:p>
    <w:p w14:paraId="0B38AF87" w14:textId="5659D8E4" w:rsidR="004A5441" w:rsidRPr="00ED76B4" w:rsidRDefault="00427921" w:rsidP="004A5441">
      <w:pPr>
        <w:pStyle w:val="guidelinechanges"/>
      </w:pPr>
      <w:r>
        <w:t xml:space="preserve">New Employment Services Trial (NEST) </w:t>
      </w:r>
      <w:r w:rsidR="004A5441" w:rsidRPr="00D2637E">
        <w:t>Managing Relocation Assistance to Take Up a Job Guideline</w:t>
      </w:r>
    </w:p>
    <w:p w14:paraId="18B2753C" w14:textId="27EDC3CE" w:rsidR="005E0423" w:rsidRPr="00D2795D" w:rsidRDefault="00427921" w:rsidP="00904CE6">
      <w:pPr>
        <w:pStyle w:val="guidelinechanges"/>
        <w:rPr>
          <w:rStyle w:val="Hyperlink"/>
          <w:szCs w:val="20"/>
        </w:rPr>
      </w:pPr>
      <w:r>
        <w:t xml:space="preserve">New Employment Services Trial (NEST) </w:t>
      </w:r>
      <w:r w:rsidR="005E0423" w:rsidRPr="00D2637E">
        <w:rPr>
          <w:szCs w:val="20"/>
        </w:rPr>
        <w:t>Period of Service, Suspension and Exits Guideline</w:t>
      </w:r>
    </w:p>
    <w:p w14:paraId="11483233" w14:textId="78D685C0" w:rsidR="004A5441" w:rsidRDefault="00427921" w:rsidP="004A5441">
      <w:pPr>
        <w:pStyle w:val="guidelinechanges"/>
        <w:rPr>
          <w:rStyle w:val="Hyperlink"/>
        </w:rPr>
      </w:pPr>
      <w:r>
        <w:t xml:space="preserve">New Employment Services Trial (NEST) </w:t>
      </w:r>
      <w:r w:rsidR="004A5441" w:rsidRPr="00D2637E">
        <w:t>Structural Adjustment Programmes Guideline</w:t>
      </w:r>
    </w:p>
    <w:p w14:paraId="19BA993C" w14:textId="577353ED" w:rsidR="00D726B2" w:rsidRPr="00D726B2" w:rsidRDefault="00D726B2" w:rsidP="00D726B2">
      <w:pPr>
        <w:pStyle w:val="guidelinechanges"/>
      </w:pPr>
      <w:r w:rsidRPr="00D2795D">
        <w:t>Adelaide Region factsheet</w:t>
      </w:r>
      <w:r w:rsidRPr="00ED76B4">
        <w:t xml:space="preserve"> </w:t>
      </w:r>
    </w:p>
    <w:p w14:paraId="700210ED" w14:textId="3CFEC977" w:rsidR="00A41408" w:rsidRPr="00D2795D" w:rsidRDefault="00375D02" w:rsidP="00D726B2">
      <w:pPr>
        <w:pStyle w:val="guidelinechanges"/>
      </w:pPr>
      <w:r>
        <w:t>New Employment Services Trial (NEST)</w:t>
      </w:r>
      <w:r w:rsidR="00A41408" w:rsidRPr="00D2795D">
        <w:t xml:space="preserve"> </w:t>
      </w:r>
      <w:r w:rsidR="00A41408" w:rsidRPr="00D2637E">
        <w:t>Deed 20</w:t>
      </w:r>
      <w:r w:rsidR="00224296" w:rsidRPr="00D2637E">
        <w:t>1</w:t>
      </w:r>
      <w:r w:rsidR="00995205" w:rsidRPr="00D2637E">
        <w:t>9</w:t>
      </w:r>
      <w:r w:rsidR="00224296" w:rsidRPr="00D2637E">
        <w:t xml:space="preserve"> - 202</w:t>
      </w:r>
      <w:r w:rsidR="000175DD" w:rsidRPr="00D2637E">
        <w:t>2</w:t>
      </w:r>
    </w:p>
    <w:p w14:paraId="1A503A3A" w14:textId="49BD1235" w:rsidR="00110014" w:rsidRDefault="00110014" w:rsidP="004B79F8">
      <w:pPr>
        <w:pStyle w:val="guidelinechanges"/>
      </w:pPr>
      <w:r>
        <w:br w:type="page"/>
      </w:r>
    </w:p>
    <w:sdt>
      <w:sdtPr>
        <w:rPr>
          <w:color w:val="auto"/>
          <w:lang w:val="en-AU"/>
        </w:rPr>
        <w:id w:val="50333243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2D68CBA" w14:textId="77777777" w:rsidR="00733501" w:rsidRPr="004B79F8" w:rsidRDefault="00733501">
          <w:pPr>
            <w:pStyle w:val="TOCHeading"/>
            <w:rPr>
              <w:b/>
            </w:rPr>
          </w:pPr>
          <w:r w:rsidRPr="004B79F8">
            <w:rPr>
              <w:b/>
            </w:rPr>
            <w:t>Contents</w:t>
          </w:r>
        </w:p>
        <w:p w14:paraId="6D86D098" w14:textId="4ED1FDBC" w:rsidR="00143ACE" w:rsidRPr="00143ACE" w:rsidRDefault="00143ACE">
          <w:pPr>
            <w:pStyle w:val="TOC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r w:rsidRPr="00D2637E">
            <w:rPr>
              <w:b w:val="0"/>
              <w:noProof/>
              <w:sz w:val="22"/>
              <w:szCs w:val="22"/>
            </w:rPr>
            <w:t>1.</w:t>
          </w:r>
          <w:r w:rsidRPr="00143ACE"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  <w:tab/>
          </w:r>
          <w:r w:rsidRPr="00D2637E">
            <w:rPr>
              <w:b w:val="0"/>
              <w:noProof/>
              <w:sz w:val="22"/>
              <w:szCs w:val="22"/>
            </w:rPr>
            <w:t>Registering and Commencing Stronger Transitions Participants</w:t>
          </w:r>
          <w:r w:rsidRPr="00143ACE">
            <w:rPr>
              <w:b w:val="0"/>
              <w:noProof/>
              <w:webHidden/>
              <w:sz w:val="22"/>
              <w:szCs w:val="22"/>
            </w:rPr>
            <w:tab/>
          </w:r>
          <w:r w:rsidR="008904A2">
            <w:rPr>
              <w:b w:val="0"/>
              <w:noProof/>
              <w:webHidden/>
              <w:sz w:val="22"/>
              <w:szCs w:val="22"/>
            </w:rPr>
            <w:t>3</w:t>
          </w:r>
        </w:p>
        <w:p w14:paraId="67FD5A6B" w14:textId="038621D3" w:rsidR="00143ACE" w:rsidRPr="00143ACE" w:rsidRDefault="00143ACE">
          <w:pPr>
            <w:pStyle w:val="TOC2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r w:rsidRPr="00D2637E">
            <w:rPr>
              <w:i w:val="0"/>
              <w:noProof/>
              <w:sz w:val="22"/>
              <w:szCs w:val="22"/>
            </w:rPr>
            <w:t>Directly registering Participants</w:t>
          </w:r>
          <w:r w:rsidRPr="00143ACE">
            <w:rPr>
              <w:i w:val="0"/>
              <w:noProof/>
              <w:webHidden/>
              <w:sz w:val="22"/>
              <w:szCs w:val="22"/>
            </w:rPr>
            <w:tab/>
          </w:r>
          <w:r w:rsidR="008904A2">
            <w:rPr>
              <w:i w:val="0"/>
              <w:noProof/>
              <w:webHidden/>
              <w:sz w:val="22"/>
              <w:szCs w:val="22"/>
            </w:rPr>
            <w:t>3</w:t>
          </w:r>
        </w:p>
        <w:p w14:paraId="7D8296CE" w14:textId="55F91CD1" w:rsidR="00143ACE" w:rsidRPr="00143ACE" w:rsidRDefault="00143ACE">
          <w:pPr>
            <w:pStyle w:val="TOC2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r w:rsidRPr="00D2637E">
            <w:rPr>
              <w:i w:val="0"/>
              <w:noProof/>
              <w:sz w:val="22"/>
              <w:szCs w:val="22"/>
            </w:rPr>
            <w:t>Checking eligibility on registration</w:t>
          </w:r>
          <w:r w:rsidRPr="00143ACE">
            <w:rPr>
              <w:i w:val="0"/>
              <w:noProof/>
              <w:webHidden/>
              <w:sz w:val="22"/>
              <w:szCs w:val="22"/>
            </w:rPr>
            <w:tab/>
          </w:r>
          <w:r w:rsidR="008904A2">
            <w:rPr>
              <w:i w:val="0"/>
              <w:noProof/>
              <w:webHidden/>
              <w:sz w:val="22"/>
              <w:szCs w:val="22"/>
            </w:rPr>
            <w:t>3</w:t>
          </w:r>
        </w:p>
        <w:p w14:paraId="15E0582C" w14:textId="724F2EAB" w:rsidR="00143ACE" w:rsidRPr="00143ACE" w:rsidRDefault="00143ACE">
          <w:pPr>
            <w:pStyle w:val="TOC2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r w:rsidRPr="00D2637E">
            <w:rPr>
              <w:i w:val="0"/>
              <w:noProof/>
              <w:sz w:val="22"/>
              <w:szCs w:val="22"/>
            </w:rPr>
            <w:t>Applying the Stronger Transitions special placement indicator on registration</w:t>
          </w:r>
          <w:r w:rsidRPr="00143ACE">
            <w:rPr>
              <w:i w:val="0"/>
              <w:noProof/>
              <w:webHidden/>
              <w:sz w:val="22"/>
              <w:szCs w:val="22"/>
            </w:rPr>
            <w:tab/>
          </w:r>
          <w:r w:rsidR="008904A2">
            <w:rPr>
              <w:i w:val="0"/>
              <w:noProof/>
              <w:webHidden/>
              <w:sz w:val="22"/>
              <w:szCs w:val="22"/>
            </w:rPr>
            <w:t>3</w:t>
          </w:r>
        </w:p>
        <w:p w14:paraId="5AA342DC" w14:textId="3CE2C9B3" w:rsidR="00143ACE" w:rsidRPr="00143ACE" w:rsidRDefault="00143ACE">
          <w:pPr>
            <w:pStyle w:val="TOC3"/>
            <w:rPr>
              <w:rFonts w:eastAsiaTheme="minorEastAsia" w:cstheme="minorBidi"/>
              <w:noProof/>
              <w:sz w:val="22"/>
              <w:szCs w:val="22"/>
              <w:lang w:eastAsia="en-AU"/>
            </w:rPr>
          </w:pPr>
          <w:r w:rsidRPr="00D2637E">
            <w:rPr>
              <w:noProof/>
              <w:sz w:val="22"/>
              <w:szCs w:val="22"/>
            </w:rPr>
            <w:t>Table 1 Special placement indicators</w:t>
          </w:r>
          <w:r w:rsidRPr="00143ACE">
            <w:rPr>
              <w:noProof/>
              <w:webHidden/>
              <w:sz w:val="22"/>
              <w:szCs w:val="22"/>
            </w:rPr>
            <w:tab/>
          </w:r>
          <w:r w:rsidR="008904A2">
            <w:rPr>
              <w:noProof/>
              <w:webHidden/>
              <w:sz w:val="22"/>
              <w:szCs w:val="22"/>
            </w:rPr>
            <w:t>4</w:t>
          </w:r>
        </w:p>
        <w:p w14:paraId="4448D893" w14:textId="3E268D73" w:rsidR="00143ACE" w:rsidRPr="00143ACE" w:rsidRDefault="00143ACE">
          <w:pPr>
            <w:pStyle w:val="TOC2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r w:rsidRPr="00D2637E">
            <w:rPr>
              <w:i w:val="0"/>
              <w:noProof/>
              <w:sz w:val="22"/>
              <w:szCs w:val="22"/>
            </w:rPr>
            <w:t>Updating or removing a Stronger Transitions special placement</w:t>
          </w:r>
          <w:r w:rsidRPr="00143ACE">
            <w:rPr>
              <w:i w:val="0"/>
              <w:noProof/>
              <w:webHidden/>
              <w:sz w:val="22"/>
              <w:szCs w:val="22"/>
            </w:rPr>
            <w:tab/>
          </w:r>
          <w:r w:rsidR="008904A2">
            <w:rPr>
              <w:i w:val="0"/>
              <w:noProof/>
              <w:webHidden/>
              <w:sz w:val="22"/>
              <w:szCs w:val="22"/>
            </w:rPr>
            <w:t>4</w:t>
          </w:r>
        </w:p>
        <w:p w14:paraId="39A95366" w14:textId="45CB15F8" w:rsidR="00143ACE" w:rsidRPr="00143ACE" w:rsidRDefault="00143ACE">
          <w:pPr>
            <w:pStyle w:val="TOC2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r w:rsidRPr="00D2637E">
            <w:rPr>
              <w:i w:val="0"/>
              <w:noProof/>
              <w:sz w:val="22"/>
              <w:szCs w:val="22"/>
            </w:rPr>
            <w:t>Classifying Participants</w:t>
          </w:r>
          <w:r w:rsidRPr="00143ACE">
            <w:rPr>
              <w:i w:val="0"/>
              <w:noProof/>
              <w:webHidden/>
              <w:sz w:val="22"/>
              <w:szCs w:val="22"/>
            </w:rPr>
            <w:tab/>
          </w:r>
          <w:r w:rsidR="008904A2">
            <w:rPr>
              <w:i w:val="0"/>
              <w:noProof/>
              <w:webHidden/>
              <w:sz w:val="22"/>
              <w:szCs w:val="22"/>
            </w:rPr>
            <w:t>4</w:t>
          </w:r>
        </w:p>
        <w:p w14:paraId="2FF13B49" w14:textId="5828AFF0" w:rsidR="00143ACE" w:rsidRPr="00143ACE" w:rsidRDefault="00143ACE">
          <w:pPr>
            <w:pStyle w:val="TOC2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r w:rsidRPr="00D2637E">
            <w:rPr>
              <w:i w:val="0"/>
              <w:noProof/>
              <w:sz w:val="22"/>
              <w:szCs w:val="22"/>
            </w:rPr>
            <w:t>Commencing Participants</w:t>
          </w:r>
          <w:r w:rsidRPr="00143ACE">
            <w:rPr>
              <w:i w:val="0"/>
              <w:noProof/>
              <w:webHidden/>
              <w:sz w:val="22"/>
              <w:szCs w:val="22"/>
            </w:rPr>
            <w:tab/>
          </w:r>
          <w:r w:rsidR="008904A2">
            <w:rPr>
              <w:i w:val="0"/>
              <w:noProof/>
              <w:webHidden/>
              <w:sz w:val="22"/>
              <w:szCs w:val="22"/>
            </w:rPr>
            <w:t>5</w:t>
          </w:r>
        </w:p>
        <w:p w14:paraId="547C2115" w14:textId="4E7316AB" w:rsidR="00143ACE" w:rsidRPr="00143ACE" w:rsidRDefault="00143ACE">
          <w:pPr>
            <w:pStyle w:val="TOC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r w:rsidRPr="00D2637E">
            <w:rPr>
              <w:b w:val="0"/>
              <w:noProof/>
              <w:sz w:val="22"/>
              <w:szCs w:val="22"/>
            </w:rPr>
            <w:t>2.</w:t>
          </w:r>
          <w:r w:rsidRPr="00143ACE"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  <w:tab/>
          </w:r>
          <w:r w:rsidRPr="00D2637E">
            <w:rPr>
              <w:b w:val="0"/>
              <w:noProof/>
              <w:sz w:val="22"/>
              <w:szCs w:val="22"/>
            </w:rPr>
            <w:t>Servicing Stronger Transitions Participants</w:t>
          </w:r>
          <w:r w:rsidRPr="00143ACE">
            <w:rPr>
              <w:b w:val="0"/>
              <w:noProof/>
              <w:webHidden/>
              <w:sz w:val="22"/>
              <w:szCs w:val="22"/>
            </w:rPr>
            <w:tab/>
          </w:r>
          <w:r w:rsidR="008904A2">
            <w:rPr>
              <w:b w:val="0"/>
              <w:noProof/>
              <w:webHidden/>
              <w:sz w:val="22"/>
              <w:szCs w:val="22"/>
            </w:rPr>
            <w:t>5</w:t>
          </w:r>
        </w:p>
        <w:p w14:paraId="390DF9FF" w14:textId="19BED215" w:rsidR="00143ACE" w:rsidRPr="00143ACE" w:rsidRDefault="00143ACE">
          <w:pPr>
            <w:pStyle w:val="TOC2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r w:rsidRPr="00D2637E">
            <w:rPr>
              <w:i w:val="0"/>
              <w:noProof/>
              <w:sz w:val="22"/>
              <w:szCs w:val="22"/>
            </w:rPr>
            <w:t>Using Transition Services Panel Members to deliver Comprehensive Skills Assessments</w:t>
          </w:r>
          <w:r w:rsidRPr="00143ACE">
            <w:rPr>
              <w:i w:val="0"/>
              <w:noProof/>
              <w:webHidden/>
              <w:sz w:val="22"/>
              <w:szCs w:val="22"/>
            </w:rPr>
            <w:tab/>
          </w:r>
          <w:r w:rsidR="008904A2">
            <w:rPr>
              <w:i w:val="0"/>
              <w:noProof/>
              <w:webHidden/>
              <w:sz w:val="22"/>
              <w:szCs w:val="22"/>
            </w:rPr>
            <w:t>6</w:t>
          </w:r>
        </w:p>
        <w:p w14:paraId="683C7D88" w14:textId="63C634BC" w:rsidR="00143ACE" w:rsidRPr="00143ACE" w:rsidRDefault="00143ACE">
          <w:pPr>
            <w:pStyle w:val="TOC2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r w:rsidRPr="00D2637E">
            <w:rPr>
              <w:i w:val="0"/>
              <w:noProof/>
              <w:sz w:val="22"/>
              <w:szCs w:val="22"/>
            </w:rPr>
            <w:t>Arranging the Comprehensive Skills Assessment</w:t>
          </w:r>
          <w:r w:rsidRPr="00143ACE">
            <w:rPr>
              <w:i w:val="0"/>
              <w:noProof/>
              <w:webHidden/>
              <w:sz w:val="22"/>
              <w:szCs w:val="22"/>
            </w:rPr>
            <w:tab/>
          </w:r>
          <w:r w:rsidR="008904A2">
            <w:rPr>
              <w:i w:val="0"/>
              <w:noProof/>
              <w:webHidden/>
              <w:sz w:val="22"/>
              <w:szCs w:val="22"/>
            </w:rPr>
            <w:t>6</w:t>
          </w:r>
        </w:p>
        <w:p w14:paraId="73A8B8B3" w14:textId="22FBF9D0" w:rsidR="00143ACE" w:rsidRPr="00143ACE" w:rsidRDefault="00143ACE">
          <w:pPr>
            <w:pStyle w:val="TOC2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r w:rsidRPr="00D2637E">
            <w:rPr>
              <w:i w:val="0"/>
              <w:noProof/>
              <w:sz w:val="22"/>
              <w:szCs w:val="22"/>
            </w:rPr>
            <w:t>Paying TSP Members for a Comprehensive Skills Assessment(s)</w:t>
          </w:r>
          <w:r w:rsidRPr="00143ACE">
            <w:rPr>
              <w:i w:val="0"/>
              <w:noProof/>
              <w:webHidden/>
              <w:sz w:val="22"/>
              <w:szCs w:val="22"/>
            </w:rPr>
            <w:tab/>
          </w:r>
          <w:r w:rsidR="008904A2">
            <w:rPr>
              <w:i w:val="0"/>
              <w:noProof/>
              <w:webHidden/>
              <w:sz w:val="22"/>
              <w:szCs w:val="22"/>
            </w:rPr>
            <w:t>7</w:t>
          </w:r>
        </w:p>
        <w:p w14:paraId="2AC29341" w14:textId="3019831D" w:rsidR="00143ACE" w:rsidRPr="00143ACE" w:rsidRDefault="00143ACE">
          <w:pPr>
            <w:pStyle w:val="TOC2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r w:rsidRPr="00D2637E">
            <w:rPr>
              <w:i w:val="0"/>
              <w:noProof/>
              <w:sz w:val="22"/>
              <w:szCs w:val="22"/>
            </w:rPr>
            <w:t>Employment facilitators</w:t>
          </w:r>
          <w:r w:rsidRPr="00143ACE">
            <w:rPr>
              <w:i w:val="0"/>
              <w:noProof/>
              <w:webHidden/>
              <w:sz w:val="22"/>
              <w:szCs w:val="22"/>
            </w:rPr>
            <w:tab/>
          </w:r>
          <w:r w:rsidR="008904A2">
            <w:rPr>
              <w:i w:val="0"/>
              <w:noProof/>
              <w:webHidden/>
              <w:sz w:val="22"/>
              <w:szCs w:val="22"/>
            </w:rPr>
            <w:t>7</w:t>
          </w:r>
        </w:p>
        <w:p w14:paraId="0597F192" w14:textId="0993299C" w:rsidR="00143ACE" w:rsidRPr="00143ACE" w:rsidRDefault="00143ACE">
          <w:pPr>
            <w:pStyle w:val="TOC2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r w:rsidRPr="00D2637E">
            <w:rPr>
              <w:i w:val="0"/>
              <w:noProof/>
              <w:sz w:val="22"/>
              <w:szCs w:val="22"/>
            </w:rPr>
            <w:t>Relocation Assistance</w:t>
          </w:r>
          <w:r w:rsidRPr="00143ACE">
            <w:rPr>
              <w:i w:val="0"/>
              <w:noProof/>
              <w:webHidden/>
              <w:sz w:val="22"/>
              <w:szCs w:val="22"/>
            </w:rPr>
            <w:tab/>
          </w:r>
          <w:r w:rsidR="008904A2">
            <w:rPr>
              <w:i w:val="0"/>
              <w:noProof/>
              <w:webHidden/>
              <w:sz w:val="22"/>
              <w:szCs w:val="22"/>
            </w:rPr>
            <w:t>7</w:t>
          </w:r>
        </w:p>
        <w:p w14:paraId="311B100F" w14:textId="3729CC75" w:rsidR="00143ACE" w:rsidRPr="00143ACE" w:rsidRDefault="00143ACE">
          <w:pPr>
            <w:pStyle w:val="TOC2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r w:rsidRPr="00D2637E">
            <w:rPr>
              <w:i w:val="0"/>
              <w:noProof/>
              <w:sz w:val="22"/>
              <w:szCs w:val="22"/>
            </w:rPr>
            <w:t>Activities</w:t>
          </w:r>
          <w:r w:rsidRPr="00143ACE">
            <w:rPr>
              <w:i w:val="0"/>
              <w:noProof/>
              <w:webHidden/>
              <w:sz w:val="22"/>
              <w:szCs w:val="22"/>
            </w:rPr>
            <w:tab/>
          </w:r>
          <w:r w:rsidR="008904A2">
            <w:rPr>
              <w:i w:val="0"/>
              <w:noProof/>
              <w:webHidden/>
              <w:sz w:val="22"/>
              <w:szCs w:val="22"/>
            </w:rPr>
            <w:t>7</w:t>
          </w:r>
        </w:p>
        <w:p w14:paraId="7643D4C1" w14:textId="335ADA63" w:rsidR="00143ACE" w:rsidRPr="00143ACE" w:rsidRDefault="00143ACE">
          <w:pPr>
            <w:pStyle w:val="TOC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r w:rsidRPr="00D2637E">
            <w:rPr>
              <w:b w:val="0"/>
              <w:noProof/>
              <w:sz w:val="22"/>
              <w:szCs w:val="22"/>
            </w:rPr>
            <w:t>3.</w:t>
          </w:r>
          <w:r w:rsidRPr="00143ACE"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  <w:tab/>
          </w:r>
          <w:r w:rsidRPr="00D2637E">
            <w:rPr>
              <w:b w:val="0"/>
              <w:noProof/>
              <w:sz w:val="22"/>
              <w:szCs w:val="22"/>
            </w:rPr>
            <w:t>Payments</w:t>
          </w:r>
          <w:r w:rsidRPr="00143ACE">
            <w:rPr>
              <w:b w:val="0"/>
              <w:noProof/>
              <w:webHidden/>
              <w:sz w:val="22"/>
              <w:szCs w:val="22"/>
            </w:rPr>
            <w:tab/>
          </w:r>
          <w:r w:rsidR="008904A2">
            <w:rPr>
              <w:b w:val="0"/>
              <w:noProof/>
              <w:webHidden/>
              <w:sz w:val="22"/>
              <w:szCs w:val="22"/>
            </w:rPr>
            <w:t>8</w:t>
          </w:r>
        </w:p>
        <w:p w14:paraId="2345F0FE" w14:textId="0D66B337" w:rsidR="00143ACE" w:rsidRPr="00143ACE" w:rsidRDefault="00143ACE">
          <w:pPr>
            <w:pStyle w:val="TOC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r w:rsidRPr="00D2637E">
            <w:rPr>
              <w:b w:val="0"/>
              <w:noProof/>
              <w:sz w:val="22"/>
              <w:szCs w:val="22"/>
            </w:rPr>
            <w:t>4.</w:t>
          </w:r>
          <w:r w:rsidRPr="00143ACE"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  <w:tab/>
          </w:r>
          <w:r w:rsidRPr="00D2637E">
            <w:rPr>
              <w:b w:val="0"/>
              <w:noProof/>
              <w:sz w:val="22"/>
              <w:szCs w:val="22"/>
            </w:rPr>
            <w:t>Managing structural adjustment credits</w:t>
          </w:r>
          <w:r w:rsidRPr="00143ACE">
            <w:rPr>
              <w:b w:val="0"/>
              <w:noProof/>
              <w:webHidden/>
              <w:sz w:val="22"/>
              <w:szCs w:val="22"/>
            </w:rPr>
            <w:tab/>
          </w:r>
          <w:r w:rsidR="008904A2">
            <w:rPr>
              <w:b w:val="0"/>
              <w:noProof/>
              <w:webHidden/>
              <w:sz w:val="22"/>
              <w:szCs w:val="22"/>
            </w:rPr>
            <w:t>8</w:t>
          </w:r>
        </w:p>
        <w:p w14:paraId="4D3B03EF" w14:textId="1950512B" w:rsidR="00143ACE" w:rsidRPr="00143ACE" w:rsidRDefault="00143ACE">
          <w:pPr>
            <w:pStyle w:val="TOC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r w:rsidRPr="00D2637E">
            <w:rPr>
              <w:b w:val="0"/>
              <w:noProof/>
              <w:sz w:val="22"/>
              <w:szCs w:val="22"/>
            </w:rPr>
            <w:t>5.</w:t>
          </w:r>
          <w:r w:rsidRPr="00143ACE"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  <w:tab/>
          </w:r>
          <w:r w:rsidRPr="00D2637E">
            <w:rPr>
              <w:b w:val="0"/>
              <w:noProof/>
              <w:sz w:val="22"/>
              <w:szCs w:val="22"/>
            </w:rPr>
            <w:t>Transfer of SAP Employment Fund credits</w:t>
          </w:r>
          <w:r w:rsidRPr="00143ACE">
            <w:rPr>
              <w:b w:val="0"/>
              <w:noProof/>
              <w:webHidden/>
              <w:sz w:val="22"/>
              <w:szCs w:val="22"/>
            </w:rPr>
            <w:tab/>
          </w:r>
          <w:r w:rsidR="008904A2">
            <w:rPr>
              <w:b w:val="0"/>
              <w:noProof/>
              <w:webHidden/>
              <w:sz w:val="22"/>
              <w:szCs w:val="22"/>
            </w:rPr>
            <w:t>9</w:t>
          </w:r>
        </w:p>
        <w:p w14:paraId="6C12C27C" w14:textId="57CB8529" w:rsidR="00143ACE" w:rsidRPr="00143ACE" w:rsidRDefault="00143ACE">
          <w:pPr>
            <w:pStyle w:val="TOC2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r w:rsidRPr="00D2637E">
            <w:rPr>
              <w:i w:val="0"/>
              <w:noProof/>
              <w:sz w:val="22"/>
              <w:szCs w:val="22"/>
            </w:rPr>
            <w:t>Transferring Credits between Sites</w:t>
          </w:r>
          <w:r w:rsidRPr="00143ACE">
            <w:rPr>
              <w:i w:val="0"/>
              <w:noProof/>
              <w:webHidden/>
              <w:sz w:val="22"/>
              <w:szCs w:val="22"/>
            </w:rPr>
            <w:tab/>
          </w:r>
          <w:r w:rsidR="008904A2">
            <w:rPr>
              <w:i w:val="0"/>
              <w:noProof/>
              <w:webHidden/>
              <w:sz w:val="22"/>
              <w:szCs w:val="22"/>
            </w:rPr>
            <w:t>9</w:t>
          </w:r>
        </w:p>
        <w:p w14:paraId="26BC0702" w14:textId="01FB0907" w:rsidR="00143ACE" w:rsidRPr="00143ACE" w:rsidRDefault="00143ACE">
          <w:pPr>
            <w:pStyle w:val="TOC2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AU"/>
            </w:rPr>
          </w:pPr>
          <w:r w:rsidRPr="00D2637E">
            <w:rPr>
              <w:i w:val="0"/>
              <w:noProof/>
              <w:sz w:val="22"/>
              <w:szCs w:val="22"/>
            </w:rPr>
            <w:t>Transferring Credits to another NEST Provider</w:t>
          </w:r>
          <w:r w:rsidRPr="00143ACE">
            <w:rPr>
              <w:i w:val="0"/>
              <w:noProof/>
              <w:webHidden/>
              <w:sz w:val="22"/>
              <w:szCs w:val="22"/>
            </w:rPr>
            <w:tab/>
          </w:r>
          <w:r w:rsidR="008904A2">
            <w:rPr>
              <w:i w:val="0"/>
              <w:noProof/>
              <w:webHidden/>
              <w:sz w:val="22"/>
              <w:szCs w:val="22"/>
            </w:rPr>
            <w:t>9</w:t>
          </w:r>
        </w:p>
        <w:p w14:paraId="1665AA3A" w14:textId="51E51B53" w:rsidR="00143ACE" w:rsidRPr="00143ACE" w:rsidRDefault="00143ACE">
          <w:pPr>
            <w:pStyle w:val="TOC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r w:rsidRPr="00D2637E">
            <w:rPr>
              <w:b w:val="0"/>
              <w:noProof/>
              <w:sz w:val="22"/>
              <w:szCs w:val="22"/>
            </w:rPr>
            <w:t>6.</w:t>
          </w:r>
          <w:r w:rsidRPr="00143ACE"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  <w:tab/>
          </w:r>
          <w:r w:rsidRPr="00D2637E">
            <w:rPr>
              <w:b w:val="0"/>
              <w:noProof/>
              <w:sz w:val="22"/>
              <w:szCs w:val="22"/>
            </w:rPr>
            <w:t>Exiting Stronger Transitions participants</w:t>
          </w:r>
          <w:r w:rsidRPr="00143ACE">
            <w:rPr>
              <w:b w:val="0"/>
              <w:noProof/>
              <w:webHidden/>
              <w:sz w:val="22"/>
              <w:szCs w:val="22"/>
            </w:rPr>
            <w:tab/>
          </w:r>
          <w:r w:rsidR="008904A2">
            <w:rPr>
              <w:b w:val="0"/>
              <w:noProof/>
              <w:webHidden/>
              <w:sz w:val="22"/>
              <w:szCs w:val="22"/>
            </w:rPr>
            <w:t>9</w:t>
          </w:r>
        </w:p>
        <w:p w14:paraId="55402605" w14:textId="082C89DD" w:rsidR="00143ACE" w:rsidRPr="00143ACE" w:rsidRDefault="00143ACE">
          <w:pPr>
            <w:pStyle w:val="TOC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r w:rsidRPr="00D2637E">
            <w:rPr>
              <w:b w:val="0"/>
              <w:noProof/>
              <w:sz w:val="22"/>
              <w:szCs w:val="22"/>
            </w:rPr>
            <w:t>7.</w:t>
          </w:r>
          <w:r w:rsidRPr="00143ACE"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  <w:tab/>
          </w:r>
          <w:r w:rsidRPr="00D2637E">
            <w:rPr>
              <w:b w:val="0"/>
              <w:noProof/>
              <w:sz w:val="22"/>
              <w:szCs w:val="22"/>
            </w:rPr>
            <w:t>Duration of Stronger Transitions</w:t>
          </w:r>
          <w:r w:rsidRPr="00143ACE">
            <w:rPr>
              <w:b w:val="0"/>
              <w:noProof/>
              <w:webHidden/>
              <w:sz w:val="22"/>
              <w:szCs w:val="22"/>
            </w:rPr>
            <w:tab/>
          </w:r>
          <w:r w:rsidR="008904A2">
            <w:rPr>
              <w:b w:val="0"/>
              <w:noProof/>
              <w:webHidden/>
              <w:sz w:val="22"/>
              <w:szCs w:val="22"/>
            </w:rPr>
            <w:t>9</w:t>
          </w:r>
        </w:p>
        <w:p w14:paraId="18FF7B70" w14:textId="5052B4D6" w:rsidR="00143ACE" w:rsidRPr="00143ACE" w:rsidRDefault="00143ACE">
          <w:pPr>
            <w:pStyle w:val="TOC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</w:pPr>
          <w:r w:rsidRPr="00D2637E">
            <w:rPr>
              <w:b w:val="0"/>
              <w:noProof/>
              <w:sz w:val="22"/>
              <w:szCs w:val="22"/>
            </w:rPr>
            <w:t>8.</w:t>
          </w:r>
          <w:r w:rsidRPr="00143ACE"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AU"/>
            </w:rPr>
            <w:tab/>
          </w:r>
          <w:r w:rsidRPr="00D2637E">
            <w:rPr>
              <w:b w:val="0"/>
              <w:noProof/>
              <w:sz w:val="22"/>
              <w:szCs w:val="22"/>
            </w:rPr>
            <w:t>Further information</w:t>
          </w:r>
          <w:r w:rsidRPr="00143ACE">
            <w:rPr>
              <w:b w:val="0"/>
              <w:noProof/>
              <w:webHidden/>
              <w:sz w:val="22"/>
              <w:szCs w:val="22"/>
            </w:rPr>
            <w:tab/>
          </w:r>
          <w:r w:rsidR="008904A2">
            <w:rPr>
              <w:b w:val="0"/>
              <w:noProof/>
              <w:webHidden/>
              <w:sz w:val="22"/>
              <w:szCs w:val="22"/>
            </w:rPr>
            <w:t>10</w:t>
          </w:r>
        </w:p>
        <w:p w14:paraId="2F9E2F9F" w14:textId="0B15650B" w:rsidR="00003D37" w:rsidRPr="00BD4DB8" w:rsidRDefault="00F01F50" w:rsidP="00003D37"/>
      </w:sdtContent>
    </w:sdt>
    <w:bookmarkStart w:id="1" w:name="_Toc510596814" w:displacedByCustomXml="prev"/>
    <w:bookmarkEnd w:id="1" w:displacedByCustomXml="prev"/>
    <w:bookmarkStart w:id="2" w:name="_Toc510594168" w:displacedByCustomXml="prev"/>
    <w:bookmarkEnd w:id="2" w:displacedByCustomXml="prev"/>
    <w:bookmarkStart w:id="3" w:name="_Toc510594135" w:displacedByCustomXml="prev"/>
    <w:bookmarkEnd w:id="3" w:displacedByCustomXml="prev"/>
    <w:bookmarkStart w:id="4" w:name="_Toc510594103" w:displacedByCustomXml="prev"/>
    <w:bookmarkEnd w:id="4" w:displacedByCustomXml="prev"/>
    <w:bookmarkStart w:id="5" w:name="_Toc510594070" w:displacedByCustomXml="prev"/>
    <w:bookmarkEnd w:id="5" w:displacedByCustomXml="prev"/>
    <w:bookmarkStart w:id="6" w:name="_Toc510594022" w:displacedByCustomXml="prev"/>
    <w:bookmarkEnd w:id="6" w:displacedByCustomXml="prev"/>
    <w:bookmarkStart w:id="7" w:name="_Toc510596811" w:displacedByCustomXml="prev"/>
    <w:bookmarkEnd w:id="7" w:displacedByCustomXml="prev"/>
    <w:bookmarkStart w:id="8" w:name="_Toc510594165" w:displacedByCustomXml="prev"/>
    <w:bookmarkEnd w:id="8" w:displacedByCustomXml="prev"/>
    <w:bookmarkStart w:id="9" w:name="_Toc510594132" w:displacedByCustomXml="prev"/>
    <w:bookmarkEnd w:id="9" w:displacedByCustomXml="prev"/>
    <w:bookmarkStart w:id="10" w:name="_Toc510594100" w:displacedByCustomXml="prev"/>
    <w:bookmarkEnd w:id="10" w:displacedByCustomXml="prev"/>
    <w:bookmarkStart w:id="11" w:name="_Toc510594067" w:displacedByCustomXml="prev"/>
    <w:bookmarkEnd w:id="11" w:displacedByCustomXml="prev"/>
    <w:bookmarkStart w:id="12" w:name="_Toc510594019" w:displacedByCustomXml="prev"/>
    <w:bookmarkEnd w:id="12" w:displacedByCustomXml="prev"/>
    <w:bookmarkStart w:id="13" w:name="_Toc510105710" w:displacedByCustomXml="prev"/>
    <w:bookmarkStart w:id="14" w:name="_Toc467508583" w:displacedByCustomXml="prev"/>
    <w:p w14:paraId="652E25A7" w14:textId="2B9C49EB" w:rsidR="00003D37" w:rsidRPr="00003D37" w:rsidRDefault="00003D37" w:rsidP="00003D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695970" w14:textId="2455C2D6" w:rsidR="00860931" w:rsidRDefault="00860931" w:rsidP="00860931">
      <w:pPr>
        <w:pStyle w:val="Heading1"/>
        <w:numPr>
          <w:ilvl w:val="0"/>
          <w:numId w:val="47"/>
        </w:numPr>
      </w:pPr>
      <w:bookmarkStart w:id="15" w:name="_Toc22739780"/>
      <w:r>
        <w:lastRenderedPageBreak/>
        <w:t xml:space="preserve">Registering and Commencing Stronger Transitions </w:t>
      </w:r>
      <w:r w:rsidR="00D00D80">
        <w:t>P</w:t>
      </w:r>
      <w:r>
        <w:t>articipants</w:t>
      </w:r>
      <w:bookmarkEnd w:id="15"/>
      <w:bookmarkEnd w:id="13"/>
    </w:p>
    <w:p w14:paraId="0B98F056" w14:textId="77777777" w:rsidR="0026083D" w:rsidRDefault="006D2A28" w:rsidP="00ED4F57">
      <w:pPr>
        <w:pStyle w:val="Heading2"/>
      </w:pPr>
      <w:bookmarkStart w:id="16" w:name="_Toc467508584"/>
      <w:bookmarkStart w:id="17" w:name="_Toc22739781"/>
      <w:bookmarkEnd w:id="14"/>
      <w:r>
        <w:t>Di</w:t>
      </w:r>
      <w:r w:rsidR="0026083D">
        <w:t>rectly register</w:t>
      </w:r>
      <w:bookmarkEnd w:id="16"/>
      <w:r w:rsidR="00860931">
        <w:t>ing Participants</w:t>
      </w:r>
      <w:bookmarkEnd w:id="17"/>
    </w:p>
    <w:p w14:paraId="0548D422" w14:textId="092F03F8" w:rsidR="00ED4F57" w:rsidRPr="00ED4F57" w:rsidRDefault="005D08F6" w:rsidP="00ED4F57">
      <w:pPr>
        <w:pStyle w:val="guidelinetext"/>
      </w:pPr>
      <w:r>
        <w:t>Participants</w:t>
      </w:r>
      <w:r w:rsidR="00ED4F57" w:rsidRPr="00ED4F57">
        <w:t xml:space="preserve"> who are eligible under</w:t>
      </w:r>
      <w:r w:rsidR="00D65F13">
        <w:t xml:space="preserve"> </w:t>
      </w:r>
      <w:r w:rsidR="00C4737C">
        <w:t xml:space="preserve">the </w:t>
      </w:r>
      <w:r w:rsidR="00D65F13">
        <w:t xml:space="preserve">Stronger Transitions </w:t>
      </w:r>
      <w:r w:rsidR="00224296">
        <w:t>P</w:t>
      </w:r>
      <w:r w:rsidR="00C4737C">
        <w:t>ackage</w:t>
      </w:r>
      <w:r w:rsidR="00375D02">
        <w:t xml:space="preserve"> </w:t>
      </w:r>
      <w:r w:rsidR="00ED4F57" w:rsidRPr="00ED4F57">
        <w:t xml:space="preserve">can register directly with a </w:t>
      </w:r>
      <w:r w:rsidR="000B171C">
        <w:t>NEST Provider</w:t>
      </w:r>
      <w:r w:rsidR="00ED4F57" w:rsidRPr="00ED4F57">
        <w:t xml:space="preserve">. </w:t>
      </w:r>
      <w:r w:rsidR="009062E7">
        <w:t>I</w:t>
      </w:r>
      <w:r w:rsidR="00ED4F57" w:rsidRPr="00ED4F57">
        <w:t>nformation</w:t>
      </w:r>
      <w:r w:rsidR="009062E7">
        <w:t xml:space="preserve"> on registering a </w:t>
      </w:r>
      <w:r w:rsidR="00D00D80">
        <w:t>P</w:t>
      </w:r>
      <w:r w:rsidR="009062E7">
        <w:t xml:space="preserve">articipant </w:t>
      </w:r>
      <w:proofErr w:type="gramStart"/>
      <w:r w:rsidR="009062E7">
        <w:t>can be found</w:t>
      </w:r>
      <w:proofErr w:type="gramEnd"/>
      <w:r w:rsidR="009062E7">
        <w:t xml:space="preserve"> in the </w:t>
      </w:r>
      <w:r w:rsidR="00375D02">
        <w:t xml:space="preserve">New Employment Services Trial (NEST) </w:t>
      </w:r>
      <w:r w:rsidR="00ED4F57" w:rsidRPr="00ED4F57">
        <w:t>Direct Registration Guideline.</w:t>
      </w:r>
    </w:p>
    <w:p w14:paraId="2D3275C6" w14:textId="77777777" w:rsidR="005D5556" w:rsidRDefault="00B93872" w:rsidP="00F501BE">
      <w:pPr>
        <w:pStyle w:val="Heading2"/>
      </w:pPr>
      <w:bookmarkStart w:id="18" w:name="_Toc22739782"/>
      <w:bookmarkStart w:id="19" w:name="_Toc467508587"/>
      <w:r>
        <w:t xml:space="preserve">Checking </w:t>
      </w:r>
      <w:r w:rsidR="00EA189B">
        <w:t>eligibility on registration</w:t>
      </w:r>
      <w:bookmarkEnd w:id="18"/>
    </w:p>
    <w:p w14:paraId="03DCF17E" w14:textId="0B9E71AC" w:rsidR="00860931" w:rsidRDefault="00860931" w:rsidP="00860931">
      <w:pPr>
        <w:pStyle w:val="guidelinetext"/>
      </w:pPr>
      <w:r>
        <w:t xml:space="preserve">When registering a </w:t>
      </w:r>
      <w:r w:rsidR="00970CA8">
        <w:t>P</w:t>
      </w:r>
      <w:r>
        <w:t>articipant, a</w:t>
      </w:r>
      <w:r w:rsidR="00375D02">
        <w:t xml:space="preserve"> </w:t>
      </w:r>
      <w:r w:rsidR="000B171C">
        <w:t>NEST Provider</w:t>
      </w:r>
      <w:r>
        <w:t xml:space="preserve"> must ensure that the </w:t>
      </w:r>
      <w:r w:rsidR="00970CA8">
        <w:t>P</w:t>
      </w:r>
      <w:r>
        <w:t>articipant is eligible for post</w:t>
      </w:r>
      <w:r w:rsidR="00EB1596">
        <w:noBreakHyphen/>
      </w:r>
      <w:r>
        <w:t>retrenchment support under Stronger Transitions. Participants are eligible if they:</w:t>
      </w:r>
    </w:p>
    <w:p w14:paraId="4E2929F7" w14:textId="77777777" w:rsidR="00860931" w:rsidRDefault="00860931" w:rsidP="00860931">
      <w:pPr>
        <w:pStyle w:val="guidelinetext"/>
        <w:numPr>
          <w:ilvl w:val="0"/>
          <w:numId w:val="36"/>
        </w:numPr>
      </w:pPr>
      <w:r>
        <w:t>can produce a letter of retrenchment, which includes their date of retrenchment and their retrenching Employer</w:t>
      </w:r>
    </w:p>
    <w:p w14:paraId="1C3BD59B" w14:textId="14D02A3C" w:rsidR="00860931" w:rsidRDefault="00860931" w:rsidP="00860931">
      <w:pPr>
        <w:pStyle w:val="guidelinetext"/>
        <w:numPr>
          <w:ilvl w:val="0"/>
          <w:numId w:val="36"/>
        </w:numPr>
      </w:pPr>
      <w:r w:rsidRPr="00B60D3A">
        <w:t xml:space="preserve">register with a </w:t>
      </w:r>
      <w:r w:rsidR="000B171C">
        <w:t>NEST Provider</w:t>
      </w:r>
      <w:r w:rsidRPr="00B60D3A">
        <w:t xml:space="preserve"> </w:t>
      </w:r>
      <w:r w:rsidRPr="00B75469">
        <w:t>within nine months of their retrenchment date</w:t>
      </w:r>
      <w:r w:rsidRPr="00B60D3A">
        <w:t>,</w:t>
      </w:r>
      <w:r>
        <w:t xml:space="preserve"> </w:t>
      </w:r>
      <w:r w:rsidR="006D5ED4">
        <w:t>(note</w:t>
      </w:r>
      <w:r w:rsidR="00EB1596">
        <w:t>:</w:t>
      </w:r>
      <w:r w:rsidR="006D5ED4">
        <w:t xml:space="preserve"> </w:t>
      </w:r>
      <w:r>
        <w:t>if the</w:t>
      </w:r>
      <w:r w:rsidR="006D5ED4">
        <w:t xml:space="preserve"> </w:t>
      </w:r>
      <w:r w:rsidR="00D00D80">
        <w:t>P</w:t>
      </w:r>
      <w:r w:rsidR="006D5ED4">
        <w:t>articipant has</w:t>
      </w:r>
      <w:r>
        <w:t xml:space="preserve"> a Stronger Transitions Support Statement they </w:t>
      </w:r>
      <w:r w:rsidR="006D5ED4">
        <w:t>can</w:t>
      </w:r>
      <w:r w:rsidR="00190055">
        <w:t xml:space="preserve"> also</w:t>
      </w:r>
      <w:r w:rsidR="006D5ED4">
        <w:t xml:space="preserve"> register </w:t>
      </w:r>
      <w:r>
        <w:t>up to three months prior to their retrenchment date</w:t>
      </w:r>
      <w:r w:rsidR="006D5ED4">
        <w:t>)</w:t>
      </w:r>
    </w:p>
    <w:p w14:paraId="3E7E4BDD" w14:textId="093B2949" w:rsidR="005D5556" w:rsidRDefault="006D5ED4" w:rsidP="009C268A">
      <w:pPr>
        <w:pStyle w:val="guidelinetext"/>
        <w:numPr>
          <w:ilvl w:val="0"/>
          <w:numId w:val="36"/>
        </w:numPr>
      </w:pPr>
      <w:r>
        <w:t xml:space="preserve">they </w:t>
      </w:r>
      <w:r w:rsidR="005D5556">
        <w:t xml:space="preserve">reside, or the </w:t>
      </w:r>
      <w:r>
        <w:t xml:space="preserve">Employer </w:t>
      </w:r>
      <w:r w:rsidR="005D5556">
        <w:t xml:space="preserve">their position is to be retrenched from </w:t>
      </w:r>
      <w:r>
        <w:t>is</w:t>
      </w:r>
      <w:r w:rsidR="007B645B">
        <w:t xml:space="preserve"> </w:t>
      </w:r>
      <w:r w:rsidR="005D5556">
        <w:t>located, in one of the following identified</w:t>
      </w:r>
      <w:r>
        <w:t xml:space="preserve"> Stronger Transitions</w:t>
      </w:r>
      <w:r w:rsidR="005D5556">
        <w:t xml:space="preserve"> </w:t>
      </w:r>
      <w:r w:rsidR="00B04FAB">
        <w:t>R</w:t>
      </w:r>
      <w:r w:rsidR="005D5556">
        <w:t>egions:</w:t>
      </w:r>
    </w:p>
    <w:p w14:paraId="0E312BBD" w14:textId="0E49027E" w:rsidR="005D5556" w:rsidRDefault="006D5ED4" w:rsidP="009C268A">
      <w:pPr>
        <w:pStyle w:val="guidelinetext"/>
        <w:numPr>
          <w:ilvl w:val="1"/>
          <w:numId w:val="36"/>
        </w:numPr>
        <w:ind w:left="2874" w:hanging="357"/>
        <w:contextualSpacing/>
      </w:pPr>
      <w:r w:rsidRPr="00D2637E">
        <w:t>A</w:t>
      </w:r>
      <w:r w:rsidR="005D5556" w:rsidRPr="00D2637E">
        <w:t>delaide (South Australia)</w:t>
      </w:r>
    </w:p>
    <w:p w14:paraId="0F67ABF5" w14:textId="36CC7CD2" w:rsidR="005D5556" w:rsidRDefault="005D5556" w:rsidP="009C268A">
      <w:pPr>
        <w:pStyle w:val="guidelinetext"/>
        <w:numPr>
          <w:ilvl w:val="1"/>
          <w:numId w:val="36"/>
        </w:numPr>
        <w:ind w:left="2874" w:hanging="357"/>
        <w:contextualSpacing/>
      </w:pPr>
      <w:r w:rsidRPr="00D2637E">
        <w:t>Mandurah (Western Australia)</w:t>
      </w:r>
    </w:p>
    <w:p w14:paraId="173C959F" w14:textId="5C940F4B" w:rsidR="005D5556" w:rsidRDefault="005D5556" w:rsidP="009C268A">
      <w:pPr>
        <w:pStyle w:val="guidelinetext"/>
        <w:numPr>
          <w:ilvl w:val="1"/>
          <w:numId w:val="36"/>
        </w:numPr>
        <w:ind w:left="2874" w:hanging="357"/>
        <w:contextualSpacing/>
      </w:pPr>
      <w:r w:rsidRPr="00D2637E">
        <w:t>North Queensland (Queensland)</w:t>
      </w:r>
    </w:p>
    <w:p w14:paraId="0A44B069" w14:textId="05721754" w:rsidR="005D5556" w:rsidRDefault="005D5556" w:rsidP="009C268A">
      <w:pPr>
        <w:pStyle w:val="guidelinetext"/>
        <w:numPr>
          <w:ilvl w:val="1"/>
          <w:numId w:val="36"/>
        </w:numPr>
        <w:ind w:left="2874" w:hanging="357"/>
        <w:contextualSpacing/>
      </w:pPr>
      <w:r w:rsidRPr="00D2637E">
        <w:t>Melbourne North/West (Victoria</w:t>
      </w:r>
      <w:r w:rsidR="00535C13" w:rsidRPr="00D2637E">
        <w:t>)</w:t>
      </w:r>
    </w:p>
    <w:p w14:paraId="08304FBD" w14:textId="49D4CC6B" w:rsidR="005D5556" w:rsidRDefault="005D5556" w:rsidP="009C268A">
      <w:pPr>
        <w:pStyle w:val="guidelinetext"/>
        <w:numPr>
          <w:ilvl w:val="1"/>
          <w:numId w:val="36"/>
        </w:numPr>
        <w:ind w:left="2874" w:hanging="357"/>
        <w:contextualSpacing/>
      </w:pPr>
      <w:r w:rsidRPr="00D2637E">
        <w:t>North/North-West Tasmania (Tasmania)</w:t>
      </w:r>
    </w:p>
    <w:p w14:paraId="406FC3DA" w14:textId="066119BA" w:rsidR="005D5556" w:rsidRDefault="000B171C" w:rsidP="00211B67">
      <w:pPr>
        <w:pStyle w:val="guidelinetext"/>
      </w:pPr>
      <w:r>
        <w:t>NEST Provider</w:t>
      </w:r>
      <w:r w:rsidR="007B645B">
        <w:t xml:space="preserve">s </w:t>
      </w:r>
      <w:r w:rsidR="002A573E">
        <w:t>should</w:t>
      </w:r>
      <w:r w:rsidR="007B645B">
        <w:t xml:space="preserve"> confirm</w:t>
      </w:r>
      <w:r w:rsidR="005D08F6">
        <w:t xml:space="preserve"> region</w:t>
      </w:r>
      <w:r w:rsidR="007B645B">
        <w:t xml:space="preserve"> </w:t>
      </w:r>
      <w:r w:rsidR="005D08F6">
        <w:t xml:space="preserve">eligibility </w:t>
      </w:r>
      <w:r w:rsidR="007B645B">
        <w:t>using</w:t>
      </w:r>
      <w:r w:rsidR="005D08F6">
        <w:t xml:space="preserve"> </w:t>
      </w:r>
      <w:r w:rsidR="00F501BE">
        <w:t>the relevant</w:t>
      </w:r>
      <w:r w:rsidR="005D08F6">
        <w:t xml:space="preserve"> Stronger Transitions </w:t>
      </w:r>
      <w:r w:rsidR="00B04FAB">
        <w:t>R</w:t>
      </w:r>
      <w:r w:rsidR="005D08F6">
        <w:t>egion factsheet</w:t>
      </w:r>
      <w:r w:rsidR="00F501BE">
        <w:t>. Each factsheet provides a map and list of associated postcodes</w:t>
      </w:r>
      <w:r w:rsidR="00E84BB4">
        <w:t xml:space="preserve"> or Employment Regions</w:t>
      </w:r>
      <w:r w:rsidR="00F501BE">
        <w:t>.</w:t>
      </w:r>
    </w:p>
    <w:p w14:paraId="1AB952E5" w14:textId="5491F486" w:rsidR="005504D8" w:rsidRDefault="005504D8" w:rsidP="00211B67">
      <w:pPr>
        <w:pStyle w:val="guidelinetext"/>
      </w:pPr>
      <w:r>
        <w:t>Note: Participants eligible for alternative Structural Adjustment Programmes</w:t>
      </w:r>
      <w:r w:rsidR="00872C7E">
        <w:t xml:space="preserve"> (SAP)</w:t>
      </w:r>
      <w:r>
        <w:t xml:space="preserve"> </w:t>
      </w:r>
      <w:r w:rsidR="00B066EF">
        <w:t>cannot</w:t>
      </w:r>
      <w:r>
        <w:t xml:space="preserve"> register </w:t>
      </w:r>
      <w:r w:rsidR="00B066EF">
        <w:t>for support under</w:t>
      </w:r>
      <w:r>
        <w:t xml:space="preserve"> Stronger Transitions</w:t>
      </w:r>
      <w:r w:rsidR="00375D02">
        <w:t>, refer to New Employment Services Trial (NEST) Structural Adjustment Programme Guideline</w:t>
      </w:r>
      <w:r>
        <w:t>.</w:t>
      </w:r>
    </w:p>
    <w:p w14:paraId="52ADE6B8" w14:textId="17887462" w:rsidR="00780E42" w:rsidRDefault="000B171C" w:rsidP="00211B67">
      <w:pPr>
        <w:pStyle w:val="guidelinetext"/>
      </w:pPr>
      <w:r>
        <w:t>NEST Provider</w:t>
      </w:r>
      <w:r w:rsidR="00780E42">
        <w:t>s with any concerns regarding region boundaries and</w:t>
      </w:r>
      <w:r w:rsidR="00190055">
        <w:t>/or</w:t>
      </w:r>
      <w:r w:rsidR="00780E42">
        <w:t xml:space="preserve"> a </w:t>
      </w:r>
      <w:r w:rsidR="00D00D80">
        <w:t>P</w:t>
      </w:r>
      <w:r w:rsidR="00780E42">
        <w:t>articipant’s eligibility should contact their Contract Manager or the Stronger Transitions team (</w:t>
      </w:r>
      <w:r w:rsidR="0060268B" w:rsidRPr="00D2637E">
        <w:t>StrongerTransitions@employment.gov.au</w:t>
      </w:r>
      <w:r w:rsidR="00780E42">
        <w:t>).</w:t>
      </w:r>
    </w:p>
    <w:p w14:paraId="7478FE47" w14:textId="77777777" w:rsidR="00EB1284" w:rsidRDefault="00190055" w:rsidP="009C268A">
      <w:pPr>
        <w:pStyle w:val="Heading2"/>
      </w:pPr>
      <w:bookmarkStart w:id="20" w:name="_Toc22739783"/>
      <w:r>
        <w:t>A</w:t>
      </w:r>
      <w:r w:rsidR="00B93872">
        <w:t>pplying</w:t>
      </w:r>
      <w:r w:rsidR="00AE12AD">
        <w:t xml:space="preserve"> the</w:t>
      </w:r>
      <w:r w:rsidR="00B93872">
        <w:t xml:space="preserve"> </w:t>
      </w:r>
      <w:r w:rsidR="008A4C97">
        <w:t>Stronger Transition</w:t>
      </w:r>
      <w:r w:rsidR="00F04B91">
        <w:t>s</w:t>
      </w:r>
      <w:r w:rsidR="008A4C97">
        <w:t xml:space="preserve"> s</w:t>
      </w:r>
      <w:r w:rsidR="00AE12AD">
        <w:t xml:space="preserve">pecial </w:t>
      </w:r>
      <w:r w:rsidR="008A4C97">
        <w:t>p</w:t>
      </w:r>
      <w:r w:rsidR="00AE12AD">
        <w:t xml:space="preserve">lacement </w:t>
      </w:r>
      <w:r>
        <w:t>indicator on registration</w:t>
      </w:r>
      <w:bookmarkEnd w:id="20"/>
    </w:p>
    <w:p w14:paraId="60BFD709" w14:textId="647E4DFB" w:rsidR="00F04B91" w:rsidRDefault="00F501BE" w:rsidP="00EA189B">
      <w:pPr>
        <w:pStyle w:val="guidelinetext"/>
        <w:keepNext/>
        <w:spacing w:after="240"/>
      </w:pPr>
      <w:r>
        <w:t xml:space="preserve">Once a </w:t>
      </w:r>
      <w:r w:rsidR="000B171C">
        <w:t>NEST Provider</w:t>
      </w:r>
      <w:r>
        <w:t xml:space="preserve"> </w:t>
      </w:r>
      <w:r w:rsidR="00190055">
        <w:t xml:space="preserve">has confirmed </w:t>
      </w:r>
      <w:r>
        <w:t xml:space="preserve">a </w:t>
      </w:r>
      <w:r w:rsidR="00970CA8">
        <w:t>P</w:t>
      </w:r>
      <w:r>
        <w:t>articipa</w:t>
      </w:r>
      <w:r w:rsidR="00F04B91">
        <w:t>nt</w:t>
      </w:r>
      <w:r w:rsidR="00190055">
        <w:t>’s</w:t>
      </w:r>
      <w:r w:rsidR="00F04B91">
        <w:t xml:space="preserve"> </w:t>
      </w:r>
      <w:proofErr w:type="gramStart"/>
      <w:r w:rsidR="00F04B91">
        <w:t>eligib</w:t>
      </w:r>
      <w:r w:rsidR="00190055">
        <w:t>ility</w:t>
      </w:r>
      <w:proofErr w:type="gramEnd"/>
      <w:r w:rsidR="00F04B91">
        <w:t xml:space="preserve"> they must apply one of the two</w:t>
      </w:r>
      <w:r>
        <w:t xml:space="preserve"> Stronger Transitions special placement indicator</w:t>
      </w:r>
      <w:r w:rsidR="00F04B91">
        <w:t>s</w:t>
      </w:r>
      <w:r w:rsidR="000C699F">
        <w:t xml:space="preserve">. </w:t>
      </w:r>
      <w:r w:rsidR="000A1ED6">
        <w:t xml:space="preserve">Having two special placements </w:t>
      </w:r>
      <w:proofErr w:type="gramStart"/>
      <w:r w:rsidR="00F24A15">
        <w:t>is designed</w:t>
      </w:r>
      <w:proofErr w:type="gramEnd"/>
      <w:r w:rsidR="00F24A15">
        <w:t xml:space="preserve"> to </w:t>
      </w:r>
      <w:r w:rsidR="000A1ED6">
        <w:t xml:space="preserve">assist </w:t>
      </w:r>
      <w:r w:rsidR="000B171C">
        <w:t>NEST Provider</w:t>
      </w:r>
      <w:r w:rsidR="000A1ED6">
        <w:t xml:space="preserve">s to effectively Service </w:t>
      </w:r>
      <w:r w:rsidR="00970CA8">
        <w:t>P</w:t>
      </w:r>
      <w:r w:rsidR="000A1ED6">
        <w:t>articipants and improve data collection for reporting and evaluation purposes.</w:t>
      </w:r>
      <w:r w:rsidR="00EA189B">
        <w:t xml:space="preserve"> See </w:t>
      </w:r>
      <w:r w:rsidR="00EA189B" w:rsidRPr="00D2637E">
        <w:t>Table 1 Special placement indicators</w:t>
      </w:r>
      <w:r w:rsidR="00EA189B">
        <w:t>.</w:t>
      </w:r>
    </w:p>
    <w:p w14:paraId="3AA96E2E" w14:textId="00149E6D" w:rsidR="000A1ED6" w:rsidRDefault="000A1ED6" w:rsidP="009C268A">
      <w:pPr>
        <w:pStyle w:val="guidelinetext"/>
        <w:numPr>
          <w:ilvl w:val="0"/>
          <w:numId w:val="46"/>
        </w:numPr>
        <w:spacing w:after="240"/>
        <w:ind w:left="2154" w:hanging="357"/>
      </w:pPr>
      <w:r w:rsidRPr="00B75469">
        <w:t>Stronger Transitions pre-</w:t>
      </w:r>
      <w:r w:rsidR="00EB1596" w:rsidRPr="00B75469">
        <w:t>retrenchment</w:t>
      </w:r>
      <w:r w:rsidRPr="00B75469">
        <w:t xml:space="preserve"> support</w:t>
      </w:r>
      <w:r w:rsidRPr="000A1ED6">
        <w:rPr>
          <w:b/>
        </w:rPr>
        <w:t xml:space="preserve"> </w:t>
      </w:r>
      <w:r w:rsidR="00B60D3A">
        <w:rPr>
          <w:b/>
        </w:rPr>
        <w:t xml:space="preserve">- </w:t>
      </w:r>
      <w:r>
        <w:t xml:space="preserve">This placement </w:t>
      </w:r>
      <w:proofErr w:type="gramStart"/>
      <w:r>
        <w:t>is used</w:t>
      </w:r>
      <w:proofErr w:type="gramEnd"/>
      <w:r>
        <w:t xml:space="preserve"> when a </w:t>
      </w:r>
      <w:r w:rsidR="00970CA8">
        <w:t>P</w:t>
      </w:r>
      <w:r>
        <w:t xml:space="preserve">articipant has received </w:t>
      </w:r>
      <w:r w:rsidR="006F3551">
        <w:t>skills and training</w:t>
      </w:r>
      <w:r>
        <w:t xml:space="preserve"> support under Stronger Transitions before they were retrenched. These </w:t>
      </w:r>
      <w:r w:rsidR="00970CA8">
        <w:t>P</w:t>
      </w:r>
      <w:r>
        <w:t xml:space="preserve">articipants will have a </w:t>
      </w:r>
      <w:r>
        <w:lastRenderedPageBreak/>
        <w:t xml:space="preserve">Stronger Transitions Support </w:t>
      </w:r>
      <w:proofErr w:type="gramStart"/>
      <w:r>
        <w:t>Statement which</w:t>
      </w:r>
      <w:proofErr w:type="gramEnd"/>
      <w:r>
        <w:t xml:space="preserve"> outlines all the support they have received so far under Stronger Transitions.</w:t>
      </w:r>
    </w:p>
    <w:p w14:paraId="10F4A27F" w14:textId="75CC8AB8" w:rsidR="000A1ED6" w:rsidRDefault="000A1ED6" w:rsidP="009C268A">
      <w:pPr>
        <w:pStyle w:val="guidelinetext"/>
        <w:numPr>
          <w:ilvl w:val="0"/>
          <w:numId w:val="46"/>
        </w:numPr>
        <w:spacing w:after="240"/>
        <w:ind w:left="2154" w:hanging="357"/>
      </w:pPr>
      <w:r w:rsidRPr="00B75469">
        <w:t xml:space="preserve">Stronger Transitions </w:t>
      </w:r>
      <w:r w:rsidR="00EA189B" w:rsidRPr="00B75469">
        <w:t>p</w:t>
      </w:r>
      <w:r w:rsidRPr="00B75469">
        <w:t>ost</w:t>
      </w:r>
      <w:r w:rsidRPr="00B75469">
        <w:noBreakHyphen/>
        <w:t>retrenchment</w:t>
      </w:r>
      <w:r>
        <w:t xml:space="preserve"> </w:t>
      </w:r>
      <w:r w:rsidR="00B60D3A">
        <w:t xml:space="preserve">- </w:t>
      </w:r>
      <w:r>
        <w:t xml:space="preserve">This placement </w:t>
      </w:r>
      <w:proofErr w:type="gramStart"/>
      <w:r>
        <w:t>is used</w:t>
      </w:r>
      <w:proofErr w:type="gramEnd"/>
      <w:r>
        <w:t xml:space="preserve"> for </w:t>
      </w:r>
      <w:r w:rsidR="00970CA8">
        <w:t>P</w:t>
      </w:r>
      <w:r>
        <w:t>articipants who have been retrenched and have not received any Stronger Transitions support to date.</w:t>
      </w:r>
    </w:p>
    <w:p w14:paraId="140A9611" w14:textId="77777777" w:rsidR="00535C13" w:rsidRPr="000A1ED6" w:rsidRDefault="00535C13" w:rsidP="00535C13">
      <w:pPr>
        <w:pStyle w:val="Heading3"/>
      </w:pPr>
      <w:bookmarkStart w:id="21" w:name="_Toc22739784"/>
      <w:r>
        <w:t>Table 1 Special placement indicators</w:t>
      </w:r>
      <w:bookmarkEnd w:id="21"/>
    </w:p>
    <w:tbl>
      <w:tblPr>
        <w:tblStyle w:val="TableGrid"/>
        <w:tblW w:w="9781" w:type="dxa"/>
        <w:tblInd w:w="-147" w:type="dxa"/>
        <w:tblLook w:val="04A0" w:firstRow="1" w:lastRow="0" w:firstColumn="1" w:lastColumn="0" w:noHBand="0" w:noVBand="1"/>
        <w:tblDescription w:val="Stronger Transitions special placement indicators. This table describes the two Stronger Transitions special placement indicators."/>
      </w:tblPr>
      <w:tblGrid>
        <w:gridCol w:w="2982"/>
        <w:gridCol w:w="4390"/>
        <w:gridCol w:w="2409"/>
      </w:tblGrid>
      <w:tr w:rsidR="00F04B91" w:rsidRPr="003A6E99" w14:paraId="21128AF6" w14:textId="77777777" w:rsidTr="007F1FE0">
        <w:trPr>
          <w:cantSplit/>
          <w:tblHeader/>
        </w:trPr>
        <w:tc>
          <w:tcPr>
            <w:tcW w:w="2982" w:type="dxa"/>
          </w:tcPr>
          <w:p w14:paraId="752BB8EE" w14:textId="77777777" w:rsidR="00F04B91" w:rsidRPr="00B75469" w:rsidRDefault="00F04B91" w:rsidP="009C268A">
            <w:pPr>
              <w:pStyle w:val="guidelinetext"/>
              <w:ind w:left="0"/>
              <w:rPr>
                <w:b/>
              </w:rPr>
            </w:pPr>
            <w:bookmarkStart w:id="22" w:name="Special_placement_indicators"/>
            <w:r w:rsidRPr="00B75469">
              <w:rPr>
                <w:b/>
              </w:rPr>
              <w:t>Special placement indicator</w:t>
            </w:r>
          </w:p>
        </w:tc>
        <w:tc>
          <w:tcPr>
            <w:tcW w:w="4390" w:type="dxa"/>
          </w:tcPr>
          <w:p w14:paraId="2962697D" w14:textId="77777777" w:rsidR="00F04B91" w:rsidRPr="00B75469" w:rsidRDefault="00F04B91" w:rsidP="009C268A">
            <w:pPr>
              <w:pStyle w:val="guidelinetext"/>
              <w:ind w:left="0"/>
              <w:rPr>
                <w:b/>
              </w:rPr>
            </w:pPr>
            <w:r w:rsidRPr="00B75469">
              <w:rPr>
                <w:b/>
              </w:rPr>
              <w:t>Evidence required</w:t>
            </w:r>
          </w:p>
        </w:tc>
        <w:tc>
          <w:tcPr>
            <w:tcW w:w="2409" w:type="dxa"/>
          </w:tcPr>
          <w:p w14:paraId="3F75B0F5" w14:textId="77777777" w:rsidR="00F04B91" w:rsidRPr="00B75469" w:rsidRDefault="0064481A" w:rsidP="009C268A">
            <w:pPr>
              <w:pStyle w:val="guidelinetext"/>
              <w:ind w:left="0"/>
              <w:rPr>
                <w:b/>
              </w:rPr>
            </w:pPr>
            <w:r w:rsidRPr="00B75469">
              <w:rPr>
                <w:b/>
              </w:rPr>
              <w:t xml:space="preserve">Retrenchment </w:t>
            </w:r>
            <w:r w:rsidR="003A6E99" w:rsidRPr="00B75469">
              <w:rPr>
                <w:b/>
              </w:rPr>
              <w:t xml:space="preserve">Date </w:t>
            </w:r>
            <w:r w:rsidRPr="00B75469">
              <w:rPr>
                <w:b/>
              </w:rPr>
              <w:t>Eligibility</w:t>
            </w:r>
          </w:p>
        </w:tc>
      </w:tr>
      <w:tr w:rsidR="00F04B91" w14:paraId="510E51D6" w14:textId="77777777" w:rsidTr="007F1FE0">
        <w:trPr>
          <w:cantSplit/>
        </w:trPr>
        <w:tc>
          <w:tcPr>
            <w:tcW w:w="2982" w:type="dxa"/>
          </w:tcPr>
          <w:p w14:paraId="5F69BEAE" w14:textId="77777777" w:rsidR="00F04B91" w:rsidRPr="00B60D3A" w:rsidRDefault="00F04B91" w:rsidP="009C268A">
            <w:pPr>
              <w:pStyle w:val="guidelinetext"/>
              <w:ind w:left="0"/>
            </w:pPr>
            <w:r w:rsidRPr="00B60D3A">
              <w:t>Stronger Transitions</w:t>
            </w:r>
            <w:r w:rsidR="00EA189B" w:rsidRPr="00B60D3A">
              <w:t xml:space="preserve"> </w:t>
            </w:r>
          </w:p>
          <w:p w14:paraId="76C505B4" w14:textId="77777777" w:rsidR="00F04B91" w:rsidRPr="00B60D3A" w:rsidRDefault="00F04B91" w:rsidP="00EB1596">
            <w:pPr>
              <w:pStyle w:val="guidelinetext"/>
              <w:ind w:left="0"/>
            </w:pPr>
            <w:r w:rsidRPr="00B60D3A">
              <w:t>pre-</w:t>
            </w:r>
            <w:r w:rsidR="00EB1596" w:rsidRPr="00B60D3A">
              <w:t>retrenchment</w:t>
            </w:r>
            <w:r w:rsidRPr="00B60D3A">
              <w:t xml:space="preserve"> support</w:t>
            </w:r>
          </w:p>
        </w:tc>
        <w:tc>
          <w:tcPr>
            <w:tcW w:w="4390" w:type="dxa"/>
          </w:tcPr>
          <w:p w14:paraId="7F78CB30" w14:textId="77777777" w:rsidR="00F04B91" w:rsidRPr="00C91B13" w:rsidRDefault="00F04B91" w:rsidP="009C268A">
            <w:pPr>
              <w:pStyle w:val="guidelinetext"/>
              <w:numPr>
                <w:ilvl w:val="0"/>
                <w:numId w:val="45"/>
              </w:numPr>
            </w:pPr>
            <w:r w:rsidRPr="00B60D3A">
              <w:t>Redundancy letter or separation certificate (fr</w:t>
            </w:r>
            <w:r w:rsidR="000C699F" w:rsidRPr="00C91B13">
              <w:t>om E</w:t>
            </w:r>
            <w:r w:rsidRPr="00C91B13">
              <w:t xml:space="preserve">mployer), and </w:t>
            </w:r>
          </w:p>
          <w:p w14:paraId="5817F9EE" w14:textId="77777777" w:rsidR="00F04B91" w:rsidRPr="006201E8" w:rsidRDefault="00F04B91" w:rsidP="009C268A">
            <w:pPr>
              <w:pStyle w:val="guidelinetext"/>
              <w:numPr>
                <w:ilvl w:val="0"/>
                <w:numId w:val="45"/>
              </w:numPr>
            </w:pPr>
            <w:r w:rsidRPr="006201E8">
              <w:t xml:space="preserve">Stronger Transitions Support </w:t>
            </w:r>
            <w:r w:rsidR="00F30436" w:rsidRPr="006201E8">
              <w:t>Statement</w:t>
            </w:r>
            <w:r w:rsidR="000A1ED6" w:rsidRPr="006201E8">
              <w:t xml:space="preserve"> (from </w:t>
            </w:r>
            <w:r w:rsidR="000C699F" w:rsidRPr="006201E8">
              <w:t>e</w:t>
            </w:r>
            <w:r w:rsidR="000A1ED6" w:rsidRPr="006201E8">
              <w:t xml:space="preserve">mployment </w:t>
            </w:r>
            <w:r w:rsidR="000C699F" w:rsidRPr="006201E8">
              <w:t>f</w:t>
            </w:r>
            <w:r w:rsidRPr="006201E8">
              <w:t>acilitator</w:t>
            </w:r>
            <w:r w:rsidR="000A1ED6" w:rsidRPr="006201E8">
              <w:t>, page 6</w:t>
            </w:r>
            <w:r w:rsidRPr="006201E8">
              <w:t>).</w:t>
            </w:r>
          </w:p>
        </w:tc>
        <w:tc>
          <w:tcPr>
            <w:tcW w:w="2409" w:type="dxa"/>
          </w:tcPr>
          <w:p w14:paraId="2ADC054A" w14:textId="77777777" w:rsidR="003A6E99" w:rsidRPr="00C91B13" w:rsidRDefault="00765175" w:rsidP="009C268A">
            <w:pPr>
              <w:pStyle w:val="guidelinetext"/>
              <w:numPr>
                <w:ilvl w:val="0"/>
                <w:numId w:val="45"/>
              </w:numPr>
            </w:pPr>
            <w:r w:rsidRPr="00873006">
              <w:t>3 months pre</w:t>
            </w:r>
            <w:r w:rsidRPr="00873006">
              <w:noBreakHyphen/>
            </w:r>
            <w:r w:rsidR="003A6E99" w:rsidRPr="00C91B13">
              <w:t>retrenchment</w:t>
            </w:r>
            <w:r w:rsidRPr="00C91B13">
              <w:t>, or</w:t>
            </w:r>
          </w:p>
          <w:p w14:paraId="55C3BBF4" w14:textId="77777777" w:rsidR="00F04B91" w:rsidRPr="00C91B13" w:rsidRDefault="00765175" w:rsidP="009C268A">
            <w:pPr>
              <w:pStyle w:val="guidelinetext"/>
              <w:numPr>
                <w:ilvl w:val="0"/>
                <w:numId w:val="45"/>
              </w:numPr>
            </w:pPr>
            <w:r w:rsidRPr="00C91B13">
              <w:t xml:space="preserve">up to 9 </w:t>
            </w:r>
            <w:r w:rsidR="003A6E99" w:rsidRPr="00C91B13">
              <w:t xml:space="preserve">months </w:t>
            </w:r>
            <w:r w:rsidRPr="00C91B13">
              <w:t>post</w:t>
            </w:r>
            <w:r w:rsidRPr="00C91B13">
              <w:noBreakHyphen/>
            </w:r>
            <w:r w:rsidR="003A6E99" w:rsidRPr="00C91B13">
              <w:t xml:space="preserve">retrenchment </w:t>
            </w:r>
          </w:p>
        </w:tc>
      </w:tr>
      <w:tr w:rsidR="00F04B91" w14:paraId="2536776C" w14:textId="77777777" w:rsidTr="007F1FE0">
        <w:trPr>
          <w:cantSplit/>
        </w:trPr>
        <w:tc>
          <w:tcPr>
            <w:tcW w:w="2982" w:type="dxa"/>
          </w:tcPr>
          <w:p w14:paraId="2D66628C" w14:textId="77777777" w:rsidR="00F04B91" w:rsidRDefault="00F04B91" w:rsidP="009C268A">
            <w:pPr>
              <w:pStyle w:val="guidelinetext"/>
              <w:ind w:left="0"/>
            </w:pPr>
            <w:r>
              <w:t>Stronger Transitions</w:t>
            </w:r>
            <w:r w:rsidR="00EA189B">
              <w:t xml:space="preserve"> </w:t>
            </w:r>
          </w:p>
          <w:p w14:paraId="4BDF6C9A" w14:textId="77777777" w:rsidR="00F04B91" w:rsidRDefault="00F04B91" w:rsidP="009C268A">
            <w:pPr>
              <w:pStyle w:val="guidelinetext"/>
              <w:ind w:left="0"/>
            </w:pPr>
            <w:r>
              <w:t>post-</w:t>
            </w:r>
            <w:r w:rsidR="003A6E99">
              <w:t>retrench</w:t>
            </w:r>
            <w:r>
              <w:t>ment</w:t>
            </w:r>
          </w:p>
        </w:tc>
        <w:tc>
          <w:tcPr>
            <w:tcW w:w="4390" w:type="dxa"/>
          </w:tcPr>
          <w:p w14:paraId="55561E52" w14:textId="77777777" w:rsidR="00F04B91" w:rsidRDefault="00F04B91" w:rsidP="009C268A">
            <w:pPr>
              <w:pStyle w:val="guidelinetext"/>
              <w:numPr>
                <w:ilvl w:val="0"/>
                <w:numId w:val="45"/>
              </w:numPr>
            </w:pPr>
            <w:r>
              <w:t xml:space="preserve">Redundancy letter or separation certificate (from </w:t>
            </w:r>
            <w:r w:rsidR="000C699F">
              <w:t>E</w:t>
            </w:r>
            <w:r>
              <w:t>mployer)</w:t>
            </w:r>
          </w:p>
        </w:tc>
        <w:tc>
          <w:tcPr>
            <w:tcW w:w="2409" w:type="dxa"/>
          </w:tcPr>
          <w:p w14:paraId="63D6097A" w14:textId="77777777" w:rsidR="00F04B91" w:rsidRDefault="00765175" w:rsidP="009C268A">
            <w:pPr>
              <w:pStyle w:val="guidelinetext"/>
              <w:numPr>
                <w:ilvl w:val="0"/>
                <w:numId w:val="45"/>
              </w:numPr>
            </w:pPr>
            <w:r>
              <w:t>up to 9 months post</w:t>
            </w:r>
            <w:r>
              <w:noBreakHyphen/>
              <w:t>retrenchment</w:t>
            </w:r>
          </w:p>
        </w:tc>
      </w:tr>
    </w:tbl>
    <w:bookmarkEnd w:id="22"/>
    <w:p w14:paraId="35902581" w14:textId="350BBE2C" w:rsidR="00EB1284" w:rsidRDefault="00725B96" w:rsidP="00A758F1">
      <w:pPr>
        <w:pStyle w:val="guidelinetext"/>
        <w:spacing w:before="240"/>
      </w:pPr>
      <w:r>
        <w:t xml:space="preserve">Any eligibility queries </w:t>
      </w:r>
      <w:proofErr w:type="gramStart"/>
      <w:r>
        <w:t>should be raised</w:t>
      </w:r>
      <w:proofErr w:type="gramEnd"/>
      <w:r>
        <w:t xml:space="preserve"> with a </w:t>
      </w:r>
      <w:r w:rsidR="000B171C">
        <w:t>NEST Provider</w:t>
      </w:r>
      <w:r>
        <w:t>’s Contract Manager, employment facilitator or the Stronger Transitions team (</w:t>
      </w:r>
      <w:r w:rsidR="0060268B" w:rsidRPr="00D2637E">
        <w:t>StrongerTransitions@employment.gov.au</w:t>
      </w:r>
      <w:r w:rsidRPr="00725B96">
        <w:rPr>
          <w:rStyle w:val="Hyperlink"/>
          <w:color w:val="auto"/>
          <w:u w:val="none"/>
        </w:rPr>
        <w:t>)</w:t>
      </w:r>
      <w:r w:rsidR="00DF4CA4">
        <w:rPr>
          <w:rStyle w:val="Hyperlink"/>
          <w:color w:val="auto"/>
          <w:u w:val="none"/>
        </w:rPr>
        <w:t>.</w:t>
      </w:r>
    </w:p>
    <w:p w14:paraId="55369551" w14:textId="2797E996" w:rsidR="00AE12AD" w:rsidRDefault="004E2408" w:rsidP="00B60D3A">
      <w:pPr>
        <w:pStyle w:val="Systemstep"/>
        <w:ind w:left="1418" w:hanging="1418"/>
      </w:pPr>
      <w:r w:rsidRPr="00B60D3A">
        <w:rPr>
          <w:b/>
        </w:rPr>
        <w:t>System step:</w:t>
      </w:r>
      <w:r>
        <w:t xml:space="preserve"> </w:t>
      </w:r>
      <w:r w:rsidR="000B171C">
        <w:t>NEST Provider</w:t>
      </w:r>
      <w:r w:rsidR="00AE12AD">
        <w:t>s</w:t>
      </w:r>
      <w:r w:rsidR="00AE12AD" w:rsidRPr="004E2408">
        <w:t xml:space="preserve"> must </w:t>
      </w:r>
      <w:r w:rsidR="00AE12AD">
        <w:t>a</w:t>
      </w:r>
      <w:r w:rsidR="00AE12AD" w:rsidRPr="004E2408">
        <w:t>pp</w:t>
      </w:r>
      <w:r w:rsidR="00AE12AD">
        <w:t>ly</w:t>
      </w:r>
      <w:r w:rsidR="00AE12AD" w:rsidRPr="004E2408">
        <w:t xml:space="preserve"> </w:t>
      </w:r>
      <w:r w:rsidR="00AE12AD">
        <w:t>t</w:t>
      </w:r>
      <w:r w:rsidR="00AE12AD" w:rsidRPr="004E2408">
        <w:t>h</w:t>
      </w:r>
      <w:r w:rsidR="00AE12AD">
        <w:t xml:space="preserve">e </w:t>
      </w:r>
      <w:r w:rsidR="00A758F1">
        <w:t>relevant</w:t>
      </w:r>
      <w:r w:rsidR="00A758F1" w:rsidRPr="004E2408">
        <w:t xml:space="preserve"> </w:t>
      </w:r>
      <w:r w:rsidR="00AE12AD" w:rsidRPr="004E2408">
        <w:t>Stronger Transitions Spe</w:t>
      </w:r>
      <w:r w:rsidR="00AE12AD">
        <w:t xml:space="preserve">cial Placement Indicator in the Special Client Type field to </w:t>
      </w:r>
      <w:r>
        <w:t>r</w:t>
      </w:r>
      <w:r w:rsidR="00AE12AD">
        <w:t xml:space="preserve">ecord </w:t>
      </w:r>
      <w:r>
        <w:t xml:space="preserve">that the </w:t>
      </w:r>
      <w:r w:rsidR="00D00D80">
        <w:t>P</w:t>
      </w:r>
      <w:r>
        <w:t xml:space="preserve">articipant </w:t>
      </w:r>
      <w:r w:rsidR="00AE12AD">
        <w:t>is</w:t>
      </w:r>
      <w:r w:rsidR="00AE12AD" w:rsidRPr="004E2408">
        <w:t xml:space="preserve"> e</w:t>
      </w:r>
      <w:r w:rsidR="00AE12AD">
        <w:t>li</w:t>
      </w:r>
      <w:r w:rsidR="00AE12AD" w:rsidRPr="004E2408">
        <w:t>g</w:t>
      </w:r>
      <w:r w:rsidR="00AE12AD">
        <w:t>i</w:t>
      </w:r>
      <w:r w:rsidR="00AE12AD" w:rsidRPr="004E2408">
        <w:t>b</w:t>
      </w:r>
      <w:r w:rsidR="00AE12AD">
        <w:t>le</w:t>
      </w:r>
      <w:r w:rsidR="00AE12AD" w:rsidRPr="004E2408">
        <w:t xml:space="preserve"> fo</w:t>
      </w:r>
      <w:r w:rsidR="00AE12AD">
        <w:t>r Stronger Transitions.</w:t>
      </w:r>
      <w:r>
        <w:t xml:space="preserve"> The relevant </w:t>
      </w:r>
      <w:r w:rsidR="00A758F1">
        <w:t xml:space="preserve">Stronger Transitions </w:t>
      </w:r>
      <w:r w:rsidR="00B04FAB">
        <w:t>R</w:t>
      </w:r>
      <w:r>
        <w:t xml:space="preserve">egion </w:t>
      </w:r>
      <w:proofErr w:type="gramStart"/>
      <w:r>
        <w:t>must also be applied</w:t>
      </w:r>
      <w:proofErr w:type="gramEnd"/>
      <w:r>
        <w:t xml:space="preserve"> for each </w:t>
      </w:r>
      <w:r w:rsidR="00D00D80">
        <w:t>P</w:t>
      </w:r>
      <w:r>
        <w:t>articipant.</w:t>
      </w:r>
    </w:p>
    <w:p w14:paraId="2A0B2888" w14:textId="475C1E73" w:rsidR="004E2408" w:rsidRPr="00E8532A" w:rsidRDefault="004E2408" w:rsidP="00B60D3A">
      <w:pPr>
        <w:pStyle w:val="docev"/>
        <w:ind w:left="1418" w:hanging="1418"/>
      </w:pPr>
      <w:r w:rsidRPr="00B60D3A">
        <w:rPr>
          <w:b/>
        </w:rPr>
        <w:t>Documentary evidence:</w:t>
      </w:r>
      <w:r w:rsidR="00B60D3A" w:rsidRPr="00B60D3A">
        <w:t xml:space="preserve"> The </w:t>
      </w:r>
      <w:r w:rsidR="000B171C">
        <w:t>NEST Provider</w:t>
      </w:r>
      <w:r w:rsidR="00B60D3A" w:rsidRPr="00B60D3A">
        <w:t xml:space="preserve"> must retain and upload a copy of the Participant’s redundancy letter or employment separation certificate and, if relevant, the Stronger Transitions Support Statement.</w:t>
      </w:r>
    </w:p>
    <w:p w14:paraId="7A522F48" w14:textId="77777777" w:rsidR="00A96BE8" w:rsidRDefault="00A96BE8" w:rsidP="00A96BE8">
      <w:pPr>
        <w:pStyle w:val="Heading2"/>
      </w:pPr>
      <w:bookmarkStart w:id="23" w:name="_Toc22739785"/>
      <w:r>
        <w:t>Updating or removing a Stronger Transitions special placement</w:t>
      </w:r>
      <w:bookmarkEnd w:id="23"/>
      <w:r>
        <w:t xml:space="preserve"> </w:t>
      </w:r>
    </w:p>
    <w:p w14:paraId="3DECDEB5" w14:textId="5AD4D828" w:rsidR="00A96BE8" w:rsidRDefault="000B171C" w:rsidP="00A96BE8">
      <w:pPr>
        <w:pStyle w:val="guidelinetext"/>
      </w:pPr>
      <w:r>
        <w:t>NEST Provider</w:t>
      </w:r>
      <w:r w:rsidR="00A96BE8">
        <w:t xml:space="preserve">s may update or remove </w:t>
      </w:r>
      <w:r w:rsidR="00A758F1">
        <w:t xml:space="preserve">a Stronger Transitions </w:t>
      </w:r>
      <w:r w:rsidR="00A96BE8">
        <w:t xml:space="preserve">special placement if they have incorrectly applied them to a </w:t>
      </w:r>
      <w:r w:rsidR="00D00D80">
        <w:t>P</w:t>
      </w:r>
      <w:r w:rsidR="00725B96">
        <w:t xml:space="preserve">articipant. </w:t>
      </w:r>
      <w:r w:rsidR="006A52DB">
        <w:t>P</w:t>
      </w:r>
      <w:r w:rsidR="00A758F1">
        <w:t xml:space="preserve">rior to </w:t>
      </w:r>
      <w:r w:rsidR="00A96BE8">
        <w:t xml:space="preserve">removing a Stronger Transitions </w:t>
      </w:r>
      <w:r w:rsidR="00725B96">
        <w:t xml:space="preserve">special placement </w:t>
      </w:r>
      <w:r w:rsidR="00A758F1">
        <w:t>indicator</w:t>
      </w:r>
      <w:r w:rsidR="006A52DB">
        <w:t xml:space="preserve">, the </w:t>
      </w:r>
      <w:r>
        <w:t>NEST Provider</w:t>
      </w:r>
      <w:r w:rsidR="006A52DB">
        <w:t xml:space="preserve"> must contact their Contract Manager outlining the reason for remov</w:t>
      </w:r>
      <w:r w:rsidR="001F2900">
        <w:t xml:space="preserve">ing the special </w:t>
      </w:r>
      <w:r w:rsidR="00224296">
        <w:t xml:space="preserve">placement </w:t>
      </w:r>
      <w:r w:rsidR="001F2900">
        <w:t>indicator</w:t>
      </w:r>
      <w:r w:rsidR="00A758F1">
        <w:t xml:space="preserve">. </w:t>
      </w:r>
    </w:p>
    <w:p w14:paraId="4328A1D7" w14:textId="295DD527" w:rsidR="00ED4F57" w:rsidRDefault="00A758F1" w:rsidP="00ED4F57">
      <w:pPr>
        <w:pStyle w:val="Heading2"/>
      </w:pPr>
      <w:bookmarkStart w:id="24" w:name="_Toc22739786"/>
      <w:r>
        <w:t xml:space="preserve">Classifying </w:t>
      </w:r>
      <w:r w:rsidR="00D00D80">
        <w:t>P</w:t>
      </w:r>
      <w:r w:rsidR="00E84BB4">
        <w:t>articipants</w:t>
      </w:r>
      <w:bookmarkEnd w:id="24"/>
    </w:p>
    <w:p w14:paraId="08D59804" w14:textId="06163E63" w:rsidR="00ED4F57" w:rsidRDefault="007C73C0" w:rsidP="00ED4F57">
      <w:pPr>
        <w:pStyle w:val="guidelinetext"/>
      </w:pPr>
      <w:r>
        <w:t xml:space="preserve">A </w:t>
      </w:r>
      <w:r w:rsidR="004C3374">
        <w:t>P</w:t>
      </w:r>
      <w:r w:rsidR="00211B67">
        <w:t>articipant</w:t>
      </w:r>
      <w:r>
        <w:t xml:space="preserve"> </w:t>
      </w:r>
      <w:r w:rsidR="00ED4F57" w:rsidRPr="00D00B07">
        <w:t>ha</w:t>
      </w:r>
      <w:r w:rsidR="009A6B43">
        <w:t>s</w:t>
      </w:r>
      <w:r w:rsidR="00ED4F57" w:rsidRPr="00D00B07">
        <w:t xml:space="preserve"> immediate access to </w:t>
      </w:r>
      <w:r w:rsidR="00375D02">
        <w:t xml:space="preserve">Enhanced Services </w:t>
      </w:r>
      <w:r w:rsidR="00A758F1">
        <w:t>on Commencement</w:t>
      </w:r>
      <w:r w:rsidR="00E84BB4">
        <w:t>, unless an Employment Services Assessment (</w:t>
      </w:r>
      <w:r w:rsidR="00E84BB4" w:rsidRPr="00ED4F57">
        <w:t>ESAt</w:t>
      </w:r>
      <w:r w:rsidR="00E84BB4">
        <w:t xml:space="preserve">) indicates that </w:t>
      </w:r>
      <w:r w:rsidR="005A322C">
        <w:t>additional</w:t>
      </w:r>
      <w:r w:rsidR="00E84BB4">
        <w:t xml:space="preserve"> assistance is required.</w:t>
      </w:r>
    </w:p>
    <w:p w14:paraId="05357BF1" w14:textId="59C15C5F" w:rsidR="009062E7" w:rsidRPr="00ED4F57" w:rsidRDefault="00A76A2F" w:rsidP="009062E7">
      <w:pPr>
        <w:pStyle w:val="guidelinetext"/>
      </w:pPr>
      <w:r>
        <w:t>P</w:t>
      </w:r>
      <w:r w:rsidR="009062E7">
        <w:t xml:space="preserve">articipants </w:t>
      </w:r>
      <w:r w:rsidR="009062E7" w:rsidRPr="00ED4F57">
        <w:t xml:space="preserve">do not require an initial </w:t>
      </w:r>
      <w:r w:rsidR="00567CF8" w:rsidRPr="00ED4F57">
        <w:t>Job Seeker Classification Instrument (</w:t>
      </w:r>
      <w:r w:rsidR="009062E7" w:rsidRPr="00ED4F57">
        <w:t>JSCI</w:t>
      </w:r>
      <w:r w:rsidR="00567CF8">
        <w:t>)</w:t>
      </w:r>
      <w:r w:rsidR="009062E7" w:rsidRPr="00ED4F57">
        <w:t xml:space="preserve"> Assessment before being </w:t>
      </w:r>
      <w:proofErr w:type="gramStart"/>
      <w:r w:rsidR="009062E7" w:rsidRPr="00ED4F57">
        <w:t>Commenced</w:t>
      </w:r>
      <w:proofErr w:type="gramEnd"/>
      <w:r w:rsidR="009062E7" w:rsidRPr="00ED4F57">
        <w:t xml:space="preserve"> in </w:t>
      </w:r>
      <w:r w:rsidR="00375D02">
        <w:t>Enhanced Services</w:t>
      </w:r>
      <w:r w:rsidR="009062E7">
        <w:t>. However, i</w:t>
      </w:r>
      <w:r w:rsidR="009062E7" w:rsidRPr="00ED4F57">
        <w:t xml:space="preserve">t </w:t>
      </w:r>
      <w:proofErr w:type="gramStart"/>
      <w:r w:rsidR="009062E7" w:rsidRPr="00ED4F57">
        <w:t>is recommended</w:t>
      </w:r>
      <w:proofErr w:type="gramEnd"/>
      <w:r w:rsidR="009062E7" w:rsidRPr="00ED4F57">
        <w:t xml:space="preserve"> that </w:t>
      </w:r>
      <w:r w:rsidR="000B171C">
        <w:t>NEST Provider</w:t>
      </w:r>
      <w:r w:rsidR="009062E7" w:rsidRPr="00ED4F57">
        <w:t xml:space="preserve">s conduct the </w:t>
      </w:r>
      <w:r w:rsidR="00567CF8">
        <w:t>JSCI</w:t>
      </w:r>
      <w:r w:rsidR="009062E7" w:rsidRPr="00ED4F57">
        <w:t xml:space="preserve"> for </w:t>
      </w:r>
      <w:r w:rsidR="004C3374">
        <w:t>P</w:t>
      </w:r>
      <w:r w:rsidR="009062E7">
        <w:t>articipants</w:t>
      </w:r>
      <w:r w:rsidR="009062E7" w:rsidRPr="00ED4F57">
        <w:t xml:space="preserve"> to gain a more comprehensive understanding of their circumstances relevant</w:t>
      </w:r>
      <w:r w:rsidR="009062E7">
        <w:t xml:space="preserve"> to the labour market. </w:t>
      </w:r>
    </w:p>
    <w:p w14:paraId="6FE07FA6" w14:textId="59BB684B" w:rsidR="009062E7" w:rsidRDefault="009062E7" w:rsidP="009062E7">
      <w:pPr>
        <w:pStyle w:val="guidelinetext"/>
      </w:pPr>
      <w:r w:rsidRPr="00ED4F57">
        <w:t xml:space="preserve">If the </w:t>
      </w:r>
      <w:r w:rsidR="000B171C">
        <w:t>NEST Provider</w:t>
      </w:r>
      <w:r w:rsidRPr="00ED4F57">
        <w:t xml:space="preserve"> determines that </w:t>
      </w:r>
      <w:r>
        <w:t xml:space="preserve">a </w:t>
      </w:r>
      <w:r w:rsidR="00D00D80">
        <w:t>P</w:t>
      </w:r>
      <w:r>
        <w:t>articipant</w:t>
      </w:r>
      <w:r w:rsidRPr="00ED4F57">
        <w:t xml:space="preserve"> requires an</w:t>
      </w:r>
      <w:r>
        <w:t xml:space="preserve"> </w:t>
      </w:r>
      <w:r w:rsidRPr="00ED4F57">
        <w:t xml:space="preserve">ESAt, they should refer the </w:t>
      </w:r>
      <w:r w:rsidR="004C3374">
        <w:t>P</w:t>
      </w:r>
      <w:r>
        <w:t>articipant</w:t>
      </w:r>
      <w:r w:rsidRPr="00ED4F57">
        <w:t xml:space="preserve"> to </w:t>
      </w:r>
      <w:r w:rsidR="00396D71">
        <w:t>Services Australia</w:t>
      </w:r>
      <w:r w:rsidRPr="00ED4F57">
        <w:t xml:space="preserve"> for further Assessment.</w:t>
      </w:r>
    </w:p>
    <w:p w14:paraId="6C772BFD" w14:textId="1A98D4C8" w:rsidR="00ED4F57" w:rsidRDefault="00A758F1" w:rsidP="00A14857">
      <w:pPr>
        <w:pStyle w:val="Heading2"/>
        <w:keepLines w:val="0"/>
      </w:pPr>
      <w:bookmarkStart w:id="25" w:name="_Toc22739787"/>
      <w:r>
        <w:lastRenderedPageBreak/>
        <w:t>C</w:t>
      </w:r>
      <w:r w:rsidR="00ED4F57" w:rsidRPr="00D00B07">
        <w:t xml:space="preserve">ommencing </w:t>
      </w:r>
      <w:r w:rsidR="00D00D80">
        <w:t>P</w:t>
      </w:r>
      <w:r w:rsidR="00E84BB4">
        <w:t>articipants</w:t>
      </w:r>
      <w:bookmarkEnd w:id="25"/>
    </w:p>
    <w:p w14:paraId="32DF8298" w14:textId="32B88B33" w:rsidR="00ED4F57" w:rsidRDefault="000B171C" w:rsidP="00ED4F57">
      <w:pPr>
        <w:pStyle w:val="guidelinetext"/>
      </w:pPr>
      <w:r>
        <w:t>NEST Provider</w:t>
      </w:r>
      <w:r w:rsidR="007C73C0">
        <w:t>s</w:t>
      </w:r>
      <w:r w:rsidR="00725B96">
        <w:t xml:space="preserve"> must conduct an Initial I</w:t>
      </w:r>
      <w:r w:rsidR="00ED4F57">
        <w:t>nterview for all</w:t>
      </w:r>
      <w:r w:rsidR="00725B96">
        <w:t xml:space="preserve"> </w:t>
      </w:r>
      <w:r w:rsidR="004C3374">
        <w:t>P</w:t>
      </w:r>
      <w:r w:rsidR="00211B67">
        <w:t>articipants</w:t>
      </w:r>
      <w:r w:rsidR="00ED4F57">
        <w:t>.</w:t>
      </w:r>
      <w:r w:rsidR="00725B96">
        <w:t xml:space="preserve"> </w:t>
      </w:r>
      <w:r w:rsidR="00ED4F57">
        <w:t xml:space="preserve">At the Initial </w:t>
      </w:r>
      <w:proofErr w:type="gramStart"/>
      <w:r w:rsidR="00ED4F57">
        <w:t>Interview</w:t>
      </w:r>
      <w:proofErr w:type="gramEnd"/>
      <w:r w:rsidR="00ED4F57">
        <w:t xml:space="preserve"> the </w:t>
      </w:r>
      <w:r>
        <w:t>NEST Provider</w:t>
      </w:r>
      <w:r w:rsidR="00ED4F57">
        <w:t xml:space="preserve"> must explain to the </w:t>
      </w:r>
      <w:r w:rsidR="004C3374">
        <w:t>P</w:t>
      </w:r>
      <w:r w:rsidR="00211B67">
        <w:t>articipant</w:t>
      </w:r>
      <w:r w:rsidR="00ED4F57">
        <w:t xml:space="preserve"> the services they will receive. This includes:</w:t>
      </w:r>
    </w:p>
    <w:p w14:paraId="43A1DA75" w14:textId="3FBF939C" w:rsidR="00ED4F57" w:rsidRDefault="00ED4F57" w:rsidP="00ED4F57">
      <w:pPr>
        <w:pStyle w:val="guidelinebullet"/>
      </w:pPr>
      <w:r>
        <w:t xml:space="preserve">explaining the </w:t>
      </w:r>
      <w:r w:rsidR="006543BC">
        <w:t>Enhanced</w:t>
      </w:r>
      <w:r>
        <w:t xml:space="preserve"> Services that the </w:t>
      </w:r>
      <w:r w:rsidR="000B171C">
        <w:t>NEST Provider</w:t>
      </w:r>
      <w:r>
        <w:t xml:space="preserve"> will </w:t>
      </w:r>
      <w:r w:rsidR="006543BC">
        <w:t>offer them</w:t>
      </w:r>
    </w:p>
    <w:p w14:paraId="3346A128" w14:textId="72FE044F" w:rsidR="00725B96" w:rsidRDefault="00725B96" w:rsidP="00725B96">
      <w:pPr>
        <w:pStyle w:val="guidelinebullet"/>
      </w:pPr>
      <w:r>
        <w:t xml:space="preserve">providing access to the Service Guarantee </w:t>
      </w:r>
    </w:p>
    <w:p w14:paraId="37A14F87" w14:textId="15F8383F" w:rsidR="00ED4F57" w:rsidRDefault="00ED4F57" w:rsidP="00ED4F57">
      <w:pPr>
        <w:pStyle w:val="guidelinebullet"/>
      </w:pPr>
      <w:r>
        <w:t xml:space="preserve">explaining the assistance </w:t>
      </w:r>
      <w:r w:rsidR="001157B3">
        <w:t>that a</w:t>
      </w:r>
      <w:r>
        <w:t xml:space="preserve"> </w:t>
      </w:r>
      <w:r w:rsidR="004C3374">
        <w:t>P</w:t>
      </w:r>
      <w:r w:rsidR="00211B67">
        <w:t>articipant</w:t>
      </w:r>
      <w:r>
        <w:t xml:space="preserve"> can receive</w:t>
      </w:r>
      <w:r w:rsidR="00211B67">
        <w:t xml:space="preserve"> in </w:t>
      </w:r>
      <w:r w:rsidR="005A322C">
        <w:t>NEST</w:t>
      </w:r>
      <w:r w:rsidR="00567CF8">
        <w:t>,</w:t>
      </w:r>
      <w:r w:rsidR="00725B96">
        <w:t xml:space="preserve"> specific to </w:t>
      </w:r>
      <w:r w:rsidR="00211B67">
        <w:t>the</w:t>
      </w:r>
      <w:r>
        <w:t xml:space="preserve"> </w:t>
      </w:r>
      <w:r w:rsidR="007C73C0">
        <w:t>Stronger Transitions</w:t>
      </w:r>
      <w:r w:rsidR="00211B67">
        <w:t xml:space="preserve"> package</w:t>
      </w:r>
      <w:r w:rsidR="00EB6A5F">
        <w:t xml:space="preserve">, including immediate access to </w:t>
      </w:r>
      <w:r w:rsidR="00A758F1">
        <w:t xml:space="preserve">the </w:t>
      </w:r>
      <w:r w:rsidR="00EB6A5F">
        <w:t>Relocation Assistance</w:t>
      </w:r>
      <w:r w:rsidR="00A758F1">
        <w:t xml:space="preserve"> To Take Up a Job programme</w:t>
      </w:r>
      <w:r w:rsidR="00EB6A5F">
        <w:t xml:space="preserve"> and the New Enterprise Incentive Scheme (NEIS) </w:t>
      </w:r>
    </w:p>
    <w:p w14:paraId="4274B945" w14:textId="2E161F9E" w:rsidR="001157B3" w:rsidRDefault="00F30436" w:rsidP="00ED4F57">
      <w:pPr>
        <w:pStyle w:val="guidelinebullet"/>
      </w:pPr>
      <w:proofErr w:type="gramStart"/>
      <w:r>
        <w:t>identifying</w:t>
      </w:r>
      <w:proofErr w:type="gramEnd"/>
      <w:r>
        <w:t xml:space="preserve"> if t</w:t>
      </w:r>
      <w:r w:rsidR="00A14857">
        <w:t xml:space="preserve">he </w:t>
      </w:r>
      <w:r w:rsidR="004C3374">
        <w:t>P</w:t>
      </w:r>
      <w:r w:rsidR="00151424">
        <w:t>articipant</w:t>
      </w:r>
      <w:r w:rsidR="00A14857">
        <w:t xml:space="preserve"> </w:t>
      </w:r>
      <w:r>
        <w:t>has</w:t>
      </w:r>
      <w:r w:rsidR="00A14857">
        <w:t xml:space="preserve"> undertake</w:t>
      </w:r>
      <w:r>
        <w:t>n</w:t>
      </w:r>
      <w:r w:rsidR="00A14857">
        <w:t xml:space="preserve"> a </w:t>
      </w:r>
      <w:r w:rsidR="004C3374">
        <w:t>C</w:t>
      </w:r>
      <w:r w:rsidR="00A14857">
        <w:t xml:space="preserve">omprehensive </w:t>
      </w:r>
      <w:r w:rsidR="004C3374">
        <w:t>S</w:t>
      </w:r>
      <w:r w:rsidR="00A14857">
        <w:t xml:space="preserve">kills </w:t>
      </w:r>
      <w:r w:rsidR="004C3374">
        <w:t>A</w:t>
      </w:r>
      <w:r w:rsidR="00A14857">
        <w:t>ssessment</w:t>
      </w:r>
      <w:r>
        <w:t>. If they have not</w:t>
      </w:r>
      <w:r w:rsidR="001157B3">
        <w:t>:</w:t>
      </w:r>
    </w:p>
    <w:p w14:paraId="12F473FF" w14:textId="013037C4" w:rsidR="00A14857" w:rsidRDefault="00F30436" w:rsidP="0060616D">
      <w:pPr>
        <w:pStyle w:val="guidelinebullet"/>
        <w:numPr>
          <w:ilvl w:val="0"/>
          <w:numId w:val="50"/>
        </w:numPr>
      </w:pPr>
      <w:proofErr w:type="gramStart"/>
      <w:r>
        <w:t>a</w:t>
      </w:r>
      <w:r w:rsidR="004C3374">
        <w:t>rrange</w:t>
      </w:r>
      <w:proofErr w:type="gramEnd"/>
      <w:r w:rsidR="004C3374">
        <w:t xml:space="preserve"> for </w:t>
      </w:r>
      <w:r>
        <w:t>a</w:t>
      </w:r>
      <w:r w:rsidR="004C3374">
        <w:t xml:space="preserve"> Comprehensive Skills</w:t>
      </w:r>
      <w:r>
        <w:t xml:space="preserve"> </w:t>
      </w:r>
      <w:r w:rsidR="004C3374">
        <w:t>A</w:t>
      </w:r>
      <w:r>
        <w:t>ssessment with an approved skills assessor</w:t>
      </w:r>
      <w:r w:rsidR="001157B3">
        <w:t xml:space="preserve">. </w:t>
      </w:r>
      <w:r w:rsidR="000B171C">
        <w:t>NEST Provider</w:t>
      </w:r>
      <w:r w:rsidR="00567CF8">
        <w:t>s must use</w:t>
      </w:r>
      <w:r w:rsidR="004C3374">
        <w:t xml:space="preserve"> a Transition Services Panel Member</w:t>
      </w:r>
      <w:r w:rsidR="00B035F0">
        <w:t xml:space="preserve"> (TSP Member)</w:t>
      </w:r>
      <w:r w:rsidR="001157B3">
        <w:t>.</w:t>
      </w:r>
    </w:p>
    <w:p w14:paraId="4712AEA4" w14:textId="6E3E300F" w:rsidR="006E34AE" w:rsidRDefault="006E34AE" w:rsidP="00ED4F57">
      <w:pPr>
        <w:pStyle w:val="guidelinebullet"/>
      </w:pPr>
      <w:r w:rsidRPr="00DE4824">
        <w:t xml:space="preserve">assisting the </w:t>
      </w:r>
      <w:r w:rsidR="004C3374">
        <w:t>P</w:t>
      </w:r>
      <w:r w:rsidR="00211B67" w:rsidRPr="00DE4824">
        <w:t xml:space="preserve">articipant </w:t>
      </w:r>
      <w:r w:rsidRPr="00DE4824">
        <w:t>to access a foundation skills assessment</w:t>
      </w:r>
      <w:r w:rsidR="000A1ED6">
        <w:t xml:space="preserve"> (such as literacy, numeracy and language skills)</w:t>
      </w:r>
      <w:r w:rsidR="00211B67" w:rsidRPr="00DE4824">
        <w:t>,</w:t>
      </w:r>
      <w:r w:rsidRPr="00DE4824">
        <w:t xml:space="preserve"> if required</w:t>
      </w:r>
      <w:r w:rsidR="00211B67" w:rsidRPr="00DE4824">
        <w:t>, and</w:t>
      </w:r>
      <w:r w:rsidR="00211B67">
        <w:t xml:space="preserve"> </w:t>
      </w:r>
      <w:r w:rsidR="00151424">
        <w:t xml:space="preserve">help them to </w:t>
      </w:r>
      <w:r w:rsidR="00211B67">
        <w:t>access any identified training needs</w:t>
      </w:r>
    </w:p>
    <w:p w14:paraId="32C29B7A" w14:textId="62C69979" w:rsidR="00725B96" w:rsidRDefault="00725B96" w:rsidP="00725B96">
      <w:pPr>
        <w:pStyle w:val="guidelinebullet"/>
      </w:pPr>
      <w:r>
        <w:t xml:space="preserve">identifying the </w:t>
      </w:r>
      <w:r w:rsidR="004C3374">
        <w:t>P</w:t>
      </w:r>
      <w:r>
        <w:t>articipant’s strengths and any issues they may have finding a job</w:t>
      </w:r>
    </w:p>
    <w:p w14:paraId="6ED35F40" w14:textId="35F7CFE2" w:rsidR="00ED4F57" w:rsidRDefault="00ED4F57" w:rsidP="00ED4F57">
      <w:pPr>
        <w:pStyle w:val="guidelinebullet"/>
      </w:pPr>
      <w:r>
        <w:t xml:space="preserve">preparing a Job Plan with the </w:t>
      </w:r>
      <w:r w:rsidR="004C3374">
        <w:t>P</w:t>
      </w:r>
      <w:r w:rsidR="00820A98">
        <w:t>articipant</w:t>
      </w:r>
      <w:r>
        <w:t xml:space="preserve"> which sets out</w:t>
      </w:r>
      <w:r w:rsidR="00725B96">
        <w:t xml:space="preserve"> the voluntary activities that the </w:t>
      </w:r>
      <w:r w:rsidR="004C3374">
        <w:t>P</w:t>
      </w:r>
      <w:r w:rsidR="00725B96">
        <w:t>articipant</w:t>
      </w:r>
      <w:r>
        <w:t xml:space="preserve"> agrees to undertake</w:t>
      </w:r>
      <w:r w:rsidR="00432E28">
        <w:t xml:space="preserve">, if the </w:t>
      </w:r>
      <w:r w:rsidR="004C3374">
        <w:t>P</w:t>
      </w:r>
      <w:r w:rsidR="00432E28">
        <w:t>articipant provided a Stronger Transitions Support Statement this should be used to identify training/assistance already completed</w:t>
      </w:r>
      <w:r w:rsidR="003170D3">
        <w:t>,</w:t>
      </w:r>
      <w:r w:rsidR="00432E28">
        <w:t xml:space="preserve"> </w:t>
      </w:r>
      <w:r w:rsidR="00FB771C">
        <w:t xml:space="preserve">and the </w:t>
      </w:r>
      <w:r w:rsidR="00432E28">
        <w:t xml:space="preserve">training/assistance that </w:t>
      </w:r>
      <w:r w:rsidR="003170D3">
        <w:t xml:space="preserve">might still be </w:t>
      </w:r>
      <w:r w:rsidR="00FB771C">
        <w:t>required</w:t>
      </w:r>
    </w:p>
    <w:p w14:paraId="3DFA027A" w14:textId="7EEEF1C1" w:rsidR="00ED4F57" w:rsidRDefault="00ED4F57" w:rsidP="00ED4F57">
      <w:pPr>
        <w:pStyle w:val="guidelinebullet"/>
      </w:pPr>
      <w:r>
        <w:t>provid</w:t>
      </w:r>
      <w:r w:rsidR="006E34AE">
        <w:t>ing</w:t>
      </w:r>
      <w:r>
        <w:t xml:space="preserve"> access to Self-help Facilities to enable the </w:t>
      </w:r>
      <w:r w:rsidR="007A55CA">
        <w:t>P</w:t>
      </w:r>
      <w:r w:rsidR="00725B96">
        <w:t>articipant</w:t>
      </w:r>
      <w:r>
        <w:t xml:space="preserve"> to undertake job search and prepare a résumé</w:t>
      </w:r>
    </w:p>
    <w:p w14:paraId="3B3DCF46" w14:textId="77777777" w:rsidR="00ED4F57" w:rsidRDefault="006E34AE" w:rsidP="00ED4F57">
      <w:pPr>
        <w:pStyle w:val="guidelinebullet"/>
      </w:pPr>
      <w:r>
        <w:t>providing</w:t>
      </w:r>
      <w:r w:rsidR="00ED4F57">
        <w:t xml:space="preserve"> advice about the best ways to look for and find work</w:t>
      </w:r>
    </w:p>
    <w:p w14:paraId="4D4578CF" w14:textId="77777777" w:rsidR="00ED4F57" w:rsidRDefault="006E34AE" w:rsidP="00ED4F57">
      <w:pPr>
        <w:pStyle w:val="guidelinebullet"/>
      </w:pPr>
      <w:r>
        <w:t>providing</w:t>
      </w:r>
      <w:r w:rsidR="00ED4F57">
        <w:t xml:space="preserve"> advice on the labour market, including employer needs and skill shortage areas</w:t>
      </w:r>
    </w:p>
    <w:p w14:paraId="7D3888DE" w14:textId="77777777" w:rsidR="00725B96" w:rsidRPr="00B75469" w:rsidRDefault="006E34AE" w:rsidP="00ED4F57">
      <w:pPr>
        <w:pStyle w:val="guidelinebullet"/>
      </w:pPr>
      <w:r>
        <w:t>providing</w:t>
      </w:r>
      <w:r w:rsidR="00ED4F57">
        <w:t xml:space="preserve"> access to suitable Vacancies and assistance to apply for jobs where </w:t>
      </w:r>
      <w:r w:rsidR="00ED4F57" w:rsidRPr="00B75469">
        <w:t>required</w:t>
      </w:r>
      <w:r w:rsidR="00725B96" w:rsidRPr="00B75469">
        <w:t>, and</w:t>
      </w:r>
    </w:p>
    <w:p w14:paraId="7CE7AD86" w14:textId="2FBD8575" w:rsidR="00ED4F57" w:rsidRPr="00B75469" w:rsidRDefault="00725B96" w:rsidP="00ED4F57">
      <w:pPr>
        <w:pStyle w:val="guidelinebullet"/>
      </w:pPr>
      <w:proofErr w:type="gramStart"/>
      <w:r w:rsidRPr="00B75469">
        <w:t>assisting</w:t>
      </w:r>
      <w:proofErr w:type="gramEnd"/>
      <w:r w:rsidRPr="00B75469">
        <w:t xml:space="preserve"> the </w:t>
      </w:r>
      <w:r w:rsidR="007A55CA" w:rsidRPr="00B75469">
        <w:t>P</w:t>
      </w:r>
      <w:r w:rsidRPr="00B75469">
        <w:t xml:space="preserve">articipant to access relocation assistance if </w:t>
      </w:r>
      <w:r w:rsidR="008E6F70" w:rsidRPr="00B75469">
        <w:t xml:space="preserve">they </w:t>
      </w:r>
      <w:r w:rsidR="00567CF8" w:rsidRPr="00B75469">
        <w:t>relocate to</w:t>
      </w:r>
      <w:r w:rsidR="008E6F70" w:rsidRPr="00B75469">
        <w:t xml:space="preserve"> </w:t>
      </w:r>
      <w:r w:rsidR="00567CF8" w:rsidRPr="00B75469">
        <w:t>secure employment</w:t>
      </w:r>
      <w:r w:rsidR="008E6F70" w:rsidRPr="00B75469">
        <w:t>.</w:t>
      </w:r>
    </w:p>
    <w:p w14:paraId="5EF8D7B4" w14:textId="49D38F66" w:rsidR="00832BA0" w:rsidRPr="00B75469" w:rsidRDefault="00820A98" w:rsidP="00832BA0">
      <w:pPr>
        <w:pStyle w:val="guidelinetext"/>
      </w:pPr>
      <w:r w:rsidRPr="00B75469">
        <w:t>Participants</w:t>
      </w:r>
      <w:r w:rsidR="00ED4F57" w:rsidRPr="00B75469">
        <w:t xml:space="preserve"> who a</w:t>
      </w:r>
      <w:r w:rsidR="006E34AE" w:rsidRPr="00B75469">
        <w:t xml:space="preserve">re eligible for support under Stronger Transitions </w:t>
      </w:r>
      <w:r w:rsidR="00ED4F57" w:rsidRPr="00B75469">
        <w:t xml:space="preserve">are automatically </w:t>
      </w:r>
      <w:proofErr w:type="gramStart"/>
      <w:r w:rsidR="00ED4F57" w:rsidRPr="00B75469">
        <w:t>Commenced</w:t>
      </w:r>
      <w:proofErr w:type="gramEnd"/>
      <w:r w:rsidR="00DF4CA4" w:rsidRPr="00B75469">
        <w:t xml:space="preserve"> in jobactive</w:t>
      </w:r>
      <w:r w:rsidR="00ED4F57" w:rsidRPr="00B75469">
        <w:t xml:space="preserve"> once the </w:t>
      </w:r>
      <w:r w:rsidR="000B171C">
        <w:t>NEST Provider</w:t>
      </w:r>
      <w:r w:rsidR="00ED4F57" w:rsidRPr="00B75469">
        <w:t xml:space="preserve"> records attendance at the Initial Interview and they have an approved Job Plan.</w:t>
      </w:r>
      <w:r w:rsidR="00832BA0" w:rsidRPr="00B75469">
        <w:t xml:space="preserve"> </w:t>
      </w:r>
    </w:p>
    <w:p w14:paraId="7872EA69" w14:textId="492914F4" w:rsidR="003466FC" w:rsidRPr="00190503" w:rsidRDefault="003466FC" w:rsidP="00190503">
      <w:pPr>
        <w:pStyle w:val="guidelinedeedref"/>
      </w:pPr>
      <w:r w:rsidRPr="00B75469">
        <w:t xml:space="preserve">(Deed Reference: Clause 98, 87, 123) </w:t>
      </w:r>
    </w:p>
    <w:p w14:paraId="49B93E03" w14:textId="78E6B7F4" w:rsidR="00832BA0" w:rsidRDefault="00832BA0" w:rsidP="009C268A">
      <w:pPr>
        <w:pStyle w:val="Heading1"/>
        <w:numPr>
          <w:ilvl w:val="0"/>
          <w:numId w:val="47"/>
        </w:numPr>
      </w:pPr>
      <w:bookmarkStart w:id="26" w:name="_Toc22739788"/>
      <w:r>
        <w:t xml:space="preserve">Servicing </w:t>
      </w:r>
      <w:r w:rsidR="00AE365D">
        <w:t>Stronger Transition</w:t>
      </w:r>
      <w:r w:rsidR="00A758F1">
        <w:t>s</w:t>
      </w:r>
      <w:r w:rsidR="00AE365D">
        <w:t xml:space="preserve"> </w:t>
      </w:r>
      <w:r w:rsidR="00D00D80">
        <w:t>P</w:t>
      </w:r>
      <w:r w:rsidR="00AE365D">
        <w:t>articipants</w:t>
      </w:r>
      <w:bookmarkEnd w:id="26"/>
      <w:r>
        <w:t xml:space="preserve"> </w:t>
      </w:r>
    </w:p>
    <w:p w14:paraId="628CC810" w14:textId="44D2F8C2" w:rsidR="00832BA0" w:rsidRDefault="000B171C" w:rsidP="00832BA0">
      <w:pPr>
        <w:pStyle w:val="guidelinetext"/>
      </w:pPr>
      <w:r>
        <w:t>NEST Provider</w:t>
      </w:r>
      <w:r w:rsidR="00832BA0">
        <w:t xml:space="preserve">s must continue to provide </w:t>
      </w:r>
      <w:r w:rsidR="00CE26D8">
        <w:t xml:space="preserve">Enhanced </w:t>
      </w:r>
      <w:r w:rsidR="00832BA0">
        <w:t xml:space="preserve">Services to the </w:t>
      </w:r>
      <w:r w:rsidR="00B035F0">
        <w:t>P</w:t>
      </w:r>
      <w:r w:rsidR="00750685">
        <w:t>articipant</w:t>
      </w:r>
      <w:r w:rsidR="00832BA0">
        <w:t xml:space="preserve"> until they Exit. </w:t>
      </w:r>
      <w:r w:rsidR="00F30436">
        <w:t>Even t</w:t>
      </w:r>
      <w:r w:rsidR="00832BA0">
        <w:t xml:space="preserve">hough these </w:t>
      </w:r>
      <w:r w:rsidR="00B035F0">
        <w:t>P</w:t>
      </w:r>
      <w:r w:rsidR="00750685">
        <w:t>articipants</w:t>
      </w:r>
      <w:r w:rsidR="00832BA0">
        <w:t xml:space="preserve"> do not have Mutual Obligation Requirements, the </w:t>
      </w:r>
      <w:r>
        <w:t>NEST Provider</w:t>
      </w:r>
      <w:r w:rsidR="00832BA0">
        <w:t xml:space="preserve"> is required to de</w:t>
      </w:r>
      <w:r w:rsidR="00750685">
        <w:t>liver</w:t>
      </w:r>
      <w:r w:rsidR="00CE26D8">
        <w:t xml:space="preserve"> Enhanced</w:t>
      </w:r>
      <w:r w:rsidR="00750685">
        <w:t xml:space="preserve"> Services to the </w:t>
      </w:r>
      <w:r w:rsidR="00B035F0">
        <w:t>P</w:t>
      </w:r>
      <w:r w:rsidR="00750685">
        <w:t>articipant</w:t>
      </w:r>
      <w:r w:rsidR="00832BA0">
        <w:t xml:space="preserve"> in accordance with the </w:t>
      </w:r>
      <w:r w:rsidR="00B035F0">
        <w:t>P</w:t>
      </w:r>
      <w:r w:rsidR="00750685">
        <w:t>articipant</w:t>
      </w:r>
      <w:r w:rsidR="00832BA0">
        <w:t>’s Job Plan, the Deed</w:t>
      </w:r>
      <w:r w:rsidR="00CE26D8">
        <w:t xml:space="preserve"> and the Service Guarantee</w:t>
      </w:r>
      <w:r w:rsidR="00832BA0">
        <w:t xml:space="preserve">. </w:t>
      </w:r>
    </w:p>
    <w:p w14:paraId="4DE3F8E2" w14:textId="03A599C9" w:rsidR="00060E78" w:rsidRPr="00B75469" w:rsidRDefault="006E6623" w:rsidP="00832BA0">
      <w:pPr>
        <w:pStyle w:val="guidelinetext"/>
      </w:pPr>
      <w:r w:rsidRPr="00B75469">
        <w:lastRenderedPageBreak/>
        <w:t xml:space="preserve">The </w:t>
      </w:r>
      <w:r w:rsidR="000B171C">
        <w:t>NEST Provider</w:t>
      </w:r>
      <w:r w:rsidR="00750685" w:rsidRPr="00B75469">
        <w:t xml:space="preserve"> must ensure that the </w:t>
      </w:r>
      <w:r w:rsidR="00B035F0" w:rsidRPr="00B75469">
        <w:t>P</w:t>
      </w:r>
      <w:r w:rsidR="00750685" w:rsidRPr="00B75469">
        <w:t>articipant</w:t>
      </w:r>
      <w:r w:rsidRPr="00B75469">
        <w:t xml:space="preserve"> </w:t>
      </w:r>
      <w:proofErr w:type="gramStart"/>
      <w:r w:rsidRPr="00B75469">
        <w:t>is provided</w:t>
      </w:r>
      <w:proofErr w:type="gramEnd"/>
      <w:r w:rsidRPr="00B75469">
        <w:t xml:space="preserve"> appropriate assistance to undertake activities to help them find and keep employment d</w:t>
      </w:r>
      <w:r w:rsidR="00832BA0" w:rsidRPr="00B75469">
        <w:t xml:space="preserve">epending on </w:t>
      </w:r>
      <w:r w:rsidR="00A758F1" w:rsidRPr="00B75469">
        <w:t xml:space="preserve">the </w:t>
      </w:r>
      <w:r w:rsidR="00B035F0" w:rsidRPr="00B75469">
        <w:t>P</w:t>
      </w:r>
      <w:r w:rsidR="00750685" w:rsidRPr="00B75469">
        <w:t>articipant</w:t>
      </w:r>
      <w:r w:rsidR="00832BA0" w:rsidRPr="00B75469">
        <w:t xml:space="preserve">’s individual circumstances, skills and the labour market. This may include </w:t>
      </w:r>
      <w:r w:rsidR="0016355E" w:rsidRPr="00B75469">
        <w:t>assisting with</w:t>
      </w:r>
      <w:r w:rsidR="00832BA0" w:rsidRPr="00B75469">
        <w:t xml:space="preserve"> the </w:t>
      </w:r>
      <w:r w:rsidR="00B035F0" w:rsidRPr="00B75469">
        <w:t>P</w:t>
      </w:r>
      <w:r w:rsidR="00750685" w:rsidRPr="00B75469">
        <w:t>articipant</w:t>
      </w:r>
      <w:r w:rsidR="00832BA0" w:rsidRPr="00B75469">
        <w:t xml:space="preserve">’s job search, </w:t>
      </w:r>
      <w:r w:rsidR="0016355E" w:rsidRPr="00B75469">
        <w:t>promoting training or work experience opportunities</w:t>
      </w:r>
      <w:r w:rsidR="00832BA0" w:rsidRPr="00B75469">
        <w:t xml:space="preserve"> and </w:t>
      </w:r>
      <w:r w:rsidR="0016355E" w:rsidRPr="00B75469">
        <w:t>supporting their continued</w:t>
      </w:r>
      <w:r w:rsidR="00832BA0" w:rsidRPr="00B75469">
        <w:t xml:space="preserve"> </w:t>
      </w:r>
      <w:r w:rsidR="00B035F0" w:rsidRPr="00B75469">
        <w:t>P</w:t>
      </w:r>
      <w:r w:rsidR="00832BA0" w:rsidRPr="00B75469">
        <w:t xml:space="preserve">articipation, holding Appointments with them to </w:t>
      </w:r>
      <w:r w:rsidR="00E10CB2" w:rsidRPr="00B75469">
        <w:t>encourage</w:t>
      </w:r>
      <w:r w:rsidR="00832BA0" w:rsidRPr="00B75469">
        <w:t xml:space="preserve"> their progress, or assisting them to access </w:t>
      </w:r>
      <w:r w:rsidR="00E10CB2" w:rsidRPr="00B75469">
        <w:t>services</w:t>
      </w:r>
      <w:r w:rsidR="00832BA0" w:rsidRPr="00B75469">
        <w:t xml:space="preserve"> to address any non-vocational barriers</w:t>
      </w:r>
      <w:r w:rsidR="00E10CB2" w:rsidRPr="00B75469">
        <w:t>.</w:t>
      </w:r>
    </w:p>
    <w:p w14:paraId="4D98E1DD" w14:textId="3A82FA4E" w:rsidR="003466FC" w:rsidRPr="00B75469" w:rsidRDefault="003466FC" w:rsidP="00B75469">
      <w:pPr>
        <w:pStyle w:val="guidelinedeedref"/>
      </w:pPr>
      <w:r w:rsidRPr="00B75469">
        <w:t>(Deed Reference: Clause 126)</w:t>
      </w:r>
    </w:p>
    <w:p w14:paraId="3DCFE598" w14:textId="5C0A77E7" w:rsidR="00060E78" w:rsidRDefault="00F30436" w:rsidP="00060E78">
      <w:pPr>
        <w:pStyle w:val="Heading2"/>
      </w:pPr>
      <w:bookmarkStart w:id="27" w:name="_Toc22739789"/>
      <w:r w:rsidRPr="00B75469">
        <w:t>Using</w:t>
      </w:r>
      <w:r w:rsidR="00431340" w:rsidRPr="00B75469">
        <w:t xml:space="preserve"> </w:t>
      </w:r>
      <w:r w:rsidR="007727BC" w:rsidRPr="00B75469">
        <w:t>Transition Services Panel</w:t>
      </w:r>
      <w:r w:rsidR="00431340" w:rsidRPr="00B75469">
        <w:t xml:space="preserve"> </w:t>
      </w:r>
      <w:r w:rsidR="00137B2A" w:rsidRPr="00B75469">
        <w:t>Members</w:t>
      </w:r>
      <w:r w:rsidR="00137B2A">
        <w:t xml:space="preserve"> </w:t>
      </w:r>
      <w:r w:rsidR="00431340">
        <w:t xml:space="preserve">to deliver </w:t>
      </w:r>
      <w:r w:rsidR="00B035F0">
        <w:t>C</w:t>
      </w:r>
      <w:r w:rsidR="00060E78">
        <w:t xml:space="preserve">omprehensive </w:t>
      </w:r>
      <w:r w:rsidR="00B035F0">
        <w:t>S</w:t>
      </w:r>
      <w:r w:rsidR="00060E78">
        <w:t xml:space="preserve">kills </w:t>
      </w:r>
      <w:r w:rsidR="00B035F0">
        <w:t>A</w:t>
      </w:r>
      <w:r w:rsidR="00060E78">
        <w:t>ssessments</w:t>
      </w:r>
      <w:bookmarkEnd w:id="27"/>
    </w:p>
    <w:p w14:paraId="6BA7DCD8" w14:textId="344EEBBB" w:rsidR="00CE2B9A" w:rsidRDefault="00431340" w:rsidP="00832BA0">
      <w:pPr>
        <w:pStyle w:val="guidelinetext"/>
      </w:pPr>
      <w:r>
        <w:t xml:space="preserve">All </w:t>
      </w:r>
      <w:r w:rsidR="00B035F0">
        <w:t>P</w:t>
      </w:r>
      <w:r>
        <w:t xml:space="preserve">articipants should </w:t>
      </w:r>
      <w:r w:rsidR="00DC3C92">
        <w:t>be encouraged to undertake</w:t>
      </w:r>
      <w:r w:rsidR="00DE4824">
        <w:t xml:space="preserve"> a </w:t>
      </w:r>
      <w:r w:rsidR="00B035F0">
        <w:t>C</w:t>
      </w:r>
      <w:r w:rsidR="00DE4824">
        <w:t xml:space="preserve">omprehensive </w:t>
      </w:r>
      <w:r w:rsidR="00B035F0">
        <w:t>S</w:t>
      </w:r>
      <w:r w:rsidR="00DE4824">
        <w:t xml:space="preserve">kills </w:t>
      </w:r>
      <w:r w:rsidR="00B035F0">
        <w:t>A</w:t>
      </w:r>
      <w:r w:rsidR="00DE4824">
        <w:t>ssessment</w:t>
      </w:r>
      <w:r>
        <w:t xml:space="preserve">. </w:t>
      </w:r>
      <w:r w:rsidR="00A758F1">
        <w:t>The a</w:t>
      </w:r>
      <w:r>
        <w:t>dditional Employment</w:t>
      </w:r>
      <w:r w:rsidR="00A758F1">
        <w:t xml:space="preserve"> Fund</w:t>
      </w:r>
      <w:r>
        <w:t xml:space="preserve"> </w:t>
      </w:r>
      <w:r w:rsidR="00A758F1">
        <w:t>c</w:t>
      </w:r>
      <w:r>
        <w:t xml:space="preserve">redit </w:t>
      </w:r>
      <w:r w:rsidR="00CE2B9A">
        <w:t xml:space="preserve">provided under Stronger Transitions </w:t>
      </w:r>
      <w:proofErr w:type="gramStart"/>
      <w:r w:rsidR="00DC3C92">
        <w:t>can</w:t>
      </w:r>
      <w:r w:rsidR="00045CE9">
        <w:t xml:space="preserve"> be used</w:t>
      </w:r>
      <w:proofErr w:type="gramEnd"/>
      <w:r w:rsidR="00045CE9">
        <w:t xml:space="preserve"> </w:t>
      </w:r>
      <w:r w:rsidR="00DC3C92">
        <w:t xml:space="preserve">by </w:t>
      </w:r>
      <w:r w:rsidR="000B171C">
        <w:t>NEST Provider</w:t>
      </w:r>
      <w:r w:rsidR="00DC3C92">
        <w:t>s to fund</w:t>
      </w:r>
      <w:r w:rsidR="00045CE9">
        <w:t xml:space="preserve"> </w:t>
      </w:r>
      <w:r w:rsidR="00B035F0">
        <w:t>C</w:t>
      </w:r>
      <w:r w:rsidR="00CE2B9A">
        <w:t xml:space="preserve">omprehensive </w:t>
      </w:r>
      <w:r w:rsidR="00B035F0">
        <w:t>S</w:t>
      </w:r>
      <w:r w:rsidR="00045CE9">
        <w:t xml:space="preserve">kills </w:t>
      </w:r>
      <w:r w:rsidR="00B035F0">
        <w:t>A</w:t>
      </w:r>
      <w:r w:rsidR="00045CE9">
        <w:t>ssessments</w:t>
      </w:r>
      <w:r w:rsidR="00A758F1">
        <w:t>. See</w:t>
      </w:r>
      <w:r w:rsidR="00DC3C92">
        <w:t xml:space="preserve"> the </w:t>
      </w:r>
      <w:r w:rsidR="00A758F1" w:rsidRPr="00D2637E">
        <w:t>Using the Employment Fund General Account Guideline</w:t>
      </w:r>
      <w:r w:rsidR="00045CE9">
        <w:t xml:space="preserve">. </w:t>
      </w:r>
    </w:p>
    <w:p w14:paraId="21D04880" w14:textId="1B229580" w:rsidR="00832BA0" w:rsidRDefault="000B171C" w:rsidP="00832BA0">
      <w:pPr>
        <w:pStyle w:val="guidelinetext"/>
      </w:pPr>
      <w:r>
        <w:t>NEST Provider</w:t>
      </w:r>
      <w:r w:rsidR="00431340">
        <w:t>s must use</w:t>
      </w:r>
      <w:r w:rsidR="00B035F0">
        <w:t xml:space="preserve"> a</w:t>
      </w:r>
      <w:r w:rsidR="00431340">
        <w:t xml:space="preserve"> </w:t>
      </w:r>
      <w:r w:rsidR="00B035F0">
        <w:t>TSP Member</w:t>
      </w:r>
      <w:r w:rsidR="00B035F0" w:rsidRPr="00B035F0" w:rsidDel="00B035F0">
        <w:t xml:space="preserve"> </w:t>
      </w:r>
      <w:r w:rsidR="00E4595C">
        <w:t xml:space="preserve">when arranging </w:t>
      </w:r>
      <w:r w:rsidR="00B035F0">
        <w:t>C</w:t>
      </w:r>
      <w:r w:rsidR="00DE4824">
        <w:t xml:space="preserve">omprehensive </w:t>
      </w:r>
      <w:r w:rsidR="00B035F0">
        <w:t>S</w:t>
      </w:r>
      <w:r w:rsidR="00DE4824">
        <w:t xml:space="preserve">kills </w:t>
      </w:r>
      <w:r w:rsidR="00B035F0">
        <w:t>A</w:t>
      </w:r>
      <w:r w:rsidR="00DE4824">
        <w:t>ssessment</w:t>
      </w:r>
      <w:r w:rsidR="00E4595C">
        <w:t xml:space="preserve">s for </w:t>
      </w:r>
      <w:r w:rsidR="00B035F0">
        <w:t>P</w:t>
      </w:r>
      <w:r w:rsidR="00E4595C">
        <w:t>articipants</w:t>
      </w:r>
      <w:r w:rsidR="00431340">
        <w:t xml:space="preserve">. </w:t>
      </w:r>
      <w:r w:rsidR="00E4595C">
        <w:t>The</w:t>
      </w:r>
      <w:r w:rsidR="00431340">
        <w:t xml:space="preserve"> list of approved </w:t>
      </w:r>
      <w:r w:rsidR="00B035F0">
        <w:t>TSP Members</w:t>
      </w:r>
      <w:r w:rsidR="00137B2A">
        <w:t xml:space="preserve"> which </w:t>
      </w:r>
      <w:r w:rsidR="00B035F0">
        <w:t>includ</w:t>
      </w:r>
      <w:r w:rsidR="00137B2A">
        <w:t xml:space="preserve">es </w:t>
      </w:r>
      <w:r w:rsidR="00B035F0">
        <w:t xml:space="preserve">contact details for </w:t>
      </w:r>
      <w:r>
        <w:t>NEST Provider</w:t>
      </w:r>
      <w:r w:rsidR="00B035F0">
        <w:t>s to use when sen</w:t>
      </w:r>
      <w:r w:rsidR="0060268B">
        <w:t xml:space="preserve">ding a Request </w:t>
      </w:r>
      <w:proofErr w:type="gramStart"/>
      <w:r w:rsidR="0060268B">
        <w:t>For</w:t>
      </w:r>
      <w:proofErr w:type="gramEnd"/>
      <w:r w:rsidR="0060268B">
        <w:t xml:space="preserve"> Quotation (R</w:t>
      </w:r>
      <w:r w:rsidR="00B035F0">
        <w:t>F</w:t>
      </w:r>
      <w:r w:rsidR="0060268B">
        <w:t>Q</w:t>
      </w:r>
      <w:r w:rsidR="00B035F0">
        <w:t>)</w:t>
      </w:r>
      <w:r w:rsidR="00137B2A">
        <w:t xml:space="preserve"> </w:t>
      </w:r>
      <w:r w:rsidR="00C4737C">
        <w:t>for</w:t>
      </w:r>
      <w:r w:rsidR="00C10E7F">
        <w:t xml:space="preserve"> </w:t>
      </w:r>
      <w:r w:rsidR="00B035F0">
        <w:t>C</w:t>
      </w:r>
      <w:r w:rsidR="00C10E7F">
        <w:t xml:space="preserve">omprehensive </w:t>
      </w:r>
      <w:r w:rsidR="00B035F0">
        <w:t>Skills A</w:t>
      </w:r>
      <w:r w:rsidR="00C10E7F">
        <w:t>ssessment</w:t>
      </w:r>
      <w:r w:rsidR="00C4737C">
        <w:t>s</w:t>
      </w:r>
      <w:r w:rsidR="00137B2A">
        <w:t xml:space="preserve"> can be found on the </w:t>
      </w:r>
      <w:r w:rsidR="00137B2A" w:rsidRPr="00D2637E">
        <w:t>Provider Portal</w:t>
      </w:r>
      <w:r w:rsidR="00C10E7F">
        <w:t>.</w:t>
      </w:r>
    </w:p>
    <w:p w14:paraId="4E7A1E0E" w14:textId="2B4451FA" w:rsidR="001B449B" w:rsidRPr="00B75469" w:rsidRDefault="001B449B" w:rsidP="006E20A8">
      <w:pPr>
        <w:pStyle w:val="guidelinetext"/>
      </w:pPr>
      <w:r w:rsidRPr="00B75469">
        <w:t xml:space="preserve">Once the </w:t>
      </w:r>
      <w:r w:rsidR="006E20A8" w:rsidRPr="00B75469">
        <w:t>Comprehensive Skills Assessment</w:t>
      </w:r>
      <w:r w:rsidRPr="00B75469">
        <w:t xml:space="preserve"> has been </w:t>
      </w:r>
      <w:proofErr w:type="gramStart"/>
      <w:r w:rsidRPr="00B75469">
        <w:t>conducted</w:t>
      </w:r>
      <w:proofErr w:type="gramEnd"/>
      <w:r w:rsidRPr="00B75469">
        <w:t xml:space="preserve"> TSP Members will provide</w:t>
      </w:r>
      <w:r w:rsidR="006E20A8" w:rsidRPr="00B75469">
        <w:t xml:space="preserve"> the Participant(s), and their </w:t>
      </w:r>
      <w:r w:rsidR="000B171C">
        <w:t>NEST Provider</w:t>
      </w:r>
      <w:r w:rsidR="006E20A8" w:rsidRPr="00B75469">
        <w:t xml:space="preserve">, </w:t>
      </w:r>
      <w:r w:rsidR="00B75183" w:rsidRPr="00B75469">
        <w:t xml:space="preserve">with a written </w:t>
      </w:r>
      <w:r w:rsidR="006E20A8" w:rsidRPr="00B75469">
        <w:t>report</w:t>
      </w:r>
      <w:r w:rsidRPr="00B75469">
        <w:t xml:space="preserve"> detailing the outcomes of the assessment</w:t>
      </w:r>
      <w:r w:rsidR="006E20A8" w:rsidRPr="00B75469">
        <w:t xml:space="preserve">. </w:t>
      </w:r>
    </w:p>
    <w:p w14:paraId="3DDFEAD5" w14:textId="4814B83A" w:rsidR="006E20A8" w:rsidRPr="00B75469" w:rsidRDefault="000B171C" w:rsidP="00844442">
      <w:pPr>
        <w:pStyle w:val="guidelinetext"/>
      </w:pPr>
      <w:r>
        <w:t>NEST Provider</w:t>
      </w:r>
      <w:r w:rsidR="001B449B" w:rsidRPr="00B75469">
        <w:t xml:space="preserve">s should use the information </w:t>
      </w:r>
      <w:r w:rsidR="00B75183" w:rsidRPr="00B75469">
        <w:t>contained</w:t>
      </w:r>
      <w:r w:rsidR="001B449B" w:rsidRPr="00B75469">
        <w:t xml:space="preserve"> in the </w:t>
      </w:r>
      <w:r w:rsidR="00B75183" w:rsidRPr="00B75469">
        <w:t>written</w:t>
      </w:r>
      <w:r w:rsidR="001B449B" w:rsidRPr="00B75469">
        <w:t xml:space="preserve"> report to </w:t>
      </w:r>
      <w:r w:rsidR="00B75183" w:rsidRPr="00B75469">
        <w:t>assist</w:t>
      </w:r>
      <w:r w:rsidR="001B449B" w:rsidRPr="00B75469">
        <w:t xml:space="preserve"> Participants to</w:t>
      </w:r>
      <w:r w:rsidR="00844442" w:rsidRPr="00B75469">
        <w:t xml:space="preserve"> </w:t>
      </w:r>
      <w:r w:rsidR="006E20A8" w:rsidRPr="00B75469">
        <w:t>address any</w:t>
      </w:r>
      <w:r w:rsidR="001B449B" w:rsidRPr="00B75469">
        <w:t xml:space="preserve"> </w:t>
      </w:r>
      <w:r w:rsidR="00844442" w:rsidRPr="00B75469">
        <w:t xml:space="preserve">identified </w:t>
      </w:r>
      <w:r w:rsidR="006E20A8" w:rsidRPr="00B75469">
        <w:t>barriers</w:t>
      </w:r>
      <w:r w:rsidR="001B449B" w:rsidRPr="00B75469">
        <w:t xml:space="preserve"> </w:t>
      </w:r>
      <w:r w:rsidR="006E20A8" w:rsidRPr="00B75469">
        <w:t>and</w:t>
      </w:r>
      <w:r w:rsidR="00844442" w:rsidRPr="00B75469">
        <w:t>/or a</w:t>
      </w:r>
      <w:r w:rsidR="001B449B" w:rsidRPr="00B75469">
        <w:t xml:space="preserve">ccess </w:t>
      </w:r>
      <w:r w:rsidR="00844442" w:rsidRPr="00B75469">
        <w:t xml:space="preserve">any identified </w:t>
      </w:r>
      <w:r w:rsidR="006E20A8" w:rsidRPr="00B75469">
        <w:t>development opportunities</w:t>
      </w:r>
      <w:r w:rsidR="001B449B" w:rsidRPr="00B75469">
        <w:t xml:space="preserve"> </w:t>
      </w:r>
      <w:r w:rsidR="006E20A8" w:rsidRPr="00B75469">
        <w:t xml:space="preserve">that </w:t>
      </w:r>
      <w:r w:rsidR="001B449B" w:rsidRPr="00B75469">
        <w:t xml:space="preserve">might </w:t>
      </w:r>
      <w:r w:rsidR="00B75183" w:rsidRPr="00B75469">
        <w:t>help</w:t>
      </w:r>
      <w:r w:rsidR="006E20A8" w:rsidRPr="00B75469">
        <w:t xml:space="preserve"> </w:t>
      </w:r>
      <w:r w:rsidR="00844442" w:rsidRPr="00B75469">
        <w:t>them i</w:t>
      </w:r>
      <w:r w:rsidR="006E20A8" w:rsidRPr="00B75469">
        <w:t>n securing sustainable employment.</w:t>
      </w:r>
    </w:p>
    <w:p w14:paraId="344FA336" w14:textId="27456FA6" w:rsidR="009F4C82" w:rsidRPr="00B75469" w:rsidRDefault="009F4C82" w:rsidP="00B75469">
      <w:pPr>
        <w:pStyle w:val="guidelinedeedref"/>
      </w:pPr>
      <w:r w:rsidRPr="00B75469">
        <w:t>(Deed reference: Clause 126.2)</w:t>
      </w:r>
    </w:p>
    <w:p w14:paraId="5240CEDC" w14:textId="77777777" w:rsidR="00137B2A" w:rsidRDefault="00137B2A" w:rsidP="00EF05DD">
      <w:pPr>
        <w:pStyle w:val="Heading2"/>
      </w:pPr>
      <w:bookmarkStart w:id="28" w:name="_Toc22739790"/>
      <w:r w:rsidRPr="00B75469">
        <w:t>Arranging the Comprehensive Skills Assessment</w:t>
      </w:r>
      <w:bookmarkEnd w:id="28"/>
    </w:p>
    <w:p w14:paraId="1B4CB3D4" w14:textId="50A6D5CC" w:rsidR="00332331" w:rsidRDefault="002D5826" w:rsidP="00832BA0">
      <w:pPr>
        <w:pStyle w:val="guidelinetext"/>
      </w:pPr>
      <w:r>
        <w:t>When arranging Comprehensive Skills Assessment</w:t>
      </w:r>
      <w:r w:rsidR="00CE6B89">
        <w:t>(s)</w:t>
      </w:r>
      <w:r>
        <w:t xml:space="preserve"> for Participant</w:t>
      </w:r>
      <w:r w:rsidR="00CE6B89">
        <w:t>s</w:t>
      </w:r>
      <w:r>
        <w:t xml:space="preserve">, </w:t>
      </w:r>
      <w:r w:rsidR="000B171C">
        <w:t>NEST Provider</w:t>
      </w:r>
      <w:r w:rsidR="00B035F0">
        <w:t>s must</w:t>
      </w:r>
      <w:r w:rsidR="00332331">
        <w:t>:</w:t>
      </w:r>
    </w:p>
    <w:p w14:paraId="689B80B0" w14:textId="33B28F07" w:rsidR="00332331" w:rsidRDefault="00137B2A" w:rsidP="00B60D3A">
      <w:pPr>
        <w:pStyle w:val="guidelinebullet"/>
      </w:pPr>
      <w:r>
        <w:t>issue</w:t>
      </w:r>
      <w:r w:rsidR="00B035F0">
        <w:t xml:space="preserve"> a</w:t>
      </w:r>
      <w:r>
        <w:t>n</w:t>
      </w:r>
      <w:r w:rsidR="00B035F0">
        <w:t xml:space="preserve"> R</w:t>
      </w:r>
      <w:r>
        <w:t>FQ</w:t>
      </w:r>
      <w:r w:rsidR="00B035F0">
        <w:t xml:space="preserve"> </w:t>
      </w:r>
      <w:r w:rsidR="00B75183">
        <w:t xml:space="preserve">for a Comprehensive Skills Assessment(s) </w:t>
      </w:r>
      <w:r w:rsidR="00B035F0">
        <w:t>to</w:t>
      </w:r>
      <w:r>
        <w:t xml:space="preserve"> a</w:t>
      </w:r>
      <w:r w:rsidR="00B035F0">
        <w:t xml:space="preserve"> </w:t>
      </w:r>
      <w:r>
        <w:t xml:space="preserve">TSP Member in the relevant Stronger Transitions </w:t>
      </w:r>
      <w:r w:rsidR="00B04FAB">
        <w:t>R</w:t>
      </w:r>
      <w:r>
        <w:t>egion</w:t>
      </w:r>
      <w:r w:rsidR="00B75183">
        <w:t xml:space="preserve">, using the list of approved </w:t>
      </w:r>
      <w:r w:rsidR="00B75183" w:rsidRPr="00D2637E">
        <w:t>TSP Members</w:t>
      </w:r>
    </w:p>
    <w:p w14:paraId="30A4D461" w14:textId="6E3F526F" w:rsidR="002D5826" w:rsidRDefault="00332331" w:rsidP="00B60D3A">
      <w:pPr>
        <w:pStyle w:val="guidelinebullet"/>
      </w:pPr>
      <w:r>
        <w:t xml:space="preserve">consider if the </w:t>
      </w:r>
      <w:r w:rsidR="001329E8">
        <w:t>q</w:t>
      </w:r>
      <w:r>
        <w:t xml:space="preserve">uotation </w:t>
      </w:r>
      <w:r w:rsidR="00B75183">
        <w:t xml:space="preserve">returned by the TSP Member </w:t>
      </w:r>
      <w:r>
        <w:t>is</w:t>
      </w:r>
      <w:r w:rsidR="002D5826">
        <w:t xml:space="preserve"> an</w:t>
      </w:r>
      <w:r>
        <w:t xml:space="preserve"> acceptable response to the RFQ</w:t>
      </w:r>
      <w:r w:rsidR="002D5826">
        <w:t xml:space="preserve">, including that the rates provided </w:t>
      </w:r>
      <w:r w:rsidR="001329E8">
        <w:t>do not exceed the maximum r</w:t>
      </w:r>
      <w:r w:rsidR="002D5826">
        <w:t>ates identified in the list of approved TSP Members</w:t>
      </w:r>
    </w:p>
    <w:p w14:paraId="3E744B0E" w14:textId="77777777" w:rsidR="002D5826" w:rsidRDefault="002D5826" w:rsidP="00B60D3A">
      <w:pPr>
        <w:pStyle w:val="guidelinebullet"/>
      </w:pPr>
      <w:r>
        <w:t>negotiate and execute a CSA Work Order with the TSP Member</w:t>
      </w:r>
      <w:r w:rsidR="006E20A8">
        <w:t>, and</w:t>
      </w:r>
    </w:p>
    <w:p w14:paraId="0E702C4F" w14:textId="77777777" w:rsidR="00DD7E7D" w:rsidRDefault="002D5826" w:rsidP="00B60D3A">
      <w:pPr>
        <w:pStyle w:val="guidelinebullet"/>
      </w:pPr>
      <w:proofErr w:type="gramStart"/>
      <w:r>
        <w:t>refer</w:t>
      </w:r>
      <w:proofErr w:type="gramEnd"/>
      <w:r>
        <w:t xml:space="preserve"> the Participant(s) to the TSP Member</w:t>
      </w:r>
      <w:r w:rsidR="00844442">
        <w:t>.</w:t>
      </w:r>
    </w:p>
    <w:p w14:paraId="00608C79" w14:textId="584D72F6" w:rsidR="00B75183" w:rsidRDefault="00B75183" w:rsidP="00EF05DD">
      <w:pPr>
        <w:pStyle w:val="guidelinetext"/>
      </w:pPr>
      <w:r>
        <w:t xml:space="preserve">Unless circumstances do not allow, </w:t>
      </w:r>
      <w:r w:rsidR="000B171C">
        <w:t>NEST Provider</w:t>
      </w:r>
      <w:r>
        <w:t xml:space="preserve">s should ensure that the Comprehensive Skills Assessment </w:t>
      </w:r>
      <w:proofErr w:type="gramStart"/>
      <w:r>
        <w:t>are conducted</w:t>
      </w:r>
      <w:proofErr w:type="gramEnd"/>
      <w:r>
        <w:t xml:space="preserve"> face-to-face.</w:t>
      </w:r>
    </w:p>
    <w:p w14:paraId="12F9B329" w14:textId="677CEFCA" w:rsidR="002D5826" w:rsidRDefault="000B171C" w:rsidP="00EF05DD">
      <w:pPr>
        <w:pStyle w:val="guidelinetext"/>
      </w:pPr>
      <w:r>
        <w:t>NEST Provider</w:t>
      </w:r>
      <w:r w:rsidR="002D5826">
        <w:t xml:space="preserve">s can arrange for multiple Comprehensive Skills Assessments to </w:t>
      </w:r>
      <w:proofErr w:type="gramStart"/>
      <w:r w:rsidR="002D5826">
        <w:t>be carried out</w:t>
      </w:r>
      <w:proofErr w:type="gramEnd"/>
      <w:r w:rsidR="002D5826">
        <w:t xml:space="preserve"> under the one CSA Work Order</w:t>
      </w:r>
      <w:r w:rsidR="00D00D80">
        <w:t>, n</w:t>
      </w:r>
      <w:r w:rsidR="006E20A8">
        <w:t xml:space="preserve">oting that Comprehensive Skills Assessments must be delivered individually to each Participant. The </w:t>
      </w:r>
      <w:r w:rsidR="006E20A8" w:rsidRPr="00D2637E">
        <w:t>CSA Work Order template</w:t>
      </w:r>
      <w:r w:rsidR="006E20A8">
        <w:t xml:space="preserve"> </w:t>
      </w:r>
      <w:proofErr w:type="gramStart"/>
      <w:r w:rsidR="006E20A8">
        <w:t>can be found</w:t>
      </w:r>
      <w:proofErr w:type="gramEnd"/>
      <w:r w:rsidR="006E20A8">
        <w:t xml:space="preserve"> on the Provider Portal. </w:t>
      </w:r>
    </w:p>
    <w:p w14:paraId="162501C4" w14:textId="123E3E78" w:rsidR="009F4C82" w:rsidRPr="00B75469" w:rsidRDefault="009F4C82" w:rsidP="009F4C82">
      <w:pPr>
        <w:pStyle w:val="guidelinedeedref"/>
      </w:pPr>
      <w:r w:rsidRPr="00B75469">
        <w:lastRenderedPageBreak/>
        <w:t>(Deed reference: Clause 126.2)</w:t>
      </w:r>
    </w:p>
    <w:p w14:paraId="090461E2" w14:textId="378C5705" w:rsidR="00844442" w:rsidRDefault="006E20A8" w:rsidP="00EF05DD">
      <w:pPr>
        <w:pStyle w:val="Heading2"/>
      </w:pPr>
      <w:bookmarkStart w:id="29" w:name="_Toc22739791"/>
      <w:r w:rsidRPr="00B75469">
        <w:t>Pay</w:t>
      </w:r>
      <w:r w:rsidR="00844442" w:rsidRPr="00B75469">
        <w:t xml:space="preserve">ing </w:t>
      </w:r>
      <w:r w:rsidRPr="00B75469">
        <w:t xml:space="preserve">TSP Members for </w:t>
      </w:r>
      <w:r w:rsidR="00844442" w:rsidRPr="00B75469">
        <w:t xml:space="preserve">a </w:t>
      </w:r>
      <w:r w:rsidRPr="00B75469">
        <w:t>Comprehensive Skills Assessment</w:t>
      </w:r>
      <w:r w:rsidR="00844442" w:rsidRPr="00B75469">
        <w:t>(</w:t>
      </w:r>
      <w:r w:rsidRPr="00B75469">
        <w:t>s</w:t>
      </w:r>
      <w:r w:rsidR="00844442" w:rsidRPr="00B75469">
        <w:t>)</w:t>
      </w:r>
      <w:bookmarkEnd w:id="29"/>
    </w:p>
    <w:p w14:paraId="082BCEA3" w14:textId="7298E549" w:rsidR="00844442" w:rsidRDefault="00844442" w:rsidP="00F601AA">
      <w:pPr>
        <w:pStyle w:val="guidelinetext"/>
      </w:pPr>
      <w:r>
        <w:t xml:space="preserve">A </w:t>
      </w:r>
      <w:r w:rsidR="000B171C">
        <w:t>NEST Provider</w:t>
      </w:r>
      <w:r>
        <w:t xml:space="preserve"> may only pay a CSA Amount to a TSP Member if the: </w:t>
      </w:r>
    </w:p>
    <w:p w14:paraId="13A2FD58" w14:textId="32BD943D" w:rsidR="00844442" w:rsidRDefault="000B171C" w:rsidP="00B60D3A">
      <w:pPr>
        <w:pStyle w:val="guidelinebullet"/>
      </w:pPr>
      <w:r>
        <w:t>NEST Provider</w:t>
      </w:r>
      <w:r w:rsidR="00844442">
        <w:t xml:space="preserve"> has executed a CSA Work Order and the CSA Amount is in accordance with that CSA Work order</w:t>
      </w:r>
    </w:p>
    <w:p w14:paraId="6EDDD27E" w14:textId="77777777" w:rsidR="00844442" w:rsidRDefault="00844442" w:rsidP="00B60D3A">
      <w:pPr>
        <w:pStyle w:val="guidelinebullet"/>
      </w:pPr>
      <w:r>
        <w:t>terms of the CSA Work Order have been met by the TSP Member</w:t>
      </w:r>
    </w:p>
    <w:p w14:paraId="4EE120A4" w14:textId="6DE9D688" w:rsidR="00844442" w:rsidRDefault="00844442" w:rsidP="00B60D3A">
      <w:pPr>
        <w:pStyle w:val="guidelinebullet"/>
      </w:pPr>
      <w:r>
        <w:t xml:space="preserve">TSP Member has provided a written report, detailing the outcomes of the Comprehensive Skills Assessment, to both the </w:t>
      </w:r>
      <w:r w:rsidR="000B171C">
        <w:t>NEST Provider</w:t>
      </w:r>
      <w:r>
        <w:t xml:space="preserve"> and the relevant Participant(s)</w:t>
      </w:r>
    </w:p>
    <w:p w14:paraId="2DAE2326" w14:textId="0452B4A6" w:rsidR="00F601AA" w:rsidRDefault="000B171C" w:rsidP="00B60D3A">
      <w:pPr>
        <w:pStyle w:val="guidelinebullet"/>
      </w:pPr>
      <w:r>
        <w:t>NEST Provider</w:t>
      </w:r>
      <w:r w:rsidR="00844442">
        <w:t xml:space="preserve"> pays in accordance with any Guidelines, using their own funds and only once for each Participant</w:t>
      </w:r>
      <w:r w:rsidR="00F601AA">
        <w:t>.</w:t>
      </w:r>
    </w:p>
    <w:p w14:paraId="0C872E0B" w14:textId="5F7A85F1" w:rsidR="00844442" w:rsidRDefault="00844442" w:rsidP="00970EC6">
      <w:pPr>
        <w:pStyle w:val="guidelinetext"/>
      </w:pPr>
      <w:r>
        <w:t xml:space="preserve">Once the </w:t>
      </w:r>
      <w:r w:rsidR="000B171C">
        <w:t>NEST Provider</w:t>
      </w:r>
      <w:r>
        <w:t xml:space="preserve"> has paid the CSA Amount, they may submit a claim for reimbursement in accordance with the </w:t>
      </w:r>
      <w:r w:rsidR="00D44E01" w:rsidRPr="00D2637E">
        <w:t>Using the Employment Fund General Account Guideline</w:t>
      </w:r>
      <w:r w:rsidR="00BD4DB8">
        <w:t>.</w:t>
      </w:r>
    </w:p>
    <w:p w14:paraId="04B2F17F" w14:textId="13B9111C" w:rsidR="006247F8" w:rsidRDefault="006247F8" w:rsidP="00B60D3A">
      <w:pPr>
        <w:pStyle w:val="docev"/>
        <w:ind w:left="1418" w:hanging="1418"/>
      </w:pPr>
      <w:r w:rsidRPr="00B60D3A">
        <w:rPr>
          <w:b/>
        </w:rPr>
        <w:t>Documentary evidence:</w:t>
      </w:r>
      <w:r w:rsidR="00B60D3A" w:rsidRPr="00B60D3A">
        <w:t xml:space="preserve"> </w:t>
      </w:r>
      <w:r w:rsidR="000B171C">
        <w:t>NEST Provider</w:t>
      </w:r>
      <w:r w:rsidR="00B60D3A" w:rsidRPr="00B60D3A">
        <w:t>s should retain and upload a copy of the written report for each Participant they refer to have a Comprehensive Skills Assessment.</w:t>
      </w:r>
    </w:p>
    <w:p w14:paraId="1F2E5388" w14:textId="34907C30" w:rsidR="009F4C82" w:rsidRPr="009F4C82" w:rsidRDefault="009F4C82" w:rsidP="009F4C82">
      <w:pPr>
        <w:pStyle w:val="guidelinedeedref"/>
      </w:pPr>
      <w:r>
        <w:t>(Deed reference: Clause 126.4, 126.5, 126.6)</w:t>
      </w:r>
    </w:p>
    <w:p w14:paraId="4321B424" w14:textId="77777777" w:rsidR="009F4C82" w:rsidRPr="00E8532A" w:rsidRDefault="009F4C82" w:rsidP="009F4C82">
      <w:pPr>
        <w:pStyle w:val="docev"/>
        <w:numPr>
          <w:ilvl w:val="0"/>
          <w:numId w:val="0"/>
        </w:numPr>
        <w:ind w:left="1418"/>
      </w:pPr>
    </w:p>
    <w:p w14:paraId="46EABFEE" w14:textId="77777777" w:rsidR="00060E78" w:rsidRDefault="00E10CB2" w:rsidP="00060E78">
      <w:pPr>
        <w:pStyle w:val="Heading2"/>
      </w:pPr>
      <w:bookmarkStart w:id="30" w:name="_Toc22739792"/>
      <w:r>
        <w:t xml:space="preserve">Employment </w:t>
      </w:r>
      <w:r w:rsidR="00F503BB">
        <w:t>f</w:t>
      </w:r>
      <w:r w:rsidR="00060E78">
        <w:t>acilitators</w:t>
      </w:r>
      <w:bookmarkEnd w:id="30"/>
    </w:p>
    <w:p w14:paraId="36D1F47D" w14:textId="3E30C6D7" w:rsidR="00060E78" w:rsidRDefault="00700EBF" w:rsidP="00832BA0">
      <w:pPr>
        <w:pStyle w:val="guidelinetext"/>
      </w:pPr>
      <w:r>
        <w:t>Emp</w:t>
      </w:r>
      <w:r w:rsidRPr="003A1B4A">
        <w:t>lo</w:t>
      </w:r>
      <w:r>
        <w:t xml:space="preserve">yment </w:t>
      </w:r>
      <w:r w:rsidR="00D00D80">
        <w:t>F</w:t>
      </w:r>
      <w:r>
        <w:t>acilitators are lo</w:t>
      </w:r>
      <w:r w:rsidRPr="003A1B4A">
        <w:t>cated</w:t>
      </w:r>
      <w:r>
        <w:t xml:space="preserve"> within each of the five </w:t>
      </w:r>
      <w:r w:rsidR="00E4595C">
        <w:t>Stronger Transition</w:t>
      </w:r>
      <w:r>
        <w:t xml:space="preserve"> regions</w:t>
      </w:r>
      <w:r w:rsidR="00486CBB">
        <w:t xml:space="preserve">. </w:t>
      </w:r>
      <w:r w:rsidR="00E10CB2">
        <w:t xml:space="preserve">The </w:t>
      </w:r>
      <w:r w:rsidR="00D00D80">
        <w:t>E</w:t>
      </w:r>
      <w:r w:rsidR="00E10CB2">
        <w:t xml:space="preserve">mployment </w:t>
      </w:r>
      <w:r w:rsidR="00D00D80">
        <w:t>F</w:t>
      </w:r>
      <w:r w:rsidR="00486CBB" w:rsidRPr="003A1B4A">
        <w:t>acilitators provide a local point of contac</w:t>
      </w:r>
      <w:r w:rsidR="00486CBB">
        <w:t xml:space="preserve">t </w:t>
      </w:r>
      <w:r>
        <w:t xml:space="preserve">and </w:t>
      </w:r>
      <w:r w:rsidR="00486CBB">
        <w:t xml:space="preserve">work with </w:t>
      </w:r>
      <w:r w:rsidR="000F5206">
        <w:t>E</w:t>
      </w:r>
      <w:r w:rsidR="00486CBB">
        <w:t xml:space="preserve">mployers, state government and other key stakeholders to assist and </w:t>
      </w:r>
      <w:r>
        <w:t xml:space="preserve">support </w:t>
      </w:r>
      <w:r w:rsidR="00D00D80">
        <w:t>P</w:t>
      </w:r>
      <w:r>
        <w:t xml:space="preserve">articipants to </w:t>
      </w:r>
      <w:r w:rsidR="00E4595C">
        <w:t xml:space="preserve">find and transition into </w:t>
      </w:r>
      <w:r w:rsidR="00486CBB">
        <w:t>sustainable employment</w:t>
      </w:r>
      <w:r>
        <w:t xml:space="preserve">. </w:t>
      </w:r>
      <w:r w:rsidR="000B171C">
        <w:t>NEST Provider</w:t>
      </w:r>
      <w:r w:rsidR="00486CBB">
        <w:t xml:space="preserve">s </w:t>
      </w:r>
      <w:r w:rsidR="00E4595C">
        <w:t>are encouraged to</w:t>
      </w:r>
      <w:r w:rsidR="00486CBB">
        <w:t xml:space="preserve"> collaborate </w:t>
      </w:r>
      <w:r w:rsidR="00E4595C">
        <w:t xml:space="preserve">closely </w:t>
      </w:r>
      <w:r w:rsidR="00486CBB">
        <w:t>with</w:t>
      </w:r>
      <w:r w:rsidR="00E4595C">
        <w:t xml:space="preserve"> their local</w:t>
      </w:r>
      <w:r w:rsidR="00E10CB2">
        <w:t xml:space="preserve"> </w:t>
      </w:r>
      <w:r w:rsidR="00D00D80">
        <w:t>E</w:t>
      </w:r>
      <w:r w:rsidR="00535C13">
        <w:t xml:space="preserve">mployment </w:t>
      </w:r>
      <w:r w:rsidR="00D00D80">
        <w:t>F</w:t>
      </w:r>
      <w:r w:rsidR="00486CBB">
        <w:t xml:space="preserve">acilitator </w:t>
      </w:r>
      <w:proofErr w:type="gramStart"/>
      <w:r w:rsidR="00486CBB">
        <w:t>to better assist</w:t>
      </w:r>
      <w:proofErr w:type="gramEnd"/>
      <w:r w:rsidR="00486CBB">
        <w:t xml:space="preserve"> </w:t>
      </w:r>
      <w:r w:rsidR="00D00D80">
        <w:t>P</w:t>
      </w:r>
      <w:r w:rsidR="00486CBB">
        <w:t>articipants</w:t>
      </w:r>
      <w:r w:rsidR="00E4595C">
        <w:t xml:space="preserve"> to</w:t>
      </w:r>
      <w:r w:rsidR="00486CBB">
        <w:t xml:space="preserve"> find work.</w:t>
      </w:r>
    </w:p>
    <w:p w14:paraId="2F9D2FE2" w14:textId="2F71FE92" w:rsidR="00486CBB" w:rsidRDefault="00486CBB" w:rsidP="00832BA0">
      <w:pPr>
        <w:pStyle w:val="guidelinetext"/>
      </w:pPr>
      <w:r>
        <w:t xml:space="preserve">Participants who have participated in </w:t>
      </w:r>
      <w:r w:rsidR="000F5206">
        <w:t xml:space="preserve">pre-jobactive support under </w:t>
      </w:r>
      <w:r>
        <w:t xml:space="preserve">Stronger Transitions will have a Stronger Transitions Support </w:t>
      </w:r>
      <w:r w:rsidR="00F30436">
        <w:t xml:space="preserve">Statement, provided by their </w:t>
      </w:r>
      <w:r w:rsidR="00D00D80">
        <w:t>E</w:t>
      </w:r>
      <w:r w:rsidR="00E10CB2">
        <w:t xml:space="preserve">mployment </w:t>
      </w:r>
      <w:r w:rsidR="00D00D80">
        <w:t>F</w:t>
      </w:r>
      <w:r w:rsidR="00F30436">
        <w:t>acilitator</w:t>
      </w:r>
      <w:r w:rsidR="00E4595C">
        <w:t xml:space="preserve">. The support </w:t>
      </w:r>
      <w:r w:rsidR="00F30436">
        <w:t>statement</w:t>
      </w:r>
      <w:r>
        <w:t xml:space="preserve"> will outline</w:t>
      </w:r>
      <w:r w:rsidR="00E4595C">
        <w:t xml:space="preserve"> the</w:t>
      </w:r>
      <w:r>
        <w:t xml:space="preserve"> training and support a </w:t>
      </w:r>
      <w:r w:rsidR="00D00D80">
        <w:t>P</w:t>
      </w:r>
      <w:r>
        <w:t xml:space="preserve">articipant has received </w:t>
      </w:r>
      <w:r w:rsidR="00E4595C">
        <w:t xml:space="preserve">to date, as part of </w:t>
      </w:r>
      <w:r>
        <w:t>Stronger Transitions</w:t>
      </w:r>
      <w:r w:rsidR="00E4595C">
        <w:t>.</w:t>
      </w:r>
    </w:p>
    <w:p w14:paraId="3C42CE17" w14:textId="77777777" w:rsidR="0056756B" w:rsidRDefault="0056756B" w:rsidP="00060E78">
      <w:pPr>
        <w:pStyle w:val="Heading2"/>
      </w:pPr>
      <w:bookmarkStart w:id="31" w:name="_Toc22739793"/>
      <w:r>
        <w:t>Relocation Assistance</w:t>
      </w:r>
      <w:bookmarkEnd w:id="31"/>
    </w:p>
    <w:p w14:paraId="69E90BCA" w14:textId="6AB991CA" w:rsidR="0056756B" w:rsidRPr="00B75469" w:rsidRDefault="00D00D80" w:rsidP="0056756B">
      <w:pPr>
        <w:pStyle w:val="guidelinetext"/>
      </w:pPr>
      <w:r>
        <w:t>P</w:t>
      </w:r>
      <w:r w:rsidR="002F3162">
        <w:t xml:space="preserve">articipants are eligible </w:t>
      </w:r>
      <w:r w:rsidR="00631C29">
        <w:t xml:space="preserve">for </w:t>
      </w:r>
      <w:r w:rsidR="002F3162">
        <w:t>immediate access to</w:t>
      </w:r>
      <w:r w:rsidR="00631C29">
        <w:t xml:space="preserve"> the Relocation Assistance to Take </w:t>
      </w:r>
      <w:proofErr w:type="gramStart"/>
      <w:r w:rsidR="00631C29">
        <w:t>Up</w:t>
      </w:r>
      <w:proofErr w:type="gramEnd"/>
      <w:r w:rsidR="00631C29">
        <w:t xml:space="preserve"> a Job Programme. </w:t>
      </w:r>
      <w:r w:rsidR="000B171C">
        <w:t>NEST Provider</w:t>
      </w:r>
      <w:r w:rsidR="00AC52E0">
        <w:t>s should assist participants</w:t>
      </w:r>
      <w:r w:rsidR="00486CBB">
        <w:t xml:space="preserve"> seeking relocation </w:t>
      </w:r>
      <w:r w:rsidR="00486CBB" w:rsidRPr="00B75469">
        <w:t>assistance</w:t>
      </w:r>
      <w:r w:rsidR="00AC52E0" w:rsidRPr="00B75469">
        <w:t xml:space="preserve"> </w:t>
      </w:r>
      <w:r w:rsidR="000F5206" w:rsidRPr="00B75469">
        <w:t xml:space="preserve">in line with </w:t>
      </w:r>
      <w:r w:rsidR="00AC52E0" w:rsidRPr="00B75469">
        <w:t xml:space="preserve">the </w:t>
      </w:r>
      <w:r w:rsidR="00AC52E0" w:rsidRPr="00D2637E">
        <w:t xml:space="preserve">Managing Relocation Assistance to Take </w:t>
      </w:r>
      <w:proofErr w:type="gramStart"/>
      <w:r w:rsidR="00AC52E0" w:rsidRPr="00D2637E">
        <w:t>Up</w:t>
      </w:r>
      <w:proofErr w:type="gramEnd"/>
      <w:r w:rsidR="00AC52E0" w:rsidRPr="00D2637E">
        <w:t xml:space="preserve"> a Job Programme Guideline.</w:t>
      </w:r>
    </w:p>
    <w:p w14:paraId="2C763081" w14:textId="48AEE330" w:rsidR="00AD6911" w:rsidRPr="00B75469" w:rsidRDefault="00BD4DB8" w:rsidP="003C5515">
      <w:pPr>
        <w:pStyle w:val="guidelinedeedref"/>
        <w:rPr>
          <w:szCs w:val="20"/>
        </w:rPr>
      </w:pPr>
      <w:r w:rsidRPr="00B75469">
        <w:t>(</w:t>
      </w:r>
      <w:r w:rsidR="00AD6911" w:rsidRPr="00B75469">
        <w:t xml:space="preserve">Deed </w:t>
      </w:r>
      <w:r w:rsidR="003C5515" w:rsidRPr="00B75469">
        <w:t>R</w:t>
      </w:r>
      <w:r w:rsidR="00AD6911" w:rsidRPr="00B75469">
        <w:t xml:space="preserve">eference: </w:t>
      </w:r>
      <w:r w:rsidRPr="00B75469">
        <w:t>Clause</w:t>
      </w:r>
      <w:r w:rsidR="003C5515" w:rsidRPr="00B75469">
        <w:t>: 123</w:t>
      </w:r>
      <w:r w:rsidRPr="00B75469">
        <w:t>)</w:t>
      </w:r>
    </w:p>
    <w:p w14:paraId="4D2FA2D3" w14:textId="77777777" w:rsidR="00060E78" w:rsidRDefault="00060E78" w:rsidP="00060E78">
      <w:pPr>
        <w:pStyle w:val="Heading2"/>
      </w:pPr>
      <w:bookmarkStart w:id="32" w:name="_Toc22739794"/>
      <w:r w:rsidRPr="00B75469">
        <w:t>Activities</w:t>
      </w:r>
      <w:bookmarkEnd w:id="32"/>
    </w:p>
    <w:p w14:paraId="378649F3" w14:textId="6FCF2C8A" w:rsidR="004220EE" w:rsidRDefault="00832BA0" w:rsidP="00832BA0">
      <w:pPr>
        <w:pStyle w:val="guidelinetext"/>
      </w:pPr>
      <w:r>
        <w:t xml:space="preserve">Although </w:t>
      </w:r>
      <w:r w:rsidR="00D00D80">
        <w:t>P</w:t>
      </w:r>
      <w:r w:rsidR="00750685">
        <w:t>articipants</w:t>
      </w:r>
      <w:r>
        <w:t xml:space="preserve"> do not have an Annual Activity Requirement, </w:t>
      </w:r>
      <w:r w:rsidR="00D00D80">
        <w:t>P</w:t>
      </w:r>
      <w:r w:rsidR="00750685">
        <w:t>articipant</w:t>
      </w:r>
      <w:r>
        <w:t>s</w:t>
      </w:r>
      <w:r w:rsidR="000F5206">
        <w:t xml:space="preserve"> should</w:t>
      </w:r>
      <w:r>
        <w:t xml:space="preserve"> be </w:t>
      </w:r>
      <w:r w:rsidR="000F5206">
        <w:t>encouraged to access Activities such as, training opportunities</w:t>
      </w:r>
      <w:r w:rsidR="00F503BB">
        <w:t xml:space="preserve">, </w:t>
      </w:r>
      <w:r w:rsidR="008A0850">
        <w:t>a</w:t>
      </w:r>
      <w:r w:rsidR="00F24A15">
        <w:t xml:space="preserve">ctivities designed to improve a </w:t>
      </w:r>
      <w:r w:rsidR="00D00D80">
        <w:t>P</w:t>
      </w:r>
      <w:r w:rsidR="00F24A15">
        <w:t>articipant’s employment prospects</w:t>
      </w:r>
      <w:r w:rsidR="00F503BB">
        <w:t>,</w:t>
      </w:r>
      <w:r w:rsidR="000F5206">
        <w:t xml:space="preserve"> participate in work </w:t>
      </w:r>
      <w:r w:rsidR="000F5206">
        <w:lastRenderedPageBreak/>
        <w:t>experience</w:t>
      </w:r>
      <w:r w:rsidR="00F503BB">
        <w:t xml:space="preserve"> placements and address any non-vocational barriers as required</w:t>
      </w:r>
      <w:r>
        <w:t xml:space="preserve">. </w:t>
      </w:r>
      <w:r w:rsidR="000B171C">
        <w:t>NEST Provider</w:t>
      </w:r>
      <w:r w:rsidR="004220EE" w:rsidRPr="002E1F24">
        <w:t xml:space="preserve">s should also encourage </w:t>
      </w:r>
      <w:r w:rsidR="00D00D80">
        <w:t>P</w:t>
      </w:r>
      <w:r w:rsidR="004220EE" w:rsidRPr="002E1F24">
        <w:t>articipants interested in starting their own business to consider the New Enterprise Incentive Scheme (NEIS).</w:t>
      </w:r>
    </w:p>
    <w:p w14:paraId="35CFCC30" w14:textId="02903190" w:rsidR="00832BA0" w:rsidRDefault="000F5206" w:rsidP="00832BA0">
      <w:pPr>
        <w:pStyle w:val="guidelinetext"/>
      </w:pPr>
      <w:r>
        <w:t>Activities</w:t>
      </w:r>
      <w:r w:rsidR="00832BA0">
        <w:t xml:space="preserve"> </w:t>
      </w:r>
      <w:proofErr w:type="gramStart"/>
      <w:r w:rsidR="00832BA0">
        <w:t xml:space="preserve">must be specified in the </w:t>
      </w:r>
      <w:r w:rsidR="00D00D80">
        <w:t>P</w:t>
      </w:r>
      <w:r w:rsidR="00750685">
        <w:t>articipant</w:t>
      </w:r>
      <w:r w:rsidR="00832BA0">
        <w:t xml:space="preserve">’s Job Plan and agreed to by </w:t>
      </w:r>
      <w:r w:rsidR="00F503BB">
        <w:t xml:space="preserve">both the </w:t>
      </w:r>
      <w:r w:rsidR="00D00D80">
        <w:t>P</w:t>
      </w:r>
      <w:r w:rsidR="00F503BB">
        <w:t xml:space="preserve">articipant and </w:t>
      </w:r>
      <w:r w:rsidR="00832BA0">
        <w:t xml:space="preserve">the </w:t>
      </w:r>
      <w:r w:rsidR="000B171C">
        <w:t>NEST Provider</w:t>
      </w:r>
      <w:proofErr w:type="gramEnd"/>
      <w:r w:rsidR="00F503BB">
        <w:t xml:space="preserve">. </w:t>
      </w:r>
      <w:r w:rsidR="000B171C">
        <w:t>NEST Provider</w:t>
      </w:r>
      <w:r w:rsidR="00F503BB">
        <w:t xml:space="preserve">s should monitor the </w:t>
      </w:r>
      <w:r w:rsidR="00D00D80">
        <w:t>P</w:t>
      </w:r>
      <w:r w:rsidR="00F503BB">
        <w:t xml:space="preserve">articipant’s progress, encouraging them </w:t>
      </w:r>
      <w:proofErr w:type="gramStart"/>
      <w:r w:rsidR="00F503BB">
        <w:t>to actively participate</w:t>
      </w:r>
      <w:proofErr w:type="gramEnd"/>
      <w:r w:rsidR="00F503BB">
        <w:t>, n</w:t>
      </w:r>
      <w:r w:rsidR="00050740">
        <w:t xml:space="preserve">oting that all the Activities in a </w:t>
      </w:r>
      <w:r w:rsidR="00D00D80">
        <w:t>P</w:t>
      </w:r>
      <w:r w:rsidR="00050740">
        <w:t>articipant’s Job Plan are voluntary.</w:t>
      </w:r>
    </w:p>
    <w:p w14:paraId="7FD93044" w14:textId="11B4F045" w:rsidR="00832BA0" w:rsidRPr="00B75469" w:rsidRDefault="00832BA0" w:rsidP="00832BA0">
      <w:pPr>
        <w:pStyle w:val="guidelinetext"/>
      </w:pPr>
      <w:r>
        <w:t xml:space="preserve">Note: In placing </w:t>
      </w:r>
      <w:r w:rsidR="00D00D80">
        <w:t>P</w:t>
      </w:r>
      <w:r w:rsidR="00750685">
        <w:t>articipant</w:t>
      </w:r>
      <w:r>
        <w:t xml:space="preserve">s into Activities, including Work for the Dole, the </w:t>
      </w:r>
      <w:r w:rsidR="000B171C">
        <w:t>NEST Provider</w:t>
      </w:r>
      <w:r>
        <w:t xml:space="preserve"> must give priority to Fully Eligible Participants (Mutual Obligation) over </w:t>
      </w:r>
      <w:r w:rsidRPr="00B75469">
        <w:t xml:space="preserve">other </w:t>
      </w:r>
      <w:r w:rsidR="00D00D80" w:rsidRPr="00B75469">
        <w:t>P</w:t>
      </w:r>
      <w:r w:rsidR="00750685" w:rsidRPr="00B75469">
        <w:t>articipant</w:t>
      </w:r>
      <w:r w:rsidRPr="00B75469">
        <w:t>s (see clause 107 of the Deed).</w:t>
      </w:r>
    </w:p>
    <w:p w14:paraId="64B28C48" w14:textId="0A7015B4" w:rsidR="0071103F" w:rsidRPr="00B75469" w:rsidRDefault="0071103F" w:rsidP="00873006">
      <w:pPr>
        <w:pStyle w:val="guidelinedeedref"/>
      </w:pPr>
      <w:r w:rsidRPr="00B75469">
        <w:t>(Deed Reference: Clause 99,</w:t>
      </w:r>
      <w:r w:rsidR="00873006" w:rsidRPr="00B75469">
        <w:t xml:space="preserve"> 107)</w:t>
      </w:r>
      <w:r w:rsidRPr="00B75469">
        <w:t xml:space="preserve"> </w:t>
      </w:r>
    </w:p>
    <w:p w14:paraId="6B4E71A6" w14:textId="77777777" w:rsidR="00832BA0" w:rsidRPr="00B75469" w:rsidRDefault="00832BA0" w:rsidP="009C268A">
      <w:pPr>
        <w:pStyle w:val="Heading1"/>
        <w:numPr>
          <w:ilvl w:val="0"/>
          <w:numId w:val="47"/>
        </w:numPr>
      </w:pPr>
      <w:bookmarkStart w:id="33" w:name="_Toc22739795"/>
      <w:r w:rsidRPr="00B75469">
        <w:t>Payments</w:t>
      </w:r>
      <w:bookmarkEnd w:id="33"/>
      <w:r w:rsidRPr="00B75469">
        <w:t xml:space="preserve"> </w:t>
      </w:r>
    </w:p>
    <w:p w14:paraId="3B6AD010" w14:textId="6D615991" w:rsidR="00832BA0" w:rsidRPr="00B75469" w:rsidRDefault="00D67B3E" w:rsidP="00B60D3A">
      <w:pPr>
        <w:pStyle w:val="guidelinetext"/>
      </w:pPr>
      <w:r w:rsidRPr="00B75469">
        <w:t>Participants</w:t>
      </w:r>
      <w:r w:rsidR="00832BA0" w:rsidRPr="00B75469">
        <w:t xml:space="preserve"> who are eligible for support under </w:t>
      </w:r>
      <w:r w:rsidRPr="00B75469">
        <w:t>Stronger Transitions</w:t>
      </w:r>
      <w:r w:rsidR="00832BA0" w:rsidRPr="00B75469">
        <w:t xml:space="preserve"> will attract Payments</w:t>
      </w:r>
      <w:r w:rsidR="00942F59" w:rsidRPr="00B75469">
        <w:t xml:space="preserve"> and Employment Fund credits</w:t>
      </w:r>
      <w:r w:rsidR="00832BA0" w:rsidRPr="00B75469">
        <w:t>. This includes:</w:t>
      </w:r>
    </w:p>
    <w:p w14:paraId="0BBCB8E0" w14:textId="1D24210C" w:rsidR="00832BA0" w:rsidRPr="00B75469" w:rsidRDefault="00942F59" w:rsidP="00832BA0">
      <w:pPr>
        <w:pStyle w:val="guidelinebullet"/>
      </w:pPr>
      <w:r w:rsidRPr="00B75469">
        <w:t>Engagement and Progress Fees for Enhanced Services per Period of Service,</w:t>
      </w:r>
    </w:p>
    <w:p w14:paraId="620D32A7" w14:textId="5F00A302" w:rsidR="0064481A" w:rsidRPr="00B75469" w:rsidRDefault="00832BA0" w:rsidP="001B449B">
      <w:pPr>
        <w:pStyle w:val="guidelinebullet"/>
      </w:pPr>
      <w:r w:rsidRPr="00B75469">
        <w:t xml:space="preserve">Outcome Payments where </w:t>
      </w:r>
      <w:r w:rsidR="0064481A" w:rsidRPr="00B75469">
        <w:t xml:space="preserve">a </w:t>
      </w:r>
      <w:r w:rsidR="00D00D80" w:rsidRPr="00B75469">
        <w:t>P</w:t>
      </w:r>
      <w:r w:rsidR="0064481A" w:rsidRPr="00B75469">
        <w:t>articipant</w:t>
      </w:r>
      <w:r w:rsidRPr="00B75469">
        <w:t xml:space="preserve"> commence</w:t>
      </w:r>
      <w:r w:rsidR="0064481A" w:rsidRPr="00B75469">
        <w:t>s</w:t>
      </w:r>
      <w:r w:rsidRPr="00B75469">
        <w:t xml:space="preserve"> in Employment and meet</w:t>
      </w:r>
      <w:r w:rsidR="0064481A" w:rsidRPr="00B75469">
        <w:t>s</w:t>
      </w:r>
      <w:r w:rsidRPr="00B75469">
        <w:t xml:space="preserve"> the requirements for a </w:t>
      </w:r>
      <w:r w:rsidR="0064481A" w:rsidRPr="00B75469">
        <w:t>four, 12</w:t>
      </w:r>
      <w:r w:rsidRPr="00B75469">
        <w:t>, or 26 Week Outcome</w:t>
      </w:r>
      <w:r w:rsidR="0064481A" w:rsidRPr="00B75469">
        <w:t>, and</w:t>
      </w:r>
    </w:p>
    <w:p w14:paraId="2F5D233C" w14:textId="4D76120F" w:rsidR="00832BA0" w:rsidRPr="00B75469" w:rsidRDefault="00942F59" w:rsidP="001B449B">
      <w:pPr>
        <w:pStyle w:val="guidelinebullet"/>
      </w:pPr>
      <w:proofErr w:type="gramStart"/>
      <w:r w:rsidRPr="00B75469">
        <w:t>an</w:t>
      </w:r>
      <w:proofErr w:type="gramEnd"/>
      <w:r w:rsidRPr="00B75469">
        <w:t xml:space="preserve"> Employment Fund credit (including an additional SAP credit—see below).</w:t>
      </w:r>
    </w:p>
    <w:p w14:paraId="7428DD5E" w14:textId="117AB0E5" w:rsidR="00873006" w:rsidRPr="00B75469" w:rsidRDefault="00873006" w:rsidP="00B75469">
      <w:pPr>
        <w:pStyle w:val="guidelinedeedref"/>
      </w:pPr>
      <w:r w:rsidRPr="00B75469">
        <w:t xml:space="preserve">(Deed Reference: clause 138, Section E1.1, Annexure E1 Payments and Employment Fund Credits) </w:t>
      </w:r>
    </w:p>
    <w:p w14:paraId="0F029541" w14:textId="6F06DD08" w:rsidR="00942F59" w:rsidRDefault="00942F59" w:rsidP="00B60D3A">
      <w:pPr>
        <w:pStyle w:val="Heading1"/>
        <w:numPr>
          <w:ilvl w:val="0"/>
          <w:numId w:val="47"/>
        </w:numPr>
      </w:pPr>
      <w:bookmarkStart w:id="34" w:name="_Toc511126637"/>
      <w:bookmarkStart w:id="35" w:name="_Toc22739796"/>
      <w:r w:rsidRPr="00B75469">
        <w:t xml:space="preserve">Managing </w:t>
      </w:r>
      <w:r w:rsidR="00872C7E" w:rsidRPr="00B75469">
        <w:t>s</w:t>
      </w:r>
      <w:r w:rsidRPr="00B75469">
        <w:t xml:space="preserve">tructural </w:t>
      </w:r>
      <w:r w:rsidR="00872C7E" w:rsidRPr="00B75469">
        <w:t>a</w:t>
      </w:r>
      <w:r w:rsidRPr="00B75469">
        <w:t>djustment</w:t>
      </w:r>
      <w:r w:rsidR="00872C7E">
        <w:t xml:space="preserve"> </w:t>
      </w:r>
      <w:r>
        <w:t>credits</w:t>
      </w:r>
      <w:bookmarkEnd w:id="34"/>
      <w:bookmarkEnd w:id="35"/>
    </w:p>
    <w:p w14:paraId="712496E2" w14:textId="314F2DE2" w:rsidR="00942F59" w:rsidRDefault="000B171C" w:rsidP="00942F59">
      <w:pPr>
        <w:pStyle w:val="guidelinetext"/>
      </w:pPr>
      <w:r>
        <w:t>NEST Provider</w:t>
      </w:r>
      <w:r w:rsidR="00942F59">
        <w:t>s receive credits into their Employment Fund notional bank balance</w:t>
      </w:r>
      <w:r w:rsidR="00942F59" w:rsidRPr="00E31F93">
        <w:t xml:space="preserve"> </w:t>
      </w:r>
      <w:r w:rsidR="00942F59">
        <w:t xml:space="preserve">at the </w:t>
      </w:r>
      <w:r>
        <w:t>NEST Provider</w:t>
      </w:r>
      <w:r w:rsidR="00942F59">
        <w:t xml:space="preserve"> Site level. The amount credited is in line with Table 1 and Table 2, Annexure E1 of the New Employment Services Trial Deed 2019</w:t>
      </w:r>
      <w:r w:rsidR="00942F59">
        <w:softHyphen/>
        <w:t>-22.</w:t>
      </w:r>
    </w:p>
    <w:p w14:paraId="23BD45C1" w14:textId="6FF355CE" w:rsidR="00942F59" w:rsidRDefault="00942F59" w:rsidP="00942F59">
      <w:pPr>
        <w:pStyle w:val="guidelinetext"/>
        <w:rPr>
          <w:rStyle w:val="Hyperlink"/>
        </w:rPr>
      </w:pPr>
      <w:r>
        <w:t>Participants,</w:t>
      </w:r>
      <w:r w:rsidRPr="00324B3D">
        <w:t xml:space="preserve"> who are eligible for support under the Stronger Transitions </w:t>
      </w:r>
      <w:r>
        <w:t>Package</w:t>
      </w:r>
      <w:r w:rsidRPr="00324B3D">
        <w:t xml:space="preserve">, </w:t>
      </w:r>
      <w:r w:rsidR="00872C7E">
        <w:t xml:space="preserve">will also receive </w:t>
      </w:r>
      <w:r w:rsidRPr="00324B3D">
        <w:t>a once-only S</w:t>
      </w:r>
      <w:r w:rsidR="00872C7E">
        <w:t xml:space="preserve">tronger Transitions </w:t>
      </w:r>
      <w:r w:rsidRPr="00324B3D">
        <w:t>credit</w:t>
      </w:r>
      <w:r w:rsidR="00872C7E">
        <w:t xml:space="preserve"> of $550 (referred to as SAP credit)</w:t>
      </w:r>
      <w:r w:rsidRPr="00324B3D">
        <w:t xml:space="preserve"> </w:t>
      </w:r>
      <w:r w:rsidR="00872C7E">
        <w:t>on Commencement into Enhanced Services.</w:t>
      </w:r>
      <w:r>
        <w:t xml:space="preserve"> </w:t>
      </w:r>
    </w:p>
    <w:p w14:paraId="2F29B516" w14:textId="77777777" w:rsidR="00942F59" w:rsidRPr="00714053" w:rsidRDefault="00942F59" w:rsidP="00942F59">
      <w:pPr>
        <w:pStyle w:val="guidelinetext"/>
      </w:pPr>
      <w:r w:rsidRPr="00714053">
        <w:t>Notes:</w:t>
      </w:r>
    </w:p>
    <w:p w14:paraId="6E14DAC4" w14:textId="293259AA" w:rsidR="00942F59" w:rsidRPr="00537DF5" w:rsidRDefault="000B171C" w:rsidP="00942F59">
      <w:pPr>
        <w:pStyle w:val="guidelinebullet"/>
        <w:ind w:left="1797" w:hanging="357"/>
      </w:pPr>
      <w:r>
        <w:t>NEST Provider</w:t>
      </w:r>
      <w:r w:rsidR="00942F59">
        <w:t xml:space="preserve">s can only use SAP credits </w:t>
      </w:r>
      <w:r w:rsidR="00942F59" w:rsidRPr="00A37677">
        <w:t xml:space="preserve">for </w:t>
      </w:r>
      <w:r w:rsidR="00942F59">
        <w:t>participants</w:t>
      </w:r>
      <w:r w:rsidR="00942F59" w:rsidRPr="00A37677">
        <w:t xml:space="preserve"> </w:t>
      </w:r>
      <w:r w:rsidR="00942F59">
        <w:t>assisted through a SAP or the Stronger Transitions Package.</w:t>
      </w:r>
      <w:r w:rsidR="00942F59" w:rsidDel="004D7361">
        <w:rPr>
          <w:spacing w:val="-1"/>
        </w:rPr>
        <w:t xml:space="preserve"> </w:t>
      </w:r>
    </w:p>
    <w:p w14:paraId="31197FE0" w14:textId="0FFE5108" w:rsidR="00942F59" w:rsidRDefault="00942F59" w:rsidP="00942F59">
      <w:pPr>
        <w:pStyle w:val="guidelinebullet"/>
        <w:ind w:left="1797" w:hanging="357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>p</w:t>
      </w:r>
      <w:r>
        <w:t>ar</w:t>
      </w:r>
      <w:r>
        <w:rPr>
          <w:spacing w:val="-2"/>
        </w:rPr>
        <w:t>t</w:t>
      </w:r>
      <w:r>
        <w:rPr>
          <w:spacing w:val="1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2"/>
        </w:rPr>
        <w:t>’</w:t>
      </w:r>
      <w:r>
        <w:t>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3"/>
        </w:rPr>
        <w:t>S</w:t>
      </w:r>
      <w:r>
        <w:rPr>
          <w:spacing w:val="1"/>
        </w:rPr>
        <w:t>y</w:t>
      </w:r>
      <w:r>
        <w:t>s</w:t>
      </w:r>
      <w:r>
        <w:rPr>
          <w:spacing w:val="-2"/>
        </w:rPr>
        <w:t>te</w:t>
      </w:r>
      <w:r>
        <w:rPr>
          <w:spacing w:val="1"/>
        </w:rPr>
        <w:t>m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d</w:t>
      </w:r>
      <w:r>
        <w:t>is</w:t>
      </w:r>
      <w:r>
        <w:rPr>
          <w:spacing w:val="-1"/>
        </w:rPr>
        <w:t>p</w:t>
      </w:r>
      <w:r>
        <w:t>lays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SA</w:t>
      </w:r>
      <w:r>
        <w:t>P cr</w:t>
      </w:r>
      <w:r>
        <w:rPr>
          <w:spacing w:val="1"/>
        </w:rPr>
        <w:t>e</w:t>
      </w:r>
      <w:r>
        <w:rPr>
          <w:spacing w:val="-1"/>
        </w:rPr>
        <w:t>d</w:t>
      </w:r>
      <w:r>
        <w:t>it</w:t>
      </w:r>
      <w:r>
        <w:rPr>
          <w:spacing w:val="1"/>
        </w:rPr>
        <w:t xml:space="preserve"> balance </w:t>
      </w:r>
      <w:r>
        <w:rPr>
          <w:spacing w:val="-2"/>
        </w:rPr>
        <w:t>s</w:t>
      </w:r>
      <w:r>
        <w:rPr>
          <w:spacing w:val="1"/>
        </w:rPr>
        <w:t>e</w:t>
      </w:r>
      <w:r>
        <w:rPr>
          <w:spacing w:val="-1"/>
        </w:rPr>
        <w:t>p</w:t>
      </w:r>
      <w:r>
        <w:t>ara</w:t>
      </w:r>
      <w:r>
        <w:rPr>
          <w:spacing w:val="1"/>
        </w:rPr>
        <w:t>te</w:t>
      </w:r>
      <w:r>
        <w:rPr>
          <w:spacing w:val="-3"/>
        </w:rPr>
        <w:t>l</w:t>
      </w:r>
      <w:r>
        <w:t>y</w:t>
      </w:r>
      <w:r>
        <w:rPr>
          <w:spacing w:val="2"/>
        </w:rPr>
        <w:t xml:space="preserve"> to the General Account credit balance</w:t>
      </w:r>
      <w:r>
        <w:t xml:space="preserve">. </w:t>
      </w:r>
      <w:r w:rsidR="000B171C">
        <w:t>NEST Provider</w:t>
      </w:r>
      <w:r>
        <w:t>s</w:t>
      </w:r>
      <w:r>
        <w:rPr>
          <w:spacing w:val="1"/>
        </w:rPr>
        <w:t xml:space="preserve"> </w:t>
      </w:r>
      <w:proofErr w:type="gramStart"/>
      <w:r>
        <w:t>a</w:t>
      </w:r>
      <w:r>
        <w:rPr>
          <w:spacing w:val="-3"/>
        </w:rPr>
        <w:t>r</w:t>
      </w:r>
      <w:r>
        <w:t>e</w:t>
      </w:r>
      <w:r>
        <w:rPr>
          <w:spacing w:val="-1"/>
        </w:rPr>
        <w:t xml:space="preserve"> </w:t>
      </w:r>
      <w:r>
        <w:t>ex</w:t>
      </w:r>
      <w:r>
        <w:rPr>
          <w:spacing w:val="-1"/>
        </w:rPr>
        <w:t>p</w:t>
      </w:r>
      <w:r>
        <w:rPr>
          <w:spacing w:val="-2"/>
        </w:rPr>
        <w:t>e</w:t>
      </w:r>
      <w:r>
        <w:rPr>
          <w:spacing w:val="1"/>
        </w:rPr>
        <w:t>c</w:t>
      </w:r>
      <w:r>
        <w:t>t</w:t>
      </w:r>
      <w:r>
        <w:rPr>
          <w:spacing w:val="1"/>
        </w:rPr>
        <w:t>e</w:t>
      </w:r>
      <w:r>
        <w:t>d</w:t>
      </w:r>
      <w:proofErr w:type="gramEnd"/>
      <w: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1"/>
        </w:rPr>
        <w:t>n</w:t>
      </w:r>
      <w:r>
        <w:t>a</w:t>
      </w:r>
      <w:r>
        <w:rPr>
          <w:spacing w:val="-1"/>
        </w:rPr>
        <w:t>g</w:t>
      </w:r>
      <w:r>
        <w:t>e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1"/>
        </w:rPr>
        <w:t>e</w:t>
      </w:r>
      <w:r>
        <w:t xml:space="preserve">ir </w:t>
      </w:r>
      <w:r>
        <w:rPr>
          <w:spacing w:val="-1"/>
        </w:rPr>
        <w:t>S</w:t>
      </w:r>
      <w:r>
        <w:rPr>
          <w:spacing w:val="-3"/>
        </w:rPr>
        <w:t>A</w:t>
      </w:r>
      <w:r>
        <w:t>P</w:t>
      </w:r>
      <w:r>
        <w:rPr>
          <w:spacing w:val="2"/>
        </w:rPr>
        <w:t xml:space="preserve"> </w:t>
      </w:r>
      <w:r>
        <w:rPr>
          <w:spacing w:val="-3"/>
        </w:rPr>
        <w:t>b</w:t>
      </w:r>
      <w:r>
        <w:t>ala</w:t>
      </w:r>
      <w:r>
        <w:rPr>
          <w:spacing w:val="-1"/>
        </w:rPr>
        <w:t>n</w:t>
      </w:r>
      <w:r>
        <w:t>ce.</w:t>
      </w:r>
    </w:p>
    <w:p w14:paraId="3A4B72CA" w14:textId="1AB618D5" w:rsidR="00942F59" w:rsidRDefault="00942F59" w:rsidP="00B60D3A">
      <w:pPr>
        <w:pStyle w:val="guidelinetext"/>
      </w:pPr>
      <w:r>
        <w:t xml:space="preserve">Where a </w:t>
      </w:r>
      <w:r w:rsidR="00872C7E">
        <w:t>Stronger Transitions P</w:t>
      </w:r>
      <w:r>
        <w:t xml:space="preserve">articipant transfers from jobactive and Commences into the New Employment Services Trial (NEST), SAP credits in respect of the participant, </w:t>
      </w:r>
      <w:proofErr w:type="gramStart"/>
      <w:r>
        <w:t>are allocated</w:t>
      </w:r>
      <w:proofErr w:type="gramEnd"/>
      <w:r w:rsidR="00872C7E">
        <w:t xml:space="preserve"> once to an </w:t>
      </w:r>
      <w:r w:rsidR="002104BC">
        <w:t>E</w:t>
      </w:r>
      <w:r w:rsidR="00872C7E">
        <w:t>nhanced Services provider</w:t>
      </w:r>
      <w:r>
        <w:t>.</w:t>
      </w:r>
    </w:p>
    <w:p w14:paraId="7B7F94FB" w14:textId="77777777" w:rsidR="00942F59" w:rsidRDefault="00942F59" w:rsidP="00B60D3A">
      <w:pPr>
        <w:pStyle w:val="guidelinetext"/>
      </w:pPr>
      <w:r>
        <w:t xml:space="preserve">For more information, please refer </w:t>
      </w:r>
      <w:proofErr w:type="gramStart"/>
      <w:r>
        <w:t>to</w:t>
      </w:r>
      <w:proofErr w:type="gramEnd"/>
      <w:r>
        <w:t>:</w:t>
      </w:r>
    </w:p>
    <w:p w14:paraId="68836D13" w14:textId="527B3350" w:rsidR="00942F59" w:rsidRPr="00537DF5" w:rsidRDefault="00942F59" w:rsidP="00942F59">
      <w:pPr>
        <w:pStyle w:val="guidelinebullet"/>
        <w:rPr>
          <w:rStyle w:val="Hyperlink"/>
          <w:color w:val="auto"/>
          <w:u w:val="none"/>
        </w:rPr>
      </w:pPr>
      <w:r>
        <w:t xml:space="preserve">Using the </w:t>
      </w:r>
      <w:r w:rsidRPr="00D2637E">
        <w:t>Employment Fund General Account Guideline</w:t>
      </w:r>
    </w:p>
    <w:p w14:paraId="3E6646DD" w14:textId="1DCBE2CA" w:rsidR="00714053" w:rsidRDefault="00872C7E" w:rsidP="009C268A">
      <w:pPr>
        <w:pStyle w:val="Heading1"/>
        <w:numPr>
          <w:ilvl w:val="0"/>
          <w:numId w:val="47"/>
        </w:numPr>
      </w:pPr>
      <w:r w:rsidDel="00872C7E">
        <w:rPr>
          <w:rStyle w:val="Hyperlink"/>
        </w:rPr>
        <w:lastRenderedPageBreak/>
        <w:t xml:space="preserve"> </w:t>
      </w:r>
      <w:bookmarkStart w:id="36" w:name="_Toc510594042"/>
      <w:bookmarkStart w:id="37" w:name="_Toc510594090"/>
      <w:bookmarkStart w:id="38" w:name="_Toc510594122"/>
      <w:bookmarkStart w:id="39" w:name="_Toc510594155"/>
      <w:bookmarkStart w:id="40" w:name="_Toc510594187"/>
      <w:bookmarkStart w:id="41" w:name="_Toc510596833"/>
      <w:bookmarkStart w:id="42" w:name="_Toc510594044"/>
      <w:bookmarkStart w:id="43" w:name="_Toc510594092"/>
      <w:bookmarkStart w:id="44" w:name="_Toc510594124"/>
      <w:bookmarkStart w:id="45" w:name="_Toc510594157"/>
      <w:bookmarkStart w:id="46" w:name="_Toc510594189"/>
      <w:bookmarkStart w:id="47" w:name="_Toc510596835"/>
      <w:bookmarkStart w:id="48" w:name="_Toc510594045"/>
      <w:bookmarkStart w:id="49" w:name="_Toc510594093"/>
      <w:bookmarkStart w:id="50" w:name="_Toc510594125"/>
      <w:bookmarkStart w:id="51" w:name="_Toc510594158"/>
      <w:bookmarkStart w:id="52" w:name="_Toc510594190"/>
      <w:bookmarkStart w:id="53" w:name="_Toc510596836"/>
      <w:bookmarkStart w:id="54" w:name="_Toc510594046"/>
      <w:bookmarkStart w:id="55" w:name="_Toc510594094"/>
      <w:bookmarkStart w:id="56" w:name="_Toc510594126"/>
      <w:bookmarkStart w:id="57" w:name="_Toc510594159"/>
      <w:bookmarkStart w:id="58" w:name="_Toc510594191"/>
      <w:bookmarkStart w:id="59" w:name="_Toc510596837"/>
      <w:bookmarkStart w:id="60" w:name="_Toc22739797"/>
      <w:bookmarkEnd w:id="19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="00942F59" w:rsidRPr="00D00B07">
        <w:t>Transfe</w:t>
      </w:r>
      <w:r w:rsidR="00942F59">
        <w:t>r of</w:t>
      </w:r>
      <w:r w:rsidR="00942F59" w:rsidRPr="00D00B07">
        <w:t xml:space="preserve"> </w:t>
      </w:r>
      <w:r w:rsidR="00714053" w:rsidRPr="00D00B07">
        <w:t>SAP Employment Fund credits</w:t>
      </w:r>
      <w:bookmarkEnd w:id="60"/>
    </w:p>
    <w:p w14:paraId="34B5890D" w14:textId="2AAAF331" w:rsidR="000978B1" w:rsidRDefault="00941EE2" w:rsidP="00714053">
      <w:pPr>
        <w:pStyle w:val="guidelinetext"/>
      </w:pPr>
      <w:r>
        <w:t xml:space="preserve">SAP </w:t>
      </w:r>
      <w:r w:rsidR="000978B1">
        <w:t xml:space="preserve">Employment Fund credits </w:t>
      </w:r>
      <w:proofErr w:type="gramStart"/>
      <w:r w:rsidR="000978B1">
        <w:t>can be transferred</w:t>
      </w:r>
      <w:proofErr w:type="gramEnd"/>
      <w:r w:rsidR="000978B1">
        <w:t xml:space="preserve"> between a</w:t>
      </w:r>
      <w:r>
        <w:t xml:space="preserve"> </w:t>
      </w:r>
      <w:r w:rsidR="000B171C">
        <w:t>NEST Provider</w:t>
      </w:r>
      <w:r w:rsidR="000978B1">
        <w:t xml:space="preserve">’s individual Sites, and when a Participant transfers to another </w:t>
      </w:r>
      <w:r w:rsidR="000B171C">
        <w:t>NEST Provider</w:t>
      </w:r>
      <w:r w:rsidR="000978B1">
        <w:t>.</w:t>
      </w:r>
    </w:p>
    <w:p w14:paraId="5F3A7BBC" w14:textId="0E85C624" w:rsidR="000978B1" w:rsidRDefault="000978B1" w:rsidP="000978B1">
      <w:pPr>
        <w:pStyle w:val="Heading2"/>
      </w:pPr>
      <w:bookmarkStart w:id="61" w:name="_Toc22739798"/>
      <w:r>
        <w:t>Transferring Credits between Sites</w:t>
      </w:r>
      <w:bookmarkEnd w:id="61"/>
    </w:p>
    <w:p w14:paraId="2FDDB942" w14:textId="6FE5E557" w:rsidR="000978B1" w:rsidRPr="002124AE" w:rsidRDefault="000978B1" w:rsidP="00B60D3A">
      <w:pPr>
        <w:pStyle w:val="guidelinetext"/>
      </w:pPr>
      <w:r w:rsidRPr="002124AE">
        <w:t xml:space="preserve">A </w:t>
      </w:r>
      <w:r w:rsidR="000B171C">
        <w:t>NEST Provider</w:t>
      </w:r>
      <w:r w:rsidRPr="002124AE">
        <w:t xml:space="preserve"> can transfer </w:t>
      </w:r>
      <w:r w:rsidR="00941EE2">
        <w:t xml:space="preserve">SAP </w:t>
      </w:r>
      <w:r w:rsidRPr="002124AE">
        <w:t>credits between any of its Sites within or across any Employment Region unless:</w:t>
      </w:r>
    </w:p>
    <w:p w14:paraId="368AEE73" w14:textId="77777777" w:rsidR="00941EE2" w:rsidRDefault="00941EE2" w:rsidP="00941EE2">
      <w:pPr>
        <w:pStyle w:val="guidelinebullet"/>
      </w:pPr>
      <w:r>
        <w:t>the SAP credit transfer is from a NEST Site to a jobactive Site</w:t>
      </w:r>
    </w:p>
    <w:p w14:paraId="0AEA88D9" w14:textId="77777777" w:rsidR="00941EE2" w:rsidRDefault="00941EE2" w:rsidP="00941EE2">
      <w:pPr>
        <w:pStyle w:val="guidelinebullet"/>
      </w:pPr>
      <w:r>
        <w:t>the SAP credit transfer is from a jobactive site to a NEST Site</w:t>
      </w:r>
    </w:p>
    <w:p w14:paraId="6818ED6B" w14:textId="77777777" w:rsidR="000978B1" w:rsidRPr="00B817C3" w:rsidRDefault="000978B1" w:rsidP="000978B1">
      <w:pPr>
        <w:pStyle w:val="guidelinebullet"/>
      </w:pPr>
      <w:r w:rsidRPr="002124AE">
        <w:t>the Department has quarantined or reserved those credits for a particular</w:t>
      </w:r>
      <w:r w:rsidRPr="00B817C3">
        <w:t xml:space="preserve"> purpose</w:t>
      </w:r>
    </w:p>
    <w:p w14:paraId="1F5916E9" w14:textId="77777777" w:rsidR="000978B1" w:rsidRPr="00B817C3" w:rsidRDefault="000978B1" w:rsidP="000978B1">
      <w:pPr>
        <w:pStyle w:val="guidelinebullet"/>
        <w:numPr>
          <w:ilvl w:val="0"/>
          <w:numId w:val="0"/>
        </w:numPr>
        <w:ind w:left="1440"/>
      </w:pPr>
      <w:proofErr w:type="gramStart"/>
      <w:r w:rsidRPr="00B817C3">
        <w:t>or</w:t>
      </w:r>
      <w:proofErr w:type="gramEnd"/>
    </w:p>
    <w:p w14:paraId="37D0B7D8" w14:textId="77777777" w:rsidR="000978B1" w:rsidRPr="00B817C3" w:rsidRDefault="000978B1" w:rsidP="000978B1">
      <w:pPr>
        <w:pStyle w:val="guidelinebullet"/>
      </w:pPr>
      <w:proofErr w:type="gramStart"/>
      <w:r w:rsidRPr="00B817C3">
        <w:t>the</w:t>
      </w:r>
      <w:proofErr w:type="gramEnd"/>
      <w:r w:rsidRPr="00B817C3">
        <w:t xml:space="preserve"> Department has placed limits on or restricted </w:t>
      </w:r>
      <w:r>
        <w:t>a</w:t>
      </w:r>
      <w:r w:rsidRPr="00B817C3">
        <w:t xml:space="preserve"> Provider’s ability to transfer credits between its Sites.</w:t>
      </w:r>
    </w:p>
    <w:p w14:paraId="3A4A0948" w14:textId="3D729805" w:rsidR="000978B1" w:rsidRDefault="000978B1" w:rsidP="000978B1">
      <w:pPr>
        <w:pStyle w:val="Heading2"/>
      </w:pPr>
      <w:bookmarkStart w:id="62" w:name="_Toc22739799"/>
      <w:r>
        <w:t xml:space="preserve">Transferring Credits to another </w:t>
      </w:r>
      <w:r w:rsidR="000B171C">
        <w:t>NEST Provider</w:t>
      </w:r>
      <w:bookmarkEnd w:id="62"/>
    </w:p>
    <w:p w14:paraId="74B9630D" w14:textId="34E626B7" w:rsidR="00714053" w:rsidRDefault="00714053" w:rsidP="00714053">
      <w:pPr>
        <w:pStyle w:val="guidelinetext"/>
      </w:pPr>
      <w:r w:rsidRPr="00D00B07">
        <w:t xml:space="preserve">When a </w:t>
      </w:r>
      <w:r w:rsidR="00D00D80">
        <w:t>P</w:t>
      </w:r>
      <w:r w:rsidR="00D67B3E">
        <w:t>articipant</w:t>
      </w:r>
      <w:r w:rsidRPr="00D00B07">
        <w:t xml:space="preserve"> </w:t>
      </w:r>
      <w:proofErr w:type="gramStart"/>
      <w:r w:rsidRPr="00D00B07">
        <w:t>is transferred</w:t>
      </w:r>
      <w:proofErr w:type="gramEnd"/>
      <w:r w:rsidRPr="00D00B07">
        <w:t xml:space="preserve"> to a different </w:t>
      </w:r>
      <w:r w:rsidR="000B171C">
        <w:t>NEST Provider</w:t>
      </w:r>
      <w:r w:rsidRPr="00D00B07">
        <w:t>, the transfer of SAP credits will</w:t>
      </w:r>
      <w:r w:rsidR="00D67B3E">
        <w:t xml:space="preserve"> be</w:t>
      </w:r>
      <w:r w:rsidRPr="00D00B07">
        <w:t xml:space="preserve"> negotiated between the relinquishing and receiving </w:t>
      </w:r>
      <w:r w:rsidR="000B171C">
        <w:t>NEST Provider</w:t>
      </w:r>
      <w:r w:rsidRPr="00D00B07">
        <w:t>s, consistent with arrangements for the general Employment Fund pool.</w:t>
      </w:r>
    </w:p>
    <w:p w14:paraId="6A6E0015" w14:textId="3C038BF3" w:rsidR="00941EE2" w:rsidRDefault="00941EE2" w:rsidP="00B60D3A">
      <w:pPr>
        <w:pStyle w:val="guidelinetext"/>
      </w:pPr>
      <w:r>
        <w:t xml:space="preserve">A </w:t>
      </w:r>
      <w:r w:rsidR="000B171C">
        <w:t>NEST Provider</w:t>
      </w:r>
      <w:r>
        <w:t xml:space="preserve"> cannot transfer SAP credits to another Provider if:</w:t>
      </w:r>
    </w:p>
    <w:p w14:paraId="19061281" w14:textId="77777777" w:rsidR="00941EE2" w:rsidRDefault="00941EE2" w:rsidP="00941EE2">
      <w:pPr>
        <w:pStyle w:val="guidelinebullet"/>
      </w:pPr>
      <w:r>
        <w:t>the SAP credit transfer is from a NEST Site to a jobactive Site</w:t>
      </w:r>
    </w:p>
    <w:p w14:paraId="19008F6B" w14:textId="77777777" w:rsidR="00941EE2" w:rsidRDefault="00941EE2" w:rsidP="00941EE2">
      <w:pPr>
        <w:pStyle w:val="guidelinebullet"/>
      </w:pPr>
      <w:r>
        <w:t>the SAP credit transfer is from a jobactive Site to a NEST Site</w:t>
      </w:r>
    </w:p>
    <w:p w14:paraId="458ACA52" w14:textId="77777777" w:rsidR="00941EE2" w:rsidRDefault="00941EE2" w:rsidP="00941EE2">
      <w:pPr>
        <w:pStyle w:val="guidelinebullet"/>
      </w:pPr>
      <w:r>
        <w:t>the SAP credit transfer is from an Enhanced Services Site to a Digital Services Site</w:t>
      </w:r>
    </w:p>
    <w:p w14:paraId="78808C72" w14:textId="77777777" w:rsidR="00941EE2" w:rsidRDefault="00941EE2" w:rsidP="00941EE2">
      <w:pPr>
        <w:pStyle w:val="guidelinetext"/>
      </w:pPr>
      <w:proofErr w:type="gramStart"/>
      <w:r>
        <w:t>or</w:t>
      </w:r>
      <w:proofErr w:type="gramEnd"/>
    </w:p>
    <w:p w14:paraId="7698D763" w14:textId="77777777" w:rsidR="00941EE2" w:rsidRDefault="00941EE2" w:rsidP="00941EE2">
      <w:pPr>
        <w:pStyle w:val="guidelinebullet"/>
      </w:pPr>
      <w:proofErr w:type="gramStart"/>
      <w:r>
        <w:t>the</w:t>
      </w:r>
      <w:proofErr w:type="gramEnd"/>
      <w:r>
        <w:t xml:space="preserve"> SAP credit transfer is from a Digital Services Site to an Enhanced Services Site.</w:t>
      </w:r>
    </w:p>
    <w:p w14:paraId="192F7829" w14:textId="5C845815" w:rsidR="000978B1" w:rsidRPr="00C260F3" w:rsidRDefault="00941EE2" w:rsidP="000978B1">
      <w:pPr>
        <w:pStyle w:val="guidelinedeedref"/>
        <w:rPr>
          <w:rFonts w:asciiTheme="minorHAnsi" w:hAnsiTheme="minorHAnsi" w:cstheme="minorHAnsi"/>
          <w:sz w:val="22"/>
        </w:rPr>
      </w:pPr>
      <w:r w:rsidRPr="00C260F3">
        <w:rPr>
          <w:rFonts w:asciiTheme="minorHAnsi" w:hAnsiTheme="minorHAnsi" w:cstheme="minorHAnsi"/>
          <w:sz w:val="22"/>
        </w:rPr>
        <w:t xml:space="preserve">For more information on transfers, refer to the </w:t>
      </w:r>
      <w:r w:rsidRPr="00D2637E">
        <w:rPr>
          <w:rFonts w:asciiTheme="minorHAnsi" w:hAnsiTheme="minorHAnsi" w:cstheme="minorHAnsi"/>
          <w:sz w:val="22"/>
        </w:rPr>
        <w:t>Transfers (New Employment Services Trial (NEST) Guideline.</w:t>
      </w:r>
    </w:p>
    <w:p w14:paraId="168CFF18" w14:textId="77777777" w:rsidR="00085F46" w:rsidRDefault="00085F46" w:rsidP="00085F46">
      <w:pPr>
        <w:pStyle w:val="Heading1"/>
        <w:numPr>
          <w:ilvl w:val="0"/>
          <w:numId w:val="47"/>
        </w:numPr>
      </w:pPr>
      <w:bookmarkStart w:id="63" w:name="_Toc14707782"/>
      <w:bookmarkStart w:id="64" w:name="_Toc14707783"/>
      <w:bookmarkStart w:id="65" w:name="_Toc14707784"/>
      <w:bookmarkStart w:id="66" w:name="_Toc14707785"/>
      <w:bookmarkStart w:id="67" w:name="_Toc14707786"/>
      <w:bookmarkStart w:id="68" w:name="_Toc22739800"/>
      <w:bookmarkStart w:id="69" w:name="_Toc485733039"/>
      <w:bookmarkEnd w:id="63"/>
      <w:bookmarkEnd w:id="64"/>
      <w:bookmarkEnd w:id="65"/>
      <w:bookmarkEnd w:id="66"/>
      <w:bookmarkEnd w:id="67"/>
      <w:r>
        <w:t>Exiting Stronger Transitions participants</w:t>
      </w:r>
      <w:bookmarkEnd w:id="68"/>
    </w:p>
    <w:p w14:paraId="3A22F0FE" w14:textId="42141376" w:rsidR="00085F46" w:rsidRDefault="00D00D80" w:rsidP="00B60D3A">
      <w:pPr>
        <w:pStyle w:val="guidelinetext"/>
      </w:pPr>
      <w:r>
        <w:t>P</w:t>
      </w:r>
      <w:r w:rsidR="00085F46">
        <w:t xml:space="preserve">articipants are not automatically </w:t>
      </w:r>
      <w:proofErr w:type="gramStart"/>
      <w:r w:rsidR="00085F46">
        <w:t>Exited</w:t>
      </w:r>
      <w:proofErr w:type="gramEnd"/>
      <w:r w:rsidR="00085F46">
        <w:t xml:space="preserve"> from </w:t>
      </w:r>
      <w:r w:rsidR="00613CD6">
        <w:t>jobactive.</w:t>
      </w:r>
      <w:r w:rsidR="00330401">
        <w:t xml:space="preserve"> </w:t>
      </w:r>
      <w:r w:rsidR="000B171C">
        <w:t>NEST Provider</w:t>
      </w:r>
      <w:r w:rsidR="00085F46">
        <w:t>s</w:t>
      </w:r>
      <w:r w:rsidR="00613CD6">
        <w:t xml:space="preserve"> should</w:t>
      </w:r>
      <w:r w:rsidR="00085F46">
        <w:t xml:space="preserve"> </w:t>
      </w:r>
      <w:r w:rsidR="00613CD6">
        <w:t xml:space="preserve">manually Exit </w:t>
      </w:r>
      <w:r>
        <w:t>P</w:t>
      </w:r>
      <w:r w:rsidR="00613CD6">
        <w:t xml:space="preserve">articipants who no longer </w:t>
      </w:r>
      <w:r w:rsidR="009342AB">
        <w:t>wish to participate</w:t>
      </w:r>
      <w:r w:rsidR="00613CD6">
        <w:t xml:space="preserve"> or who have </w:t>
      </w:r>
      <w:r w:rsidR="009342AB">
        <w:t>achieved an Employment Outcome</w:t>
      </w:r>
      <w:r w:rsidR="00613CD6">
        <w:t xml:space="preserve"> and no longer need post placement support.</w:t>
      </w:r>
      <w:r w:rsidR="006A52DB">
        <w:t xml:space="preserve"> Refer to the</w:t>
      </w:r>
      <w:r w:rsidR="00144934" w:rsidRPr="00144934">
        <w:t xml:space="preserve"> </w:t>
      </w:r>
      <w:r w:rsidR="00144934" w:rsidRPr="00D2637E">
        <w:t>Defined Periods, Suspensions and Exits</w:t>
      </w:r>
      <w:r w:rsidR="006A52DB" w:rsidRPr="00D2637E">
        <w:rPr>
          <w:rFonts w:ascii="Calibri" w:eastAsia="Calibri" w:hAnsi="Calibri" w:cs="Times New Roman"/>
        </w:rPr>
        <w:t xml:space="preserve"> Guideline</w:t>
      </w:r>
      <w:r w:rsidR="006A52DB">
        <w:t>.</w:t>
      </w:r>
    </w:p>
    <w:p w14:paraId="69841FBB" w14:textId="77777777" w:rsidR="00EB1284" w:rsidRDefault="00EB1284" w:rsidP="009C268A">
      <w:pPr>
        <w:pStyle w:val="Heading1"/>
        <w:numPr>
          <w:ilvl w:val="0"/>
          <w:numId w:val="47"/>
        </w:numPr>
      </w:pPr>
      <w:bookmarkStart w:id="70" w:name="_Toc22739801"/>
      <w:r>
        <w:t xml:space="preserve">Duration of </w:t>
      </w:r>
      <w:bookmarkEnd w:id="69"/>
      <w:r>
        <w:t>Stronger Transitions</w:t>
      </w:r>
      <w:bookmarkEnd w:id="70"/>
    </w:p>
    <w:p w14:paraId="0CC23283" w14:textId="0EFF89C7" w:rsidR="00EB1284" w:rsidRPr="00714053" w:rsidRDefault="00EB1284" w:rsidP="00B60D3A">
      <w:pPr>
        <w:pStyle w:val="guidelinetext"/>
      </w:pPr>
      <w:r>
        <w:t xml:space="preserve">New registrations under </w:t>
      </w:r>
      <w:r w:rsidR="00C86194">
        <w:t xml:space="preserve">the </w:t>
      </w:r>
      <w:r>
        <w:t xml:space="preserve">Stronger Transitions </w:t>
      </w:r>
      <w:r w:rsidR="00D00D80">
        <w:t>P</w:t>
      </w:r>
      <w:r w:rsidR="00C86194">
        <w:t xml:space="preserve">ackage </w:t>
      </w:r>
      <w:r>
        <w:t>will cease on 30</w:t>
      </w:r>
      <w:r w:rsidR="00C86194">
        <w:t> </w:t>
      </w:r>
      <w:r>
        <w:t>June</w:t>
      </w:r>
      <w:r w:rsidR="00C86194">
        <w:t> </w:t>
      </w:r>
      <w:r>
        <w:t xml:space="preserve">2020. All </w:t>
      </w:r>
      <w:r w:rsidR="00D00D80">
        <w:t>P</w:t>
      </w:r>
      <w:r w:rsidR="00C86194">
        <w:t xml:space="preserve">articipants </w:t>
      </w:r>
      <w:r>
        <w:t>regist</w:t>
      </w:r>
      <w:r w:rsidR="00C86194">
        <w:t>ered</w:t>
      </w:r>
      <w:r w:rsidR="00050740">
        <w:t xml:space="preserve"> with a jobactive Provider</w:t>
      </w:r>
      <w:r>
        <w:t xml:space="preserve"> prior to 30</w:t>
      </w:r>
      <w:r w:rsidR="00C86194">
        <w:t> </w:t>
      </w:r>
      <w:r>
        <w:t>June</w:t>
      </w:r>
      <w:r w:rsidR="00C86194">
        <w:t> </w:t>
      </w:r>
      <w:r>
        <w:t xml:space="preserve">2020 will remain active and </w:t>
      </w:r>
      <w:r w:rsidR="00C86194">
        <w:t xml:space="preserve">continue to </w:t>
      </w:r>
      <w:r w:rsidR="00432E28">
        <w:t>receive employment services.</w:t>
      </w:r>
    </w:p>
    <w:p w14:paraId="11187C72" w14:textId="77777777" w:rsidR="0026083D" w:rsidRDefault="0026083D" w:rsidP="009C268A">
      <w:pPr>
        <w:pStyle w:val="Heading1"/>
        <w:numPr>
          <w:ilvl w:val="0"/>
          <w:numId w:val="47"/>
        </w:numPr>
      </w:pPr>
      <w:bookmarkStart w:id="71" w:name="_Toc22739802"/>
      <w:r>
        <w:lastRenderedPageBreak/>
        <w:t>Further information</w:t>
      </w:r>
      <w:bookmarkEnd w:id="71"/>
    </w:p>
    <w:p w14:paraId="736AE55F" w14:textId="487F8D48" w:rsidR="0026083D" w:rsidRDefault="000B171C" w:rsidP="009C268A">
      <w:pPr>
        <w:pStyle w:val="guidelinetext"/>
      </w:pPr>
      <w:r>
        <w:rPr>
          <w:spacing w:val="1"/>
        </w:rPr>
        <w:t>NEST Provider</w:t>
      </w:r>
      <w:r w:rsidR="0026083D">
        <w:t>s</w:t>
      </w:r>
      <w:r w:rsidR="0026083D">
        <w:rPr>
          <w:spacing w:val="-2"/>
        </w:rPr>
        <w:t xml:space="preserve"> </w:t>
      </w:r>
      <w:r w:rsidR="0026083D">
        <w:t>w</w:t>
      </w:r>
      <w:r w:rsidR="0026083D">
        <w:rPr>
          <w:spacing w:val="-3"/>
        </w:rPr>
        <w:t>h</w:t>
      </w:r>
      <w:r w:rsidR="0026083D">
        <w:t>o</w:t>
      </w:r>
      <w:r w:rsidR="0026083D">
        <w:rPr>
          <w:spacing w:val="2"/>
        </w:rPr>
        <w:t xml:space="preserve"> </w:t>
      </w:r>
      <w:r w:rsidR="0026083D">
        <w:rPr>
          <w:spacing w:val="-1"/>
        </w:rPr>
        <w:t>h</w:t>
      </w:r>
      <w:r w:rsidR="0026083D">
        <w:t>a</w:t>
      </w:r>
      <w:r w:rsidR="0026083D">
        <w:rPr>
          <w:spacing w:val="-1"/>
        </w:rPr>
        <w:t>v</w:t>
      </w:r>
      <w:r w:rsidR="0026083D">
        <w:t>e</w:t>
      </w:r>
      <w:r w:rsidR="0026083D">
        <w:rPr>
          <w:spacing w:val="1"/>
        </w:rPr>
        <w:t xml:space="preserve"> </w:t>
      </w:r>
      <w:r w:rsidR="0026083D">
        <w:t>a</w:t>
      </w:r>
      <w:r w:rsidR="0026083D">
        <w:rPr>
          <w:spacing w:val="-1"/>
        </w:rPr>
        <w:t>n</w:t>
      </w:r>
      <w:r w:rsidR="0026083D">
        <w:t>y</w:t>
      </w:r>
      <w:r w:rsidR="0026083D">
        <w:rPr>
          <w:spacing w:val="-1"/>
        </w:rPr>
        <w:t xml:space="preserve"> qu</w:t>
      </w:r>
      <w:r w:rsidR="0026083D">
        <w:rPr>
          <w:spacing w:val="1"/>
        </w:rPr>
        <w:t>e</w:t>
      </w:r>
      <w:r w:rsidR="0026083D">
        <w:t>sti</w:t>
      </w:r>
      <w:r w:rsidR="0026083D">
        <w:rPr>
          <w:spacing w:val="1"/>
        </w:rPr>
        <w:t>o</w:t>
      </w:r>
      <w:r w:rsidR="0026083D">
        <w:rPr>
          <w:spacing w:val="-1"/>
        </w:rPr>
        <w:t>n</w:t>
      </w:r>
      <w:r w:rsidR="0026083D">
        <w:t>s</w:t>
      </w:r>
      <w:r w:rsidR="0026083D">
        <w:rPr>
          <w:spacing w:val="-2"/>
        </w:rPr>
        <w:t xml:space="preserve"> </w:t>
      </w:r>
      <w:r w:rsidR="0026083D">
        <w:t>a</w:t>
      </w:r>
      <w:r w:rsidR="0026083D">
        <w:rPr>
          <w:spacing w:val="-1"/>
        </w:rPr>
        <w:t>b</w:t>
      </w:r>
      <w:r w:rsidR="0026083D">
        <w:rPr>
          <w:spacing w:val="1"/>
        </w:rPr>
        <w:t>o</w:t>
      </w:r>
      <w:r w:rsidR="0026083D">
        <w:rPr>
          <w:spacing w:val="-1"/>
        </w:rPr>
        <w:t>u</w:t>
      </w:r>
      <w:r w:rsidR="0026083D">
        <w:t>t</w:t>
      </w:r>
      <w:r w:rsidR="0026083D">
        <w:rPr>
          <w:spacing w:val="-1"/>
        </w:rPr>
        <w:t xml:space="preserve"> </w:t>
      </w:r>
      <w:r w:rsidR="006D2A28">
        <w:t>Stronger Transitions</w:t>
      </w:r>
      <w:r w:rsidR="0026083D">
        <w:rPr>
          <w:spacing w:val="2"/>
        </w:rPr>
        <w:t xml:space="preserve"> </w:t>
      </w:r>
      <w:r w:rsidR="0026083D" w:rsidRPr="00C86194">
        <w:rPr>
          <w:bCs/>
          <w:spacing w:val="1"/>
        </w:rPr>
        <w:t>s</w:t>
      </w:r>
      <w:r w:rsidR="0026083D" w:rsidRPr="00C86194">
        <w:rPr>
          <w:bCs/>
          <w:spacing w:val="-1"/>
        </w:rPr>
        <w:t>ho</w:t>
      </w:r>
      <w:r w:rsidR="0026083D" w:rsidRPr="00C86194">
        <w:rPr>
          <w:bCs/>
          <w:spacing w:val="-3"/>
        </w:rPr>
        <w:t>u</w:t>
      </w:r>
      <w:r w:rsidR="0026083D" w:rsidRPr="00C86194">
        <w:rPr>
          <w:bCs/>
          <w:spacing w:val="1"/>
        </w:rPr>
        <w:t>l</w:t>
      </w:r>
      <w:r w:rsidR="0026083D" w:rsidRPr="00C86194">
        <w:rPr>
          <w:bCs/>
        </w:rPr>
        <w:t>d</w:t>
      </w:r>
      <w:r w:rsidR="0026083D">
        <w:rPr>
          <w:b/>
          <w:bCs/>
        </w:rPr>
        <w:t xml:space="preserve"> </w:t>
      </w:r>
      <w:r w:rsidR="0026083D">
        <w:t>c</w:t>
      </w:r>
      <w:r w:rsidR="0026083D">
        <w:rPr>
          <w:spacing w:val="1"/>
        </w:rPr>
        <w:t>o</w:t>
      </w:r>
      <w:r w:rsidR="0026083D">
        <w:rPr>
          <w:spacing w:val="-3"/>
        </w:rPr>
        <w:t>n</w:t>
      </w:r>
      <w:r w:rsidR="0026083D">
        <w:t>tact</w:t>
      </w:r>
      <w:r w:rsidR="0026083D">
        <w:rPr>
          <w:spacing w:val="-1"/>
        </w:rPr>
        <w:t xml:space="preserve"> </w:t>
      </w:r>
      <w:r w:rsidR="0026083D">
        <w:t>t</w:t>
      </w:r>
      <w:r w:rsidR="0026083D">
        <w:rPr>
          <w:spacing w:val="-1"/>
        </w:rPr>
        <w:t>h</w:t>
      </w:r>
      <w:r w:rsidR="0026083D">
        <w:rPr>
          <w:spacing w:val="1"/>
        </w:rPr>
        <w:t>e</w:t>
      </w:r>
      <w:r w:rsidR="0026083D">
        <w:t>ir C</w:t>
      </w:r>
      <w:r w:rsidR="0026083D">
        <w:rPr>
          <w:spacing w:val="1"/>
        </w:rPr>
        <w:t>o</w:t>
      </w:r>
      <w:r w:rsidR="0026083D">
        <w:rPr>
          <w:spacing w:val="-1"/>
        </w:rPr>
        <w:t>n</w:t>
      </w:r>
      <w:r w:rsidR="0026083D">
        <w:t>t</w:t>
      </w:r>
      <w:r w:rsidR="0026083D">
        <w:rPr>
          <w:spacing w:val="-3"/>
        </w:rPr>
        <w:t>r</w:t>
      </w:r>
      <w:r w:rsidR="0026083D">
        <w:t>act Manager or email</w:t>
      </w:r>
      <w:r w:rsidR="006D2A28">
        <w:t xml:space="preserve"> the Stronger Transitions team</w:t>
      </w:r>
      <w:r w:rsidR="0026083D">
        <w:t xml:space="preserve"> </w:t>
      </w:r>
      <w:r w:rsidR="00144934" w:rsidRPr="00D2637E">
        <w:rPr>
          <w:rFonts w:ascii="Calibri" w:eastAsia="Calibri" w:hAnsi="Calibri" w:cs="Calibri"/>
        </w:rPr>
        <w:t>StrongerTransitions@employment.gov.au</w:t>
      </w:r>
      <w:r w:rsidR="0026083D">
        <w:t xml:space="preserve"> </w:t>
      </w:r>
    </w:p>
    <w:p w14:paraId="66EE640C" w14:textId="77777777" w:rsidR="00B03459" w:rsidRDefault="00B03459" w:rsidP="008A5AF4">
      <w:pPr>
        <w:pStyle w:val="guidelinetext"/>
        <w:sectPr w:rsidR="00B03459" w:rsidSect="00F46AEF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28107FC" w14:textId="6942E5C7" w:rsidR="00B03459" w:rsidRPr="00B75469" w:rsidRDefault="00B03459" w:rsidP="00B03459">
      <w:pPr>
        <w:pBdr>
          <w:top w:val="single" w:sz="4" w:space="1" w:color="auto"/>
        </w:pBdr>
        <w:ind w:right="-23"/>
        <w:rPr>
          <w:sz w:val="20"/>
        </w:rPr>
      </w:pPr>
      <w:r w:rsidRPr="00B75469">
        <w:rPr>
          <w:sz w:val="20"/>
        </w:rPr>
        <w:lastRenderedPageBreak/>
        <w:t xml:space="preserve">All capitalised terms in this guideline have the same meaning as in the </w:t>
      </w:r>
      <w:r w:rsidR="00C91B13" w:rsidRPr="00B75469">
        <w:rPr>
          <w:sz w:val="20"/>
        </w:rPr>
        <w:t>New Employment Services Trial Deed 2019 - 2022</w:t>
      </w:r>
      <w:r w:rsidRPr="00B75469">
        <w:rPr>
          <w:sz w:val="20"/>
        </w:rPr>
        <w:t xml:space="preserve"> (the Deed). </w:t>
      </w:r>
    </w:p>
    <w:p w14:paraId="257E6556" w14:textId="1187B4B2" w:rsidR="00E533B9" w:rsidRPr="00B75469" w:rsidRDefault="00E533B9" w:rsidP="00B03459">
      <w:pPr>
        <w:pBdr>
          <w:top w:val="single" w:sz="4" w:space="1" w:color="auto"/>
        </w:pBdr>
        <w:ind w:right="-23"/>
        <w:rPr>
          <w:sz w:val="20"/>
        </w:rPr>
      </w:pPr>
      <w:r w:rsidRPr="00B75469">
        <w:rPr>
          <w:sz w:val="20"/>
        </w:rPr>
        <w:t xml:space="preserve">In this guideline, references to </w:t>
      </w:r>
      <w:r w:rsidR="000B171C">
        <w:rPr>
          <w:sz w:val="20"/>
        </w:rPr>
        <w:t xml:space="preserve">NEST </w:t>
      </w:r>
      <w:r w:rsidRPr="00B75469">
        <w:rPr>
          <w:sz w:val="20"/>
        </w:rPr>
        <w:t>Provider mean</w:t>
      </w:r>
      <w:r w:rsidR="0021613E" w:rsidRPr="00B75469">
        <w:rPr>
          <w:sz w:val="20"/>
        </w:rPr>
        <w:t>s</w:t>
      </w:r>
      <w:r w:rsidRPr="00B75469">
        <w:rPr>
          <w:sz w:val="20"/>
        </w:rPr>
        <w:t xml:space="preserve"> a New Employment Services </w:t>
      </w:r>
      <w:r w:rsidR="000B171C">
        <w:rPr>
          <w:sz w:val="20"/>
        </w:rPr>
        <w:t>Trial Provider</w:t>
      </w:r>
      <w:r w:rsidRPr="00B75469">
        <w:rPr>
          <w:sz w:val="20"/>
        </w:rPr>
        <w:t>, and references to Participants mean</w:t>
      </w:r>
      <w:r w:rsidR="0021613E" w:rsidRPr="00B75469">
        <w:rPr>
          <w:sz w:val="20"/>
        </w:rPr>
        <w:t>s</w:t>
      </w:r>
      <w:r w:rsidRPr="00B75469">
        <w:rPr>
          <w:sz w:val="20"/>
        </w:rPr>
        <w:t xml:space="preserve"> Enhanced or Supported Services Participants as defined in the Deed. </w:t>
      </w:r>
    </w:p>
    <w:p w14:paraId="0B1C3068" w14:textId="66BF9F66" w:rsidR="008A5AF4" w:rsidRPr="00B03459" w:rsidRDefault="00B03459" w:rsidP="00B03459">
      <w:pPr>
        <w:rPr>
          <w:sz w:val="20"/>
        </w:rPr>
      </w:pPr>
      <w:r w:rsidRPr="00B75469">
        <w:rPr>
          <w:sz w:val="20"/>
        </w:rPr>
        <w:t xml:space="preserve">This Guideline is not a stand-alone document and does not contain the entirety of Employment Services Providers’ obligations. It </w:t>
      </w:r>
      <w:proofErr w:type="gramStart"/>
      <w:r w:rsidRPr="00B75469">
        <w:rPr>
          <w:sz w:val="20"/>
        </w:rPr>
        <w:t>must be read</w:t>
      </w:r>
      <w:proofErr w:type="gramEnd"/>
      <w:r w:rsidRPr="00B75469">
        <w:rPr>
          <w:sz w:val="20"/>
        </w:rPr>
        <w:t xml:space="preserve"> in conjunction with</w:t>
      </w:r>
      <w:r w:rsidRPr="008A194F">
        <w:rPr>
          <w:sz w:val="20"/>
        </w:rPr>
        <w:t xml:space="preserve"> the Deed and any relevant Guidelines or reference material issued by Department of </w:t>
      </w:r>
      <w:r w:rsidR="000175DD">
        <w:rPr>
          <w:sz w:val="20"/>
        </w:rPr>
        <w:t>Employment, Skills, Small and Family Business</w:t>
      </w:r>
      <w:r w:rsidRPr="008A194F">
        <w:rPr>
          <w:sz w:val="20"/>
        </w:rPr>
        <w:t xml:space="preserve"> under or in connection with the Deed.</w:t>
      </w:r>
      <w:bookmarkEnd w:id="0"/>
    </w:p>
    <w:sectPr w:rsidR="008A5AF4" w:rsidRPr="00B03459" w:rsidSect="00B03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D0411" w14:textId="77777777" w:rsidR="00FA4FA0" w:rsidRDefault="00FA4FA0" w:rsidP="008A194F">
      <w:pPr>
        <w:spacing w:before="0"/>
      </w:pPr>
      <w:r>
        <w:separator/>
      </w:r>
    </w:p>
  </w:endnote>
  <w:endnote w:type="continuationSeparator" w:id="0">
    <w:p w14:paraId="3140F119" w14:textId="77777777" w:rsidR="00FA4FA0" w:rsidRDefault="00FA4FA0" w:rsidP="008A194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C26D3" w14:textId="3BF1C5CE" w:rsidR="0071103F" w:rsidRPr="001F19A3" w:rsidRDefault="0071103F" w:rsidP="00E112A1">
    <w:pPr>
      <w:pStyle w:val="Footer"/>
      <w:pBdr>
        <w:top w:val="single" w:sz="4" w:space="1" w:color="767171" w:themeColor="background2" w:themeShade="80"/>
      </w:pBdr>
      <w:rPr>
        <w:sz w:val="20"/>
        <w:szCs w:val="20"/>
      </w:rPr>
    </w:pPr>
    <w:r w:rsidRPr="001F19A3">
      <w:rPr>
        <w:sz w:val="20"/>
        <w:szCs w:val="20"/>
      </w:rPr>
      <w:t xml:space="preserve">Effective from: </w:t>
    </w:r>
    <w:r w:rsidR="007F1FE0">
      <w:rPr>
        <w:sz w:val="20"/>
        <w:szCs w:val="20"/>
      </w:rPr>
      <w:t>4 Nov</w:t>
    </w:r>
    <w:r>
      <w:rPr>
        <w:sz w:val="20"/>
        <w:szCs w:val="20"/>
      </w:rPr>
      <w:t xml:space="preserve"> 19</w:t>
    </w:r>
    <w:r>
      <w:rPr>
        <w:sz w:val="20"/>
        <w:szCs w:val="20"/>
      </w:rPr>
      <w:tab/>
      <w:t>TRIM ID:</w:t>
    </w:r>
    <w:r w:rsidR="00D2795D">
      <w:rPr>
        <w:sz w:val="20"/>
        <w:szCs w:val="20"/>
      </w:rPr>
      <w:t xml:space="preserve"> D19/1862724</w:t>
    </w:r>
    <w:r w:rsidRPr="006F72AC">
      <w:rPr>
        <w:sz w:val="20"/>
        <w:szCs w:val="20"/>
      </w:rPr>
      <w:tab/>
    </w:r>
    <w:r w:rsidRPr="001F19A3">
      <w:rPr>
        <w:sz w:val="20"/>
        <w:szCs w:val="20"/>
      </w:rPr>
      <w:t xml:space="preserve">Page </w:t>
    </w:r>
    <w:r w:rsidRPr="001F19A3">
      <w:rPr>
        <w:sz w:val="20"/>
        <w:szCs w:val="20"/>
      </w:rPr>
      <w:fldChar w:fldCharType="begin"/>
    </w:r>
    <w:r w:rsidRPr="001F19A3">
      <w:rPr>
        <w:sz w:val="20"/>
        <w:szCs w:val="20"/>
      </w:rPr>
      <w:instrText xml:space="preserve"> PAGE   \* MERGEFORMAT </w:instrText>
    </w:r>
    <w:r w:rsidRPr="001F19A3">
      <w:rPr>
        <w:sz w:val="20"/>
        <w:szCs w:val="20"/>
      </w:rPr>
      <w:fldChar w:fldCharType="separate"/>
    </w:r>
    <w:r w:rsidR="00F01F50">
      <w:rPr>
        <w:noProof/>
        <w:sz w:val="20"/>
        <w:szCs w:val="20"/>
      </w:rPr>
      <w:t>11</w:t>
    </w:r>
    <w:r w:rsidRPr="001F19A3">
      <w:rPr>
        <w:sz w:val="20"/>
        <w:szCs w:val="20"/>
      </w:rPr>
      <w:fldChar w:fldCharType="end"/>
    </w:r>
    <w:r w:rsidRPr="001F19A3">
      <w:rPr>
        <w:sz w:val="20"/>
        <w:szCs w:val="20"/>
      </w:rPr>
      <w:t xml:space="preserve"> of </w:t>
    </w:r>
    <w:r w:rsidRPr="001F19A3">
      <w:rPr>
        <w:sz w:val="20"/>
        <w:szCs w:val="20"/>
      </w:rPr>
      <w:fldChar w:fldCharType="begin"/>
    </w:r>
    <w:r w:rsidRPr="001F19A3">
      <w:rPr>
        <w:sz w:val="20"/>
        <w:szCs w:val="20"/>
      </w:rPr>
      <w:instrText xml:space="preserve"> NUMPAGES   \* MERGEFORMAT </w:instrText>
    </w:r>
    <w:r w:rsidRPr="001F19A3">
      <w:rPr>
        <w:sz w:val="20"/>
        <w:szCs w:val="20"/>
      </w:rPr>
      <w:fldChar w:fldCharType="separate"/>
    </w:r>
    <w:r w:rsidR="00F01F50">
      <w:rPr>
        <w:noProof/>
        <w:sz w:val="20"/>
        <w:szCs w:val="20"/>
      </w:rPr>
      <w:t>11</w:t>
    </w:r>
    <w:r w:rsidRPr="001F19A3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06035" w14:textId="77777777" w:rsidR="00FA4FA0" w:rsidRDefault="00FA4FA0" w:rsidP="008A194F">
      <w:pPr>
        <w:spacing w:before="0"/>
      </w:pPr>
      <w:r>
        <w:separator/>
      </w:r>
    </w:p>
  </w:footnote>
  <w:footnote w:type="continuationSeparator" w:id="0">
    <w:p w14:paraId="663C8CB3" w14:textId="77777777" w:rsidR="00FA4FA0" w:rsidRDefault="00FA4FA0" w:rsidP="008A194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74F08" w14:textId="65CB21F9" w:rsidR="0071103F" w:rsidRPr="00B75469" w:rsidRDefault="00800F10" w:rsidP="00E112A1">
    <w:pPr>
      <w:pStyle w:val="Header"/>
      <w:pBdr>
        <w:bottom w:val="single" w:sz="4" w:space="1" w:color="767171" w:themeColor="background2" w:themeShade="80"/>
      </w:pBdr>
      <w:tabs>
        <w:tab w:val="clear" w:pos="4513"/>
      </w:tabs>
      <w:rPr>
        <w:color w:val="808080" w:themeColor="background1" w:themeShade="80"/>
      </w:rPr>
    </w:pPr>
    <w:r w:rsidRPr="00B75469">
      <w:t>New Employment Services Trial Guideline</w:t>
    </w:r>
    <w:r w:rsidR="0071103F">
      <w:tab/>
    </w:r>
    <w:r w:rsidR="0071103F" w:rsidRPr="00B75469">
      <w:rPr>
        <w:b/>
        <w:color w:val="808080" w:themeColor="background1" w:themeShade="80"/>
      </w:rPr>
      <w:t>Stronger Transitions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6A45"/>
    <w:multiLevelType w:val="hybridMultilevel"/>
    <w:tmpl w:val="3D9E5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12DA"/>
    <w:multiLevelType w:val="hybridMultilevel"/>
    <w:tmpl w:val="C9205A2C"/>
    <w:lvl w:ilvl="0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7904EC9"/>
    <w:multiLevelType w:val="hybridMultilevel"/>
    <w:tmpl w:val="A53A4DE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BB8AED6">
      <w:numFmt w:val="bullet"/>
      <w:lvlText w:val="-"/>
      <w:lvlJc w:val="left"/>
      <w:pPr>
        <w:ind w:left="2880" w:hanging="360"/>
      </w:pPr>
      <w:rPr>
        <w:rFonts w:ascii="Garamond" w:eastAsiaTheme="minorHAnsi" w:hAnsi="Garamond" w:cs="Garamond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9420F3"/>
    <w:multiLevelType w:val="hybridMultilevel"/>
    <w:tmpl w:val="13F2671A"/>
    <w:lvl w:ilvl="0" w:tplc="B6BCD58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40DE5"/>
    <w:multiLevelType w:val="hybridMultilevel"/>
    <w:tmpl w:val="573C05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01399"/>
    <w:multiLevelType w:val="hybridMultilevel"/>
    <w:tmpl w:val="1FC415C0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0400AC5"/>
    <w:multiLevelType w:val="hybridMultilevel"/>
    <w:tmpl w:val="59B035FC"/>
    <w:lvl w:ilvl="0" w:tplc="0C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7" w15:restartNumberingAfterBreak="0">
    <w:nsid w:val="1407724D"/>
    <w:multiLevelType w:val="multilevel"/>
    <w:tmpl w:val="4FF289A8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color w:val="auto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color w:val="auto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0482A"/>
    <w:multiLevelType w:val="hybridMultilevel"/>
    <w:tmpl w:val="63CE6928"/>
    <w:lvl w:ilvl="0" w:tplc="B6BCD58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86B75"/>
    <w:multiLevelType w:val="hybridMultilevel"/>
    <w:tmpl w:val="5212FCF4"/>
    <w:lvl w:ilvl="0" w:tplc="B6BCD58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64D8B"/>
    <w:multiLevelType w:val="hybridMultilevel"/>
    <w:tmpl w:val="4A16B2B0"/>
    <w:lvl w:ilvl="0" w:tplc="B6BCD58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E6E11"/>
    <w:multiLevelType w:val="hybridMultilevel"/>
    <w:tmpl w:val="4B4892C6"/>
    <w:lvl w:ilvl="0" w:tplc="B6BCD58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A7AE1"/>
    <w:multiLevelType w:val="hybridMultilevel"/>
    <w:tmpl w:val="7FDA535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0B3F30"/>
    <w:multiLevelType w:val="hybridMultilevel"/>
    <w:tmpl w:val="933CCD08"/>
    <w:lvl w:ilvl="0" w:tplc="0C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4" w15:restartNumberingAfterBreak="0">
    <w:nsid w:val="2642798E"/>
    <w:multiLevelType w:val="hybridMultilevel"/>
    <w:tmpl w:val="15FE253E"/>
    <w:lvl w:ilvl="0" w:tplc="0C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28CA0A8D"/>
    <w:multiLevelType w:val="hybridMultilevel"/>
    <w:tmpl w:val="D1CE8B5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FED5127"/>
    <w:multiLevelType w:val="hybridMultilevel"/>
    <w:tmpl w:val="336E59C2"/>
    <w:lvl w:ilvl="0" w:tplc="0C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1704A0E"/>
    <w:multiLevelType w:val="hybridMultilevel"/>
    <w:tmpl w:val="F22C3D9A"/>
    <w:lvl w:ilvl="0" w:tplc="CBC023C8">
      <w:start w:val="1"/>
      <w:numFmt w:val="bullet"/>
      <w:pStyle w:val="docev"/>
      <w:lvlText w:val=""/>
      <w:lvlJc w:val="left"/>
      <w:pPr>
        <w:ind w:left="720" w:hanging="360"/>
      </w:pPr>
      <w:rPr>
        <w:rFonts w:ascii="Wingdings" w:hAnsi="Wingdings" w:hint="default"/>
        <w:b w:val="0"/>
        <w:i w:val="0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111CA"/>
    <w:multiLevelType w:val="hybridMultilevel"/>
    <w:tmpl w:val="2EE8C472"/>
    <w:lvl w:ilvl="0" w:tplc="E9AE60E4">
      <w:start w:val="1"/>
      <w:numFmt w:val="bullet"/>
      <w:pStyle w:val="WHS"/>
      <w:lvlText w:val=""/>
      <w:lvlJc w:val="left"/>
      <w:pPr>
        <w:ind w:left="360" w:hanging="360"/>
      </w:pPr>
      <w:rPr>
        <w:rFonts w:ascii="Webdings" w:hAnsi="Webdings" w:hint="default"/>
        <w:b/>
        <w:i w:val="0"/>
        <w:color w:val="FF0000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91EE7"/>
    <w:multiLevelType w:val="hybridMultilevel"/>
    <w:tmpl w:val="60ECA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8813DE"/>
    <w:multiLevelType w:val="hybridMultilevel"/>
    <w:tmpl w:val="BC22F95A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6F87B7F"/>
    <w:multiLevelType w:val="hybridMultilevel"/>
    <w:tmpl w:val="FE9EB7A4"/>
    <w:lvl w:ilvl="0" w:tplc="0C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2" w15:restartNumberingAfterBreak="0">
    <w:nsid w:val="3B1C7082"/>
    <w:multiLevelType w:val="hybridMultilevel"/>
    <w:tmpl w:val="E1C4D8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BE0F25"/>
    <w:multiLevelType w:val="hybridMultilevel"/>
    <w:tmpl w:val="66985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A2247"/>
    <w:multiLevelType w:val="hybridMultilevel"/>
    <w:tmpl w:val="69AC41E2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2870554"/>
    <w:multiLevelType w:val="hybridMultilevel"/>
    <w:tmpl w:val="54DAA4F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2F62422"/>
    <w:multiLevelType w:val="hybridMultilevel"/>
    <w:tmpl w:val="B1F6D9A4"/>
    <w:lvl w:ilvl="0" w:tplc="B6BCD58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106D3F"/>
    <w:multiLevelType w:val="hybridMultilevel"/>
    <w:tmpl w:val="CCC656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732541"/>
    <w:multiLevelType w:val="hybridMultilevel"/>
    <w:tmpl w:val="E88039A4"/>
    <w:lvl w:ilvl="0" w:tplc="0C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9" w15:restartNumberingAfterBreak="0">
    <w:nsid w:val="48FC41AF"/>
    <w:multiLevelType w:val="hybridMultilevel"/>
    <w:tmpl w:val="3C645A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6A1243"/>
    <w:multiLevelType w:val="hybridMultilevel"/>
    <w:tmpl w:val="9B00EE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376089"/>
    <w:multiLevelType w:val="hybridMultilevel"/>
    <w:tmpl w:val="84482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5B2BA1"/>
    <w:multiLevelType w:val="hybridMultilevel"/>
    <w:tmpl w:val="E2D0DAE0"/>
    <w:lvl w:ilvl="0" w:tplc="B6BCD58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12B78"/>
    <w:multiLevelType w:val="multilevel"/>
    <w:tmpl w:val="01C40C76"/>
    <w:lvl w:ilvl="0">
      <w:start w:val="1"/>
      <w:numFmt w:val="decimal"/>
      <w:pStyle w:val="4ClHeading"/>
      <w:lvlText w:val="%1."/>
      <w:lvlJc w:val="left"/>
      <w:pPr>
        <w:tabs>
          <w:tab w:val="num" w:pos="1097"/>
        </w:tabs>
        <w:ind w:left="1097" w:hanging="737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ClauseLevel2ESTDeed"/>
      <w:lvlText w:val="%1.%2"/>
      <w:lvlJc w:val="left"/>
      <w:pPr>
        <w:tabs>
          <w:tab w:val="num" w:pos="1523"/>
        </w:tabs>
        <w:ind w:left="1523" w:hanging="73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hsubcla"/>
      <w:lvlText w:val="(%3)"/>
      <w:lvlJc w:val="left"/>
      <w:pPr>
        <w:tabs>
          <w:tab w:val="num" w:pos="1523"/>
        </w:tabs>
        <w:ind w:left="2005" w:hanging="51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pStyle w:val="isubcli"/>
      <w:lvlText w:val="(%4)"/>
      <w:lvlJc w:val="left"/>
      <w:pPr>
        <w:tabs>
          <w:tab w:val="num" w:pos="1778"/>
        </w:tabs>
        <w:ind w:left="2232" w:hanging="45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upperLetter"/>
      <w:lvlText w:val="(%5)"/>
      <w:lvlJc w:val="left"/>
      <w:pPr>
        <w:tabs>
          <w:tab w:val="num" w:pos="3649"/>
        </w:tabs>
        <w:ind w:left="3649" w:hanging="737"/>
      </w:pPr>
      <w:rPr>
        <w:rFonts w:ascii="Calibri" w:eastAsia="Times New Roman" w:hAnsi="Calibri" w:cs="Times New Roman"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97"/>
        </w:tabs>
        <w:ind w:left="1097" w:hanging="73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97"/>
        </w:tabs>
        <w:ind w:left="1097" w:hanging="73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97"/>
        </w:tabs>
        <w:ind w:left="1097" w:hanging="73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97"/>
        </w:tabs>
        <w:ind w:left="1097" w:hanging="737"/>
      </w:pPr>
      <w:rPr>
        <w:rFonts w:hint="default"/>
      </w:rPr>
    </w:lvl>
  </w:abstractNum>
  <w:abstractNum w:abstractNumId="34" w15:restartNumberingAfterBreak="0">
    <w:nsid w:val="50D12E18"/>
    <w:multiLevelType w:val="hybridMultilevel"/>
    <w:tmpl w:val="D340EC2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5DF1F44"/>
    <w:multiLevelType w:val="hybridMultilevel"/>
    <w:tmpl w:val="7DF6EBC4"/>
    <w:lvl w:ilvl="0" w:tplc="EFA64B3A">
      <w:start w:val="1"/>
      <w:numFmt w:val="bullet"/>
      <w:pStyle w:val="Systemstep"/>
      <w:lvlText w:val=""/>
      <w:lvlJc w:val="left"/>
      <w:pPr>
        <w:ind w:left="360" w:hanging="360"/>
      </w:pPr>
      <w:rPr>
        <w:rFonts w:ascii="Wingdings" w:hAnsi="Wingdings" w:hint="default"/>
        <w:b w:val="0"/>
        <w:i w:val="0"/>
        <w:sz w:val="28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E3A3090"/>
    <w:multiLevelType w:val="hybridMultilevel"/>
    <w:tmpl w:val="5286541A"/>
    <w:lvl w:ilvl="0" w:tplc="FF002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3802B4"/>
    <w:multiLevelType w:val="hybridMultilevel"/>
    <w:tmpl w:val="BBC61534"/>
    <w:lvl w:ilvl="0" w:tplc="B6BCD58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0C642F"/>
    <w:multiLevelType w:val="hybridMultilevel"/>
    <w:tmpl w:val="74FC6A76"/>
    <w:lvl w:ilvl="0" w:tplc="8BEC8966">
      <w:start w:val="1"/>
      <w:numFmt w:val="bullet"/>
      <w:lvlText w:val=""/>
      <w:lvlJc w:val="left"/>
      <w:pPr>
        <w:ind w:left="128" w:hanging="128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3B0208"/>
    <w:multiLevelType w:val="hybridMultilevel"/>
    <w:tmpl w:val="2DE07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5704E7"/>
    <w:multiLevelType w:val="hybridMultilevel"/>
    <w:tmpl w:val="BE2E8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A3DD2"/>
    <w:multiLevelType w:val="hybridMultilevel"/>
    <w:tmpl w:val="A6E87CB6"/>
    <w:lvl w:ilvl="0" w:tplc="B6BCD58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3666B"/>
    <w:multiLevelType w:val="hybridMultilevel"/>
    <w:tmpl w:val="BEB82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71135C"/>
    <w:multiLevelType w:val="hybridMultilevel"/>
    <w:tmpl w:val="BBCC162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B62DCF"/>
    <w:multiLevelType w:val="hybridMultilevel"/>
    <w:tmpl w:val="44725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727836"/>
    <w:multiLevelType w:val="hybridMultilevel"/>
    <w:tmpl w:val="04A68DDC"/>
    <w:lvl w:ilvl="0" w:tplc="29EEE73C">
      <w:start w:val="1"/>
      <w:numFmt w:val="bullet"/>
      <w:pStyle w:val="guideline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BB8AED6">
      <w:numFmt w:val="bullet"/>
      <w:lvlText w:val="-"/>
      <w:lvlJc w:val="left"/>
      <w:pPr>
        <w:ind w:left="2520" w:hanging="360"/>
      </w:pPr>
      <w:rPr>
        <w:rFonts w:ascii="Garamond" w:eastAsiaTheme="minorHAnsi" w:hAnsi="Garamond" w:cs="Garamond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9"/>
  </w:num>
  <w:num w:numId="3">
    <w:abstractNumId w:val="23"/>
  </w:num>
  <w:num w:numId="4">
    <w:abstractNumId w:val="31"/>
  </w:num>
  <w:num w:numId="5">
    <w:abstractNumId w:val="27"/>
  </w:num>
  <w:num w:numId="6">
    <w:abstractNumId w:val="4"/>
  </w:num>
  <w:num w:numId="7">
    <w:abstractNumId w:val="22"/>
  </w:num>
  <w:num w:numId="8">
    <w:abstractNumId w:val="0"/>
  </w:num>
  <w:num w:numId="9">
    <w:abstractNumId w:val="30"/>
  </w:num>
  <w:num w:numId="10">
    <w:abstractNumId w:val="44"/>
  </w:num>
  <w:num w:numId="11">
    <w:abstractNumId w:val="42"/>
  </w:num>
  <w:num w:numId="12">
    <w:abstractNumId w:val="11"/>
  </w:num>
  <w:num w:numId="13">
    <w:abstractNumId w:val="37"/>
  </w:num>
  <w:num w:numId="14">
    <w:abstractNumId w:val="3"/>
  </w:num>
  <w:num w:numId="15">
    <w:abstractNumId w:val="26"/>
  </w:num>
  <w:num w:numId="16">
    <w:abstractNumId w:val="32"/>
  </w:num>
  <w:num w:numId="17">
    <w:abstractNumId w:val="9"/>
  </w:num>
  <w:num w:numId="18">
    <w:abstractNumId w:val="41"/>
  </w:num>
  <w:num w:numId="19">
    <w:abstractNumId w:val="8"/>
  </w:num>
  <w:num w:numId="20">
    <w:abstractNumId w:val="10"/>
  </w:num>
  <w:num w:numId="21">
    <w:abstractNumId w:val="16"/>
  </w:num>
  <w:num w:numId="22">
    <w:abstractNumId w:val="36"/>
  </w:num>
  <w:num w:numId="23">
    <w:abstractNumId w:val="25"/>
  </w:num>
  <w:num w:numId="24">
    <w:abstractNumId w:val="15"/>
  </w:num>
  <w:num w:numId="25">
    <w:abstractNumId w:val="36"/>
    <w:lvlOverride w:ilvl="0">
      <w:startOverride w:val="1"/>
    </w:lvlOverride>
  </w:num>
  <w:num w:numId="26">
    <w:abstractNumId w:val="2"/>
  </w:num>
  <w:num w:numId="27">
    <w:abstractNumId w:val="35"/>
  </w:num>
  <w:num w:numId="28">
    <w:abstractNumId w:val="40"/>
  </w:num>
  <w:num w:numId="29">
    <w:abstractNumId w:val="17"/>
  </w:num>
  <w:num w:numId="30">
    <w:abstractNumId w:val="18"/>
  </w:num>
  <w:num w:numId="31">
    <w:abstractNumId w:val="45"/>
  </w:num>
  <w:num w:numId="32">
    <w:abstractNumId w:val="35"/>
  </w:num>
  <w:num w:numId="33">
    <w:abstractNumId w:val="7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34">
    <w:abstractNumId w:val="29"/>
  </w:num>
  <w:num w:numId="35">
    <w:abstractNumId w:val="43"/>
  </w:num>
  <w:num w:numId="36">
    <w:abstractNumId w:val="34"/>
  </w:num>
  <w:num w:numId="37">
    <w:abstractNumId w:val="14"/>
  </w:num>
  <w:num w:numId="38">
    <w:abstractNumId w:val="28"/>
  </w:num>
  <w:num w:numId="39">
    <w:abstractNumId w:val="20"/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  <w:num w:numId="42">
    <w:abstractNumId w:val="36"/>
  </w:num>
  <w:num w:numId="43">
    <w:abstractNumId w:val="24"/>
  </w:num>
  <w:num w:numId="44">
    <w:abstractNumId w:val="19"/>
  </w:num>
  <w:num w:numId="45">
    <w:abstractNumId w:val="38"/>
  </w:num>
  <w:num w:numId="46">
    <w:abstractNumId w:val="5"/>
  </w:num>
  <w:num w:numId="47">
    <w:abstractNumId w:val="12"/>
  </w:num>
  <w:num w:numId="48">
    <w:abstractNumId w:val="45"/>
  </w:num>
  <w:num w:numId="49">
    <w:abstractNumId w:val="35"/>
  </w:num>
  <w:num w:numId="50">
    <w:abstractNumId w:val="1"/>
  </w:num>
  <w:num w:numId="51">
    <w:abstractNumId w:val="33"/>
  </w:num>
  <w:num w:numId="52">
    <w:abstractNumId w:val="45"/>
  </w:num>
  <w:num w:numId="53">
    <w:abstractNumId w:val="45"/>
  </w:num>
  <w:num w:numId="54">
    <w:abstractNumId w:val="45"/>
  </w:num>
  <w:num w:numId="55">
    <w:abstractNumId w:val="21"/>
  </w:num>
  <w:num w:numId="56">
    <w:abstractNumId w:val="13"/>
  </w:num>
  <w:num w:numId="57">
    <w:abstractNumId w:val="6"/>
  </w:num>
  <w:num w:numId="58">
    <w:abstractNumId w:val="1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284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</w:docVars>
  <w:rsids>
    <w:rsidRoot w:val="0087795B"/>
    <w:rsid w:val="00003D37"/>
    <w:rsid w:val="0000400A"/>
    <w:rsid w:val="00010886"/>
    <w:rsid w:val="000159B8"/>
    <w:rsid w:val="000175DD"/>
    <w:rsid w:val="00020A85"/>
    <w:rsid w:val="0004462D"/>
    <w:rsid w:val="00045CE9"/>
    <w:rsid w:val="00050740"/>
    <w:rsid w:val="00060E78"/>
    <w:rsid w:val="0007083E"/>
    <w:rsid w:val="00072B6D"/>
    <w:rsid w:val="00085F46"/>
    <w:rsid w:val="000978B1"/>
    <w:rsid w:val="000A1ED6"/>
    <w:rsid w:val="000B171C"/>
    <w:rsid w:val="000B4B5B"/>
    <w:rsid w:val="000C2B2B"/>
    <w:rsid w:val="000C2BC2"/>
    <w:rsid w:val="000C699F"/>
    <w:rsid w:val="000C76C3"/>
    <w:rsid w:val="000E0DB4"/>
    <w:rsid w:val="000F5206"/>
    <w:rsid w:val="00101FC4"/>
    <w:rsid w:val="00110014"/>
    <w:rsid w:val="00114149"/>
    <w:rsid w:val="00114C63"/>
    <w:rsid w:val="001157B3"/>
    <w:rsid w:val="001329E8"/>
    <w:rsid w:val="00137B2A"/>
    <w:rsid w:val="00143ACE"/>
    <w:rsid w:val="00144934"/>
    <w:rsid w:val="00146FF3"/>
    <w:rsid w:val="001500F5"/>
    <w:rsid w:val="00151424"/>
    <w:rsid w:val="0016355E"/>
    <w:rsid w:val="00166259"/>
    <w:rsid w:val="001846C2"/>
    <w:rsid w:val="00184D24"/>
    <w:rsid w:val="00190055"/>
    <w:rsid w:val="00190503"/>
    <w:rsid w:val="0019586C"/>
    <w:rsid w:val="0019703A"/>
    <w:rsid w:val="001B056B"/>
    <w:rsid w:val="001B449B"/>
    <w:rsid w:val="001B6B87"/>
    <w:rsid w:val="001C3D2F"/>
    <w:rsid w:val="001C7B87"/>
    <w:rsid w:val="001D15D4"/>
    <w:rsid w:val="001D3CF9"/>
    <w:rsid w:val="001E2E86"/>
    <w:rsid w:val="001E3753"/>
    <w:rsid w:val="001E7298"/>
    <w:rsid w:val="001F19A3"/>
    <w:rsid w:val="001F2900"/>
    <w:rsid w:val="001F35FD"/>
    <w:rsid w:val="002104BC"/>
    <w:rsid w:val="00211B67"/>
    <w:rsid w:val="0021613E"/>
    <w:rsid w:val="0021796A"/>
    <w:rsid w:val="00222F6E"/>
    <w:rsid w:val="00224296"/>
    <w:rsid w:val="002325E5"/>
    <w:rsid w:val="00242715"/>
    <w:rsid w:val="00244BBC"/>
    <w:rsid w:val="002450E1"/>
    <w:rsid w:val="002562DC"/>
    <w:rsid w:val="0026083D"/>
    <w:rsid w:val="00265402"/>
    <w:rsid w:val="0027592B"/>
    <w:rsid w:val="00282FD9"/>
    <w:rsid w:val="002941B2"/>
    <w:rsid w:val="002A353D"/>
    <w:rsid w:val="002A573E"/>
    <w:rsid w:val="002A596C"/>
    <w:rsid w:val="002B357E"/>
    <w:rsid w:val="002B5948"/>
    <w:rsid w:val="002D1607"/>
    <w:rsid w:val="002D5826"/>
    <w:rsid w:val="002E1A9C"/>
    <w:rsid w:val="002E1F24"/>
    <w:rsid w:val="002E6FDB"/>
    <w:rsid w:val="002F18B5"/>
    <w:rsid w:val="002F3162"/>
    <w:rsid w:val="002F6B9F"/>
    <w:rsid w:val="002F79B9"/>
    <w:rsid w:val="00300D2A"/>
    <w:rsid w:val="003170D3"/>
    <w:rsid w:val="00320AE4"/>
    <w:rsid w:val="00330401"/>
    <w:rsid w:val="00332331"/>
    <w:rsid w:val="00335E05"/>
    <w:rsid w:val="0034048F"/>
    <w:rsid w:val="003466FC"/>
    <w:rsid w:val="00375D02"/>
    <w:rsid w:val="00381C14"/>
    <w:rsid w:val="0038206E"/>
    <w:rsid w:val="003826F2"/>
    <w:rsid w:val="003912F6"/>
    <w:rsid w:val="00395A72"/>
    <w:rsid w:val="00396D71"/>
    <w:rsid w:val="003A5F2E"/>
    <w:rsid w:val="003A6E99"/>
    <w:rsid w:val="003C2ED5"/>
    <w:rsid w:val="003C5515"/>
    <w:rsid w:val="003D16A7"/>
    <w:rsid w:val="003E376D"/>
    <w:rsid w:val="003F3648"/>
    <w:rsid w:val="00401056"/>
    <w:rsid w:val="00405751"/>
    <w:rsid w:val="004220EE"/>
    <w:rsid w:val="00427480"/>
    <w:rsid w:val="00427921"/>
    <w:rsid w:val="00431340"/>
    <w:rsid w:val="00432E28"/>
    <w:rsid w:val="00433192"/>
    <w:rsid w:val="00433E84"/>
    <w:rsid w:val="004460D6"/>
    <w:rsid w:val="00457187"/>
    <w:rsid w:val="004850AB"/>
    <w:rsid w:val="00486CBB"/>
    <w:rsid w:val="004A5441"/>
    <w:rsid w:val="004B17B0"/>
    <w:rsid w:val="004B7969"/>
    <w:rsid w:val="004B79F8"/>
    <w:rsid w:val="004C064D"/>
    <w:rsid w:val="004C3374"/>
    <w:rsid w:val="004C33A5"/>
    <w:rsid w:val="004C5158"/>
    <w:rsid w:val="004E2408"/>
    <w:rsid w:val="004F1037"/>
    <w:rsid w:val="00535C13"/>
    <w:rsid w:val="005364B7"/>
    <w:rsid w:val="005379D9"/>
    <w:rsid w:val="005504D8"/>
    <w:rsid w:val="00565514"/>
    <w:rsid w:val="0056756B"/>
    <w:rsid w:val="00567CF8"/>
    <w:rsid w:val="00567E25"/>
    <w:rsid w:val="005804D8"/>
    <w:rsid w:val="005825F8"/>
    <w:rsid w:val="00583F4D"/>
    <w:rsid w:val="0058684F"/>
    <w:rsid w:val="005922DC"/>
    <w:rsid w:val="005A322C"/>
    <w:rsid w:val="005A5B00"/>
    <w:rsid w:val="005B3D76"/>
    <w:rsid w:val="005D08F6"/>
    <w:rsid w:val="005D2838"/>
    <w:rsid w:val="005D5556"/>
    <w:rsid w:val="005D72CD"/>
    <w:rsid w:val="005E0423"/>
    <w:rsid w:val="005E3856"/>
    <w:rsid w:val="005E4CDD"/>
    <w:rsid w:val="005F26BD"/>
    <w:rsid w:val="005F2A91"/>
    <w:rsid w:val="005F51A9"/>
    <w:rsid w:val="0060268B"/>
    <w:rsid w:val="00603A25"/>
    <w:rsid w:val="0060616D"/>
    <w:rsid w:val="00610E4F"/>
    <w:rsid w:val="00613CD6"/>
    <w:rsid w:val="006201E8"/>
    <w:rsid w:val="00623EF9"/>
    <w:rsid w:val="006247F8"/>
    <w:rsid w:val="00625AC8"/>
    <w:rsid w:val="00631C29"/>
    <w:rsid w:val="0064481A"/>
    <w:rsid w:val="006543BC"/>
    <w:rsid w:val="00657592"/>
    <w:rsid w:val="006639FF"/>
    <w:rsid w:val="0066404E"/>
    <w:rsid w:val="00666AB3"/>
    <w:rsid w:val="00673177"/>
    <w:rsid w:val="0068370E"/>
    <w:rsid w:val="00692741"/>
    <w:rsid w:val="00695ADF"/>
    <w:rsid w:val="006A012E"/>
    <w:rsid w:val="006A28D2"/>
    <w:rsid w:val="006A3A0A"/>
    <w:rsid w:val="006A52DB"/>
    <w:rsid w:val="006B4417"/>
    <w:rsid w:val="006D2A28"/>
    <w:rsid w:val="006D5ED4"/>
    <w:rsid w:val="006E20A8"/>
    <w:rsid w:val="006E2F91"/>
    <w:rsid w:val="006E34AE"/>
    <w:rsid w:val="006E6623"/>
    <w:rsid w:val="006E6AD6"/>
    <w:rsid w:val="006F3551"/>
    <w:rsid w:val="006F4766"/>
    <w:rsid w:val="006F63C9"/>
    <w:rsid w:val="006F72AC"/>
    <w:rsid w:val="00700EBF"/>
    <w:rsid w:val="00705562"/>
    <w:rsid w:val="00706DB6"/>
    <w:rsid w:val="0071103F"/>
    <w:rsid w:val="00714053"/>
    <w:rsid w:val="00725B96"/>
    <w:rsid w:val="007278B0"/>
    <w:rsid w:val="00731014"/>
    <w:rsid w:val="007334B5"/>
    <w:rsid w:val="00733501"/>
    <w:rsid w:val="00750685"/>
    <w:rsid w:val="00752BB4"/>
    <w:rsid w:val="00765175"/>
    <w:rsid w:val="007670D8"/>
    <w:rsid w:val="007727BC"/>
    <w:rsid w:val="007753B1"/>
    <w:rsid w:val="00780E42"/>
    <w:rsid w:val="00781A25"/>
    <w:rsid w:val="00791ECB"/>
    <w:rsid w:val="00793A48"/>
    <w:rsid w:val="007A5388"/>
    <w:rsid w:val="007A55CA"/>
    <w:rsid w:val="007B1F88"/>
    <w:rsid w:val="007B28BA"/>
    <w:rsid w:val="007B645B"/>
    <w:rsid w:val="007C3210"/>
    <w:rsid w:val="007C5162"/>
    <w:rsid w:val="007C73C0"/>
    <w:rsid w:val="007D323D"/>
    <w:rsid w:val="007F045A"/>
    <w:rsid w:val="007F1FE0"/>
    <w:rsid w:val="00800F10"/>
    <w:rsid w:val="00802798"/>
    <w:rsid w:val="00810C1E"/>
    <w:rsid w:val="00814A71"/>
    <w:rsid w:val="00820A98"/>
    <w:rsid w:val="00830572"/>
    <w:rsid w:val="008316A7"/>
    <w:rsid w:val="00832BA0"/>
    <w:rsid w:val="00837E53"/>
    <w:rsid w:val="00844442"/>
    <w:rsid w:val="00855C1A"/>
    <w:rsid w:val="008569A8"/>
    <w:rsid w:val="00857DB0"/>
    <w:rsid w:val="00860931"/>
    <w:rsid w:val="00872C7E"/>
    <w:rsid w:val="00873006"/>
    <w:rsid w:val="0087795B"/>
    <w:rsid w:val="00884E88"/>
    <w:rsid w:val="008904A2"/>
    <w:rsid w:val="00894CC5"/>
    <w:rsid w:val="008A07CC"/>
    <w:rsid w:val="008A0850"/>
    <w:rsid w:val="008A194F"/>
    <w:rsid w:val="008A4C97"/>
    <w:rsid w:val="008A5AF4"/>
    <w:rsid w:val="008B2DAD"/>
    <w:rsid w:val="008E3640"/>
    <w:rsid w:val="008E6F70"/>
    <w:rsid w:val="008F17C3"/>
    <w:rsid w:val="008F3B5C"/>
    <w:rsid w:val="008F6188"/>
    <w:rsid w:val="008F7278"/>
    <w:rsid w:val="00903066"/>
    <w:rsid w:val="00904CE6"/>
    <w:rsid w:val="009062E7"/>
    <w:rsid w:val="0090719D"/>
    <w:rsid w:val="009228CB"/>
    <w:rsid w:val="009230AD"/>
    <w:rsid w:val="009342AB"/>
    <w:rsid w:val="00941EE2"/>
    <w:rsid w:val="00942F59"/>
    <w:rsid w:val="00946DA3"/>
    <w:rsid w:val="009701C2"/>
    <w:rsid w:val="00970CA8"/>
    <w:rsid w:val="00970EC6"/>
    <w:rsid w:val="0097165D"/>
    <w:rsid w:val="00981C24"/>
    <w:rsid w:val="00982263"/>
    <w:rsid w:val="00995205"/>
    <w:rsid w:val="009A4380"/>
    <w:rsid w:val="009A6B43"/>
    <w:rsid w:val="009C02DE"/>
    <w:rsid w:val="009C268A"/>
    <w:rsid w:val="009D37C2"/>
    <w:rsid w:val="009E4533"/>
    <w:rsid w:val="009F39A1"/>
    <w:rsid w:val="009F4C82"/>
    <w:rsid w:val="00A14857"/>
    <w:rsid w:val="00A159C7"/>
    <w:rsid w:val="00A33E67"/>
    <w:rsid w:val="00A41408"/>
    <w:rsid w:val="00A4197D"/>
    <w:rsid w:val="00A561B1"/>
    <w:rsid w:val="00A5707A"/>
    <w:rsid w:val="00A67B9C"/>
    <w:rsid w:val="00A758F1"/>
    <w:rsid w:val="00A7610F"/>
    <w:rsid w:val="00A76A2F"/>
    <w:rsid w:val="00A96817"/>
    <w:rsid w:val="00A96BE8"/>
    <w:rsid w:val="00A97BC9"/>
    <w:rsid w:val="00A97F27"/>
    <w:rsid w:val="00AA2DD3"/>
    <w:rsid w:val="00AA701D"/>
    <w:rsid w:val="00AB10D9"/>
    <w:rsid w:val="00AB28D3"/>
    <w:rsid w:val="00AB424B"/>
    <w:rsid w:val="00AC52E0"/>
    <w:rsid w:val="00AD39D3"/>
    <w:rsid w:val="00AD6911"/>
    <w:rsid w:val="00AD7090"/>
    <w:rsid w:val="00AE104B"/>
    <w:rsid w:val="00AE12AD"/>
    <w:rsid w:val="00AE365D"/>
    <w:rsid w:val="00AE4494"/>
    <w:rsid w:val="00AF120F"/>
    <w:rsid w:val="00AF2D71"/>
    <w:rsid w:val="00AF4968"/>
    <w:rsid w:val="00AF57E5"/>
    <w:rsid w:val="00AF69B8"/>
    <w:rsid w:val="00B03459"/>
    <w:rsid w:val="00B035F0"/>
    <w:rsid w:val="00B04FAB"/>
    <w:rsid w:val="00B066EF"/>
    <w:rsid w:val="00B161D6"/>
    <w:rsid w:val="00B40622"/>
    <w:rsid w:val="00B447BA"/>
    <w:rsid w:val="00B47B9E"/>
    <w:rsid w:val="00B60D3A"/>
    <w:rsid w:val="00B62DCA"/>
    <w:rsid w:val="00B71D8D"/>
    <w:rsid w:val="00B72939"/>
    <w:rsid w:val="00B75183"/>
    <w:rsid w:val="00B75469"/>
    <w:rsid w:val="00B93872"/>
    <w:rsid w:val="00BC32B2"/>
    <w:rsid w:val="00BD4DB8"/>
    <w:rsid w:val="00BD6385"/>
    <w:rsid w:val="00BD6A77"/>
    <w:rsid w:val="00BE4FDD"/>
    <w:rsid w:val="00BF00B8"/>
    <w:rsid w:val="00BF478C"/>
    <w:rsid w:val="00C00AC1"/>
    <w:rsid w:val="00C01433"/>
    <w:rsid w:val="00C10E7F"/>
    <w:rsid w:val="00C25B23"/>
    <w:rsid w:val="00C260F3"/>
    <w:rsid w:val="00C271EE"/>
    <w:rsid w:val="00C300CD"/>
    <w:rsid w:val="00C3736F"/>
    <w:rsid w:val="00C40B64"/>
    <w:rsid w:val="00C45E3D"/>
    <w:rsid w:val="00C4737C"/>
    <w:rsid w:val="00C611D0"/>
    <w:rsid w:val="00C6618B"/>
    <w:rsid w:val="00C67EED"/>
    <w:rsid w:val="00C67F76"/>
    <w:rsid w:val="00C8445B"/>
    <w:rsid w:val="00C86194"/>
    <w:rsid w:val="00C90C12"/>
    <w:rsid w:val="00C91B13"/>
    <w:rsid w:val="00C925FE"/>
    <w:rsid w:val="00CA1832"/>
    <w:rsid w:val="00CB0AA3"/>
    <w:rsid w:val="00CB1E81"/>
    <w:rsid w:val="00CB3F5B"/>
    <w:rsid w:val="00CB716D"/>
    <w:rsid w:val="00CE26D8"/>
    <w:rsid w:val="00CE2B9A"/>
    <w:rsid w:val="00CE6B89"/>
    <w:rsid w:val="00CF54C1"/>
    <w:rsid w:val="00D00D80"/>
    <w:rsid w:val="00D252CF"/>
    <w:rsid w:val="00D2637E"/>
    <w:rsid w:val="00D2795D"/>
    <w:rsid w:val="00D44E01"/>
    <w:rsid w:val="00D46A76"/>
    <w:rsid w:val="00D52450"/>
    <w:rsid w:val="00D65F13"/>
    <w:rsid w:val="00D67B3E"/>
    <w:rsid w:val="00D711A1"/>
    <w:rsid w:val="00D726B2"/>
    <w:rsid w:val="00D911DD"/>
    <w:rsid w:val="00D97402"/>
    <w:rsid w:val="00DA00AA"/>
    <w:rsid w:val="00DB7174"/>
    <w:rsid w:val="00DC1A71"/>
    <w:rsid w:val="00DC3C92"/>
    <w:rsid w:val="00DD0DC8"/>
    <w:rsid w:val="00DD7E7D"/>
    <w:rsid w:val="00DE4824"/>
    <w:rsid w:val="00DF4CA4"/>
    <w:rsid w:val="00DF70F2"/>
    <w:rsid w:val="00E10CB2"/>
    <w:rsid w:val="00E112A1"/>
    <w:rsid w:val="00E12AFD"/>
    <w:rsid w:val="00E4595C"/>
    <w:rsid w:val="00E47C21"/>
    <w:rsid w:val="00E533B9"/>
    <w:rsid w:val="00E67E79"/>
    <w:rsid w:val="00E76BC4"/>
    <w:rsid w:val="00E811CD"/>
    <w:rsid w:val="00E84BB4"/>
    <w:rsid w:val="00E90A95"/>
    <w:rsid w:val="00E94C12"/>
    <w:rsid w:val="00EA189B"/>
    <w:rsid w:val="00EA1998"/>
    <w:rsid w:val="00EA682E"/>
    <w:rsid w:val="00EA7260"/>
    <w:rsid w:val="00EB1284"/>
    <w:rsid w:val="00EB1596"/>
    <w:rsid w:val="00EB6A5F"/>
    <w:rsid w:val="00ED07D5"/>
    <w:rsid w:val="00ED23AF"/>
    <w:rsid w:val="00ED492E"/>
    <w:rsid w:val="00ED4F57"/>
    <w:rsid w:val="00ED626E"/>
    <w:rsid w:val="00ED76B4"/>
    <w:rsid w:val="00ED7F4E"/>
    <w:rsid w:val="00EF05DD"/>
    <w:rsid w:val="00EF3108"/>
    <w:rsid w:val="00EF325E"/>
    <w:rsid w:val="00F01F50"/>
    <w:rsid w:val="00F04B91"/>
    <w:rsid w:val="00F07FCD"/>
    <w:rsid w:val="00F11283"/>
    <w:rsid w:val="00F24A15"/>
    <w:rsid w:val="00F24D71"/>
    <w:rsid w:val="00F26C74"/>
    <w:rsid w:val="00F30436"/>
    <w:rsid w:val="00F376EB"/>
    <w:rsid w:val="00F46AEF"/>
    <w:rsid w:val="00F501BE"/>
    <w:rsid w:val="00F503BB"/>
    <w:rsid w:val="00F54F86"/>
    <w:rsid w:val="00F56A33"/>
    <w:rsid w:val="00F6004A"/>
    <w:rsid w:val="00F601AA"/>
    <w:rsid w:val="00F902B2"/>
    <w:rsid w:val="00F935C7"/>
    <w:rsid w:val="00FA4B4D"/>
    <w:rsid w:val="00FA4FA0"/>
    <w:rsid w:val="00FB0EEE"/>
    <w:rsid w:val="00FB771C"/>
    <w:rsid w:val="00FC0563"/>
    <w:rsid w:val="00FC4CB2"/>
    <w:rsid w:val="00FD7530"/>
    <w:rsid w:val="00FF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4:docId w14:val="378B78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2B"/>
    <w:pPr>
      <w:keepNext/>
      <w:keepLines/>
      <w:pBdr>
        <w:top w:val="single" w:sz="4" w:space="1" w:color="5B9BD5" w:themeColor="accent1"/>
      </w:pBd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76D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76D"/>
    <w:pPr>
      <w:keepNext/>
      <w:keepLines/>
      <w:spacing w:before="24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6F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7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7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46FF3"/>
    <w:pPr>
      <w:ind w:left="720"/>
      <w:contextualSpacing/>
    </w:pPr>
  </w:style>
  <w:style w:type="paragraph" w:styleId="TOCHeading">
    <w:name w:val="TOC Heading"/>
    <w:basedOn w:val="Normal"/>
    <w:next w:val="Normal"/>
    <w:uiPriority w:val="39"/>
    <w:unhideWhenUsed/>
    <w:qFormat/>
    <w:rsid w:val="002450E1"/>
    <w:rPr>
      <w:color w:val="5B9BD5" w:themeColor="accen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01E8"/>
    <w:pPr>
      <w:tabs>
        <w:tab w:val="left" w:pos="440"/>
        <w:tab w:val="right" w:pos="9016"/>
      </w:tabs>
      <w:spacing w:before="240" w:after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271EE"/>
    <w:pPr>
      <w:tabs>
        <w:tab w:val="right" w:pos="9016"/>
      </w:tabs>
      <w:spacing w:before="0"/>
    </w:pPr>
    <w:rPr>
      <w:rFonts w:cs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201E8"/>
    <w:pPr>
      <w:tabs>
        <w:tab w:val="right" w:pos="9016"/>
      </w:tabs>
      <w:ind w:left="426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53B1"/>
    <w:rPr>
      <w:color w:val="0563C1" w:themeColor="hyperlink"/>
      <w:u w:val="single"/>
    </w:rPr>
  </w:style>
  <w:style w:type="paragraph" w:customStyle="1" w:styleId="guidelinetext">
    <w:name w:val="guideline text"/>
    <w:basedOn w:val="Normal"/>
    <w:link w:val="guidelinetextChar"/>
    <w:qFormat/>
    <w:rsid w:val="00A561B1"/>
    <w:pPr>
      <w:spacing w:line="264" w:lineRule="auto"/>
      <w:ind w:left="1440"/>
    </w:pPr>
  </w:style>
  <w:style w:type="paragraph" w:customStyle="1" w:styleId="guidelinebullet">
    <w:name w:val="guideline bullet"/>
    <w:basedOn w:val="ListParagraph"/>
    <w:link w:val="guidelinebulletChar"/>
    <w:qFormat/>
    <w:rsid w:val="00A561B1"/>
    <w:pPr>
      <w:numPr>
        <w:numId w:val="1"/>
      </w:numPr>
      <w:spacing w:before="60"/>
      <w:contextualSpacing w:val="0"/>
    </w:pPr>
  </w:style>
  <w:style w:type="character" w:customStyle="1" w:styleId="guidelinetextChar">
    <w:name w:val="guideline text Char"/>
    <w:basedOn w:val="DefaultParagraphFont"/>
    <w:link w:val="guidelinetext"/>
    <w:rsid w:val="00A561B1"/>
  </w:style>
  <w:style w:type="paragraph" w:customStyle="1" w:styleId="guidelinedeedref">
    <w:name w:val="guideline deed ref"/>
    <w:basedOn w:val="Normal"/>
    <w:link w:val="guidelinedeedrefChar"/>
    <w:qFormat/>
    <w:rsid w:val="005B3D76"/>
    <w:pPr>
      <w:ind w:left="1440"/>
    </w:pPr>
    <w:rPr>
      <w:rFonts w:ascii="Garamond" w:hAnsi="Garamond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B3D76"/>
  </w:style>
  <w:style w:type="character" w:customStyle="1" w:styleId="guidelinebulletChar">
    <w:name w:val="guideline bullet Char"/>
    <w:basedOn w:val="ListParagraphChar"/>
    <w:link w:val="guidelinebullet"/>
    <w:rsid w:val="00A561B1"/>
  </w:style>
  <w:style w:type="character" w:customStyle="1" w:styleId="guidelinedeedrefChar">
    <w:name w:val="guideline deed ref Char"/>
    <w:basedOn w:val="DefaultParagraphFont"/>
    <w:link w:val="guidelinedeedref"/>
    <w:rsid w:val="005B3D76"/>
    <w:rPr>
      <w:rFonts w:ascii="Garamond" w:hAnsi="Garamond"/>
      <w:sz w:val="20"/>
    </w:rPr>
  </w:style>
  <w:style w:type="paragraph" w:styleId="Header">
    <w:name w:val="header"/>
    <w:basedOn w:val="Normal"/>
    <w:link w:val="HeaderChar"/>
    <w:uiPriority w:val="99"/>
    <w:unhideWhenUsed/>
    <w:rsid w:val="008A19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94F"/>
  </w:style>
  <w:style w:type="paragraph" w:styleId="Footer">
    <w:name w:val="footer"/>
    <w:basedOn w:val="Normal"/>
    <w:link w:val="FooterChar"/>
    <w:uiPriority w:val="99"/>
    <w:unhideWhenUsed/>
    <w:rsid w:val="008A19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94F"/>
  </w:style>
  <w:style w:type="paragraph" w:customStyle="1" w:styleId="TableHeadingCentred">
    <w:name w:val="Table Heading Centred"/>
    <w:basedOn w:val="Normal"/>
    <w:rsid w:val="008A194F"/>
    <w:pPr>
      <w:spacing w:before="60" w:after="60"/>
      <w:jc w:val="center"/>
    </w:pPr>
    <w:rPr>
      <w:rFonts w:ascii="Calibri" w:eastAsia="Times New Roman" w:hAnsi="Calibri" w:cs="Arial"/>
      <w:b/>
      <w:bCs/>
      <w:color w:val="FFFFFF"/>
      <w:szCs w:val="24"/>
      <w:lang w:eastAsia="en-AU"/>
    </w:rPr>
  </w:style>
  <w:style w:type="paragraph" w:customStyle="1" w:styleId="guidelineintro">
    <w:name w:val="guideline intro"/>
    <w:basedOn w:val="Normal"/>
    <w:link w:val="guidelineintroChar"/>
    <w:rsid w:val="006A3A0A"/>
    <w:pPr>
      <w:ind w:left="1440"/>
    </w:pPr>
    <w:rPr>
      <w:sz w:val="28"/>
    </w:rPr>
  </w:style>
  <w:style w:type="paragraph" w:customStyle="1" w:styleId="guidelinechanges">
    <w:name w:val="guideline changes"/>
    <w:basedOn w:val="Normal"/>
    <w:link w:val="guidelinechangesChar"/>
    <w:qFormat/>
    <w:rsid w:val="00D911DD"/>
    <w:pPr>
      <w:spacing w:before="60"/>
    </w:pPr>
    <w:rPr>
      <w:sz w:val="20"/>
    </w:rPr>
  </w:style>
  <w:style w:type="character" w:customStyle="1" w:styleId="guidelineintroChar">
    <w:name w:val="guideline intro Char"/>
    <w:basedOn w:val="DefaultParagraphFont"/>
    <w:link w:val="guidelineintro"/>
    <w:rsid w:val="006A3A0A"/>
    <w:rPr>
      <w:sz w:val="28"/>
    </w:rPr>
  </w:style>
  <w:style w:type="paragraph" w:customStyle="1" w:styleId="guidelinedocinfo">
    <w:name w:val="guideline doc info"/>
    <w:basedOn w:val="Normal"/>
    <w:link w:val="guidelinedocinfoChar"/>
    <w:qFormat/>
    <w:rsid w:val="0027592B"/>
    <w:pPr>
      <w:pBdr>
        <w:top w:val="single" w:sz="4" w:space="1" w:color="767171" w:themeColor="background2" w:themeShade="80"/>
      </w:pBdr>
    </w:pPr>
    <w:rPr>
      <w:color w:val="767171" w:themeColor="background2" w:themeShade="80"/>
    </w:rPr>
  </w:style>
  <w:style w:type="character" w:customStyle="1" w:styleId="guidelinechangesChar">
    <w:name w:val="guideline changes Char"/>
    <w:basedOn w:val="DefaultParagraphFont"/>
    <w:link w:val="guidelinechanges"/>
    <w:rsid w:val="00D911DD"/>
    <w:rPr>
      <w:sz w:val="20"/>
    </w:rPr>
  </w:style>
  <w:style w:type="character" w:customStyle="1" w:styleId="guidelinedocinfoChar">
    <w:name w:val="guideline doc info Char"/>
    <w:basedOn w:val="DefaultParagraphFont"/>
    <w:link w:val="guidelinedocinfo"/>
    <w:rsid w:val="0027592B"/>
    <w:rPr>
      <w:color w:val="767171" w:themeColor="background2" w:themeShade="80"/>
    </w:rPr>
  </w:style>
  <w:style w:type="paragraph" w:customStyle="1" w:styleId="Systemstep">
    <w:name w:val="System step"/>
    <w:basedOn w:val="guidelinetext"/>
    <w:link w:val="SystemstepChar"/>
    <w:qFormat/>
    <w:rsid w:val="00AF57E5"/>
    <w:pPr>
      <w:numPr>
        <w:numId w:val="27"/>
      </w:numPr>
    </w:pPr>
  </w:style>
  <w:style w:type="table" w:styleId="TableGrid">
    <w:name w:val="Table Grid"/>
    <w:basedOn w:val="TableNormal"/>
    <w:uiPriority w:val="39"/>
    <w:rsid w:val="002D160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stemstepChar">
    <w:name w:val="System step Char"/>
    <w:basedOn w:val="guidelinetextChar"/>
    <w:link w:val="Systemstep"/>
    <w:rsid w:val="00A159C7"/>
  </w:style>
  <w:style w:type="paragraph" w:customStyle="1" w:styleId="tabletext">
    <w:name w:val="table text"/>
    <w:basedOn w:val="guidelinetext"/>
    <w:link w:val="tabletextChar"/>
    <w:qFormat/>
    <w:rsid w:val="002D1607"/>
    <w:pPr>
      <w:spacing w:before="0"/>
      <w:ind w:left="0"/>
    </w:pPr>
    <w:rPr>
      <w:sz w:val="20"/>
      <w:szCs w:val="20"/>
    </w:rPr>
  </w:style>
  <w:style w:type="character" w:customStyle="1" w:styleId="tabletextChar">
    <w:name w:val="table text Char"/>
    <w:basedOn w:val="guidelinetextChar"/>
    <w:link w:val="tabletext"/>
    <w:rsid w:val="002D160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E6F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F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F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F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F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FD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FDB"/>
    <w:rPr>
      <w:rFonts w:ascii="Segoe UI" w:hAnsi="Segoe UI" w:cs="Segoe UI"/>
      <w:sz w:val="18"/>
      <w:szCs w:val="18"/>
    </w:rPr>
  </w:style>
  <w:style w:type="paragraph" w:customStyle="1" w:styleId="docev">
    <w:name w:val="doc ev"/>
    <w:basedOn w:val="guidelinetext"/>
    <w:link w:val="docevChar"/>
    <w:qFormat/>
    <w:rsid w:val="00AF57E5"/>
    <w:pPr>
      <w:numPr>
        <w:numId w:val="29"/>
      </w:numPr>
    </w:pPr>
  </w:style>
  <w:style w:type="paragraph" w:customStyle="1" w:styleId="WHS">
    <w:name w:val="WHS"/>
    <w:basedOn w:val="guidelinetext"/>
    <w:link w:val="WHSChar"/>
    <w:qFormat/>
    <w:rsid w:val="00AF57E5"/>
    <w:pPr>
      <w:numPr>
        <w:numId w:val="30"/>
      </w:numPr>
      <w:ind w:left="1418" w:hanging="1418"/>
    </w:pPr>
  </w:style>
  <w:style w:type="character" w:customStyle="1" w:styleId="docevChar">
    <w:name w:val="doc ev Char"/>
    <w:basedOn w:val="SystemstepChar"/>
    <w:link w:val="docev"/>
    <w:rsid w:val="00A159C7"/>
  </w:style>
  <w:style w:type="character" w:customStyle="1" w:styleId="WHSChar">
    <w:name w:val="WHS Char"/>
    <w:basedOn w:val="SystemstepChar"/>
    <w:link w:val="WHS"/>
    <w:rsid w:val="00A159C7"/>
  </w:style>
  <w:style w:type="character" w:styleId="FollowedHyperlink">
    <w:name w:val="FollowedHyperlink"/>
    <w:basedOn w:val="DefaultParagraphFont"/>
    <w:uiPriority w:val="99"/>
    <w:semiHidden/>
    <w:unhideWhenUsed/>
    <w:rsid w:val="003A5F2E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3A5F2E"/>
    <w:pPr>
      <w:numPr>
        <w:numId w:val="33"/>
      </w:numPr>
      <w:contextualSpacing/>
    </w:pPr>
    <w:rPr>
      <w:rFonts w:ascii="Calibri" w:hAnsi="Calibri" w:cs="Calibri"/>
      <w:lang w:eastAsia="en-AU"/>
    </w:rPr>
  </w:style>
  <w:style w:type="paragraph" w:styleId="ListBullet2">
    <w:name w:val="List Bullet 2"/>
    <w:basedOn w:val="Normal"/>
    <w:uiPriority w:val="99"/>
    <w:semiHidden/>
    <w:unhideWhenUsed/>
    <w:rsid w:val="003A5F2E"/>
    <w:pPr>
      <w:numPr>
        <w:ilvl w:val="1"/>
        <w:numId w:val="33"/>
      </w:numPr>
      <w:contextualSpacing/>
    </w:pPr>
    <w:rPr>
      <w:rFonts w:ascii="Calibri" w:hAnsi="Calibri" w:cs="Calibri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3A5F2E"/>
    <w:pPr>
      <w:numPr>
        <w:ilvl w:val="2"/>
        <w:numId w:val="33"/>
      </w:numPr>
      <w:contextualSpacing/>
    </w:pPr>
    <w:rPr>
      <w:rFonts w:ascii="Calibri" w:hAnsi="Calibri" w:cs="Calibri"/>
      <w:lang w:eastAsia="en-AU"/>
    </w:rPr>
  </w:style>
  <w:style w:type="paragraph" w:styleId="TOC4">
    <w:name w:val="toc 4"/>
    <w:basedOn w:val="Normal"/>
    <w:next w:val="Normal"/>
    <w:autoRedefine/>
    <w:uiPriority w:val="39"/>
    <w:unhideWhenUsed/>
    <w:rsid w:val="00F54F86"/>
    <w:pPr>
      <w:spacing w:before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54F86"/>
    <w:pPr>
      <w:spacing w:before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54F86"/>
    <w:pPr>
      <w:spacing w:before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54F86"/>
    <w:pPr>
      <w:spacing w:before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54F86"/>
    <w:pPr>
      <w:spacing w:before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54F86"/>
    <w:pPr>
      <w:spacing w:before="0"/>
      <w:ind w:left="1760"/>
    </w:pPr>
    <w:rPr>
      <w:rFonts w:cstheme="minorHAnsi"/>
      <w:sz w:val="20"/>
      <w:szCs w:val="20"/>
    </w:rPr>
  </w:style>
  <w:style w:type="paragraph" w:customStyle="1" w:styleId="Disclaimer">
    <w:name w:val="Disclaimer"/>
    <w:basedOn w:val="Normal"/>
    <w:link w:val="DisclaimerChar"/>
    <w:rsid w:val="005E0423"/>
    <w:pPr>
      <w:spacing w:before="5040"/>
    </w:pPr>
    <w:rPr>
      <w:rFonts w:ascii="Calibri" w:eastAsia="Times New Roman" w:hAnsi="Calibri" w:cs="Times New Roman"/>
      <w:sz w:val="20"/>
      <w:szCs w:val="20"/>
      <w:lang w:eastAsia="en-AU"/>
    </w:rPr>
  </w:style>
  <w:style w:type="character" w:customStyle="1" w:styleId="DisclaimerChar">
    <w:name w:val="Disclaimer Char"/>
    <w:basedOn w:val="DefaultParagraphFont"/>
    <w:link w:val="Disclaimer"/>
    <w:rsid w:val="005E0423"/>
    <w:rPr>
      <w:rFonts w:ascii="Calibri" w:eastAsia="Times New Roman" w:hAnsi="Calibri" w:cs="Times New Roman"/>
      <w:sz w:val="20"/>
      <w:szCs w:val="20"/>
      <w:lang w:eastAsia="en-AU"/>
    </w:rPr>
  </w:style>
  <w:style w:type="paragraph" w:customStyle="1" w:styleId="Frontpagesub-heading">
    <w:name w:val="Front page sub-heading"/>
    <w:basedOn w:val="Heading3"/>
    <w:link w:val="Frontpagesub-headingChar"/>
    <w:qFormat/>
    <w:rsid w:val="004B79F8"/>
    <w:pPr>
      <w:ind w:left="0"/>
    </w:pPr>
    <w:rPr>
      <w:b/>
      <w:sz w:val="20"/>
    </w:rPr>
  </w:style>
  <w:style w:type="character" w:customStyle="1" w:styleId="Frontpagesub-headingChar">
    <w:name w:val="Front page sub-heading Char"/>
    <w:basedOn w:val="Heading3Char"/>
    <w:link w:val="Frontpagesub-heading"/>
    <w:rsid w:val="004B79F8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</w:rPr>
  </w:style>
  <w:style w:type="paragraph" w:styleId="Revision">
    <w:name w:val="Revision"/>
    <w:hidden/>
    <w:uiPriority w:val="99"/>
    <w:semiHidden/>
    <w:rsid w:val="009062E7"/>
    <w:pPr>
      <w:spacing w:before="0"/>
    </w:pPr>
  </w:style>
  <w:style w:type="paragraph" w:customStyle="1" w:styleId="ClauseLevel2ESTDeed">
    <w:name w:val="Clause Level 2 (EST Deed)"/>
    <w:basedOn w:val="Normal"/>
    <w:uiPriority w:val="99"/>
    <w:qFormat/>
    <w:locked/>
    <w:rsid w:val="00DD7E7D"/>
    <w:pPr>
      <w:keepLines/>
      <w:numPr>
        <w:ilvl w:val="1"/>
        <w:numId w:val="51"/>
      </w:numPr>
      <w:suppressAutoHyphens/>
      <w:spacing w:after="120" w:line="264" w:lineRule="auto"/>
      <w:outlineLvl w:val="1"/>
    </w:pPr>
    <w:rPr>
      <w:rFonts w:ascii="Calibri" w:eastAsia="Times New Roman" w:hAnsi="Calibri" w:cs="Times New Roman"/>
      <w:szCs w:val="20"/>
      <w:lang w:eastAsia="en-AU"/>
    </w:rPr>
  </w:style>
  <w:style w:type="paragraph" w:customStyle="1" w:styleId="hsubcla">
    <w:name w:val="h.sub cl (a)"/>
    <w:basedOn w:val="Normal"/>
    <w:link w:val="hsubclaChar"/>
    <w:autoRedefine/>
    <w:uiPriority w:val="99"/>
    <w:qFormat/>
    <w:locked/>
    <w:rsid w:val="00DD7E7D"/>
    <w:pPr>
      <w:numPr>
        <w:ilvl w:val="2"/>
        <w:numId w:val="51"/>
      </w:numPr>
      <w:suppressAutoHyphens/>
      <w:spacing w:after="120" w:line="264" w:lineRule="auto"/>
      <w:outlineLvl w:val="2"/>
    </w:pPr>
    <w:rPr>
      <w:rFonts w:ascii="Calibri" w:eastAsia="Times New Roman" w:hAnsi="Calibri" w:cs="Times New Roman"/>
      <w:color w:val="000000" w:themeColor="text1"/>
      <w:szCs w:val="20"/>
      <w:lang w:eastAsia="en-AU"/>
    </w:rPr>
  </w:style>
  <w:style w:type="paragraph" w:customStyle="1" w:styleId="isubcli">
    <w:name w:val="i.sub cl (i)"/>
    <w:basedOn w:val="hsubcla"/>
    <w:uiPriority w:val="99"/>
    <w:qFormat/>
    <w:locked/>
    <w:rsid w:val="00DD7E7D"/>
    <w:pPr>
      <w:numPr>
        <w:ilvl w:val="3"/>
      </w:numPr>
      <w:tabs>
        <w:tab w:val="clear" w:pos="1778"/>
        <w:tab w:val="num" w:pos="360"/>
      </w:tabs>
      <w:ind w:left="2410" w:hanging="360"/>
    </w:pPr>
  </w:style>
  <w:style w:type="character" w:customStyle="1" w:styleId="hsubclaChar">
    <w:name w:val="h.sub cl (a) Char"/>
    <w:basedOn w:val="DefaultParagraphFont"/>
    <w:link w:val="hsubcla"/>
    <w:uiPriority w:val="99"/>
    <w:rsid w:val="00DD7E7D"/>
    <w:rPr>
      <w:rFonts w:ascii="Calibri" w:eastAsia="Times New Roman" w:hAnsi="Calibri" w:cs="Times New Roman"/>
      <w:color w:val="000000" w:themeColor="text1"/>
      <w:szCs w:val="20"/>
      <w:lang w:eastAsia="en-AU"/>
    </w:rPr>
  </w:style>
  <w:style w:type="paragraph" w:customStyle="1" w:styleId="4ClHeading">
    <w:name w:val="4.Cl Heading"/>
    <w:basedOn w:val="Normal"/>
    <w:qFormat/>
    <w:rsid w:val="00DD7E7D"/>
    <w:pPr>
      <w:keepNext/>
      <w:numPr>
        <w:numId w:val="51"/>
      </w:numPr>
      <w:suppressAutoHyphens/>
      <w:spacing w:before="240" w:after="120" w:line="264" w:lineRule="auto"/>
      <w:outlineLvl w:val="0"/>
    </w:pPr>
    <w:rPr>
      <w:rFonts w:ascii="Calibri" w:eastAsia="Times New Roman" w:hAnsi="Calibri" w:cs="Times New Roman"/>
      <w:b/>
      <w:color w:val="000000" w:themeColor="tex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ecure Site Document" ma:contentTypeID="0x0101001FFFC1AF147C4F5C9369E689092D514B00E00119CD7565E44FA9B445B59DB3659E" ma:contentTypeVersion="22" ma:contentTypeDescription="Secure Site content type template for recording metadata for documents." ma:contentTypeScope="" ma:versionID="6cbc0285489e79566cbfa152640c932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b4b2217f5987dd5e0bfb3ec7a6aa07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ESCSSIncludeInLatestUpdates"/>
                <xsd:element ref="ns1:ESCSSIncludeInNewsletter"/>
                <xsd:element ref="ns1:ESCSSContentAuthor" minOccurs="0"/>
                <xsd:element ref="ns1:ESCSSLabelA" minOccurs="0"/>
                <xsd:element ref="ns1:ESCSSBusinessOwnerContact" minOccurs="0"/>
                <xsd:element ref="ns1:ESCSSBranch" minOccurs="0"/>
                <xsd:element ref="ns1:ESCSSContentApprover" minOccurs="0"/>
                <xsd:element ref="ns1:ESCSSLabelB" minOccurs="0"/>
                <xsd:element ref="ns1:Comments"/>
                <xsd:element ref="ns1:ESCSSKeywords" minOccurs="0"/>
                <xsd:element ref="ns1:ESCSSTopic" minOccurs="0"/>
                <xsd:element ref="ns1:ESCSSWebSiteGroup"/>
                <xsd:element ref="ns1:ESCSSResourceType" minOccurs="0"/>
                <xsd:element ref="ns1:ESCSSContentStatus"/>
                <xsd:element ref="ns1:ESCSSEffectiveStartDate" minOccurs="0"/>
                <xsd:element ref="ns1:ESCSSReviewDate" minOccurs="0"/>
                <xsd:element ref="ns1:ESCSSEffectiveEndDate" minOccurs="0"/>
                <xsd:element ref="ns1:ESCSSSubject" minOccurs="0"/>
                <xsd:element ref="ns1:ESCSSReviewedOn" minOccurs="0"/>
                <xsd:element ref="ns1:ESCSSReviewedBy" minOccurs="0"/>
                <xsd:element ref="ns1:ESCSSDisplayVersionNumber" minOccurs="0"/>
                <xsd:element ref="ns1:ESCSSLabelC" minOccurs="0"/>
                <xsd:element ref="ns1:ESCSSLabelD" minOccurs="0"/>
                <xsd:element ref="ns1:ESCSSSite" minOccurs="0"/>
                <xsd:element ref="ns1:ESCSSContractType" minOccurs="0"/>
                <xsd:element ref="ns1:ESCSSContractClause" minOccurs="0"/>
                <xsd:element ref="ns1:ESCSSESC3Term" minOccurs="0"/>
                <xsd:element ref="ns1:ESCSSDocumentType" minOccurs="0"/>
                <xsd:element ref="ns1:ESCSSApprover" minOccurs="0"/>
                <xsd:element ref="ns1:ESCSSSummaryOfUp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SCSSIncludeInLatestUpdates" ma:index="0" ma:displayName="Include in &quot;Latest Updates&quot; feed" ma:default="No" ma:description="If you select &quot;yes&quot;, published content will appear in the &quot;Latest Updates&quot; feed on the Portal." ma:format="RadioButtons" ma:internalName="ESCSSIncludeInLatestUpdates" ma:readOnly="false">
      <xsd:simpleType>
        <xsd:restriction base="dms:Unknown">
          <xsd:enumeration value="Yes"/>
          <xsd:enumeration value="No"/>
        </xsd:restriction>
      </xsd:simpleType>
    </xsd:element>
    <xsd:element name="ESCSSIncludeInNewsletter" ma:index="1" ma:displayName="Include in Newsletter" ma:default="No" ma:format="RadioButtons" ma:internalName="ESCSSIncludeInNewsletter" ma:readOnly="false">
      <xsd:simpleType>
        <xsd:restriction base="dms:Unknown"/>
      </xsd:simpleType>
    </xsd:element>
    <xsd:element name="ESCSSContentAuthor" ma:index="2" nillable="true" ma:displayName="Content Author" ma:internalName="ESCSSContentAuthor" ma:readOnly="false">
      <xsd:simpleType>
        <xsd:restriction base="dms:Unknown"/>
      </xsd:simpleType>
    </xsd:element>
    <xsd:element name="ESCSSLabelA" ma:index="3" nillable="true" ma:displayName="Co-ordinator" ma:internalName="ESCSSLabelA" ma:readOnly="false">
      <xsd:simpleType>
        <xsd:restriction base="dms:Text"/>
      </xsd:simpleType>
    </xsd:element>
    <xsd:element name="ESCSSBusinessOwnerContact" ma:index="4" nillable="true" ma:displayName="Content Author Team" ma:internalName="ESCSSBusinessOwnerContact" ma:readOnly="false">
      <xsd:simpleType>
        <xsd:restriction base="dms:Text"/>
      </xsd:simpleType>
    </xsd:element>
    <xsd:element name="ESCSSBranch" ma:index="5" nillable="true" ma:displayName="Content Author Branch" ma:internalName="ESCSSBranch" ma:readOnly="false">
      <xsd:simpleType>
        <xsd:restriction base="dms:Text"/>
      </xsd:simpleType>
    </xsd:element>
    <xsd:element name="ESCSSContentApprover" ma:index="6" nillable="true" ma:displayName="Content Approver" ma:internalName="ESCSSContentApprover" ma:readOnly="false">
      <xsd:simpleType>
        <xsd:restriction base="dms:Unknown"/>
      </xsd:simpleType>
    </xsd:element>
    <xsd:element name="ESCSSLabelB" ma:index="7" nillable="true" ma:displayName="Document ID" ma:internalName="ESCSSLabelB" ma:readOnly="false">
      <xsd:simpleType>
        <xsd:restriction base="dms:Text"/>
      </xsd:simpleType>
    </xsd:element>
    <xsd:element name="Comments" ma:index="10" ma:displayName="Description" ma:internalName="Comments" ma:readOnly="false">
      <xsd:simpleType>
        <xsd:restriction base="dms:Note">
          <xsd:maxLength value="255"/>
        </xsd:restriction>
      </xsd:simpleType>
    </xsd:element>
    <xsd:element name="ESCSSKeywords" ma:index="11" nillable="true" ma:displayName="Keywords" ma:internalName="ESCSSKeywords" ma:readOnly="false">
      <xsd:simpleType>
        <xsd:restriction base="dms:Note"/>
      </xsd:simpleType>
    </xsd:element>
    <xsd:element name="ESCSSTopic" ma:index="12" nillable="true" ma:displayName="Topic" ma:internalName="ESCSSTopic" ma:readOnly="false">
      <xsd:simpleType>
        <xsd:restriction base="dms:Unknown"/>
      </xsd:simpleType>
    </xsd:element>
    <xsd:element name="ESCSSWebSiteGroup" ma:index="13" ma:displayName="Display in Site" ma:internalName="ESCSSWebSiteGroup" ma:readOnly="false">
      <xsd:simpleType>
        <xsd:restriction base="dms:Unknown"/>
      </xsd:simpleType>
    </xsd:element>
    <xsd:element name="ESCSSResourceType" ma:index="14" nillable="true" ma:displayName="Resource Type" ma:internalName="ESCSSResourceType" ma:readOnly="false">
      <xsd:simpleType>
        <xsd:restriction base="dms:Unknown"/>
      </xsd:simpleType>
    </xsd:element>
    <xsd:element name="ESCSSContentStatus" ma:index="15" ma:displayName="Status" ma:default="Current" ma:internalName="ESCSSContentStatus" ma:readOnly="false">
      <xsd:simpleType>
        <xsd:restriction base="dms:Choice">
          <xsd:enumeration value="Current"/>
          <xsd:enumeration value="Archived"/>
        </xsd:restriction>
      </xsd:simpleType>
    </xsd:element>
    <xsd:element name="ESCSSEffectiveStartDate" ma:index="16" nillable="true" ma:displayName="Effective Start Date (dd/mm/yyyy)" ma:format="DateOnly" ma:internalName="ESCSSEffectiveStartDate" ma:readOnly="false">
      <xsd:simpleType>
        <xsd:restriction base="dms:Unknown"/>
      </xsd:simpleType>
    </xsd:element>
    <xsd:element name="ESCSSReviewDate" ma:index="17" nillable="true" ma:displayName="Review Date (dd/mm/yyyy)" ma:format="DateOnly" ma:internalName="ESCSSReviewDate" ma:readOnly="false">
      <xsd:simpleType>
        <xsd:restriction base="dms:Unknown"/>
      </xsd:simpleType>
    </xsd:element>
    <xsd:element name="ESCSSEffectiveEndDate" ma:index="18" nillable="true" ma:displayName="Effective End Date (dd/mm/yyyy)" ma:format="DateOnly" ma:internalName="ESCSSEffectiveEndDate" ma:readOnly="false">
      <xsd:simpleType>
        <xsd:restriction base="dms:Unknown"/>
      </xsd:simpleType>
    </xsd:element>
    <xsd:element name="ESCSSSubject" ma:index="19" nillable="true" ma:displayName="Publishing Reference" ma:internalName="ESCSSSubject" ma:readOnly="false">
      <xsd:simpleType>
        <xsd:restriction base="dms:Text"/>
      </xsd:simpleType>
    </xsd:element>
    <xsd:element name="ESCSSReviewedOn" ma:index="20" nillable="true" ma:displayName="Reviewed On (dd/mm/yyyy)" ma:format="DateOnly" ma:internalName="ESCSSReviewedOn" ma:readOnly="false">
      <xsd:simpleType>
        <xsd:restriction base="dms:DateTime"/>
      </xsd:simpleType>
    </xsd:element>
    <xsd:element name="ESCSSReviewedBy" ma:index="21" nillable="true" ma:displayName="Reviewed By" ma:internalName="ESCSSReviewedBy" ma:readOnly="false">
      <xsd:simpleType>
        <xsd:restriction base="dms:Text"/>
      </xsd:simpleType>
    </xsd:element>
    <xsd:element name="ESCSSDisplayVersionNumber" ma:index="22" nillable="true" ma:displayName="Display Version Number" ma:internalName="ESCSSDisplayVersionNumber" ma:readOnly="false">
      <xsd:simpleType>
        <xsd:restriction base="dms:Text"/>
      </xsd:simpleType>
    </xsd:element>
    <xsd:element name="ESCSSLabelC" ma:index="23" nillable="true" ma:displayName="Label C" ma:internalName="ESCSSLabelC" ma:readOnly="false">
      <xsd:simpleType>
        <xsd:restriction base="dms:Text"/>
      </xsd:simpleType>
    </xsd:element>
    <xsd:element name="ESCSSLabelD" ma:index="24" nillable="true" ma:displayName="Label D" ma:internalName="ESCSSLabelD" ma:readOnly="false">
      <xsd:simpleType>
        <xsd:restriction base="dms:Text"/>
      </xsd:simpleType>
    </xsd:element>
    <xsd:element name="ESCSSSite" ma:index="25" nillable="true" ma:displayName="Site" ma:internalName="ESCSSSite" ma:readOnly="false">
      <xsd:simpleType>
        <xsd:restriction base="dms:Text"/>
      </xsd:simpleType>
    </xsd:element>
    <xsd:element name="ESCSSContractType" ma:index="26" nillable="true" ma:displayName="Contract Type" ma:internalName="ESCSSContractType" ma:readOnly="false">
      <xsd:simpleType>
        <xsd:restriction base="dms:Text"/>
      </xsd:simpleType>
    </xsd:element>
    <xsd:element name="ESCSSContractClause" ma:index="27" nillable="true" ma:displayName="Contract Clause" ma:internalName="ESCSSContractClause" ma:readOnly="false">
      <xsd:simpleType>
        <xsd:restriction base="dms:Text"/>
      </xsd:simpleType>
    </xsd:element>
    <xsd:element name="ESCSSESC3Term" ma:index="28" nillable="true" ma:displayName="ESC3 Term" ma:internalName="ESCSSESC3Term" ma:readOnly="false">
      <xsd:simpleType>
        <xsd:restriction base="dms:Text"/>
      </xsd:simpleType>
    </xsd:element>
    <xsd:element name="ESCSSDocumentType" ma:index="29" nillable="true" ma:displayName="Document Type" ma:internalName="ESCSSDocumentType" ma:readOnly="false">
      <xsd:simpleType>
        <xsd:restriction base="dms:Text"/>
      </xsd:simpleType>
    </xsd:element>
    <xsd:element name="ESCSSApprover" ma:index="30" nillable="true" ma:displayName="Approver" ma:internalName="ESCSSApprover" ma:readOnly="false">
      <xsd:simpleType>
        <xsd:restriction base="dms:Text"/>
      </xsd:simpleType>
    </xsd:element>
    <xsd:element name="ESCSSSummaryOfUpdate" ma:index="31" nillable="true" ma:displayName="Summary of Update" ma:internalName="ESCSSSummaryOfUpdate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6" ma:displayName="Content Type"/>
        <xsd:element ref="dc:title" maxOccurs="1" ma:index="8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CSSLabelD xmlns="http://schemas.microsoft.com/sharepoint/v3" xsi:nil="true"/>
    <ESCSSIncludeInNewsletter xmlns="http://schemas.microsoft.com/sharepoint/v3">No</ESCSSIncludeInNewsletter>
    <ESCSSKeywords xmlns="http://schemas.microsoft.com/sharepoint/v3">Stronger; Transitions; NEST; Enhanced; Services;</ESCSSKeywords>
    <ESCSSReviewDate xmlns="http://schemas.microsoft.com/sharepoint/v3" xsi:nil="true"/>
    <ESCSSReviewedBy xmlns="http://schemas.microsoft.com/sharepoint/v3" xsi:nil="true"/>
    <ESCSSSite xmlns="http://schemas.microsoft.com/sharepoint/v3" xsi:nil="true"/>
    <ESCSSContentAuthor xmlns="http://schemas.microsoft.com/sharepoint/v3">1826;#KIRK,Janine</ESCSSContentAuthor>
    <ESCSSDocumentType xmlns="http://schemas.microsoft.com/sharepoint/v3" xsi:nil="true"/>
    <ESCSSDisplayVersionNumber xmlns="http://schemas.microsoft.com/sharepoint/v3" xsi:nil="true"/>
    <ESCSSContractType xmlns="http://schemas.microsoft.com/sharepoint/v3" xsi:nil="true"/>
    <ESCSSResourceType xmlns="http://schemas.microsoft.com/sharepoint/v3">22;#Alt Version</ESCSSResourceType>
    <ESCSSEffectiveEndDate xmlns="http://schemas.microsoft.com/sharepoint/v3" xsi:nil="true"/>
    <ESCSSSubject xmlns="http://schemas.microsoft.com/sharepoint/v3">20190829-14031069028 </ESCSSSubject>
    <ESCSSEffectiveStartDate xmlns="http://schemas.microsoft.com/sharepoint/v3">2019-11-03T13:00:00+00:00</ESCSSEffectiveStartDate>
    <ESCSSContentApprover xmlns="http://schemas.microsoft.com/sharepoint/v3">107;#BROWN,Deborah</ESCSSContentApprover>
    <ESCSSTopic xmlns="http://schemas.microsoft.com/sharepoint/v3">498;#NEST</ESCSSTopic>
    <ESCSSContentStatus xmlns="http://schemas.microsoft.com/sharepoint/v3">Current</ESCSSContentStatus>
    <ESCSSContractClause xmlns="http://schemas.microsoft.com/sharepoint/v3" xsi:nil="true"/>
    <ESCSSApprover xmlns="http://schemas.microsoft.com/sharepoint/v3">mh0841@idcprod</ESCSSApprover>
    <ESCSSReviewedOn xmlns="http://schemas.microsoft.com/sharepoint/v3" xsi:nil="true"/>
    <ESCSSBranch xmlns="http://schemas.microsoft.com/sharepoint/v3">Enhanced Services Branch</ESCSSBranch>
    <ESCSSIncludeInLatestUpdates xmlns="http://schemas.microsoft.com/sharepoint/v3">No</ESCSSIncludeInLatestUpdates>
    <ESCSSLabelA xmlns="http://schemas.microsoft.com/sharepoint/v3" xsi:nil="true"/>
    <ESCSSBusinessOwnerContact xmlns="http://schemas.microsoft.com/sharepoint/v3">Trial Stakeholder and Project Management</ESCSSBusinessOwnerContact>
    <ESCSSESC3Term xmlns="http://schemas.microsoft.com/sharepoint/v3" xsi:nil="true"/>
    <ESCSSSummaryOfUpdate xmlns="http://schemas.microsoft.com/sharepoint/v3">New NEST Guideline</ESCSSSummaryOfUpdate>
    <ESCSSLabelC xmlns="http://schemas.microsoft.com/sharepoint/v3" xsi:nil="true"/>
    <ESCSSLabelB xmlns="http://schemas.microsoft.com/sharepoint/v3">Clean - D19/1862724 </ESCSSLabelB>
    <Comments xmlns="http://schemas.microsoft.com/sharepoint/v3">This Guideline details the core elements and requirements for Trial Providers in managing and servicing retrenched workers who are eligible for post-retrenchment support under Stronger Transitions. </Comments>
    <ESCSSWebSiteGroup xmlns="http://schemas.microsoft.com/sharepoint/v3">;#NEST;#</ESCSSWebSiteGroup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5BB1C-AD43-4D31-ACB3-753B724BA4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87ACB1-5E73-4766-9599-CF176FE01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13828B-1151-45B3-BA21-A8D72C00830E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1F816FD-23DF-4B65-8184-84D7A3B2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328DE97E.dotm</Template>
  <TotalTime>0</TotalTime>
  <Pages>11</Pages>
  <Words>3057</Words>
  <Characters>17431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Employment Services Trial Stronger Transitions Guideline V1.0</vt:lpstr>
    </vt:vector>
  </TitlesOfParts>
  <Company/>
  <LinksUpToDate>false</LinksUpToDate>
  <CharactersWithSpaces>20448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Employment Services Trial Stronger Transitions Guideline V1.0</dc:title>
  <dc:subject/>
  <dc:creator/>
  <cp:keywords/>
  <dc:description/>
  <cp:lastModifiedBy/>
  <cp:revision>1</cp:revision>
  <dcterms:created xsi:type="dcterms:W3CDTF">2019-11-13T02:27:00Z</dcterms:created>
  <dcterms:modified xsi:type="dcterms:W3CDTF">2019-11-13T04:23:00Z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0x0101001FFFC1AF147C4F5C9369E689092D514B00E00119CD7565E44FA9B445B59DB3659E</vt:lpwstr>
  </property>
</Properties>
</file>