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A11BD" w14:textId="77777777" w:rsidR="00A75541" w:rsidRDefault="00E02653" w:rsidP="00B226B0">
      <w:pPr>
        <w:jc w:val="center"/>
      </w:pPr>
      <w:r w:rsidRPr="00B226B0">
        <w:rPr>
          <w:noProof/>
        </w:rPr>
        <w:drawing>
          <wp:inline distT="0" distB="0" distL="0" distR="0" wp14:anchorId="4F0255B4" wp14:editId="279EAC4A">
            <wp:extent cx="2465705" cy="1371600"/>
            <wp:effectExtent l="0" t="0" r="0" b="0"/>
            <wp:docPr id="5" name="Picture 5" descr="Australian Government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ustralian Government Crest"/>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65705" cy="1371600"/>
                    </a:xfrm>
                    <a:prstGeom prst="rect">
                      <a:avLst/>
                    </a:prstGeom>
                    <a:noFill/>
                    <a:ln>
                      <a:noFill/>
                    </a:ln>
                  </pic:spPr>
                </pic:pic>
              </a:graphicData>
            </a:graphic>
          </wp:inline>
        </w:drawing>
      </w:r>
    </w:p>
    <w:p w14:paraId="7F12214A" w14:textId="07B2FC88" w:rsidR="00E02653" w:rsidRDefault="49385824" w:rsidP="00C25DB7">
      <w:pPr>
        <w:pStyle w:val="Heading1"/>
      </w:pPr>
      <w:bookmarkStart w:id="0" w:name="_Toc163829972"/>
      <w:bookmarkStart w:id="1" w:name="_Toc165459748"/>
      <w:bookmarkStart w:id="2" w:name="_Toc165459773"/>
      <w:bookmarkStart w:id="3" w:name="_Toc168575610"/>
      <w:bookmarkStart w:id="4" w:name="_Toc169163143"/>
      <w:bookmarkStart w:id="5" w:name="_Toc169877574"/>
      <w:bookmarkStart w:id="6" w:name="_Toc170224166"/>
      <w:r>
        <w:t>Australian Government response to the</w:t>
      </w:r>
      <w:r w:rsidR="00E02653">
        <w:br/>
      </w:r>
      <w:r w:rsidR="3585224F">
        <w:t>Senate Select Committee on Work and Care Reports</w:t>
      </w:r>
      <w:r w:rsidR="33418394">
        <w:t>:</w:t>
      </w:r>
      <w:bookmarkEnd w:id="0"/>
      <w:bookmarkEnd w:id="1"/>
      <w:bookmarkEnd w:id="2"/>
      <w:bookmarkEnd w:id="3"/>
      <w:bookmarkEnd w:id="4"/>
      <w:bookmarkEnd w:id="5"/>
      <w:bookmarkEnd w:id="6"/>
    </w:p>
    <w:p w14:paraId="75A690DD" w14:textId="77777777" w:rsidR="003947FF" w:rsidRPr="003947FF" w:rsidRDefault="003947FF" w:rsidP="00C25DB7"/>
    <w:p w14:paraId="347A8437" w14:textId="77777777" w:rsidR="00521279" w:rsidRDefault="00521279" w:rsidP="00521279">
      <w:pPr>
        <w:jc w:val="center"/>
        <w:rPr>
          <w:sz w:val="36"/>
          <w:szCs w:val="36"/>
        </w:rPr>
      </w:pPr>
    </w:p>
    <w:p w14:paraId="34C743B2" w14:textId="06779422" w:rsidR="00A75541" w:rsidRPr="00521279" w:rsidRDefault="00E02653" w:rsidP="00521279">
      <w:pPr>
        <w:jc w:val="center"/>
        <w:rPr>
          <w:sz w:val="36"/>
          <w:szCs w:val="36"/>
        </w:rPr>
      </w:pPr>
      <w:r w:rsidRPr="00521279">
        <w:rPr>
          <w:sz w:val="36"/>
          <w:szCs w:val="36"/>
        </w:rPr>
        <w:t>Final Report (</w:t>
      </w:r>
      <w:r w:rsidR="3D2CDB5B" w:rsidRPr="00521279">
        <w:rPr>
          <w:sz w:val="36"/>
          <w:szCs w:val="36"/>
        </w:rPr>
        <w:t>9 March 2023</w:t>
      </w:r>
      <w:r w:rsidRPr="00521279">
        <w:rPr>
          <w:sz w:val="36"/>
          <w:szCs w:val="36"/>
        </w:rPr>
        <w:t>)</w:t>
      </w:r>
    </w:p>
    <w:p w14:paraId="33A81D0C" w14:textId="77777777" w:rsidR="003947FF" w:rsidRPr="00521279" w:rsidRDefault="003947FF" w:rsidP="00521279">
      <w:pPr>
        <w:jc w:val="center"/>
        <w:rPr>
          <w:sz w:val="36"/>
          <w:szCs w:val="36"/>
        </w:rPr>
      </w:pPr>
    </w:p>
    <w:p w14:paraId="7D9BEBCA" w14:textId="77777777" w:rsidR="00572361" w:rsidRDefault="0014057A" w:rsidP="00521279">
      <w:pPr>
        <w:jc w:val="center"/>
        <w:rPr>
          <w:sz w:val="36"/>
          <w:szCs w:val="36"/>
        </w:rPr>
      </w:pPr>
      <w:r w:rsidRPr="00521279">
        <w:rPr>
          <w:sz w:val="36"/>
          <w:szCs w:val="36"/>
        </w:rPr>
        <w:t>Interim Report (</w:t>
      </w:r>
      <w:r w:rsidR="007EB4E4" w:rsidRPr="00521279">
        <w:rPr>
          <w:sz w:val="36"/>
          <w:szCs w:val="36"/>
        </w:rPr>
        <w:t>18 October 2022</w:t>
      </w:r>
      <w:r w:rsidRPr="00521279">
        <w:rPr>
          <w:sz w:val="36"/>
          <w:szCs w:val="36"/>
        </w:rPr>
        <w:t>)</w:t>
      </w:r>
    </w:p>
    <w:p w14:paraId="2121B268" w14:textId="77777777" w:rsidR="00916557" w:rsidRDefault="00916557" w:rsidP="00521279">
      <w:pPr>
        <w:jc w:val="center"/>
        <w:rPr>
          <w:sz w:val="36"/>
          <w:szCs w:val="36"/>
        </w:rPr>
      </w:pPr>
    </w:p>
    <w:p w14:paraId="557155F4" w14:textId="77777777" w:rsidR="00EE097F" w:rsidRDefault="00EE097F" w:rsidP="005D3DA5">
      <w:pPr>
        <w:jc w:val="center"/>
        <w:rPr>
          <w:color w:val="7030A0"/>
          <w:sz w:val="36"/>
          <w:szCs w:val="36"/>
          <w:highlight w:val="yellow"/>
        </w:rPr>
      </w:pPr>
    </w:p>
    <w:p w14:paraId="4663D686" w14:textId="77777777" w:rsidR="007B1C77" w:rsidRPr="00B054A4" w:rsidRDefault="007B1C77" w:rsidP="005D3DA5">
      <w:pPr>
        <w:jc w:val="center"/>
        <w:rPr>
          <w:color w:val="7030A0"/>
          <w:sz w:val="36"/>
          <w:szCs w:val="36"/>
          <w:highlight w:val="yellow"/>
        </w:rPr>
      </w:pPr>
    </w:p>
    <w:p w14:paraId="02688D09" w14:textId="7FF74A9D" w:rsidR="001261CD" w:rsidRDefault="001261CD" w:rsidP="00521279">
      <w:pPr>
        <w:jc w:val="right"/>
      </w:pPr>
    </w:p>
    <w:p w14:paraId="387EBFE3" w14:textId="77777777" w:rsidR="00CA1C02" w:rsidRDefault="00CA1C02" w:rsidP="00521279">
      <w:pPr>
        <w:jc w:val="right"/>
      </w:pPr>
    </w:p>
    <w:p w14:paraId="309CBD95" w14:textId="77777777" w:rsidR="00CA1C02" w:rsidRDefault="00CA1C02" w:rsidP="00521279">
      <w:pPr>
        <w:jc w:val="right"/>
      </w:pPr>
    </w:p>
    <w:p w14:paraId="3A0C8DF8" w14:textId="77777777" w:rsidR="00CA1C02" w:rsidRDefault="00CA1C02" w:rsidP="00521279">
      <w:pPr>
        <w:jc w:val="right"/>
      </w:pPr>
    </w:p>
    <w:p w14:paraId="4AA0668F" w14:textId="77777777" w:rsidR="00CA1C02" w:rsidRDefault="00CA1C02" w:rsidP="00521279">
      <w:pPr>
        <w:jc w:val="right"/>
      </w:pPr>
    </w:p>
    <w:p w14:paraId="4CF659A7" w14:textId="21DA4CBD" w:rsidR="001261CD" w:rsidRDefault="001261CD" w:rsidP="00521279">
      <w:pPr>
        <w:jc w:val="right"/>
      </w:pPr>
    </w:p>
    <w:p w14:paraId="4EBEA5CF" w14:textId="02EBC40E" w:rsidR="001261CD" w:rsidRDefault="001261CD" w:rsidP="00521279">
      <w:pPr>
        <w:jc w:val="right"/>
      </w:pPr>
    </w:p>
    <w:p w14:paraId="1475FBBE" w14:textId="77777777" w:rsidR="00E22D5E" w:rsidRDefault="00E22D5E" w:rsidP="00521279">
      <w:pPr>
        <w:jc w:val="right"/>
      </w:pPr>
    </w:p>
    <w:p w14:paraId="0F6B7B26" w14:textId="77777777" w:rsidR="00E22D5E" w:rsidRDefault="00E22D5E" w:rsidP="00521279">
      <w:pPr>
        <w:jc w:val="right"/>
      </w:pPr>
    </w:p>
    <w:p w14:paraId="7FDC125A" w14:textId="77777777" w:rsidR="001261CD" w:rsidRDefault="001261CD" w:rsidP="00521279">
      <w:pPr>
        <w:jc w:val="right"/>
      </w:pPr>
    </w:p>
    <w:p w14:paraId="3339D84F" w14:textId="77777777" w:rsidR="001B39E2" w:rsidRDefault="001B39E2" w:rsidP="00521279">
      <w:pPr>
        <w:jc w:val="right"/>
      </w:pPr>
    </w:p>
    <w:p w14:paraId="55B7B06F" w14:textId="77777777" w:rsidR="001B39E2" w:rsidRPr="00DC12B5" w:rsidRDefault="001B39E2" w:rsidP="00521279">
      <w:pPr>
        <w:jc w:val="right"/>
      </w:pPr>
    </w:p>
    <w:p w14:paraId="7742FEA7" w14:textId="77777777" w:rsidR="001B39E2" w:rsidRPr="00DC12B5" w:rsidRDefault="001B39E2" w:rsidP="00521279">
      <w:pPr>
        <w:jc w:val="right"/>
      </w:pPr>
    </w:p>
    <w:p w14:paraId="3A74C5BD" w14:textId="77777777" w:rsidR="001B39E2" w:rsidRPr="00DC12B5" w:rsidRDefault="001B39E2" w:rsidP="00521279">
      <w:pPr>
        <w:jc w:val="right"/>
      </w:pPr>
    </w:p>
    <w:p w14:paraId="45D45A78" w14:textId="77777777" w:rsidR="001B39E2" w:rsidRPr="00DC12B5" w:rsidRDefault="001B39E2" w:rsidP="00521279">
      <w:pPr>
        <w:jc w:val="right"/>
      </w:pPr>
    </w:p>
    <w:p w14:paraId="698B8018" w14:textId="77777777" w:rsidR="00DC12B5" w:rsidRPr="00DC12B5" w:rsidRDefault="00DC12B5" w:rsidP="00521279">
      <w:pPr>
        <w:jc w:val="right"/>
      </w:pPr>
    </w:p>
    <w:p w14:paraId="38A2B557" w14:textId="77777777" w:rsidR="00DC12B5" w:rsidRPr="00DC12B5" w:rsidRDefault="00DC12B5" w:rsidP="00521279">
      <w:pPr>
        <w:jc w:val="right"/>
      </w:pPr>
    </w:p>
    <w:p w14:paraId="0A781012" w14:textId="77777777" w:rsidR="00DC12B5" w:rsidRPr="00DC12B5" w:rsidRDefault="00DC12B5" w:rsidP="00521279">
      <w:pPr>
        <w:jc w:val="right"/>
      </w:pPr>
    </w:p>
    <w:p w14:paraId="4E24335D" w14:textId="77777777" w:rsidR="00DC12B5" w:rsidRPr="00DC12B5" w:rsidRDefault="00DC12B5" w:rsidP="00521279">
      <w:pPr>
        <w:jc w:val="right"/>
      </w:pPr>
    </w:p>
    <w:p w14:paraId="5B63CC06" w14:textId="77777777" w:rsidR="00DC12B5" w:rsidRPr="00DC12B5" w:rsidRDefault="00DC12B5" w:rsidP="00521279">
      <w:pPr>
        <w:jc w:val="right"/>
      </w:pPr>
    </w:p>
    <w:p w14:paraId="7B1634BF" w14:textId="77777777" w:rsidR="00DC12B5" w:rsidRDefault="00DC12B5" w:rsidP="00521279">
      <w:pPr>
        <w:jc w:val="right"/>
      </w:pPr>
    </w:p>
    <w:p w14:paraId="6FC91886" w14:textId="77777777" w:rsidR="001B39E2" w:rsidRDefault="001B39E2" w:rsidP="00521279">
      <w:pPr>
        <w:jc w:val="right"/>
      </w:pPr>
    </w:p>
    <w:p w14:paraId="18D21D6A" w14:textId="77777777" w:rsidR="001261CD" w:rsidRDefault="001261CD" w:rsidP="00521279">
      <w:pPr>
        <w:jc w:val="right"/>
      </w:pPr>
    </w:p>
    <w:p w14:paraId="13EA7438" w14:textId="55193D96" w:rsidR="00C02FF7" w:rsidRDefault="00D8738D" w:rsidP="006A4C6F">
      <w:pPr>
        <w:jc w:val="right"/>
        <w:rPr>
          <w:rFonts w:eastAsiaTheme="minorEastAsia"/>
          <w:sz w:val="22"/>
          <w:szCs w:val="22"/>
          <w:highlight w:val="cyan"/>
        </w:rPr>
      </w:pPr>
      <w:r w:rsidRPr="006B76B9">
        <w:t xml:space="preserve">June </w:t>
      </w:r>
      <w:r w:rsidR="34E771EE" w:rsidRPr="006B76B9">
        <w:t>202</w:t>
      </w:r>
      <w:r w:rsidRPr="006B76B9">
        <w:t>4</w:t>
      </w:r>
      <w:r w:rsidR="00E02653" w:rsidRPr="00567E23">
        <w:br w:type="page"/>
      </w:r>
    </w:p>
    <w:p w14:paraId="6201A31C" w14:textId="77777777" w:rsidR="0053024F" w:rsidRPr="00EE691E" w:rsidRDefault="63360FA2" w:rsidP="00EE691E">
      <w:pPr>
        <w:pStyle w:val="Heading2"/>
      </w:pPr>
      <w:bookmarkStart w:id="7" w:name="_Toc163818439"/>
      <w:bookmarkStart w:id="8" w:name="_Toc163829973"/>
      <w:bookmarkStart w:id="9" w:name="_Toc165459749"/>
      <w:bookmarkStart w:id="10" w:name="_Toc165459774"/>
      <w:bookmarkStart w:id="11" w:name="_Toc168575611"/>
      <w:bookmarkStart w:id="12" w:name="_Toc169163144"/>
      <w:bookmarkStart w:id="13" w:name="_Toc169877575"/>
      <w:bookmarkStart w:id="14" w:name="_Toc170224167"/>
      <w:r w:rsidRPr="007B1C77">
        <w:lastRenderedPageBreak/>
        <w:t>Table of Contents</w:t>
      </w:r>
      <w:bookmarkEnd w:id="7"/>
      <w:bookmarkEnd w:id="8"/>
      <w:bookmarkEnd w:id="9"/>
      <w:bookmarkEnd w:id="10"/>
      <w:bookmarkEnd w:id="11"/>
      <w:bookmarkEnd w:id="12"/>
      <w:bookmarkEnd w:id="13"/>
      <w:bookmarkEnd w:id="14"/>
    </w:p>
    <w:sdt>
      <w:sdtPr>
        <w:id w:val="1253988518"/>
        <w:docPartObj>
          <w:docPartGallery w:val="Table of Contents"/>
          <w:docPartUnique/>
        </w:docPartObj>
      </w:sdtPr>
      <w:sdtEndPr/>
      <w:sdtContent>
        <w:p w14:paraId="385B5E34" w14:textId="51A25703" w:rsidR="007B1C77" w:rsidRDefault="609986F8" w:rsidP="007B1C77">
          <w:pPr>
            <w:pStyle w:val="TOC1"/>
            <w:rPr>
              <w:rFonts w:eastAsiaTheme="minorEastAsia"/>
              <w:noProof/>
              <w:kern w:val="2"/>
              <w:lang w:eastAsia="en-AU"/>
              <w14:ligatures w14:val="standardContextual"/>
            </w:rPr>
          </w:pPr>
          <w:r w:rsidRPr="00EE691E">
            <w:fldChar w:fldCharType="begin"/>
          </w:r>
          <w:r w:rsidR="00460810" w:rsidRPr="00EE691E">
            <w:instrText>TOC \o "1-3" \h \z \u</w:instrText>
          </w:r>
          <w:r w:rsidRPr="00EE691E">
            <w:fldChar w:fldCharType="separate"/>
          </w:r>
        </w:p>
        <w:p w14:paraId="2439B1A1" w14:textId="53425DC5" w:rsidR="007B1C77" w:rsidRDefault="0060058C">
          <w:pPr>
            <w:pStyle w:val="TOC2"/>
            <w:rPr>
              <w:rFonts w:eastAsiaTheme="minorEastAsia"/>
              <w:noProof/>
              <w:kern w:val="2"/>
              <w:lang w:eastAsia="en-AU"/>
              <w14:ligatures w14:val="standardContextual"/>
            </w:rPr>
          </w:pPr>
          <w:hyperlink w:anchor="_Toc170224168" w:history="1">
            <w:r w:rsidR="007B1C77" w:rsidRPr="00797628">
              <w:rPr>
                <w:rStyle w:val="Hyperlink"/>
                <w:noProof/>
              </w:rPr>
              <w:t>Overview of the Inquiry</w:t>
            </w:r>
            <w:r w:rsidR="007B1C77">
              <w:rPr>
                <w:noProof/>
                <w:webHidden/>
              </w:rPr>
              <w:tab/>
            </w:r>
            <w:r w:rsidR="007B1C77">
              <w:rPr>
                <w:noProof/>
                <w:webHidden/>
              </w:rPr>
              <w:fldChar w:fldCharType="begin"/>
            </w:r>
            <w:r w:rsidR="007B1C77">
              <w:rPr>
                <w:noProof/>
                <w:webHidden/>
              </w:rPr>
              <w:instrText xml:space="preserve"> PAGEREF _Toc170224168 \h </w:instrText>
            </w:r>
            <w:r w:rsidR="007B1C77">
              <w:rPr>
                <w:noProof/>
                <w:webHidden/>
              </w:rPr>
            </w:r>
            <w:r w:rsidR="007B1C77">
              <w:rPr>
                <w:noProof/>
                <w:webHidden/>
              </w:rPr>
              <w:fldChar w:fldCharType="separate"/>
            </w:r>
            <w:r w:rsidR="00B75F8E">
              <w:rPr>
                <w:noProof/>
                <w:webHidden/>
              </w:rPr>
              <w:t>3</w:t>
            </w:r>
            <w:r w:rsidR="007B1C77">
              <w:rPr>
                <w:noProof/>
                <w:webHidden/>
              </w:rPr>
              <w:fldChar w:fldCharType="end"/>
            </w:r>
          </w:hyperlink>
        </w:p>
        <w:p w14:paraId="546044EE" w14:textId="7315CB98" w:rsidR="007B1C77" w:rsidRDefault="0060058C">
          <w:pPr>
            <w:pStyle w:val="TOC2"/>
            <w:rPr>
              <w:rFonts w:eastAsiaTheme="minorEastAsia"/>
              <w:noProof/>
              <w:kern w:val="2"/>
              <w:lang w:eastAsia="en-AU"/>
              <w14:ligatures w14:val="standardContextual"/>
            </w:rPr>
          </w:pPr>
          <w:hyperlink w:anchor="_Toc170224169" w:history="1">
            <w:r w:rsidR="007B1C77" w:rsidRPr="00797628">
              <w:rPr>
                <w:rStyle w:val="Hyperlink"/>
                <w:noProof/>
              </w:rPr>
              <w:t>Overview of the Government Response</w:t>
            </w:r>
            <w:r w:rsidR="007B1C77">
              <w:rPr>
                <w:noProof/>
                <w:webHidden/>
              </w:rPr>
              <w:tab/>
            </w:r>
            <w:r w:rsidR="007B1C77">
              <w:rPr>
                <w:noProof/>
                <w:webHidden/>
              </w:rPr>
              <w:fldChar w:fldCharType="begin"/>
            </w:r>
            <w:r w:rsidR="007B1C77">
              <w:rPr>
                <w:noProof/>
                <w:webHidden/>
              </w:rPr>
              <w:instrText xml:space="preserve"> PAGEREF _Toc170224169 \h </w:instrText>
            </w:r>
            <w:r w:rsidR="007B1C77">
              <w:rPr>
                <w:noProof/>
                <w:webHidden/>
              </w:rPr>
            </w:r>
            <w:r w:rsidR="007B1C77">
              <w:rPr>
                <w:noProof/>
                <w:webHidden/>
              </w:rPr>
              <w:fldChar w:fldCharType="separate"/>
            </w:r>
            <w:r w:rsidR="00B75F8E">
              <w:rPr>
                <w:noProof/>
                <w:webHidden/>
              </w:rPr>
              <w:t>3</w:t>
            </w:r>
            <w:r w:rsidR="007B1C77">
              <w:rPr>
                <w:noProof/>
                <w:webHidden/>
              </w:rPr>
              <w:fldChar w:fldCharType="end"/>
            </w:r>
          </w:hyperlink>
        </w:p>
        <w:p w14:paraId="0C413754" w14:textId="2E6DF14F" w:rsidR="007B1C77" w:rsidRDefault="0060058C">
          <w:pPr>
            <w:pStyle w:val="TOC2"/>
            <w:rPr>
              <w:rFonts w:eastAsiaTheme="minorEastAsia"/>
              <w:noProof/>
              <w:kern w:val="2"/>
              <w:lang w:eastAsia="en-AU"/>
              <w14:ligatures w14:val="standardContextual"/>
            </w:rPr>
          </w:pPr>
          <w:hyperlink w:anchor="_Toc170224170" w:history="1">
            <w:r w:rsidR="007B1C77" w:rsidRPr="00797628">
              <w:rPr>
                <w:rStyle w:val="Hyperlink"/>
                <w:noProof/>
              </w:rPr>
              <w:t>1 A Strategic and Integrated Approach</w:t>
            </w:r>
            <w:r w:rsidR="007B1C77">
              <w:rPr>
                <w:noProof/>
                <w:webHidden/>
              </w:rPr>
              <w:tab/>
            </w:r>
            <w:r w:rsidR="007B1C77">
              <w:rPr>
                <w:noProof/>
                <w:webHidden/>
              </w:rPr>
              <w:fldChar w:fldCharType="begin"/>
            </w:r>
            <w:r w:rsidR="007B1C77">
              <w:rPr>
                <w:noProof/>
                <w:webHidden/>
              </w:rPr>
              <w:instrText xml:space="preserve"> PAGEREF _Toc170224170 \h </w:instrText>
            </w:r>
            <w:r w:rsidR="007B1C77">
              <w:rPr>
                <w:noProof/>
                <w:webHidden/>
              </w:rPr>
            </w:r>
            <w:r w:rsidR="007B1C77">
              <w:rPr>
                <w:noProof/>
                <w:webHidden/>
              </w:rPr>
              <w:fldChar w:fldCharType="separate"/>
            </w:r>
            <w:r w:rsidR="00B75F8E">
              <w:rPr>
                <w:noProof/>
                <w:webHidden/>
              </w:rPr>
              <w:t>6</w:t>
            </w:r>
            <w:r w:rsidR="007B1C77">
              <w:rPr>
                <w:noProof/>
                <w:webHidden/>
              </w:rPr>
              <w:fldChar w:fldCharType="end"/>
            </w:r>
          </w:hyperlink>
        </w:p>
        <w:p w14:paraId="3CF45554" w14:textId="0C1101F4" w:rsidR="007B1C77" w:rsidRDefault="0060058C">
          <w:pPr>
            <w:pStyle w:val="TOC3"/>
            <w:rPr>
              <w:rFonts w:eastAsiaTheme="minorEastAsia"/>
              <w:noProof/>
              <w:kern w:val="2"/>
              <w:lang w:eastAsia="en-AU"/>
              <w14:ligatures w14:val="standardContextual"/>
            </w:rPr>
          </w:pPr>
          <w:hyperlink w:anchor="_Toc170224171" w:history="1">
            <w:r w:rsidR="007B1C77" w:rsidRPr="00797628">
              <w:rPr>
                <w:rStyle w:val="Hyperlink"/>
                <w:noProof/>
              </w:rPr>
              <w:t>1.1 The Care and Support Economy</w:t>
            </w:r>
            <w:r w:rsidR="007B1C77">
              <w:rPr>
                <w:noProof/>
                <w:webHidden/>
              </w:rPr>
              <w:tab/>
            </w:r>
            <w:r w:rsidR="007B1C77">
              <w:rPr>
                <w:noProof/>
                <w:webHidden/>
              </w:rPr>
              <w:fldChar w:fldCharType="begin"/>
            </w:r>
            <w:r w:rsidR="007B1C77">
              <w:rPr>
                <w:noProof/>
                <w:webHidden/>
              </w:rPr>
              <w:instrText xml:space="preserve"> PAGEREF _Toc170224171 \h </w:instrText>
            </w:r>
            <w:r w:rsidR="007B1C77">
              <w:rPr>
                <w:noProof/>
                <w:webHidden/>
              </w:rPr>
            </w:r>
            <w:r w:rsidR="007B1C77">
              <w:rPr>
                <w:noProof/>
                <w:webHidden/>
              </w:rPr>
              <w:fldChar w:fldCharType="separate"/>
            </w:r>
            <w:r w:rsidR="00B75F8E">
              <w:rPr>
                <w:noProof/>
                <w:webHidden/>
              </w:rPr>
              <w:t>6</w:t>
            </w:r>
            <w:r w:rsidR="007B1C77">
              <w:rPr>
                <w:noProof/>
                <w:webHidden/>
              </w:rPr>
              <w:fldChar w:fldCharType="end"/>
            </w:r>
          </w:hyperlink>
        </w:p>
        <w:p w14:paraId="047A39C2" w14:textId="13D7DA0C" w:rsidR="007B1C77" w:rsidRDefault="0060058C">
          <w:pPr>
            <w:pStyle w:val="TOC3"/>
            <w:rPr>
              <w:rFonts w:eastAsiaTheme="minorEastAsia"/>
              <w:noProof/>
              <w:kern w:val="2"/>
              <w:lang w:eastAsia="en-AU"/>
              <w14:ligatures w14:val="standardContextual"/>
            </w:rPr>
          </w:pPr>
          <w:hyperlink w:anchor="_Toc170224172" w:history="1">
            <w:r w:rsidR="007B1C77" w:rsidRPr="00797628">
              <w:rPr>
                <w:rStyle w:val="Hyperlink"/>
                <w:noProof/>
              </w:rPr>
              <w:t>1.2 Data and reporting</w:t>
            </w:r>
            <w:r w:rsidR="007B1C77">
              <w:rPr>
                <w:noProof/>
                <w:webHidden/>
              </w:rPr>
              <w:tab/>
            </w:r>
            <w:r w:rsidR="007B1C77">
              <w:rPr>
                <w:noProof/>
                <w:webHidden/>
              </w:rPr>
              <w:fldChar w:fldCharType="begin"/>
            </w:r>
            <w:r w:rsidR="007B1C77">
              <w:rPr>
                <w:noProof/>
                <w:webHidden/>
              </w:rPr>
              <w:instrText xml:space="preserve"> PAGEREF _Toc170224172 \h </w:instrText>
            </w:r>
            <w:r w:rsidR="007B1C77">
              <w:rPr>
                <w:noProof/>
                <w:webHidden/>
              </w:rPr>
            </w:r>
            <w:r w:rsidR="007B1C77">
              <w:rPr>
                <w:noProof/>
                <w:webHidden/>
              </w:rPr>
              <w:fldChar w:fldCharType="separate"/>
            </w:r>
            <w:r w:rsidR="00B75F8E">
              <w:rPr>
                <w:noProof/>
                <w:webHidden/>
              </w:rPr>
              <w:t>8</w:t>
            </w:r>
            <w:r w:rsidR="007B1C77">
              <w:rPr>
                <w:noProof/>
                <w:webHidden/>
              </w:rPr>
              <w:fldChar w:fldCharType="end"/>
            </w:r>
          </w:hyperlink>
        </w:p>
        <w:p w14:paraId="60066A77" w14:textId="2B611FCE" w:rsidR="007B1C77" w:rsidRDefault="0060058C">
          <w:pPr>
            <w:pStyle w:val="TOC2"/>
            <w:rPr>
              <w:rFonts w:eastAsiaTheme="minorEastAsia"/>
              <w:noProof/>
              <w:kern w:val="2"/>
              <w:lang w:eastAsia="en-AU"/>
              <w14:ligatures w14:val="standardContextual"/>
            </w:rPr>
          </w:pPr>
          <w:hyperlink w:anchor="_Toc170224173" w:history="1">
            <w:r w:rsidR="007B1C77" w:rsidRPr="00797628">
              <w:rPr>
                <w:rStyle w:val="Hyperlink"/>
                <w:noProof/>
              </w:rPr>
              <w:t>2 Flexible and Supportive Workplaces</w:t>
            </w:r>
            <w:r w:rsidR="007B1C77">
              <w:rPr>
                <w:noProof/>
                <w:webHidden/>
              </w:rPr>
              <w:tab/>
            </w:r>
            <w:r w:rsidR="007B1C77">
              <w:rPr>
                <w:noProof/>
                <w:webHidden/>
              </w:rPr>
              <w:fldChar w:fldCharType="begin"/>
            </w:r>
            <w:r w:rsidR="007B1C77">
              <w:rPr>
                <w:noProof/>
                <w:webHidden/>
              </w:rPr>
              <w:instrText xml:space="preserve"> PAGEREF _Toc170224173 \h </w:instrText>
            </w:r>
            <w:r w:rsidR="007B1C77">
              <w:rPr>
                <w:noProof/>
                <w:webHidden/>
              </w:rPr>
            </w:r>
            <w:r w:rsidR="007B1C77">
              <w:rPr>
                <w:noProof/>
                <w:webHidden/>
              </w:rPr>
              <w:fldChar w:fldCharType="separate"/>
            </w:r>
            <w:r w:rsidR="00B75F8E">
              <w:rPr>
                <w:noProof/>
                <w:webHidden/>
              </w:rPr>
              <w:t>12</w:t>
            </w:r>
            <w:r w:rsidR="007B1C77">
              <w:rPr>
                <w:noProof/>
                <w:webHidden/>
              </w:rPr>
              <w:fldChar w:fldCharType="end"/>
            </w:r>
          </w:hyperlink>
        </w:p>
        <w:p w14:paraId="712F50C3" w14:textId="5A2C9CA6" w:rsidR="007B1C77" w:rsidRDefault="0060058C">
          <w:pPr>
            <w:pStyle w:val="TOC3"/>
            <w:rPr>
              <w:rFonts w:eastAsiaTheme="minorEastAsia"/>
              <w:noProof/>
              <w:kern w:val="2"/>
              <w:lang w:eastAsia="en-AU"/>
              <w14:ligatures w14:val="standardContextual"/>
            </w:rPr>
          </w:pPr>
          <w:hyperlink w:anchor="_Toc170224174" w:history="1">
            <w:r w:rsidR="007B1C77" w:rsidRPr="00797628">
              <w:rPr>
                <w:rStyle w:val="Hyperlink"/>
                <w:noProof/>
              </w:rPr>
              <w:t>2.1 Workplace relations reforms</w:t>
            </w:r>
            <w:r w:rsidR="007B1C77">
              <w:rPr>
                <w:noProof/>
                <w:webHidden/>
              </w:rPr>
              <w:tab/>
            </w:r>
            <w:r w:rsidR="007B1C77">
              <w:rPr>
                <w:noProof/>
                <w:webHidden/>
              </w:rPr>
              <w:fldChar w:fldCharType="begin"/>
            </w:r>
            <w:r w:rsidR="007B1C77">
              <w:rPr>
                <w:noProof/>
                <w:webHidden/>
              </w:rPr>
              <w:instrText xml:space="preserve"> PAGEREF _Toc170224174 \h </w:instrText>
            </w:r>
            <w:r w:rsidR="007B1C77">
              <w:rPr>
                <w:noProof/>
                <w:webHidden/>
              </w:rPr>
            </w:r>
            <w:r w:rsidR="007B1C77">
              <w:rPr>
                <w:noProof/>
                <w:webHidden/>
              </w:rPr>
              <w:fldChar w:fldCharType="separate"/>
            </w:r>
            <w:r w:rsidR="00B75F8E">
              <w:rPr>
                <w:noProof/>
                <w:webHidden/>
              </w:rPr>
              <w:t>12</w:t>
            </w:r>
            <w:r w:rsidR="007B1C77">
              <w:rPr>
                <w:noProof/>
                <w:webHidden/>
              </w:rPr>
              <w:fldChar w:fldCharType="end"/>
            </w:r>
          </w:hyperlink>
        </w:p>
        <w:p w14:paraId="3F3A3A82" w14:textId="34C8A642" w:rsidR="007B1C77" w:rsidRDefault="0060058C">
          <w:pPr>
            <w:pStyle w:val="TOC3"/>
            <w:rPr>
              <w:rFonts w:eastAsiaTheme="minorEastAsia"/>
              <w:noProof/>
              <w:kern w:val="2"/>
              <w:lang w:eastAsia="en-AU"/>
              <w14:ligatures w14:val="standardContextual"/>
            </w:rPr>
          </w:pPr>
          <w:hyperlink w:anchor="_Toc170224175" w:history="1">
            <w:r w:rsidR="007B1C77" w:rsidRPr="00797628">
              <w:rPr>
                <w:rStyle w:val="Hyperlink"/>
                <w:noProof/>
              </w:rPr>
              <w:t>2.2 Leave entitlements and forms of work</w:t>
            </w:r>
            <w:r w:rsidR="007B1C77">
              <w:rPr>
                <w:noProof/>
                <w:webHidden/>
              </w:rPr>
              <w:tab/>
            </w:r>
            <w:r w:rsidR="007B1C77">
              <w:rPr>
                <w:noProof/>
                <w:webHidden/>
              </w:rPr>
              <w:fldChar w:fldCharType="begin"/>
            </w:r>
            <w:r w:rsidR="007B1C77">
              <w:rPr>
                <w:noProof/>
                <w:webHidden/>
              </w:rPr>
              <w:instrText xml:space="preserve"> PAGEREF _Toc170224175 \h </w:instrText>
            </w:r>
            <w:r w:rsidR="007B1C77">
              <w:rPr>
                <w:noProof/>
                <w:webHidden/>
              </w:rPr>
            </w:r>
            <w:r w:rsidR="007B1C77">
              <w:rPr>
                <w:noProof/>
                <w:webHidden/>
              </w:rPr>
              <w:fldChar w:fldCharType="separate"/>
            </w:r>
            <w:r w:rsidR="00B75F8E">
              <w:rPr>
                <w:noProof/>
                <w:webHidden/>
              </w:rPr>
              <w:t>15</w:t>
            </w:r>
            <w:r w:rsidR="007B1C77">
              <w:rPr>
                <w:noProof/>
                <w:webHidden/>
              </w:rPr>
              <w:fldChar w:fldCharType="end"/>
            </w:r>
          </w:hyperlink>
        </w:p>
        <w:p w14:paraId="37E355D5" w14:textId="3CFD4BFB" w:rsidR="007B1C77" w:rsidRDefault="0060058C">
          <w:pPr>
            <w:pStyle w:val="TOC3"/>
            <w:rPr>
              <w:rFonts w:eastAsiaTheme="minorEastAsia"/>
              <w:noProof/>
              <w:kern w:val="2"/>
              <w:lang w:eastAsia="en-AU"/>
              <w14:ligatures w14:val="standardContextual"/>
            </w:rPr>
          </w:pPr>
          <w:hyperlink w:anchor="_Toc170224176" w:history="1">
            <w:r w:rsidR="007B1C77" w:rsidRPr="00797628">
              <w:rPr>
                <w:rStyle w:val="Hyperlink"/>
                <w:noProof/>
              </w:rPr>
              <w:t>2.3 Working hours</w:t>
            </w:r>
            <w:r w:rsidR="007B1C77">
              <w:rPr>
                <w:noProof/>
                <w:webHidden/>
              </w:rPr>
              <w:tab/>
            </w:r>
            <w:r w:rsidR="007B1C77">
              <w:rPr>
                <w:noProof/>
                <w:webHidden/>
              </w:rPr>
              <w:fldChar w:fldCharType="begin"/>
            </w:r>
            <w:r w:rsidR="007B1C77">
              <w:rPr>
                <w:noProof/>
                <w:webHidden/>
              </w:rPr>
              <w:instrText xml:space="preserve"> PAGEREF _Toc170224176 \h </w:instrText>
            </w:r>
            <w:r w:rsidR="007B1C77">
              <w:rPr>
                <w:noProof/>
                <w:webHidden/>
              </w:rPr>
            </w:r>
            <w:r w:rsidR="007B1C77">
              <w:rPr>
                <w:noProof/>
                <w:webHidden/>
              </w:rPr>
              <w:fldChar w:fldCharType="separate"/>
            </w:r>
            <w:r w:rsidR="00B75F8E">
              <w:rPr>
                <w:noProof/>
                <w:webHidden/>
              </w:rPr>
              <w:t>20</w:t>
            </w:r>
            <w:r w:rsidR="007B1C77">
              <w:rPr>
                <w:noProof/>
                <w:webHidden/>
              </w:rPr>
              <w:fldChar w:fldCharType="end"/>
            </w:r>
          </w:hyperlink>
        </w:p>
        <w:p w14:paraId="2760A698" w14:textId="54627DCC" w:rsidR="007B1C77" w:rsidRDefault="0060058C">
          <w:pPr>
            <w:pStyle w:val="TOC2"/>
            <w:rPr>
              <w:rFonts w:eastAsiaTheme="minorEastAsia"/>
              <w:noProof/>
              <w:kern w:val="2"/>
              <w:lang w:eastAsia="en-AU"/>
              <w14:ligatures w14:val="standardContextual"/>
            </w:rPr>
          </w:pPr>
          <w:hyperlink w:anchor="_Toc170224177" w:history="1">
            <w:r w:rsidR="007B1C77" w:rsidRPr="00797628">
              <w:rPr>
                <w:rStyle w:val="Hyperlink"/>
                <w:noProof/>
                <w:lang w:eastAsia="en-AU"/>
              </w:rPr>
              <w:t>3 Early Childhood Education and Care</w:t>
            </w:r>
            <w:r w:rsidR="007B1C77">
              <w:rPr>
                <w:noProof/>
                <w:webHidden/>
              </w:rPr>
              <w:tab/>
            </w:r>
            <w:r w:rsidR="007B1C77">
              <w:rPr>
                <w:noProof/>
                <w:webHidden/>
              </w:rPr>
              <w:fldChar w:fldCharType="begin"/>
            </w:r>
            <w:r w:rsidR="007B1C77">
              <w:rPr>
                <w:noProof/>
                <w:webHidden/>
              </w:rPr>
              <w:instrText xml:space="preserve"> PAGEREF _Toc170224177 \h </w:instrText>
            </w:r>
            <w:r w:rsidR="007B1C77">
              <w:rPr>
                <w:noProof/>
                <w:webHidden/>
              </w:rPr>
            </w:r>
            <w:r w:rsidR="007B1C77">
              <w:rPr>
                <w:noProof/>
                <w:webHidden/>
              </w:rPr>
              <w:fldChar w:fldCharType="separate"/>
            </w:r>
            <w:r w:rsidR="00B75F8E">
              <w:rPr>
                <w:noProof/>
                <w:webHidden/>
              </w:rPr>
              <w:t>26</w:t>
            </w:r>
            <w:r w:rsidR="007B1C77">
              <w:rPr>
                <w:noProof/>
                <w:webHidden/>
              </w:rPr>
              <w:fldChar w:fldCharType="end"/>
            </w:r>
          </w:hyperlink>
        </w:p>
        <w:p w14:paraId="41E3E35F" w14:textId="2681BF6F" w:rsidR="007B1C77" w:rsidRDefault="0060058C">
          <w:pPr>
            <w:pStyle w:val="TOC3"/>
            <w:rPr>
              <w:rFonts w:eastAsiaTheme="minorEastAsia"/>
              <w:noProof/>
              <w:kern w:val="2"/>
              <w:lang w:eastAsia="en-AU"/>
              <w14:ligatures w14:val="standardContextual"/>
            </w:rPr>
          </w:pPr>
          <w:hyperlink w:anchor="_Toc170224178" w:history="1">
            <w:r w:rsidR="007B1C77" w:rsidRPr="00797628">
              <w:rPr>
                <w:rStyle w:val="Hyperlink"/>
                <w:noProof/>
                <w:lang w:eastAsia="en-AU"/>
              </w:rPr>
              <w:t>3.1 Australia’s ECEC system</w:t>
            </w:r>
            <w:r w:rsidR="007B1C77">
              <w:rPr>
                <w:noProof/>
                <w:webHidden/>
              </w:rPr>
              <w:tab/>
            </w:r>
            <w:r w:rsidR="007B1C77">
              <w:rPr>
                <w:noProof/>
                <w:webHidden/>
              </w:rPr>
              <w:fldChar w:fldCharType="begin"/>
            </w:r>
            <w:r w:rsidR="007B1C77">
              <w:rPr>
                <w:noProof/>
                <w:webHidden/>
              </w:rPr>
              <w:instrText xml:space="preserve"> PAGEREF _Toc170224178 \h </w:instrText>
            </w:r>
            <w:r w:rsidR="007B1C77">
              <w:rPr>
                <w:noProof/>
                <w:webHidden/>
              </w:rPr>
            </w:r>
            <w:r w:rsidR="007B1C77">
              <w:rPr>
                <w:noProof/>
                <w:webHidden/>
              </w:rPr>
              <w:fldChar w:fldCharType="separate"/>
            </w:r>
            <w:r w:rsidR="00B75F8E">
              <w:rPr>
                <w:noProof/>
                <w:webHidden/>
              </w:rPr>
              <w:t>26</w:t>
            </w:r>
            <w:r w:rsidR="007B1C77">
              <w:rPr>
                <w:noProof/>
                <w:webHidden/>
              </w:rPr>
              <w:fldChar w:fldCharType="end"/>
            </w:r>
          </w:hyperlink>
        </w:p>
        <w:p w14:paraId="5E96784B" w14:textId="59897D28" w:rsidR="007B1C77" w:rsidRDefault="0060058C">
          <w:pPr>
            <w:pStyle w:val="TOC3"/>
            <w:rPr>
              <w:rFonts w:eastAsiaTheme="minorEastAsia"/>
              <w:noProof/>
              <w:kern w:val="2"/>
              <w:lang w:eastAsia="en-AU"/>
              <w14:ligatures w14:val="standardContextual"/>
            </w:rPr>
          </w:pPr>
          <w:hyperlink w:anchor="_Toc170224179" w:history="1">
            <w:r w:rsidR="007B1C77" w:rsidRPr="00797628">
              <w:rPr>
                <w:rStyle w:val="Hyperlink"/>
                <w:noProof/>
              </w:rPr>
              <w:t>3.2 Subsidised care for children</w:t>
            </w:r>
            <w:r w:rsidR="007B1C77">
              <w:rPr>
                <w:noProof/>
                <w:webHidden/>
              </w:rPr>
              <w:tab/>
            </w:r>
            <w:r w:rsidR="007B1C77">
              <w:rPr>
                <w:noProof/>
                <w:webHidden/>
              </w:rPr>
              <w:fldChar w:fldCharType="begin"/>
            </w:r>
            <w:r w:rsidR="007B1C77">
              <w:rPr>
                <w:noProof/>
                <w:webHidden/>
              </w:rPr>
              <w:instrText xml:space="preserve"> PAGEREF _Toc170224179 \h </w:instrText>
            </w:r>
            <w:r w:rsidR="007B1C77">
              <w:rPr>
                <w:noProof/>
                <w:webHidden/>
              </w:rPr>
            </w:r>
            <w:r w:rsidR="007B1C77">
              <w:rPr>
                <w:noProof/>
                <w:webHidden/>
              </w:rPr>
              <w:fldChar w:fldCharType="separate"/>
            </w:r>
            <w:r w:rsidR="00B75F8E">
              <w:rPr>
                <w:noProof/>
                <w:webHidden/>
              </w:rPr>
              <w:t>30</w:t>
            </w:r>
            <w:r w:rsidR="007B1C77">
              <w:rPr>
                <w:noProof/>
                <w:webHidden/>
              </w:rPr>
              <w:fldChar w:fldCharType="end"/>
            </w:r>
          </w:hyperlink>
        </w:p>
        <w:p w14:paraId="4D91CBB5" w14:textId="4FC69998" w:rsidR="007B1C77" w:rsidRDefault="0060058C">
          <w:pPr>
            <w:pStyle w:val="TOC2"/>
            <w:rPr>
              <w:rFonts w:eastAsiaTheme="minorEastAsia"/>
              <w:noProof/>
              <w:kern w:val="2"/>
              <w:lang w:eastAsia="en-AU"/>
              <w14:ligatures w14:val="standardContextual"/>
            </w:rPr>
          </w:pPr>
          <w:hyperlink w:anchor="_Toc170224180" w:history="1">
            <w:r w:rsidR="007B1C77" w:rsidRPr="00797628">
              <w:rPr>
                <w:rStyle w:val="Hyperlink"/>
                <w:noProof/>
              </w:rPr>
              <w:t>4 Targeted Support</w:t>
            </w:r>
            <w:r w:rsidR="007B1C77">
              <w:rPr>
                <w:noProof/>
                <w:webHidden/>
              </w:rPr>
              <w:tab/>
            </w:r>
            <w:r w:rsidR="007B1C77">
              <w:rPr>
                <w:noProof/>
                <w:webHidden/>
              </w:rPr>
              <w:fldChar w:fldCharType="begin"/>
            </w:r>
            <w:r w:rsidR="007B1C77">
              <w:rPr>
                <w:noProof/>
                <w:webHidden/>
              </w:rPr>
              <w:instrText xml:space="preserve"> PAGEREF _Toc170224180 \h </w:instrText>
            </w:r>
            <w:r w:rsidR="007B1C77">
              <w:rPr>
                <w:noProof/>
                <w:webHidden/>
              </w:rPr>
            </w:r>
            <w:r w:rsidR="007B1C77">
              <w:rPr>
                <w:noProof/>
                <w:webHidden/>
              </w:rPr>
              <w:fldChar w:fldCharType="separate"/>
            </w:r>
            <w:r w:rsidR="00B75F8E">
              <w:rPr>
                <w:noProof/>
                <w:webHidden/>
              </w:rPr>
              <w:t>34</w:t>
            </w:r>
            <w:r w:rsidR="007B1C77">
              <w:rPr>
                <w:noProof/>
                <w:webHidden/>
              </w:rPr>
              <w:fldChar w:fldCharType="end"/>
            </w:r>
          </w:hyperlink>
        </w:p>
        <w:p w14:paraId="6D40BF42" w14:textId="2BF75609" w:rsidR="007B1C77" w:rsidRDefault="0060058C">
          <w:pPr>
            <w:pStyle w:val="TOC3"/>
            <w:rPr>
              <w:rFonts w:eastAsiaTheme="minorEastAsia"/>
              <w:noProof/>
              <w:kern w:val="2"/>
              <w:lang w:eastAsia="en-AU"/>
              <w14:ligatures w14:val="standardContextual"/>
            </w:rPr>
          </w:pPr>
          <w:hyperlink w:anchor="_Toc170224181" w:history="1">
            <w:r w:rsidR="007B1C77" w:rsidRPr="00797628">
              <w:rPr>
                <w:rStyle w:val="Hyperlink"/>
                <w:noProof/>
              </w:rPr>
              <w:t>4.1 Care workforce</w:t>
            </w:r>
            <w:r w:rsidR="007B1C77">
              <w:rPr>
                <w:noProof/>
                <w:webHidden/>
              </w:rPr>
              <w:tab/>
            </w:r>
            <w:r w:rsidR="007B1C77">
              <w:rPr>
                <w:noProof/>
                <w:webHidden/>
              </w:rPr>
              <w:fldChar w:fldCharType="begin"/>
            </w:r>
            <w:r w:rsidR="007B1C77">
              <w:rPr>
                <w:noProof/>
                <w:webHidden/>
              </w:rPr>
              <w:instrText xml:space="preserve"> PAGEREF _Toc170224181 \h </w:instrText>
            </w:r>
            <w:r w:rsidR="007B1C77">
              <w:rPr>
                <w:noProof/>
                <w:webHidden/>
              </w:rPr>
            </w:r>
            <w:r w:rsidR="007B1C77">
              <w:rPr>
                <w:noProof/>
                <w:webHidden/>
              </w:rPr>
              <w:fldChar w:fldCharType="separate"/>
            </w:r>
            <w:r w:rsidR="00B75F8E">
              <w:rPr>
                <w:noProof/>
                <w:webHidden/>
              </w:rPr>
              <w:t>34</w:t>
            </w:r>
            <w:r w:rsidR="007B1C77">
              <w:rPr>
                <w:noProof/>
                <w:webHidden/>
              </w:rPr>
              <w:fldChar w:fldCharType="end"/>
            </w:r>
          </w:hyperlink>
        </w:p>
        <w:p w14:paraId="67F64561" w14:textId="4F96C93B" w:rsidR="007B1C77" w:rsidRDefault="0060058C">
          <w:pPr>
            <w:pStyle w:val="TOC3"/>
            <w:rPr>
              <w:rFonts w:eastAsiaTheme="minorEastAsia"/>
              <w:noProof/>
              <w:kern w:val="2"/>
              <w:lang w:eastAsia="en-AU"/>
              <w14:ligatures w14:val="standardContextual"/>
            </w:rPr>
          </w:pPr>
          <w:hyperlink w:anchor="_Toc170224182" w:history="1">
            <w:r w:rsidR="007B1C77" w:rsidRPr="00797628">
              <w:rPr>
                <w:rStyle w:val="Hyperlink"/>
                <w:rFonts w:eastAsia="Calibri"/>
                <w:noProof/>
              </w:rPr>
              <w:t>4.2 Supported employment sector</w:t>
            </w:r>
            <w:r w:rsidR="007B1C77">
              <w:rPr>
                <w:noProof/>
                <w:webHidden/>
              </w:rPr>
              <w:tab/>
            </w:r>
            <w:r w:rsidR="007B1C77">
              <w:rPr>
                <w:noProof/>
                <w:webHidden/>
              </w:rPr>
              <w:fldChar w:fldCharType="begin"/>
            </w:r>
            <w:r w:rsidR="007B1C77">
              <w:rPr>
                <w:noProof/>
                <w:webHidden/>
              </w:rPr>
              <w:instrText xml:space="preserve"> PAGEREF _Toc170224182 \h </w:instrText>
            </w:r>
            <w:r w:rsidR="007B1C77">
              <w:rPr>
                <w:noProof/>
                <w:webHidden/>
              </w:rPr>
            </w:r>
            <w:r w:rsidR="007B1C77">
              <w:rPr>
                <w:noProof/>
                <w:webHidden/>
              </w:rPr>
              <w:fldChar w:fldCharType="separate"/>
            </w:r>
            <w:r w:rsidR="00B75F8E">
              <w:rPr>
                <w:noProof/>
                <w:webHidden/>
              </w:rPr>
              <w:t>40</w:t>
            </w:r>
            <w:r w:rsidR="007B1C77">
              <w:rPr>
                <w:noProof/>
                <w:webHidden/>
              </w:rPr>
              <w:fldChar w:fldCharType="end"/>
            </w:r>
          </w:hyperlink>
        </w:p>
        <w:p w14:paraId="6DD0848F" w14:textId="7004B8BD" w:rsidR="007B1C77" w:rsidRDefault="0060058C">
          <w:pPr>
            <w:pStyle w:val="TOC3"/>
            <w:rPr>
              <w:rFonts w:eastAsiaTheme="minorEastAsia"/>
              <w:noProof/>
              <w:kern w:val="2"/>
              <w:lang w:eastAsia="en-AU"/>
              <w14:ligatures w14:val="standardContextual"/>
            </w:rPr>
          </w:pPr>
          <w:hyperlink w:anchor="_Toc170224183" w:history="1">
            <w:r w:rsidR="007B1C77" w:rsidRPr="00797628">
              <w:rPr>
                <w:rStyle w:val="Hyperlink"/>
                <w:noProof/>
              </w:rPr>
              <w:t>4.3 Carers</w:t>
            </w:r>
            <w:r w:rsidR="007B1C77">
              <w:rPr>
                <w:noProof/>
                <w:webHidden/>
              </w:rPr>
              <w:tab/>
            </w:r>
            <w:r w:rsidR="007B1C77">
              <w:rPr>
                <w:noProof/>
                <w:webHidden/>
              </w:rPr>
              <w:fldChar w:fldCharType="begin"/>
            </w:r>
            <w:r w:rsidR="007B1C77">
              <w:rPr>
                <w:noProof/>
                <w:webHidden/>
              </w:rPr>
              <w:instrText xml:space="preserve"> PAGEREF _Toc170224183 \h </w:instrText>
            </w:r>
            <w:r w:rsidR="007B1C77">
              <w:rPr>
                <w:noProof/>
                <w:webHidden/>
              </w:rPr>
            </w:r>
            <w:r w:rsidR="007B1C77">
              <w:rPr>
                <w:noProof/>
                <w:webHidden/>
              </w:rPr>
              <w:fldChar w:fldCharType="separate"/>
            </w:r>
            <w:r w:rsidR="00B75F8E">
              <w:rPr>
                <w:noProof/>
                <w:webHidden/>
              </w:rPr>
              <w:t>41</w:t>
            </w:r>
            <w:r w:rsidR="007B1C77">
              <w:rPr>
                <w:noProof/>
                <w:webHidden/>
              </w:rPr>
              <w:fldChar w:fldCharType="end"/>
            </w:r>
          </w:hyperlink>
        </w:p>
        <w:p w14:paraId="737A587C" w14:textId="50EF48CB" w:rsidR="007B1C77" w:rsidRDefault="0060058C">
          <w:pPr>
            <w:pStyle w:val="TOC3"/>
            <w:rPr>
              <w:rFonts w:eastAsiaTheme="minorEastAsia"/>
              <w:noProof/>
              <w:kern w:val="2"/>
              <w:lang w:eastAsia="en-AU"/>
              <w14:ligatures w14:val="standardContextual"/>
            </w:rPr>
          </w:pPr>
          <w:hyperlink w:anchor="_Toc170224184" w:history="1">
            <w:r w:rsidR="007B1C77" w:rsidRPr="00797628">
              <w:rPr>
                <w:rStyle w:val="Hyperlink"/>
                <w:noProof/>
              </w:rPr>
              <w:t>4.4 People preparing for or seeking employment</w:t>
            </w:r>
            <w:r w:rsidR="007B1C77">
              <w:rPr>
                <w:noProof/>
                <w:webHidden/>
              </w:rPr>
              <w:tab/>
            </w:r>
            <w:r w:rsidR="007B1C77">
              <w:rPr>
                <w:noProof/>
                <w:webHidden/>
              </w:rPr>
              <w:fldChar w:fldCharType="begin"/>
            </w:r>
            <w:r w:rsidR="007B1C77">
              <w:rPr>
                <w:noProof/>
                <w:webHidden/>
              </w:rPr>
              <w:instrText xml:space="preserve"> PAGEREF _Toc170224184 \h </w:instrText>
            </w:r>
            <w:r w:rsidR="007B1C77">
              <w:rPr>
                <w:noProof/>
                <w:webHidden/>
              </w:rPr>
            </w:r>
            <w:r w:rsidR="007B1C77">
              <w:rPr>
                <w:noProof/>
                <w:webHidden/>
              </w:rPr>
              <w:fldChar w:fldCharType="separate"/>
            </w:r>
            <w:r w:rsidR="00B75F8E">
              <w:rPr>
                <w:noProof/>
                <w:webHidden/>
              </w:rPr>
              <w:t>50</w:t>
            </w:r>
            <w:r w:rsidR="007B1C77">
              <w:rPr>
                <w:noProof/>
                <w:webHidden/>
              </w:rPr>
              <w:fldChar w:fldCharType="end"/>
            </w:r>
          </w:hyperlink>
        </w:p>
        <w:p w14:paraId="37A174AC" w14:textId="52910E81" w:rsidR="007B1C77" w:rsidRDefault="0060058C">
          <w:pPr>
            <w:pStyle w:val="TOC3"/>
            <w:rPr>
              <w:rFonts w:eastAsiaTheme="minorEastAsia"/>
              <w:noProof/>
              <w:kern w:val="2"/>
              <w:lang w:eastAsia="en-AU"/>
              <w14:ligatures w14:val="standardContextual"/>
            </w:rPr>
          </w:pPr>
          <w:hyperlink w:anchor="_Toc170224185" w:history="1">
            <w:r w:rsidR="007B1C77" w:rsidRPr="00797628">
              <w:rPr>
                <w:rStyle w:val="Hyperlink"/>
                <w:noProof/>
              </w:rPr>
              <w:t>4.5 Workers</w:t>
            </w:r>
            <w:r w:rsidR="007B1C77">
              <w:rPr>
                <w:noProof/>
                <w:webHidden/>
              </w:rPr>
              <w:tab/>
            </w:r>
            <w:r w:rsidR="007B1C77">
              <w:rPr>
                <w:noProof/>
                <w:webHidden/>
              </w:rPr>
              <w:fldChar w:fldCharType="begin"/>
            </w:r>
            <w:r w:rsidR="007B1C77">
              <w:rPr>
                <w:noProof/>
                <w:webHidden/>
              </w:rPr>
              <w:instrText xml:space="preserve"> PAGEREF _Toc170224185 \h </w:instrText>
            </w:r>
            <w:r w:rsidR="007B1C77">
              <w:rPr>
                <w:noProof/>
                <w:webHidden/>
              </w:rPr>
            </w:r>
            <w:r w:rsidR="007B1C77">
              <w:rPr>
                <w:noProof/>
                <w:webHidden/>
              </w:rPr>
              <w:fldChar w:fldCharType="separate"/>
            </w:r>
            <w:r w:rsidR="00B75F8E">
              <w:rPr>
                <w:noProof/>
                <w:webHidden/>
              </w:rPr>
              <w:t>54</w:t>
            </w:r>
            <w:r w:rsidR="007B1C77">
              <w:rPr>
                <w:noProof/>
                <w:webHidden/>
              </w:rPr>
              <w:fldChar w:fldCharType="end"/>
            </w:r>
          </w:hyperlink>
        </w:p>
        <w:p w14:paraId="7D36ED97" w14:textId="4805CC6A" w:rsidR="609986F8" w:rsidRPr="00EE691E" w:rsidRDefault="609986F8" w:rsidP="0053024F">
          <w:pPr>
            <w:pStyle w:val="TOC3"/>
            <w:rPr>
              <w:rStyle w:val="Hyperlink"/>
            </w:rPr>
          </w:pPr>
          <w:r w:rsidRPr="00EE691E">
            <w:fldChar w:fldCharType="end"/>
          </w:r>
        </w:p>
      </w:sdtContent>
    </w:sdt>
    <w:p w14:paraId="1587EA81" w14:textId="1A3C0E50" w:rsidR="008D0600" w:rsidRPr="00EE691E" w:rsidRDefault="008D0600" w:rsidP="00C25DB7">
      <w:r w:rsidRPr="00EE691E">
        <w:br w:type="page"/>
      </w:r>
    </w:p>
    <w:p w14:paraId="51280C2C" w14:textId="27CEA14A" w:rsidR="009125C4" w:rsidRDefault="00AD1598" w:rsidP="00770539">
      <w:pPr>
        <w:pStyle w:val="Heading2"/>
      </w:pPr>
      <w:bookmarkStart w:id="15" w:name="_Toc170224168"/>
      <w:r w:rsidRPr="00766ED4">
        <w:lastRenderedPageBreak/>
        <w:t>Overview of the Inquiry</w:t>
      </w:r>
      <w:bookmarkEnd w:id="15"/>
    </w:p>
    <w:p w14:paraId="5B409D72" w14:textId="77777777" w:rsidR="00DF668F" w:rsidRPr="00DF668F" w:rsidRDefault="00DF668F" w:rsidP="00DF668F"/>
    <w:p w14:paraId="2F93452F" w14:textId="79C24CD7" w:rsidR="00E44DC1" w:rsidRPr="00DF6490" w:rsidRDefault="006F0D2F">
      <w:pPr>
        <w:rPr>
          <w:rStyle w:val="normaltextrun"/>
          <w:rFonts w:ascii="Calibri" w:hAnsi="Calibri" w:cs="Calibri"/>
        </w:rPr>
      </w:pPr>
      <w:r w:rsidRPr="273A57E7">
        <w:rPr>
          <w:rStyle w:val="normaltextrun"/>
          <w:rFonts w:ascii="Calibri" w:hAnsi="Calibri" w:cs="Calibri"/>
        </w:rPr>
        <w:t xml:space="preserve">On 3 August 2022, the Senate established the Select Committee on Work and Care </w:t>
      </w:r>
      <w:r w:rsidR="00FD6FE9" w:rsidRPr="273A57E7">
        <w:rPr>
          <w:rStyle w:val="normaltextrun"/>
          <w:rFonts w:ascii="Calibri" w:hAnsi="Calibri" w:cs="Calibri"/>
        </w:rPr>
        <w:t>(the</w:t>
      </w:r>
      <w:r w:rsidR="004B16A8">
        <w:rPr>
          <w:rStyle w:val="normaltextrun"/>
          <w:rFonts w:ascii="Calibri" w:hAnsi="Calibri" w:cs="Calibri"/>
        </w:rPr>
        <w:t> </w:t>
      </w:r>
      <w:r w:rsidR="00FD6FE9" w:rsidRPr="273A57E7">
        <w:rPr>
          <w:rStyle w:val="normaltextrun"/>
          <w:rFonts w:ascii="Calibri" w:hAnsi="Calibri" w:cs="Calibri"/>
        </w:rPr>
        <w:t xml:space="preserve">Committee) </w:t>
      </w:r>
      <w:r w:rsidRPr="273A57E7">
        <w:rPr>
          <w:rStyle w:val="normaltextrun"/>
          <w:rFonts w:ascii="Calibri" w:hAnsi="Calibri" w:cs="Calibri"/>
        </w:rPr>
        <w:t>to inquire into and report on the impact that combining work and care responsibilities has on the wellbeing of workers, carers, and those they care for.</w:t>
      </w:r>
      <w:r w:rsidR="000F0590" w:rsidRPr="273A57E7">
        <w:rPr>
          <w:rStyle w:val="eop"/>
          <w:rFonts w:ascii="Calibri" w:hAnsi="Calibri" w:cs="Calibri"/>
        </w:rPr>
        <w:t xml:space="preserve"> </w:t>
      </w:r>
      <w:r w:rsidRPr="273A57E7">
        <w:rPr>
          <w:rStyle w:val="normaltextrun"/>
          <w:rFonts w:ascii="Calibri" w:hAnsi="Calibri" w:cs="Calibri"/>
        </w:rPr>
        <w:t>The</w:t>
      </w:r>
      <w:r w:rsidR="004B16A8">
        <w:rPr>
          <w:rStyle w:val="normaltextrun"/>
          <w:rFonts w:ascii="Calibri" w:hAnsi="Calibri" w:cs="Calibri"/>
        </w:rPr>
        <w:t> </w:t>
      </w:r>
      <w:r w:rsidRPr="273A57E7">
        <w:rPr>
          <w:rStyle w:val="normaltextrun"/>
          <w:rFonts w:ascii="Calibri" w:hAnsi="Calibri" w:cs="Calibri"/>
        </w:rPr>
        <w:t xml:space="preserve">Committee held hearings across </w:t>
      </w:r>
      <w:r w:rsidR="00C73B50" w:rsidRPr="273A57E7">
        <w:rPr>
          <w:rStyle w:val="normaltextrun"/>
          <w:rFonts w:ascii="Calibri" w:hAnsi="Calibri" w:cs="Calibri"/>
        </w:rPr>
        <w:t>multiple</w:t>
      </w:r>
      <w:r w:rsidRPr="273A57E7">
        <w:rPr>
          <w:rStyle w:val="normaltextrun"/>
          <w:rFonts w:ascii="Calibri" w:hAnsi="Calibri" w:cs="Calibri"/>
        </w:rPr>
        <w:t xml:space="preserve"> locations</w:t>
      </w:r>
      <w:r w:rsidR="00C73B50" w:rsidRPr="273A57E7">
        <w:rPr>
          <w:rStyle w:val="normaltextrun"/>
          <w:rFonts w:ascii="Calibri" w:hAnsi="Calibri" w:cs="Calibri"/>
        </w:rPr>
        <w:t xml:space="preserve"> </w:t>
      </w:r>
      <w:r w:rsidRPr="273A57E7">
        <w:rPr>
          <w:rStyle w:val="normaltextrun"/>
          <w:rFonts w:ascii="Calibri" w:hAnsi="Calibri" w:cs="Calibri"/>
        </w:rPr>
        <w:t xml:space="preserve">across </w:t>
      </w:r>
      <w:r w:rsidR="00415AB8" w:rsidRPr="273A57E7">
        <w:rPr>
          <w:rStyle w:val="normaltextrun"/>
          <w:rFonts w:ascii="Calibri" w:hAnsi="Calibri" w:cs="Calibri"/>
        </w:rPr>
        <w:t>Australia</w:t>
      </w:r>
      <w:r w:rsidRPr="273A57E7">
        <w:rPr>
          <w:rStyle w:val="normaltextrun"/>
          <w:rFonts w:ascii="Calibri" w:hAnsi="Calibri" w:cs="Calibri"/>
        </w:rPr>
        <w:t xml:space="preserve"> and received a </w:t>
      </w:r>
      <w:r w:rsidR="0041128C" w:rsidRPr="273A57E7">
        <w:rPr>
          <w:rStyle w:val="normaltextrun"/>
          <w:rFonts w:ascii="Calibri" w:hAnsi="Calibri" w:cs="Calibri"/>
        </w:rPr>
        <w:t>significant volume</w:t>
      </w:r>
      <w:r w:rsidRPr="273A57E7">
        <w:rPr>
          <w:rStyle w:val="normaltextrun"/>
          <w:rFonts w:ascii="Calibri" w:hAnsi="Calibri" w:cs="Calibri"/>
        </w:rPr>
        <w:t xml:space="preserve"> of submissions and tabled documents.</w:t>
      </w:r>
    </w:p>
    <w:p w14:paraId="6B6EC9C9" w14:textId="77777777" w:rsidR="006F0D2F" w:rsidRPr="00DF6490" w:rsidRDefault="006F0D2F" w:rsidP="00C25DB7"/>
    <w:p w14:paraId="56E26D12" w14:textId="794A5709" w:rsidR="00FF3913" w:rsidRDefault="00282339" w:rsidP="00C25DB7">
      <w:pPr>
        <w:rPr>
          <w:rStyle w:val="normaltextrun"/>
          <w:rFonts w:ascii="Calibri" w:hAnsi="Calibri" w:cs="Calibri"/>
        </w:rPr>
      </w:pPr>
      <w:r w:rsidRPr="00DF6490">
        <w:t>On 18 October 2022, the Committee tabled its Interim Report</w:t>
      </w:r>
      <w:r w:rsidR="00E14EA1">
        <w:t>, containing</w:t>
      </w:r>
      <w:r w:rsidR="006011C1" w:rsidRPr="00DF6490">
        <w:t xml:space="preserve"> </w:t>
      </w:r>
      <w:r w:rsidRPr="00DF6490">
        <w:t xml:space="preserve">8 recommendations. </w:t>
      </w:r>
      <w:r w:rsidR="00001A7A" w:rsidRPr="00DF6490">
        <w:rPr>
          <w:rStyle w:val="normaltextrun"/>
          <w:rFonts w:ascii="Calibri" w:hAnsi="Calibri" w:cs="Calibri"/>
        </w:rPr>
        <w:t xml:space="preserve">On 9 March 2023, the Committee tabled its Final Report. The </w:t>
      </w:r>
      <w:r w:rsidR="00BF636E" w:rsidRPr="00DF6490">
        <w:rPr>
          <w:rStyle w:val="normaltextrun"/>
          <w:rFonts w:ascii="Calibri" w:hAnsi="Calibri" w:cs="Calibri"/>
        </w:rPr>
        <w:t>Final</w:t>
      </w:r>
      <w:r w:rsidR="00D13D6F">
        <w:rPr>
          <w:rStyle w:val="normaltextrun"/>
          <w:rFonts w:ascii="Calibri" w:hAnsi="Calibri" w:cs="Calibri"/>
        </w:rPr>
        <w:t> </w:t>
      </w:r>
      <w:r w:rsidR="00BF636E" w:rsidRPr="00DF6490">
        <w:rPr>
          <w:rStyle w:val="normaltextrun"/>
          <w:rFonts w:ascii="Calibri" w:hAnsi="Calibri" w:cs="Calibri"/>
        </w:rPr>
        <w:t xml:space="preserve">Report </w:t>
      </w:r>
      <w:r w:rsidR="00001A7A" w:rsidRPr="00DF6490">
        <w:rPr>
          <w:rStyle w:val="normaltextrun"/>
          <w:rFonts w:ascii="Calibri" w:hAnsi="Calibri" w:cs="Calibri"/>
        </w:rPr>
        <w:t>built on the Interim Report</w:t>
      </w:r>
      <w:r w:rsidR="004F5C72" w:rsidRPr="00DF6490">
        <w:rPr>
          <w:rStyle w:val="normaltextrun"/>
          <w:rFonts w:ascii="Calibri" w:hAnsi="Calibri" w:cs="Calibri"/>
        </w:rPr>
        <w:t xml:space="preserve"> by</w:t>
      </w:r>
      <w:r w:rsidR="00001A7A" w:rsidRPr="00DF6490">
        <w:rPr>
          <w:rStyle w:val="normaltextrun"/>
          <w:rFonts w:ascii="Calibri" w:hAnsi="Calibri" w:cs="Calibri"/>
        </w:rPr>
        <w:t xml:space="preserve"> consider</w:t>
      </w:r>
      <w:r w:rsidR="004F5C72" w:rsidRPr="00DF6490">
        <w:rPr>
          <w:rStyle w:val="normaltextrun"/>
          <w:rFonts w:ascii="Calibri" w:hAnsi="Calibri" w:cs="Calibri"/>
        </w:rPr>
        <w:t>ing</w:t>
      </w:r>
      <w:r w:rsidR="00001A7A" w:rsidRPr="00DF6490">
        <w:rPr>
          <w:rStyle w:val="normaltextrun"/>
          <w:rFonts w:ascii="Calibri" w:hAnsi="Calibri" w:cs="Calibri"/>
        </w:rPr>
        <w:t xml:space="preserve"> </w:t>
      </w:r>
      <w:r w:rsidR="00792435" w:rsidRPr="00DF6490">
        <w:rPr>
          <w:rStyle w:val="normaltextrun"/>
          <w:rFonts w:ascii="Calibri" w:hAnsi="Calibri" w:cs="Calibri"/>
        </w:rPr>
        <w:t>a variety of</w:t>
      </w:r>
      <w:r w:rsidR="00001A7A" w:rsidRPr="00DF6490">
        <w:rPr>
          <w:rStyle w:val="normaltextrun"/>
          <w:rFonts w:ascii="Calibri" w:hAnsi="Calibri" w:cs="Calibri"/>
        </w:rPr>
        <w:t xml:space="preserve"> issues within the work and care system</w:t>
      </w:r>
      <w:r w:rsidR="1733532C" w:rsidRPr="00DF6490">
        <w:rPr>
          <w:rStyle w:val="normaltextrun"/>
          <w:rFonts w:ascii="Calibri" w:hAnsi="Calibri" w:cs="Calibri"/>
        </w:rPr>
        <w:t>. It</w:t>
      </w:r>
      <w:r w:rsidR="00001A7A" w:rsidRPr="00DF6490">
        <w:rPr>
          <w:rStyle w:val="normaltextrun"/>
          <w:rFonts w:ascii="Calibri" w:hAnsi="Calibri" w:cs="Calibri"/>
        </w:rPr>
        <w:t xml:space="preserve"> put forward 33 recommendations</w:t>
      </w:r>
      <w:r w:rsidR="002045FB" w:rsidRPr="00DF6490">
        <w:rPr>
          <w:rStyle w:val="normaltextrun"/>
          <w:rFonts w:ascii="Calibri" w:hAnsi="Calibri" w:cs="Calibri"/>
        </w:rPr>
        <w:t xml:space="preserve"> </w:t>
      </w:r>
      <w:r w:rsidR="00F30293" w:rsidRPr="00DF6490">
        <w:rPr>
          <w:rStyle w:val="normaltextrun"/>
          <w:rFonts w:ascii="Calibri" w:hAnsi="Calibri" w:cs="Calibri"/>
        </w:rPr>
        <w:t>“</w:t>
      </w:r>
      <w:r w:rsidR="00F30293" w:rsidRPr="273A57E7">
        <w:rPr>
          <w:rStyle w:val="normaltextrun"/>
          <w:rFonts w:ascii="Calibri" w:hAnsi="Calibri" w:cs="Calibri"/>
          <w:i/>
          <w:iCs/>
        </w:rPr>
        <w:t>for structural reform to early childhood education and care, respite care, support payments and workplace relations arrangements, including pay, leave, rostering, hours of work, flexibility and job security, amongst others</w:t>
      </w:r>
      <w:r w:rsidR="00901D32" w:rsidRPr="273A57E7">
        <w:rPr>
          <w:rStyle w:val="normaltextrun"/>
          <w:rFonts w:ascii="Calibri" w:hAnsi="Calibri" w:cs="Calibri"/>
          <w:i/>
          <w:iCs/>
        </w:rPr>
        <w:t>”</w:t>
      </w:r>
      <w:r w:rsidR="00F30293" w:rsidRPr="273A57E7">
        <w:rPr>
          <w:rStyle w:val="normaltextrun"/>
          <w:rFonts w:ascii="Calibri" w:hAnsi="Calibri" w:cs="Calibri"/>
          <w:i/>
          <w:iCs/>
        </w:rPr>
        <w:t>.</w:t>
      </w:r>
      <w:r w:rsidR="00605583" w:rsidRPr="00062FAB">
        <w:rPr>
          <w:rStyle w:val="FootnoteReference"/>
          <w:rFonts w:ascii="Calibri" w:hAnsi="Calibri" w:cs="Calibri"/>
        </w:rPr>
        <w:footnoteReference w:id="2"/>
      </w:r>
      <w:r w:rsidR="00F30293" w:rsidRPr="00DF6490">
        <w:rPr>
          <w:rStyle w:val="normaltextrun"/>
          <w:rFonts w:ascii="Calibri" w:hAnsi="Calibri" w:cs="Calibri"/>
        </w:rPr>
        <w:t xml:space="preserve"> </w:t>
      </w:r>
    </w:p>
    <w:p w14:paraId="5889BFE4" w14:textId="77777777" w:rsidR="00FF3913" w:rsidRDefault="00FF3913" w:rsidP="00C25DB7">
      <w:pPr>
        <w:rPr>
          <w:rStyle w:val="normaltextrun"/>
          <w:rFonts w:ascii="Calibri" w:hAnsi="Calibri" w:cs="Calibri"/>
        </w:rPr>
      </w:pPr>
    </w:p>
    <w:p w14:paraId="7E75B558" w14:textId="37A0E84B" w:rsidR="00865C4B" w:rsidRPr="00DF6490" w:rsidRDefault="00901D32" w:rsidP="00C25DB7">
      <w:pPr>
        <w:rPr>
          <w:rStyle w:val="Hyperlink"/>
          <w:rFonts w:eastAsia="Calibri" w:cstheme="minorHAnsi"/>
        </w:rPr>
      </w:pPr>
      <w:r w:rsidRPr="00DF6490">
        <w:rPr>
          <w:rStyle w:val="normaltextrun"/>
          <w:rFonts w:ascii="Calibri" w:hAnsi="Calibri" w:cs="Calibri"/>
        </w:rPr>
        <w:t>The Committee noted that</w:t>
      </w:r>
      <w:r w:rsidR="00F30293" w:rsidRPr="00DF6490">
        <w:rPr>
          <w:rStyle w:val="normaltextrun"/>
          <w:rFonts w:ascii="Calibri" w:hAnsi="Calibri" w:cs="Calibri"/>
        </w:rPr>
        <w:t xml:space="preserve"> </w:t>
      </w:r>
      <w:r w:rsidR="00A57AAE" w:rsidRPr="00DF6490">
        <w:rPr>
          <w:rStyle w:val="normaltextrun"/>
          <w:rFonts w:ascii="Calibri" w:hAnsi="Calibri" w:cs="Calibri"/>
        </w:rPr>
        <w:t>t</w:t>
      </w:r>
      <w:r w:rsidR="00F30293" w:rsidRPr="00DF6490">
        <w:rPr>
          <w:rStyle w:val="normaltextrun"/>
          <w:rFonts w:ascii="Calibri" w:hAnsi="Calibri" w:cs="Calibri"/>
        </w:rPr>
        <w:t xml:space="preserve">he recommendations </w:t>
      </w:r>
      <w:r w:rsidR="00A57AAE" w:rsidRPr="00DF6490">
        <w:rPr>
          <w:rStyle w:val="normaltextrun"/>
          <w:rFonts w:ascii="Calibri" w:hAnsi="Calibri" w:cs="Calibri"/>
        </w:rPr>
        <w:t>“</w:t>
      </w:r>
      <w:r w:rsidR="00F30293" w:rsidRPr="00E41BBA">
        <w:rPr>
          <w:rStyle w:val="normaltextrun"/>
          <w:rFonts w:ascii="Calibri" w:hAnsi="Calibri" w:cs="Calibri"/>
          <w:i/>
          <w:iCs/>
        </w:rPr>
        <w:t>are intended to support workers with caring responsibilities, and to promote more</w:t>
      </w:r>
      <w:r w:rsidR="003043C3" w:rsidRPr="00E41BBA">
        <w:rPr>
          <w:rStyle w:val="normaltextrun"/>
          <w:rFonts w:ascii="Calibri" w:hAnsi="Calibri" w:cs="Calibri"/>
          <w:i/>
          <w:iCs/>
        </w:rPr>
        <w:t xml:space="preserve"> inclusive, flexible and responsive workplaces, by creating the conditions that allow people to better combine work and care</w:t>
      </w:r>
      <w:r w:rsidR="00A57AAE" w:rsidRPr="00DF6490">
        <w:rPr>
          <w:rStyle w:val="normaltextrun"/>
          <w:rFonts w:ascii="Calibri" w:hAnsi="Calibri" w:cs="Calibri"/>
        </w:rPr>
        <w:t>”.</w:t>
      </w:r>
      <w:r w:rsidR="0089327A">
        <w:rPr>
          <w:rStyle w:val="FootnoteReference"/>
          <w:rFonts w:ascii="Calibri" w:hAnsi="Calibri" w:cs="Calibri"/>
        </w:rPr>
        <w:footnoteReference w:id="3"/>
      </w:r>
      <w:r w:rsidR="00DF790E" w:rsidRPr="00DF6490">
        <w:rPr>
          <w:rStyle w:val="normaltextrun"/>
          <w:rFonts w:ascii="Calibri" w:hAnsi="Calibri" w:cs="Calibri"/>
        </w:rPr>
        <w:t xml:space="preserve"> </w:t>
      </w:r>
      <w:r w:rsidR="00111654" w:rsidRPr="00E604E9">
        <w:rPr>
          <w:rStyle w:val="normaltextrun"/>
          <w:rFonts w:ascii="Calibri" w:hAnsi="Calibri" w:cs="Calibri"/>
        </w:rPr>
        <w:t>Government,</w:t>
      </w:r>
      <w:r w:rsidR="00111654">
        <w:rPr>
          <w:rStyle w:val="normaltextrun"/>
          <w:rFonts w:ascii="Calibri" w:hAnsi="Calibri" w:cs="Calibri"/>
        </w:rPr>
        <w:t xml:space="preserve"> </w:t>
      </w:r>
      <w:r w:rsidR="00DD10E4" w:rsidRPr="00DF6490">
        <w:rPr>
          <w:rStyle w:val="eop"/>
          <w:rFonts w:ascii="Calibri" w:hAnsi="Calibri" w:cs="Calibri"/>
        </w:rPr>
        <w:t xml:space="preserve">Coalition and Australian Greens </w:t>
      </w:r>
      <w:r w:rsidR="0055473B">
        <w:rPr>
          <w:rStyle w:val="eop"/>
          <w:rFonts w:ascii="Calibri" w:hAnsi="Calibri" w:cs="Calibri"/>
        </w:rPr>
        <w:t>s</w:t>
      </w:r>
      <w:r w:rsidR="00DD10E4" w:rsidRPr="00DF6490">
        <w:rPr>
          <w:rStyle w:val="eop"/>
          <w:rFonts w:ascii="Calibri" w:hAnsi="Calibri" w:cs="Calibri"/>
        </w:rPr>
        <w:t>enators made additional comments and recommendations.</w:t>
      </w:r>
      <w:r w:rsidR="00FF3913">
        <w:rPr>
          <w:rStyle w:val="eop"/>
          <w:rFonts w:ascii="Calibri" w:hAnsi="Calibri" w:cs="Calibri"/>
        </w:rPr>
        <w:t xml:space="preserve"> </w:t>
      </w:r>
      <w:r w:rsidR="00041890" w:rsidRPr="00DF6490">
        <w:t xml:space="preserve">The Committee’s reports can be found at </w:t>
      </w:r>
      <w:hyperlink r:id="rId12" w:history="1">
        <w:r w:rsidR="008F7A12" w:rsidRPr="008F7A12">
          <w:rPr>
            <w:rStyle w:val="Hyperlink"/>
            <w:rFonts w:eastAsia="Calibri" w:cstheme="minorHAnsi"/>
            <w:color w:val="auto"/>
          </w:rPr>
          <w:t>www.aph.gov.au/Parliamentary_Business/Committees/Senate/Work_and_Care</w:t>
        </w:r>
      </w:hyperlink>
      <w:r w:rsidR="00062FAB" w:rsidRPr="008F7A12">
        <w:rPr>
          <w:rStyle w:val="Hyperlink"/>
          <w:rFonts w:eastAsia="Calibri" w:cstheme="minorHAnsi"/>
          <w:color w:val="auto"/>
          <w:u w:val="none"/>
        </w:rPr>
        <w:t>.</w:t>
      </w:r>
    </w:p>
    <w:p w14:paraId="1AA985EE" w14:textId="0F79835E" w:rsidR="00865C4B" w:rsidRPr="00DF6490" w:rsidRDefault="00865C4B" w:rsidP="00C25DB7">
      <w:pPr>
        <w:rPr>
          <w:rStyle w:val="Hyperlink"/>
          <w:rFonts w:eastAsia="Calibri" w:cstheme="minorHAnsi"/>
        </w:rPr>
      </w:pPr>
    </w:p>
    <w:p w14:paraId="1BA84814" w14:textId="490C8638" w:rsidR="00865C4B" w:rsidRDefault="009F1859" w:rsidP="00C25DB7">
      <w:pPr>
        <w:pStyle w:val="Heading2"/>
      </w:pPr>
      <w:bookmarkStart w:id="16" w:name="_Toc170224169"/>
      <w:r w:rsidRPr="00766ED4">
        <w:t>Overview of the Government Response</w:t>
      </w:r>
      <w:bookmarkEnd w:id="16"/>
    </w:p>
    <w:p w14:paraId="434BF5E2" w14:textId="77777777" w:rsidR="00DF668F" w:rsidRPr="00DF668F" w:rsidRDefault="00DF668F" w:rsidP="00DF668F"/>
    <w:p w14:paraId="41E92344" w14:textId="6F83B33E" w:rsidR="004933C9" w:rsidRPr="00DF6490" w:rsidRDefault="004933C9" w:rsidP="004933C9">
      <w:r w:rsidRPr="00DF6490">
        <w:t xml:space="preserve">The Australian Government would like to thank all those who assisted in the Committee’s </w:t>
      </w:r>
      <w:r w:rsidR="005C6220">
        <w:t>I</w:t>
      </w:r>
      <w:r w:rsidRPr="00DF6490">
        <w:t xml:space="preserve">nquiry. We particularly acknowledge </w:t>
      </w:r>
      <w:r w:rsidR="00173B3A">
        <w:t>the</w:t>
      </w:r>
      <w:r w:rsidR="00173B3A" w:rsidRPr="00DF6490">
        <w:t xml:space="preserve"> </w:t>
      </w:r>
      <w:r w:rsidRPr="00DF6490">
        <w:t>carers and workers who shared their experiences and ideas for improving the wellbeing of workers, carers, and those they care for.</w:t>
      </w:r>
    </w:p>
    <w:p w14:paraId="27FAB5A1" w14:textId="77777777" w:rsidR="004933C9" w:rsidRPr="00DF6490" w:rsidRDefault="004933C9" w:rsidP="004933C9"/>
    <w:p w14:paraId="5816B7BB" w14:textId="2A803F72" w:rsidR="004933C9" w:rsidRPr="00DF6490" w:rsidRDefault="004933C9" w:rsidP="004933C9">
      <w:r>
        <w:t xml:space="preserve">Throughout the </w:t>
      </w:r>
      <w:r w:rsidR="005C6220">
        <w:t>I</w:t>
      </w:r>
      <w:r>
        <w:t>nquiry, the Committee received evidence and heard lived experiences about the challenges of combining work and care responsibilities. The Committee considered th</w:t>
      </w:r>
      <w:r w:rsidR="00905F2E">
        <w:t>es</w:t>
      </w:r>
      <w:r>
        <w:t>e impact</w:t>
      </w:r>
      <w:r w:rsidR="00DE1236">
        <w:t>s,</w:t>
      </w:r>
      <w:r>
        <w:t xml:space="preserve"> as well as the </w:t>
      </w:r>
      <w:r w:rsidR="00173B3A">
        <w:t xml:space="preserve">interrelated </w:t>
      </w:r>
      <w:r>
        <w:t xml:space="preserve">challenges faced by women, culturally and linguistically diverse </w:t>
      </w:r>
      <w:r w:rsidR="00173B3A">
        <w:t>communities</w:t>
      </w:r>
      <w:r w:rsidR="00F11740">
        <w:t xml:space="preserve">, </w:t>
      </w:r>
      <w:r>
        <w:t>First Nations peoples, people with disability, veterans, young people</w:t>
      </w:r>
      <w:r w:rsidR="17449E5E">
        <w:t>,</w:t>
      </w:r>
      <w:r>
        <w:t xml:space="preserve"> and </w:t>
      </w:r>
      <w:r w:rsidR="00937AA6">
        <w:t xml:space="preserve">circumstances that can affect </w:t>
      </w:r>
      <w:r w:rsidR="00F11740">
        <w:t xml:space="preserve">all </w:t>
      </w:r>
      <w:r>
        <w:t xml:space="preserve">Australians. </w:t>
      </w:r>
    </w:p>
    <w:p w14:paraId="133F2894" w14:textId="77777777" w:rsidR="004933C9" w:rsidRDefault="004933C9" w:rsidP="00C25DB7"/>
    <w:p w14:paraId="44EBE800" w14:textId="3D3FB92E" w:rsidR="00E44DC1" w:rsidRPr="00DF6490" w:rsidRDefault="005F31BE" w:rsidP="00C25DB7">
      <w:r>
        <w:t xml:space="preserve">The Government welcomes the </w:t>
      </w:r>
      <w:r w:rsidR="3E234BCF">
        <w:t>finding</w:t>
      </w:r>
      <w:r>
        <w:t>s of the Committee</w:t>
      </w:r>
      <w:r w:rsidR="12AE138E">
        <w:t>.</w:t>
      </w:r>
      <w:r w:rsidR="009F5024">
        <w:t xml:space="preserve"> </w:t>
      </w:r>
      <w:r w:rsidR="00E44DC1">
        <w:t>The Government’s vision is that all Australians receive high</w:t>
      </w:r>
      <w:r w:rsidR="004F62CA">
        <w:t xml:space="preserve"> </w:t>
      </w:r>
      <w:r w:rsidR="00E44DC1">
        <w:t>quality, person-centred care and support</w:t>
      </w:r>
      <w:r w:rsidR="4FD1A8F3">
        <w:t xml:space="preserve"> if they need it</w:t>
      </w:r>
      <w:r>
        <w:t>,</w:t>
      </w:r>
      <w:r w:rsidR="00E44DC1">
        <w:t xml:space="preserve"> </w:t>
      </w:r>
      <w:r>
        <w:t>d</w:t>
      </w:r>
      <w:r w:rsidR="00E44DC1">
        <w:t xml:space="preserve">elivered by workers with </w:t>
      </w:r>
      <w:r w:rsidR="00713B36">
        <w:t xml:space="preserve">quality </w:t>
      </w:r>
      <w:r w:rsidR="00E44DC1">
        <w:t xml:space="preserve">jobs, and that the systems and services that provide this care are productive and sustainable. </w:t>
      </w:r>
      <w:r w:rsidR="004F62CA">
        <w:t>The Government also</w:t>
      </w:r>
      <w:r w:rsidR="00205F61">
        <w:t xml:space="preserve"> acknowledges that fundamentally these issues are about gender equality and </w:t>
      </w:r>
      <w:r w:rsidR="004F62CA">
        <w:t>recognises the connections with the gender pay gap and the important contribution of unpaid care work to our community.</w:t>
      </w:r>
    </w:p>
    <w:p w14:paraId="061A76AA" w14:textId="77777777" w:rsidR="00FF3913" w:rsidRDefault="00FF3913" w:rsidP="00EC2268"/>
    <w:p w14:paraId="00681279" w14:textId="224A45E9" w:rsidR="001B2D43" w:rsidRPr="005715D0" w:rsidRDefault="000B637E" w:rsidP="00EC2268">
      <w:pPr>
        <w:rPr>
          <w:rFonts w:cstheme="minorHAnsi"/>
        </w:rPr>
      </w:pPr>
      <w:r w:rsidRPr="005715D0">
        <w:rPr>
          <w:rFonts w:cstheme="minorHAnsi"/>
        </w:rPr>
        <w:lastRenderedPageBreak/>
        <w:t xml:space="preserve">The Government acknowledges </w:t>
      </w:r>
      <w:r w:rsidR="000C4903" w:rsidRPr="005715D0">
        <w:rPr>
          <w:rFonts w:cstheme="minorHAnsi"/>
        </w:rPr>
        <w:t>the</w:t>
      </w:r>
      <w:r w:rsidRPr="005715D0">
        <w:rPr>
          <w:rFonts w:cstheme="minorHAnsi"/>
        </w:rPr>
        <w:t xml:space="preserve"> </w:t>
      </w:r>
      <w:r w:rsidR="003D2C02" w:rsidRPr="005715D0">
        <w:rPr>
          <w:rFonts w:cstheme="minorHAnsi"/>
        </w:rPr>
        <w:t xml:space="preserve">work and care </w:t>
      </w:r>
      <w:r w:rsidRPr="005715D0">
        <w:rPr>
          <w:rFonts w:cstheme="minorHAnsi"/>
        </w:rPr>
        <w:t xml:space="preserve">challenges </w:t>
      </w:r>
      <w:r w:rsidR="000C4903" w:rsidRPr="005715D0">
        <w:rPr>
          <w:rFonts w:cstheme="minorHAnsi"/>
        </w:rPr>
        <w:t>and</w:t>
      </w:r>
      <w:r w:rsidRPr="005715D0">
        <w:rPr>
          <w:rFonts w:cstheme="minorHAnsi"/>
        </w:rPr>
        <w:t xml:space="preserve"> impacts on </w:t>
      </w:r>
      <w:r w:rsidR="00E42702" w:rsidRPr="005715D0">
        <w:rPr>
          <w:rFonts w:cstheme="minorHAnsi"/>
        </w:rPr>
        <w:t xml:space="preserve">certain </w:t>
      </w:r>
      <w:r w:rsidRPr="005715D0">
        <w:rPr>
          <w:rFonts w:cstheme="minorHAnsi"/>
        </w:rPr>
        <w:t>cohorts. Women in Australia are more likely than men to work as carers</w:t>
      </w:r>
      <w:r w:rsidR="00E428BE" w:rsidRPr="005715D0">
        <w:rPr>
          <w:rFonts w:cstheme="minorHAnsi"/>
        </w:rPr>
        <w:t>. Women are more</w:t>
      </w:r>
      <w:r w:rsidR="009F180B" w:rsidRPr="005715D0">
        <w:rPr>
          <w:rFonts w:cstheme="minorHAnsi"/>
        </w:rPr>
        <w:t xml:space="preserve"> </w:t>
      </w:r>
      <w:r w:rsidR="00E428BE" w:rsidRPr="005715D0">
        <w:rPr>
          <w:rFonts w:cstheme="minorHAnsi"/>
        </w:rPr>
        <w:t>likely</w:t>
      </w:r>
      <w:r w:rsidRPr="005715D0">
        <w:rPr>
          <w:rFonts w:cstheme="minorHAnsi"/>
        </w:rPr>
        <w:t xml:space="preserve"> to use leave or </w:t>
      </w:r>
      <w:r w:rsidR="009B2D74" w:rsidRPr="005715D0">
        <w:rPr>
          <w:rFonts w:cstheme="minorHAnsi"/>
        </w:rPr>
        <w:t xml:space="preserve">access </w:t>
      </w:r>
      <w:r w:rsidRPr="005715D0">
        <w:rPr>
          <w:rFonts w:cstheme="minorHAnsi"/>
        </w:rPr>
        <w:t>flexible work arrangements to</w:t>
      </w:r>
      <w:r w:rsidR="006366D7" w:rsidRPr="005715D0">
        <w:rPr>
          <w:rFonts w:cstheme="minorHAnsi"/>
        </w:rPr>
        <w:t xml:space="preserve"> provide unpaid</w:t>
      </w:r>
      <w:r w:rsidRPr="005715D0">
        <w:rPr>
          <w:rFonts w:cstheme="minorHAnsi"/>
        </w:rPr>
        <w:t xml:space="preserve"> care for children and other family members. </w:t>
      </w:r>
    </w:p>
    <w:p w14:paraId="5DCF505E" w14:textId="77777777" w:rsidR="008E44C8" w:rsidRPr="005715D0" w:rsidRDefault="008E44C8" w:rsidP="00EC2268">
      <w:pPr>
        <w:rPr>
          <w:rFonts w:cstheme="minorHAnsi"/>
        </w:rPr>
      </w:pPr>
    </w:p>
    <w:p w14:paraId="39BE64E0" w14:textId="439BE247" w:rsidR="00EC2268" w:rsidRPr="005715D0" w:rsidRDefault="00B04747" w:rsidP="00EC2268">
      <w:pPr>
        <w:rPr>
          <w:rFonts w:cstheme="minorHAnsi"/>
        </w:rPr>
      </w:pPr>
      <w:r w:rsidRPr="005715D0">
        <w:rPr>
          <w:rFonts w:cstheme="minorHAnsi"/>
        </w:rPr>
        <w:t>Health care</w:t>
      </w:r>
      <w:r w:rsidR="004C596F" w:rsidRPr="005715D0">
        <w:rPr>
          <w:rFonts w:cstheme="minorHAnsi"/>
        </w:rPr>
        <w:t xml:space="preserve"> and social assistance</w:t>
      </w:r>
      <w:r w:rsidRPr="005715D0">
        <w:rPr>
          <w:rFonts w:cstheme="minorHAnsi"/>
        </w:rPr>
        <w:t xml:space="preserve"> </w:t>
      </w:r>
      <w:r w:rsidR="00243017" w:rsidRPr="005715D0">
        <w:rPr>
          <w:rFonts w:cstheme="minorHAnsi"/>
        </w:rPr>
        <w:t>is the most common industry of employment for working age First Nations women</w:t>
      </w:r>
      <w:r w:rsidR="001B2D43" w:rsidRPr="005715D0">
        <w:rPr>
          <w:rFonts w:cstheme="minorHAnsi"/>
        </w:rPr>
        <w:t>.</w:t>
      </w:r>
      <w:r w:rsidR="009F180B" w:rsidRPr="005715D0">
        <w:rPr>
          <w:rFonts w:cstheme="minorHAnsi"/>
        </w:rPr>
        <w:t xml:space="preserve"> </w:t>
      </w:r>
      <w:r w:rsidR="00243017" w:rsidRPr="005715D0">
        <w:rPr>
          <w:rFonts w:cstheme="minorHAnsi"/>
        </w:rPr>
        <w:t xml:space="preserve">First Nations peoples’ family obligations and kinship networks compound the </w:t>
      </w:r>
      <w:r w:rsidR="00A55F37" w:rsidRPr="005715D0">
        <w:rPr>
          <w:rFonts w:cstheme="minorHAnsi"/>
        </w:rPr>
        <w:t xml:space="preserve">extent </w:t>
      </w:r>
      <w:r w:rsidR="00243017" w:rsidRPr="005715D0">
        <w:rPr>
          <w:rFonts w:cstheme="minorHAnsi"/>
        </w:rPr>
        <w:t>of caring responsibilities.</w:t>
      </w:r>
      <w:r w:rsidR="003F4DA3" w:rsidRPr="005715D0">
        <w:rPr>
          <w:rFonts w:cstheme="minorHAnsi"/>
        </w:rPr>
        <w:t xml:space="preserve"> </w:t>
      </w:r>
      <w:r w:rsidR="00EC2268" w:rsidRPr="005715D0">
        <w:rPr>
          <w:rFonts w:cstheme="minorHAnsi"/>
        </w:rPr>
        <w:t>Government action</w:t>
      </w:r>
      <w:r w:rsidR="003F24B6" w:rsidRPr="005715D0">
        <w:rPr>
          <w:rFonts w:cstheme="minorHAnsi"/>
        </w:rPr>
        <w:t xml:space="preserve">, developed in consultation with community, </w:t>
      </w:r>
      <w:r w:rsidR="00937AA6" w:rsidRPr="005715D0">
        <w:rPr>
          <w:rFonts w:cstheme="minorHAnsi"/>
        </w:rPr>
        <w:t xml:space="preserve">must </w:t>
      </w:r>
      <w:r w:rsidR="00EC2268" w:rsidRPr="005715D0">
        <w:rPr>
          <w:rFonts w:cstheme="minorHAnsi"/>
        </w:rPr>
        <w:t xml:space="preserve">deliver for </w:t>
      </w:r>
      <w:r w:rsidR="00937AA6" w:rsidRPr="005715D0">
        <w:rPr>
          <w:rFonts w:cstheme="minorHAnsi"/>
        </w:rPr>
        <w:t>First Nations women.</w:t>
      </w:r>
    </w:p>
    <w:p w14:paraId="2564B3DB" w14:textId="008897FD" w:rsidR="003D2C02" w:rsidRPr="005715D0" w:rsidRDefault="003D2C02" w:rsidP="00EC2268">
      <w:pPr>
        <w:rPr>
          <w:rFonts w:cstheme="minorHAnsi"/>
        </w:rPr>
      </w:pPr>
    </w:p>
    <w:p w14:paraId="6F766963" w14:textId="36BDC7D7" w:rsidR="00A55F37" w:rsidRPr="005715D0" w:rsidRDefault="003D2C02" w:rsidP="74C2900D">
      <w:pPr>
        <w:rPr>
          <w:rFonts w:cstheme="minorHAnsi"/>
        </w:rPr>
      </w:pPr>
      <w:r w:rsidRPr="005715D0">
        <w:rPr>
          <w:rFonts w:cstheme="minorHAnsi"/>
        </w:rPr>
        <w:t xml:space="preserve">The Committee’s recommendations </w:t>
      </w:r>
      <w:r w:rsidR="007B1503" w:rsidRPr="005715D0">
        <w:rPr>
          <w:rFonts w:cstheme="minorHAnsi"/>
        </w:rPr>
        <w:t xml:space="preserve">are </w:t>
      </w:r>
      <w:r w:rsidRPr="005715D0">
        <w:rPr>
          <w:rFonts w:cstheme="minorHAnsi"/>
        </w:rPr>
        <w:t xml:space="preserve">a valuable </w:t>
      </w:r>
      <w:r w:rsidR="00A55F37" w:rsidRPr="005715D0">
        <w:rPr>
          <w:rFonts w:cstheme="minorHAnsi"/>
        </w:rPr>
        <w:t xml:space="preserve">and timely </w:t>
      </w:r>
      <w:r w:rsidRPr="005715D0">
        <w:rPr>
          <w:rFonts w:cstheme="minorHAnsi"/>
        </w:rPr>
        <w:t xml:space="preserve">contribution to </w:t>
      </w:r>
      <w:r w:rsidR="007B1503" w:rsidRPr="005715D0">
        <w:rPr>
          <w:rFonts w:cstheme="minorHAnsi"/>
        </w:rPr>
        <w:t>Australia’s</w:t>
      </w:r>
      <w:r w:rsidR="001929FC" w:rsidRPr="005715D0">
        <w:rPr>
          <w:rFonts w:cstheme="minorHAnsi"/>
        </w:rPr>
        <w:t xml:space="preserve"> work and care </w:t>
      </w:r>
      <w:r w:rsidRPr="005715D0">
        <w:rPr>
          <w:rFonts w:cstheme="minorHAnsi"/>
        </w:rPr>
        <w:t xml:space="preserve">policy discussion. While the </w:t>
      </w:r>
      <w:r w:rsidR="00937AA6" w:rsidRPr="005715D0">
        <w:rPr>
          <w:rFonts w:cstheme="minorHAnsi"/>
        </w:rPr>
        <w:t xml:space="preserve">recommendation’s </w:t>
      </w:r>
      <w:r w:rsidRPr="005715D0">
        <w:rPr>
          <w:rFonts w:cstheme="minorHAnsi"/>
        </w:rPr>
        <w:t xml:space="preserve">themes are consistent with Government policy, </w:t>
      </w:r>
      <w:r w:rsidR="00274D9C" w:rsidRPr="005715D0">
        <w:rPr>
          <w:rFonts w:cstheme="minorHAnsi"/>
        </w:rPr>
        <w:t xml:space="preserve">Government needs to consider </w:t>
      </w:r>
      <w:r w:rsidRPr="005715D0">
        <w:rPr>
          <w:rFonts w:cstheme="minorHAnsi"/>
        </w:rPr>
        <w:t>implementation</w:t>
      </w:r>
      <w:r w:rsidR="00A55F37" w:rsidRPr="005715D0">
        <w:rPr>
          <w:rFonts w:cstheme="minorHAnsi"/>
        </w:rPr>
        <w:t xml:space="preserve">, </w:t>
      </w:r>
      <w:r w:rsidRPr="005715D0">
        <w:rPr>
          <w:rFonts w:cstheme="minorHAnsi"/>
        </w:rPr>
        <w:t>with regard for the broader budgetary implications and legislative context.</w:t>
      </w:r>
      <w:r w:rsidR="008335EF" w:rsidRPr="005715D0">
        <w:rPr>
          <w:rFonts w:cstheme="minorHAnsi"/>
        </w:rPr>
        <w:t xml:space="preserve"> As part of this process, the Government has referred all relevant findings and recommendations to the Fair Work Commission for consideration as part of the Modern Awards Review</w:t>
      </w:r>
      <w:r w:rsidR="00472ED4" w:rsidRPr="005715D0">
        <w:rPr>
          <w:rFonts w:cstheme="minorHAnsi"/>
        </w:rPr>
        <w:t xml:space="preserve"> 2023–24 </w:t>
      </w:r>
      <w:r w:rsidR="008335EF" w:rsidRPr="005715D0">
        <w:rPr>
          <w:rFonts w:cstheme="minorHAnsi"/>
        </w:rPr>
        <w:t>requested by the Minister for Employment and Workplace Relations.</w:t>
      </w:r>
    </w:p>
    <w:p w14:paraId="5CEA2CEF" w14:textId="77777777" w:rsidR="00A55F37" w:rsidRPr="005715D0" w:rsidRDefault="00A55F37" w:rsidP="74C2900D">
      <w:pPr>
        <w:rPr>
          <w:rFonts w:cstheme="minorHAnsi"/>
        </w:rPr>
      </w:pPr>
    </w:p>
    <w:p w14:paraId="6CC33862" w14:textId="28E9F9DC" w:rsidR="003B6334" w:rsidRPr="005715D0" w:rsidRDefault="00646BC9" w:rsidP="74C2900D">
      <w:pPr>
        <w:rPr>
          <w:rFonts w:cstheme="minorHAnsi"/>
        </w:rPr>
      </w:pPr>
      <w:r w:rsidRPr="005715D0">
        <w:rPr>
          <w:rFonts w:cstheme="minorHAnsi"/>
        </w:rPr>
        <w:t xml:space="preserve">Underpinned by </w:t>
      </w:r>
      <w:r w:rsidRPr="005715D0">
        <w:rPr>
          <w:rFonts w:cstheme="minorHAnsi"/>
          <w:i/>
          <w:iCs/>
        </w:rPr>
        <w:t>Working for Women: A Strategy for Gender Equality</w:t>
      </w:r>
      <w:r w:rsidRPr="005715D0">
        <w:rPr>
          <w:rFonts w:cstheme="minorHAnsi"/>
        </w:rPr>
        <w:t>,</w:t>
      </w:r>
      <w:r w:rsidR="00D80039" w:rsidRPr="005715D0">
        <w:rPr>
          <w:rFonts w:cstheme="minorHAnsi"/>
        </w:rPr>
        <w:t xml:space="preserve"> </w:t>
      </w:r>
      <w:r w:rsidRPr="005715D0">
        <w:rPr>
          <w:rFonts w:cstheme="minorHAnsi"/>
          <w:lang w:eastAsia="en-AU"/>
        </w:rPr>
        <w:t>k</w:t>
      </w:r>
      <w:r w:rsidR="00A45AC1" w:rsidRPr="005715D0">
        <w:rPr>
          <w:rFonts w:cstheme="minorHAnsi"/>
          <w:lang w:eastAsia="en-AU"/>
        </w:rPr>
        <w:t xml:space="preserve">ey activities underway across government </w:t>
      </w:r>
      <w:r w:rsidR="4AE7F9F7" w:rsidRPr="005715D0">
        <w:rPr>
          <w:rFonts w:cstheme="minorHAnsi"/>
        </w:rPr>
        <w:t>includ</w:t>
      </w:r>
      <w:r w:rsidR="00924898" w:rsidRPr="005715D0">
        <w:rPr>
          <w:rFonts w:cstheme="minorHAnsi"/>
        </w:rPr>
        <w:t>e</w:t>
      </w:r>
      <w:r w:rsidR="003E7543" w:rsidRPr="005715D0">
        <w:rPr>
          <w:rFonts w:cstheme="minorHAnsi"/>
        </w:rPr>
        <w:t>:</w:t>
      </w:r>
      <w:r w:rsidR="4AE7F9F7" w:rsidRPr="005715D0">
        <w:rPr>
          <w:rFonts w:cstheme="minorHAnsi"/>
        </w:rPr>
        <w:t xml:space="preserve"> </w:t>
      </w:r>
    </w:p>
    <w:p w14:paraId="2BB047EF" w14:textId="61FB140F" w:rsidR="000C0133" w:rsidRPr="005715D0" w:rsidRDefault="000C0133" w:rsidP="000C0133">
      <w:pPr>
        <w:pStyle w:val="ListParagraph"/>
        <w:numPr>
          <w:ilvl w:val="0"/>
          <w:numId w:val="14"/>
        </w:numPr>
        <w:rPr>
          <w:rFonts w:cstheme="minorHAnsi"/>
          <w:sz w:val="24"/>
          <w:szCs w:val="24"/>
        </w:rPr>
      </w:pPr>
      <w:r w:rsidRPr="005715D0">
        <w:rPr>
          <w:rFonts w:cstheme="minorHAnsi"/>
          <w:sz w:val="24"/>
          <w:szCs w:val="24"/>
        </w:rPr>
        <w:t xml:space="preserve">expanding the Government's Paid Parental Leave </w:t>
      </w:r>
      <w:r w:rsidR="006A76FD" w:rsidRPr="005715D0">
        <w:rPr>
          <w:rFonts w:cstheme="minorHAnsi"/>
          <w:sz w:val="24"/>
          <w:szCs w:val="24"/>
        </w:rPr>
        <w:t>s</w:t>
      </w:r>
      <w:r w:rsidRPr="005715D0">
        <w:rPr>
          <w:rFonts w:cstheme="minorHAnsi"/>
          <w:sz w:val="24"/>
          <w:szCs w:val="24"/>
        </w:rPr>
        <w:t>cheme</w:t>
      </w:r>
    </w:p>
    <w:p w14:paraId="540B07A3" w14:textId="263DC8F8" w:rsidR="00937AA6" w:rsidRPr="005715D0" w:rsidRDefault="00937AA6" w:rsidP="00937AA6">
      <w:pPr>
        <w:pStyle w:val="ListParagraph"/>
        <w:numPr>
          <w:ilvl w:val="0"/>
          <w:numId w:val="14"/>
        </w:numPr>
        <w:rPr>
          <w:rFonts w:cstheme="minorHAnsi"/>
          <w:sz w:val="24"/>
          <w:szCs w:val="24"/>
        </w:rPr>
      </w:pPr>
      <w:r w:rsidRPr="005715D0">
        <w:rPr>
          <w:rFonts w:cstheme="minorHAnsi"/>
          <w:sz w:val="24"/>
          <w:szCs w:val="24"/>
        </w:rPr>
        <w:t xml:space="preserve">committing to pay superannuation on government-funded </w:t>
      </w:r>
      <w:r w:rsidR="006A76FD" w:rsidRPr="005715D0">
        <w:rPr>
          <w:rFonts w:cstheme="minorHAnsi"/>
          <w:sz w:val="24"/>
          <w:szCs w:val="24"/>
        </w:rPr>
        <w:t>p</w:t>
      </w:r>
      <w:r w:rsidRPr="005715D0">
        <w:rPr>
          <w:rFonts w:cstheme="minorHAnsi"/>
          <w:sz w:val="24"/>
          <w:szCs w:val="24"/>
        </w:rPr>
        <w:t xml:space="preserve">aid </w:t>
      </w:r>
      <w:r w:rsidR="006A76FD" w:rsidRPr="005715D0">
        <w:rPr>
          <w:rFonts w:cstheme="minorHAnsi"/>
          <w:sz w:val="24"/>
          <w:szCs w:val="24"/>
        </w:rPr>
        <w:t>p</w:t>
      </w:r>
      <w:r w:rsidRPr="005715D0">
        <w:rPr>
          <w:rFonts w:cstheme="minorHAnsi"/>
          <w:sz w:val="24"/>
          <w:szCs w:val="24"/>
        </w:rPr>
        <w:t xml:space="preserve">arental </w:t>
      </w:r>
      <w:r w:rsidR="006A76FD" w:rsidRPr="005715D0">
        <w:rPr>
          <w:rFonts w:cstheme="minorHAnsi"/>
          <w:sz w:val="24"/>
          <w:szCs w:val="24"/>
        </w:rPr>
        <w:t>l</w:t>
      </w:r>
      <w:r w:rsidRPr="005715D0">
        <w:rPr>
          <w:rFonts w:cstheme="minorHAnsi"/>
          <w:sz w:val="24"/>
          <w:szCs w:val="24"/>
        </w:rPr>
        <w:t>eave</w:t>
      </w:r>
    </w:p>
    <w:p w14:paraId="24C46DDF" w14:textId="0ADA20CA" w:rsidR="000C0133" w:rsidRPr="005715D0" w:rsidRDefault="00A46732" w:rsidP="000C0133">
      <w:pPr>
        <w:pStyle w:val="ListParagraph"/>
        <w:numPr>
          <w:ilvl w:val="0"/>
          <w:numId w:val="14"/>
        </w:numPr>
        <w:rPr>
          <w:rFonts w:cstheme="minorHAnsi"/>
          <w:sz w:val="24"/>
          <w:szCs w:val="24"/>
        </w:rPr>
      </w:pPr>
      <w:r w:rsidRPr="005715D0">
        <w:rPr>
          <w:rFonts w:cstheme="minorHAnsi"/>
          <w:sz w:val="24"/>
          <w:szCs w:val="24"/>
        </w:rPr>
        <w:t xml:space="preserve">implementing </w:t>
      </w:r>
      <w:r w:rsidR="000C0133" w:rsidRPr="005715D0">
        <w:rPr>
          <w:rFonts w:cstheme="minorHAnsi"/>
          <w:sz w:val="24"/>
          <w:szCs w:val="24"/>
        </w:rPr>
        <w:t xml:space="preserve">significant legislative reforms to the </w:t>
      </w:r>
      <w:r w:rsidR="000C0133" w:rsidRPr="005715D0">
        <w:rPr>
          <w:rFonts w:cstheme="minorHAnsi"/>
          <w:i/>
          <w:iCs/>
          <w:sz w:val="24"/>
          <w:szCs w:val="24"/>
        </w:rPr>
        <w:t>Fair Work Act 2009</w:t>
      </w:r>
    </w:p>
    <w:p w14:paraId="165BE7A3" w14:textId="0290DCBD" w:rsidR="00937AA6" w:rsidRPr="005715D0" w:rsidRDefault="00937AA6" w:rsidP="00937AA6">
      <w:pPr>
        <w:pStyle w:val="ListParagraph"/>
        <w:numPr>
          <w:ilvl w:val="0"/>
          <w:numId w:val="14"/>
        </w:numPr>
        <w:rPr>
          <w:rFonts w:cstheme="minorHAnsi"/>
          <w:sz w:val="24"/>
          <w:szCs w:val="24"/>
        </w:rPr>
      </w:pPr>
      <w:r w:rsidRPr="005715D0">
        <w:rPr>
          <w:rFonts w:cstheme="minorHAnsi"/>
          <w:sz w:val="24"/>
          <w:szCs w:val="24"/>
        </w:rPr>
        <w:t>supporting the Fair Work Commission’s Modern Awards Review 2023</w:t>
      </w:r>
      <w:r w:rsidR="00CF3A0E" w:rsidRPr="005715D0">
        <w:rPr>
          <w:rFonts w:cstheme="minorHAnsi"/>
          <w:sz w:val="24"/>
          <w:szCs w:val="24"/>
        </w:rPr>
        <w:t>–</w:t>
      </w:r>
      <w:r w:rsidRPr="005715D0">
        <w:rPr>
          <w:rFonts w:cstheme="minorHAnsi"/>
          <w:sz w:val="24"/>
          <w:szCs w:val="24"/>
        </w:rPr>
        <w:t>24</w:t>
      </w:r>
    </w:p>
    <w:p w14:paraId="5ED219ED" w14:textId="77777777" w:rsidR="00937AA6" w:rsidRPr="005715D0" w:rsidRDefault="00937AA6" w:rsidP="00937AA6">
      <w:pPr>
        <w:pStyle w:val="ListParagraph"/>
        <w:numPr>
          <w:ilvl w:val="0"/>
          <w:numId w:val="14"/>
        </w:numPr>
        <w:rPr>
          <w:rFonts w:cstheme="minorHAnsi"/>
          <w:sz w:val="24"/>
          <w:szCs w:val="24"/>
        </w:rPr>
      </w:pPr>
      <w:r w:rsidRPr="005715D0">
        <w:rPr>
          <w:rFonts w:cstheme="minorHAnsi"/>
          <w:sz w:val="24"/>
          <w:szCs w:val="24"/>
        </w:rPr>
        <w:t>delivering the National Carer Strategy</w:t>
      </w:r>
    </w:p>
    <w:p w14:paraId="0E2E6CBA" w14:textId="4EBE0929" w:rsidR="000C0133" w:rsidRPr="005715D0" w:rsidRDefault="005175FA" w:rsidP="008A7D83">
      <w:pPr>
        <w:pStyle w:val="ListParagraph"/>
        <w:numPr>
          <w:ilvl w:val="0"/>
          <w:numId w:val="14"/>
        </w:numPr>
        <w:rPr>
          <w:rFonts w:cstheme="minorHAnsi"/>
          <w:sz w:val="24"/>
          <w:szCs w:val="24"/>
        </w:rPr>
      </w:pPr>
      <w:r w:rsidRPr="005715D0">
        <w:rPr>
          <w:rFonts w:cstheme="minorHAnsi"/>
          <w:sz w:val="24"/>
          <w:szCs w:val="24"/>
        </w:rPr>
        <w:t xml:space="preserve">commissioning </w:t>
      </w:r>
      <w:r w:rsidR="000C0133" w:rsidRPr="005715D0">
        <w:rPr>
          <w:rFonts w:cstheme="minorHAnsi"/>
          <w:sz w:val="24"/>
          <w:szCs w:val="24"/>
        </w:rPr>
        <w:t xml:space="preserve">the Productivity Commission’s inquiry into the early childhood education and care </w:t>
      </w:r>
      <w:r w:rsidR="004F7B2D" w:rsidRPr="005715D0">
        <w:rPr>
          <w:rFonts w:cstheme="minorHAnsi"/>
          <w:sz w:val="24"/>
          <w:szCs w:val="24"/>
        </w:rPr>
        <w:t xml:space="preserve">(ECEC) </w:t>
      </w:r>
      <w:r w:rsidR="000C0133" w:rsidRPr="005715D0">
        <w:rPr>
          <w:rFonts w:cstheme="minorHAnsi"/>
          <w:sz w:val="24"/>
          <w:szCs w:val="24"/>
        </w:rPr>
        <w:t>sector in Australia</w:t>
      </w:r>
    </w:p>
    <w:p w14:paraId="260DC2D6" w14:textId="52D0DBFB" w:rsidR="000C0133" w:rsidRPr="005715D0" w:rsidRDefault="008A7968" w:rsidP="000C0133">
      <w:pPr>
        <w:pStyle w:val="ListParagraph"/>
        <w:numPr>
          <w:ilvl w:val="0"/>
          <w:numId w:val="14"/>
        </w:numPr>
        <w:rPr>
          <w:rFonts w:cstheme="minorHAnsi"/>
          <w:sz w:val="24"/>
          <w:szCs w:val="24"/>
        </w:rPr>
      </w:pPr>
      <w:r w:rsidRPr="005715D0">
        <w:rPr>
          <w:rFonts w:cstheme="minorHAnsi"/>
          <w:sz w:val="24"/>
          <w:szCs w:val="24"/>
        </w:rPr>
        <w:t xml:space="preserve">providing </w:t>
      </w:r>
      <w:r w:rsidR="000C0133" w:rsidRPr="005715D0">
        <w:rPr>
          <w:rFonts w:cstheme="minorHAnsi"/>
          <w:sz w:val="24"/>
          <w:szCs w:val="24"/>
        </w:rPr>
        <w:t>the Carer Inclusive Workplace Initiative, and</w:t>
      </w:r>
    </w:p>
    <w:p w14:paraId="78F8461C" w14:textId="31D16278" w:rsidR="000C0133" w:rsidRPr="005715D0" w:rsidRDefault="00575486" w:rsidP="000C0133">
      <w:pPr>
        <w:pStyle w:val="ListParagraph"/>
        <w:numPr>
          <w:ilvl w:val="0"/>
          <w:numId w:val="14"/>
        </w:numPr>
        <w:rPr>
          <w:rFonts w:cstheme="minorHAnsi"/>
          <w:sz w:val="24"/>
          <w:szCs w:val="24"/>
        </w:rPr>
      </w:pPr>
      <w:r w:rsidRPr="005715D0">
        <w:rPr>
          <w:rFonts w:cstheme="minorHAnsi"/>
          <w:sz w:val="24"/>
          <w:szCs w:val="24"/>
        </w:rPr>
        <w:t xml:space="preserve">evaluating </w:t>
      </w:r>
      <w:r w:rsidR="000C0133" w:rsidRPr="005715D0">
        <w:rPr>
          <w:rFonts w:cstheme="minorHAnsi"/>
          <w:sz w:val="24"/>
          <w:szCs w:val="24"/>
        </w:rPr>
        <w:t xml:space="preserve">carer support programs including </w:t>
      </w:r>
      <w:r w:rsidR="00060A9B" w:rsidRPr="005715D0">
        <w:rPr>
          <w:rFonts w:cstheme="minorHAnsi"/>
          <w:sz w:val="24"/>
          <w:szCs w:val="24"/>
        </w:rPr>
        <w:t xml:space="preserve">the </w:t>
      </w:r>
      <w:r w:rsidR="000C0133" w:rsidRPr="005715D0">
        <w:rPr>
          <w:rFonts w:cstheme="minorHAnsi"/>
          <w:sz w:val="24"/>
          <w:szCs w:val="24"/>
        </w:rPr>
        <w:t>Carer Gateway.</w:t>
      </w:r>
    </w:p>
    <w:p w14:paraId="00D714E9" w14:textId="77777777" w:rsidR="0071446A" w:rsidRPr="005715D0" w:rsidRDefault="0071446A" w:rsidP="00C25DB7">
      <w:pPr>
        <w:rPr>
          <w:rFonts w:cstheme="minorHAnsi"/>
          <w:lang w:eastAsia="en-AU"/>
        </w:rPr>
      </w:pPr>
    </w:p>
    <w:p w14:paraId="4BD5B534" w14:textId="4AB1A066" w:rsidR="00D13EC0" w:rsidRPr="005715D0" w:rsidRDefault="006E06AF" w:rsidP="0071446A">
      <w:pPr>
        <w:rPr>
          <w:rFonts w:cstheme="minorHAnsi"/>
          <w:lang w:eastAsia="en-AU"/>
        </w:rPr>
      </w:pPr>
      <w:r w:rsidRPr="005715D0">
        <w:rPr>
          <w:rFonts w:cstheme="minorHAnsi"/>
          <w:lang w:eastAsia="en-AU"/>
        </w:rPr>
        <w:t xml:space="preserve">The Government </w:t>
      </w:r>
      <w:r w:rsidR="00C84B76" w:rsidRPr="005715D0">
        <w:rPr>
          <w:rFonts w:cstheme="minorHAnsi"/>
          <w:lang w:eastAsia="en-AU"/>
        </w:rPr>
        <w:t xml:space="preserve">response </w:t>
      </w:r>
      <w:r w:rsidR="00BA14B0" w:rsidRPr="005715D0">
        <w:rPr>
          <w:rFonts w:cstheme="minorHAnsi"/>
          <w:lang w:eastAsia="en-AU"/>
        </w:rPr>
        <w:t xml:space="preserve">describes </w:t>
      </w:r>
      <w:r w:rsidR="00C84B76" w:rsidRPr="005715D0">
        <w:rPr>
          <w:rFonts w:cstheme="minorHAnsi"/>
          <w:lang w:eastAsia="en-AU"/>
        </w:rPr>
        <w:t xml:space="preserve">these </w:t>
      </w:r>
      <w:r w:rsidR="007E0519" w:rsidRPr="005715D0">
        <w:rPr>
          <w:rFonts w:cstheme="minorHAnsi"/>
          <w:lang w:eastAsia="en-AU"/>
        </w:rPr>
        <w:t>achievements in detail</w:t>
      </w:r>
      <w:r w:rsidR="009765E7" w:rsidRPr="005715D0">
        <w:rPr>
          <w:rFonts w:cstheme="minorHAnsi"/>
          <w:lang w:eastAsia="en-AU"/>
        </w:rPr>
        <w:t>. It also captures</w:t>
      </w:r>
      <w:r w:rsidR="00C84B76" w:rsidRPr="005715D0">
        <w:rPr>
          <w:rFonts w:cstheme="minorHAnsi"/>
          <w:lang w:eastAsia="en-AU"/>
        </w:rPr>
        <w:t xml:space="preserve"> other </w:t>
      </w:r>
      <w:r w:rsidR="00F23708" w:rsidRPr="005715D0">
        <w:rPr>
          <w:rFonts w:cstheme="minorHAnsi"/>
          <w:lang w:eastAsia="en-AU"/>
        </w:rPr>
        <w:t>initiatives</w:t>
      </w:r>
      <w:r w:rsidR="00C84B76" w:rsidRPr="005715D0">
        <w:rPr>
          <w:rFonts w:cstheme="minorHAnsi"/>
          <w:lang w:eastAsia="en-AU"/>
        </w:rPr>
        <w:t xml:space="preserve">, policies and programs that </w:t>
      </w:r>
      <w:r w:rsidR="00F23708" w:rsidRPr="005715D0">
        <w:rPr>
          <w:rFonts w:cstheme="minorHAnsi"/>
          <w:lang w:eastAsia="en-AU"/>
        </w:rPr>
        <w:t xml:space="preserve">are addressing the </w:t>
      </w:r>
      <w:r w:rsidR="00C84B76" w:rsidRPr="005715D0">
        <w:rPr>
          <w:rFonts w:cstheme="minorHAnsi"/>
          <w:lang w:eastAsia="en-AU"/>
        </w:rPr>
        <w:t xml:space="preserve">Committee’s </w:t>
      </w:r>
      <w:r w:rsidR="00920934" w:rsidRPr="005715D0">
        <w:rPr>
          <w:rFonts w:cstheme="minorHAnsi"/>
          <w:lang w:eastAsia="en-AU"/>
        </w:rPr>
        <w:t>observations</w:t>
      </w:r>
      <w:r w:rsidR="00C84B76" w:rsidRPr="005715D0">
        <w:rPr>
          <w:rFonts w:cstheme="minorHAnsi"/>
          <w:lang w:eastAsia="en-AU"/>
        </w:rPr>
        <w:t>.</w:t>
      </w:r>
    </w:p>
    <w:p w14:paraId="7078FB36" w14:textId="5FD332D7" w:rsidR="00D13EC0" w:rsidRPr="005715D0" w:rsidRDefault="008E3D82" w:rsidP="00532184">
      <w:pPr>
        <w:pStyle w:val="ListParagraph"/>
        <w:numPr>
          <w:ilvl w:val="0"/>
          <w:numId w:val="13"/>
        </w:numPr>
        <w:rPr>
          <w:rFonts w:cstheme="minorHAnsi"/>
          <w:sz w:val="24"/>
          <w:szCs w:val="24"/>
          <w:lang w:eastAsia="en-AU"/>
        </w:rPr>
      </w:pPr>
      <w:r w:rsidRPr="005715D0">
        <w:rPr>
          <w:rFonts w:cstheme="minorHAnsi"/>
          <w:sz w:val="24"/>
          <w:szCs w:val="24"/>
          <w:lang w:eastAsia="en-AU"/>
        </w:rPr>
        <w:t xml:space="preserve">The first chapter </w:t>
      </w:r>
      <w:r w:rsidR="00197191" w:rsidRPr="005715D0">
        <w:rPr>
          <w:rFonts w:cstheme="minorHAnsi"/>
          <w:sz w:val="24"/>
          <w:szCs w:val="24"/>
          <w:lang w:eastAsia="en-AU"/>
        </w:rPr>
        <w:t xml:space="preserve">addresses </w:t>
      </w:r>
      <w:r w:rsidR="00B409EA" w:rsidRPr="005715D0">
        <w:rPr>
          <w:rFonts w:cstheme="minorHAnsi"/>
          <w:sz w:val="24"/>
          <w:szCs w:val="24"/>
          <w:lang w:eastAsia="en-AU"/>
        </w:rPr>
        <w:t xml:space="preserve">the importance of </w:t>
      </w:r>
      <w:r w:rsidR="00197191" w:rsidRPr="005715D0">
        <w:rPr>
          <w:rFonts w:cstheme="minorHAnsi"/>
          <w:sz w:val="24"/>
          <w:szCs w:val="24"/>
          <w:lang w:eastAsia="en-AU"/>
        </w:rPr>
        <w:t>an integrated and strategic approach</w:t>
      </w:r>
      <w:r w:rsidR="000304EA" w:rsidRPr="005715D0">
        <w:rPr>
          <w:rFonts w:cstheme="minorHAnsi"/>
          <w:sz w:val="24"/>
          <w:szCs w:val="24"/>
          <w:lang w:eastAsia="en-AU"/>
        </w:rPr>
        <w:t xml:space="preserve"> </w:t>
      </w:r>
      <w:r w:rsidR="00B409EA" w:rsidRPr="005715D0">
        <w:rPr>
          <w:rFonts w:cstheme="minorHAnsi"/>
          <w:sz w:val="24"/>
          <w:szCs w:val="24"/>
          <w:lang w:eastAsia="en-AU"/>
        </w:rPr>
        <w:t>to the challenges of work and care</w:t>
      </w:r>
      <w:r w:rsidR="00FF3913" w:rsidRPr="005715D0">
        <w:rPr>
          <w:rFonts w:cstheme="minorHAnsi"/>
          <w:sz w:val="24"/>
          <w:szCs w:val="24"/>
          <w:lang w:eastAsia="en-AU"/>
        </w:rPr>
        <w:t xml:space="preserve">, including </w:t>
      </w:r>
      <w:r w:rsidR="00EA09A3" w:rsidRPr="005715D0">
        <w:rPr>
          <w:rFonts w:cstheme="minorHAnsi"/>
          <w:sz w:val="24"/>
          <w:szCs w:val="24"/>
          <w:lang w:eastAsia="en-AU"/>
        </w:rPr>
        <w:t>data and reporting.</w:t>
      </w:r>
    </w:p>
    <w:p w14:paraId="772D07D0" w14:textId="52298405" w:rsidR="00D13EC0" w:rsidRPr="005715D0" w:rsidRDefault="002911FD" w:rsidP="00532184">
      <w:pPr>
        <w:pStyle w:val="ListParagraph"/>
        <w:numPr>
          <w:ilvl w:val="0"/>
          <w:numId w:val="13"/>
        </w:numPr>
        <w:rPr>
          <w:rFonts w:cstheme="minorHAnsi"/>
          <w:sz w:val="24"/>
          <w:szCs w:val="24"/>
          <w:lang w:eastAsia="en-AU"/>
        </w:rPr>
      </w:pPr>
      <w:r w:rsidRPr="005715D0">
        <w:rPr>
          <w:rFonts w:cstheme="minorHAnsi"/>
          <w:sz w:val="24"/>
          <w:szCs w:val="24"/>
          <w:lang w:eastAsia="en-AU"/>
        </w:rPr>
        <w:t xml:space="preserve">The second chapter </w:t>
      </w:r>
      <w:r w:rsidR="0007763C" w:rsidRPr="005715D0">
        <w:rPr>
          <w:rFonts w:cstheme="minorHAnsi"/>
          <w:sz w:val="24"/>
          <w:szCs w:val="24"/>
          <w:lang w:eastAsia="en-AU"/>
        </w:rPr>
        <w:t xml:space="preserve">addresses </w:t>
      </w:r>
      <w:r w:rsidR="003F3D30" w:rsidRPr="005715D0">
        <w:rPr>
          <w:rFonts w:cstheme="minorHAnsi"/>
          <w:sz w:val="24"/>
          <w:szCs w:val="24"/>
          <w:lang w:eastAsia="en-AU"/>
        </w:rPr>
        <w:t xml:space="preserve">the need for flexible and supportive </w:t>
      </w:r>
      <w:r w:rsidR="001158B0" w:rsidRPr="005715D0">
        <w:rPr>
          <w:rFonts w:cstheme="minorHAnsi"/>
          <w:sz w:val="24"/>
          <w:szCs w:val="24"/>
          <w:lang w:eastAsia="en-AU"/>
        </w:rPr>
        <w:t xml:space="preserve">workplaces to </w:t>
      </w:r>
      <w:r w:rsidR="00664E16" w:rsidRPr="005715D0">
        <w:rPr>
          <w:rFonts w:cstheme="minorHAnsi"/>
          <w:sz w:val="24"/>
          <w:szCs w:val="24"/>
          <w:lang w:eastAsia="en-AU"/>
        </w:rPr>
        <w:t xml:space="preserve">help </w:t>
      </w:r>
      <w:r w:rsidR="001158B0" w:rsidRPr="005715D0">
        <w:rPr>
          <w:rFonts w:cstheme="minorHAnsi"/>
          <w:sz w:val="24"/>
          <w:szCs w:val="24"/>
          <w:lang w:eastAsia="en-AU"/>
        </w:rPr>
        <w:t>Australians to balance work and care responsibilities. It covers the recommendations</w:t>
      </w:r>
      <w:r w:rsidR="001158B0" w:rsidRPr="005715D0" w:rsidDel="001158B0">
        <w:rPr>
          <w:rFonts w:cstheme="minorHAnsi"/>
          <w:sz w:val="24"/>
          <w:szCs w:val="24"/>
          <w:lang w:eastAsia="en-AU"/>
        </w:rPr>
        <w:t xml:space="preserve"> </w:t>
      </w:r>
      <w:r w:rsidR="0007763C" w:rsidRPr="005715D0">
        <w:rPr>
          <w:rFonts w:cstheme="minorHAnsi"/>
          <w:sz w:val="24"/>
          <w:szCs w:val="24"/>
          <w:lang w:eastAsia="en-AU"/>
        </w:rPr>
        <w:t xml:space="preserve">about </w:t>
      </w:r>
      <w:r w:rsidR="00F42689" w:rsidRPr="005715D0">
        <w:rPr>
          <w:rFonts w:cstheme="minorHAnsi"/>
          <w:sz w:val="24"/>
          <w:szCs w:val="24"/>
          <w:lang w:eastAsia="en-AU"/>
        </w:rPr>
        <w:t>leave entitlements, forms of work and working hours</w:t>
      </w:r>
      <w:r w:rsidR="004F15C9" w:rsidRPr="005715D0">
        <w:rPr>
          <w:rFonts w:cstheme="minorHAnsi"/>
          <w:sz w:val="24"/>
          <w:szCs w:val="24"/>
          <w:lang w:eastAsia="en-AU"/>
        </w:rPr>
        <w:t xml:space="preserve">. </w:t>
      </w:r>
    </w:p>
    <w:p w14:paraId="0DF5BECE" w14:textId="2C79C774" w:rsidR="00D13EC0" w:rsidRPr="005715D0" w:rsidRDefault="004F15C9" w:rsidP="00532184">
      <w:pPr>
        <w:pStyle w:val="ListParagraph"/>
        <w:numPr>
          <w:ilvl w:val="0"/>
          <w:numId w:val="13"/>
        </w:numPr>
        <w:rPr>
          <w:rFonts w:cstheme="minorHAnsi"/>
          <w:sz w:val="24"/>
          <w:szCs w:val="24"/>
          <w:lang w:eastAsia="en-AU"/>
        </w:rPr>
      </w:pPr>
      <w:r w:rsidRPr="005715D0">
        <w:rPr>
          <w:rFonts w:cstheme="minorHAnsi"/>
          <w:sz w:val="24"/>
          <w:szCs w:val="24"/>
          <w:lang w:eastAsia="en-AU"/>
        </w:rPr>
        <w:t xml:space="preserve">The third chapter </w:t>
      </w:r>
      <w:r w:rsidR="00F42689" w:rsidRPr="005715D0">
        <w:rPr>
          <w:rFonts w:cstheme="minorHAnsi"/>
          <w:sz w:val="24"/>
          <w:szCs w:val="24"/>
          <w:lang w:eastAsia="en-AU"/>
        </w:rPr>
        <w:t xml:space="preserve">addresses </w:t>
      </w:r>
      <w:r w:rsidR="00991E06" w:rsidRPr="005715D0">
        <w:rPr>
          <w:rFonts w:cstheme="minorHAnsi"/>
          <w:sz w:val="24"/>
          <w:szCs w:val="24"/>
          <w:lang w:eastAsia="en-AU"/>
        </w:rPr>
        <w:t>the specific</w:t>
      </w:r>
      <w:r w:rsidR="000304EA" w:rsidRPr="005715D0">
        <w:rPr>
          <w:rFonts w:cstheme="minorHAnsi"/>
          <w:sz w:val="24"/>
          <w:szCs w:val="24"/>
          <w:lang w:eastAsia="en-AU"/>
        </w:rPr>
        <w:t xml:space="preserve"> challen</w:t>
      </w:r>
      <w:r w:rsidR="00DD42D6" w:rsidRPr="005715D0">
        <w:rPr>
          <w:rFonts w:cstheme="minorHAnsi"/>
          <w:sz w:val="24"/>
          <w:szCs w:val="24"/>
          <w:lang w:eastAsia="en-AU"/>
        </w:rPr>
        <w:t xml:space="preserve">ges </w:t>
      </w:r>
      <w:r w:rsidR="00FD7C2F" w:rsidRPr="005715D0">
        <w:rPr>
          <w:rFonts w:cstheme="minorHAnsi"/>
          <w:sz w:val="24"/>
          <w:szCs w:val="24"/>
          <w:lang w:eastAsia="en-AU"/>
        </w:rPr>
        <w:t xml:space="preserve">of </w:t>
      </w:r>
      <w:r w:rsidR="00FF3913" w:rsidRPr="005715D0">
        <w:rPr>
          <w:rFonts w:cstheme="minorHAnsi"/>
          <w:sz w:val="24"/>
          <w:szCs w:val="24"/>
          <w:lang w:eastAsia="en-AU"/>
        </w:rPr>
        <w:t>ECEC and c</w:t>
      </w:r>
      <w:r w:rsidR="00F42689" w:rsidRPr="005715D0">
        <w:rPr>
          <w:rFonts w:cstheme="minorHAnsi"/>
          <w:sz w:val="24"/>
          <w:szCs w:val="24"/>
          <w:lang w:eastAsia="en-AU"/>
        </w:rPr>
        <w:t xml:space="preserve">onsiders </w:t>
      </w:r>
      <w:r w:rsidR="00FF3913" w:rsidRPr="005715D0">
        <w:rPr>
          <w:rFonts w:cstheme="minorHAnsi"/>
          <w:sz w:val="24"/>
          <w:szCs w:val="24"/>
          <w:lang w:eastAsia="en-AU"/>
        </w:rPr>
        <w:t xml:space="preserve">the </w:t>
      </w:r>
      <w:r w:rsidR="00F42689" w:rsidRPr="005715D0">
        <w:rPr>
          <w:rFonts w:cstheme="minorHAnsi"/>
          <w:sz w:val="24"/>
          <w:szCs w:val="24"/>
          <w:lang w:eastAsia="en-AU"/>
        </w:rPr>
        <w:t>recommendations about</w:t>
      </w:r>
      <w:r w:rsidR="00B8408C" w:rsidRPr="005715D0">
        <w:rPr>
          <w:rFonts w:cstheme="minorHAnsi"/>
          <w:sz w:val="24"/>
          <w:szCs w:val="24"/>
          <w:lang w:eastAsia="en-AU"/>
        </w:rPr>
        <w:t xml:space="preserve"> Australia’s </w:t>
      </w:r>
      <w:r w:rsidR="00FF3913" w:rsidRPr="005715D0">
        <w:rPr>
          <w:rFonts w:cstheme="minorHAnsi"/>
          <w:sz w:val="24"/>
          <w:szCs w:val="24"/>
          <w:lang w:eastAsia="en-AU"/>
        </w:rPr>
        <w:t xml:space="preserve">ECEC </w:t>
      </w:r>
      <w:r w:rsidR="00B8408C" w:rsidRPr="005715D0">
        <w:rPr>
          <w:rFonts w:cstheme="minorHAnsi"/>
          <w:sz w:val="24"/>
          <w:szCs w:val="24"/>
          <w:lang w:eastAsia="en-AU"/>
        </w:rPr>
        <w:t>system</w:t>
      </w:r>
      <w:r w:rsidR="00505841" w:rsidRPr="005715D0">
        <w:rPr>
          <w:rFonts w:cstheme="minorHAnsi"/>
          <w:sz w:val="24"/>
          <w:szCs w:val="24"/>
          <w:lang w:eastAsia="en-AU"/>
        </w:rPr>
        <w:t>.</w:t>
      </w:r>
    </w:p>
    <w:p w14:paraId="1F01FA4E" w14:textId="0C8B3701" w:rsidR="0071446A" w:rsidRPr="005715D0" w:rsidRDefault="00505841" w:rsidP="00532184">
      <w:pPr>
        <w:pStyle w:val="ListParagraph"/>
        <w:numPr>
          <w:ilvl w:val="0"/>
          <w:numId w:val="13"/>
        </w:numPr>
        <w:rPr>
          <w:rFonts w:cstheme="minorHAnsi"/>
          <w:sz w:val="24"/>
          <w:szCs w:val="24"/>
          <w:lang w:eastAsia="en-AU"/>
        </w:rPr>
      </w:pPr>
      <w:r w:rsidRPr="005715D0">
        <w:rPr>
          <w:rFonts w:cstheme="minorHAnsi"/>
          <w:sz w:val="24"/>
          <w:szCs w:val="24"/>
          <w:lang w:eastAsia="en-AU"/>
        </w:rPr>
        <w:t>The fourth</w:t>
      </w:r>
      <w:r w:rsidR="00B8408C" w:rsidRPr="005715D0">
        <w:rPr>
          <w:rFonts w:cstheme="minorHAnsi"/>
          <w:sz w:val="24"/>
          <w:szCs w:val="24"/>
          <w:lang w:eastAsia="en-AU"/>
        </w:rPr>
        <w:t xml:space="preserve"> chapter addresses the </w:t>
      </w:r>
      <w:r w:rsidR="00AE728D" w:rsidRPr="005715D0">
        <w:rPr>
          <w:rFonts w:cstheme="minorHAnsi"/>
          <w:sz w:val="24"/>
          <w:szCs w:val="24"/>
          <w:lang w:eastAsia="en-AU"/>
        </w:rPr>
        <w:t>ne</w:t>
      </w:r>
      <w:r w:rsidR="00CF6FF8" w:rsidRPr="005715D0">
        <w:rPr>
          <w:rFonts w:cstheme="minorHAnsi"/>
          <w:sz w:val="24"/>
          <w:szCs w:val="24"/>
          <w:lang w:eastAsia="en-AU"/>
        </w:rPr>
        <w:t>ed</w:t>
      </w:r>
      <w:r w:rsidR="00AE728D" w:rsidRPr="005715D0">
        <w:rPr>
          <w:rFonts w:cstheme="minorHAnsi"/>
          <w:sz w:val="24"/>
          <w:szCs w:val="24"/>
          <w:lang w:eastAsia="en-AU"/>
        </w:rPr>
        <w:t xml:space="preserve"> to support </w:t>
      </w:r>
      <w:r w:rsidR="0065053D" w:rsidRPr="005715D0">
        <w:rPr>
          <w:rFonts w:cstheme="minorHAnsi"/>
          <w:sz w:val="24"/>
          <w:szCs w:val="24"/>
          <w:lang w:eastAsia="en-AU"/>
        </w:rPr>
        <w:t>individuals including carers, workers, and those seeking employment</w:t>
      </w:r>
      <w:r w:rsidR="00FF3913" w:rsidRPr="005715D0">
        <w:rPr>
          <w:rFonts w:cstheme="minorHAnsi"/>
          <w:sz w:val="24"/>
          <w:szCs w:val="24"/>
          <w:lang w:eastAsia="en-AU"/>
        </w:rPr>
        <w:t>, including relevant recommendations.</w:t>
      </w:r>
    </w:p>
    <w:p w14:paraId="355BC34B" w14:textId="77777777" w:rsidR="003B1842" w:rsidRPr="005715D0" w:rsidRDefault="003B1842" w:rsidP="00C25DB7">
      <w:pPr>
        <w:rPr>
          <w:rStyle w:val="eop"/>
          <w:rFonts w:cstheme="minorHAnsi"/>
        </w:rPr>
      </w:pPr>
    </w:p>
    <w:p w14:paraId="25918272" w14:textId="54DBA413" w:rsidR="007E6D33" w:rsidRPr="005715D0" w:rsidRDefault="007E6D33" w:rsidP="007E6D33">
      <w:pPr>
        <w:rPr>
          <w:rStyle w:val="eop"/>
          <w:rFonts w:cstheme="minorHAnsi"/>
        </w:rPr>
      </w:pPr>
      <w:r w:rsidRPr="005715D0">
        <w:rPr>
          <w:rFonts w:cstheme="minorHAnsi"/>
        </w:rPr>
        <w:t xml:space="preserve">The Committee made 33 recommendations in its Final Report and Australian Greens Senators made 14 additional recommendations. The Committee also made 8 recommendations in its Interim Report. </w:t>
      </w:r>
    </w:p>
    <w:p w14:paraId="47C36EAE" w14:textId="77777777" w:rsidR="003B1842" w:rsidRPr="005715D0" w:rsidRDefault="003B1842" w:rsidP="003B1842">
      <w:pPr>
        <w:rPr>
          <w:rFonts w:cstheme="minorHAnsi"/>
        </w:rPr>
      </w:pPr>
    </w:p>
    <w:p w14:paraId="2F79DE08" w14:textId="41E3376B" w:rsidR="003B1842" w:rsidRPr="005715D0" w:rsidRDefault="00A9633E" w:rsidP="003B1842">
      <w:pPr>
        <w:rPr>
          <w:rStyle w:val="cf01"/>
          <w:rFonts w:asciiTheme="minorHAnsi" w:hAnsiTheme="minorHAnsi" w:cstheme="minorHAnsi"/>
          <w:sz w:val="24"/>
          <w:szCs w:val="24"/>
        </w:rPr>
      </w:pPr>
      <w:r w:rsidRPr="005715D0">
        <w:rPr>
          <w:rStyle w:val="cf01"/>
          <w:rFonts w:asciiTheme="minorHAnsi" w:hAnsiTheme="minorHAnsi" w:cstheme="minorHAnsi"/>
          <w:sz w:val="24"/>
          <w:szCs w:val="24"/>
        </w:rPr>
        <w:lastRenderedPageBreak/>
        <w:t>The Government agrees</w:t>
      </w:r>
      <w:r w:rsidR="0052527E" w:rsidRPr="005715D0">
        <w:rPr>
          <w:rStyle w:val="cf01"/>
          <w:rFonts w:asciiTheme="minorHAnsi" w:hAnsiTheme="minorHAnsi" w:cstheme="minorHAnsi"/>
          <w:sz w:val="24"/>
          <w:szCs w:val="24"/>
        </w:rPr>
        <w:t xml:space="preserve"> in full</w:t>
      </w:r>
      <w:r w:rsidRPr="005715D0">
        <w:rPr>
          <w:rStyle w:val="cf01"/>
          <w:rFonts w:asciiTheme="minorHAnsi" w:hAnsiTheme="minorHAnsi" w:cstheme="minorHAnsi"/>
          <w:sz w:val="24"/>
          <w:szCs w:val="24"/>
        </w:rPr>
        <w:t>, in part or in principle with 1</w:t>
      </w:r>
      <w:r w:rsidR="00D37485" w:rsidRPr="005715D0">
        <w:rPr>
          <w:rStyle w:val="cf01"/>
          <w:rFonts w:asciiTheme="minorHAnsi" w:hAnsiTheme="minorHAnsi" w:cstheme="minorHAnsi"/>
          <w:sz w:val="24"/>
          <w:szCs w:val="24"/>
        </w:rPr>
        <w:t>7</w:t>
      </w:r>
      <w:r w:rsidRPr="005715D0">
        <w:rPr>
          <w:rStyle w:val="cf01"/>
          <w:rFonts w:asciiTheme="minorHAnsi" w:hAnsiTheme="minorHAnsi" w:cstheme="minorHAnsi"/>
          <w:sz w:val="24"/>
          <w:szCs w:val="24"/>
        </w:rPr>
        <w:t xml:space="preserve"> recommendations of the Final Report. </w:t>
      </w:r>
      <w:r w:rsidR="003B1842" w:rsidRPr="005715D0">
        <w:rPr>
          <w:rStyle w:val="cf01"/>
          <w:rFonts w:asciiTheme="minorHAnsi" w:hAnsiTheme="minorHAnsi" w:cstheme="minorHAnsi"/>
          <w:sz w:val="24"/>
          <w:szCs w:val="24"/>
        </w:rPr>
        <w:t xml:space="preserve">The Government </w:t>
      </w:r>
      <w:r w:rsidR="00706B34" w:rsidRPr="005715D0">
        <w:rPr>
          <w:rStyle w:val="cf01"/>
          <w:rFonts w:asciiTheme="minorHAnsi" w:hAnsiTheme="minorHAnsi" w:cstheme="minorHAnsi"/>
          <w:sz w:val="24"/>
          <w:szCs w:val="24"/>
        </w:rPr>
        <w:t xml:space="preserve">agrees with </w:t>
      </w:r>
      <w:r w:rsidR="00AA4530" w:rsidRPr="005715D0">
        <w:rPr>
          <w:rStyle w:val="cf01"/>
          <w:rFonts w:asciiTheme="minorHAnsi" w:hAnsiTheme="minorHAnsi" w:cstheme="minorHAnsi"/>
          <w:sz w:val="24"/>
          <w:szCs w:val="24"/>
        </w:rPr>
        <w:t>4</w:t>
      </w:r>
      <w:r w:rsidR="003B1842" w:rsidRPr="005715D0">
        <w:rPr>
          <w:rStyle w:val="cf01"/>
          <w:rFonts w:asciiTheme="minorHAnsi" w:hAnsiTheme="minorHAnsi" w:cstheme="minorHAnsi"/>
          <w:sz w:val="24"/>
          <w:szCs w:val="24"/>
        </w:rPr>
        <w:t xml:space="preserve"> recommendations</w:t>
      </w:r>
      <w:r w:rsidR="00FF3913" w:rsidRPr="005715D0">
        <w:rPr>
          <w:rStyle w:val="cf01"/>
          <w:rFonts w:asciiTheme="minorHAnsi" w:hAnsiTheme="minorHAnsi" w:cstheme="minorHAnsi"/>
          <w:sz w:val="24"/>
          <w:szCs w:val="24"/>
        </w:rPr>
        <w:t xml:space="preserve"> </w:t>
      </w:r>
      <w:r w:rsidR="00B1465A" w:rsidRPr="005715D0">
        <w:rPr>
          <w:rStyle w:val="cf01"/>
          <w:rFonts w:asciiTheme="minorHAnsi" w:hAnsiTheme="minorHAnsi" w:cstheme="minorHAnsi"/>
          <w:sz w:val="24"/>
          <w:szCs w:val="24"/>
        </w:rPr>
        <w:t xml:space="preserve">of the Final Report </w:t>
      </w:r>
      <w:r w:rsidR="00FF3913" w:rsidRPr="005715D0">
        <w:rPr>
          <w:rStyle w:val="cf01"/>
          <w:rFonts w:asciiTheme="minorHAnsi" w:hAnsiTheme="minorHAnsi" w:cstheme="minorHAnsi"/>
          <w:sz w:val="24"/>
          <w:szCs w:val="24"/>
        </w:rPr>
        <w:t>in full</w:t>
      </w:r>
      <w:r w:rsidR="003B1842" w:rsidRPr="005715D0">
        <w:rPr>
          <w:rStyle w:val="cf01"/>
          <w:rFonts w:asciiTheme="minorHAnsi" w:hAnsiTheme="minorHAnsi" w:cstheme="minorHAnsi"/>
          <w:sz w:val="24"/>
          <w:szCs w:val="24"/>
        </w:rPr>
        <w:t xml:space="preserve"> (13, 14</w:t>
      </w:r>
      <w:r w:rsidR="00AA4530" w:rsidRPr="005715D0">
        <w:rPr>
          <w:rStyle w:val="cf01"/>
          <w:rFonts w:asciiTheme="minorHAnsi" w:hAnsiTheme="minorHAnsi" w:cstheme="minorHAnsi"/>
          <w:sz w:val="24"/>
          <w:szCs w:val="24"/>
        </w:rPr>
        <w:t xml:space="preserve">, </w:t>
      </w:r>
      <w:r w:rsidR="00E97965" w:rsidRPr="005715D0">
        <w:rPr>
          <w:rStyle w:val="cf01"/>
          <w:rFonts w:asciiTheme="minorHAnsi" w:hAnsiTheme="minorHAnsi" w:cstheme="minorHAnsi"/>
          <w:sz w:val="24"/>
          <w:szCs w:val="24"/>
        </w:rPr>
        <w:t xml:space="preserve">23 </w:t>
      </w:r>
      <w:r w:rsidR="003B1842" w:rsidRPr="005715D0">
        <w:rPr>
          <w:rStyle w:val="cf01"/>
          <w:rFonts w:asciiTheme="minorHAnsi" w:hAnsiTheme="minorHAnsi" w:cstheme="minorHAnsi"/>
          <w:sz w:val="24"/>
          <w:szCs w:val="24"/>
        </w:rPr>
        <w:t>and 31)</w:t>
      </w:r>
      <w:r w:rsidR="00FF3913" w:rsidRPr="005715D0">
        <w:rPr>
          <w:rStyle w:val="cf01"/>
          <w:rFonts w:asciiTheme="minorHAnsi" w:hAnsiTheme="minorHAnsi" w:cstheme="minorHAnsi"/>
          <w:sz w:val="24"/>
          <w:szCs w:val="24"/>
        </w:rPr>
        <w:t>,</w:t>
      </w:r>
      <w:r w:rsidR="003B1842" w:rsidRPr="005715D0">
        <w:rPr>
          <w:rStyle w:val="cf01"/>
          <w:rFonts w:asciiTheme="minorHAnsi" w:hAnsiTheme="minorHAnsi" w:cstheme="minorHAnsi"/>
          <w:sz w:val="24"/>
          <w:szCs w:val="24"/>
        </w:rPr>
        <w:t xml:space="preserve"> wh</w:t>
      </w:r>
      <w:r w:rsidR="00510E11" w:rsidRPr="005715D0">
        <w:rPr>
          <w:rStyle w:val="cf01"/>
          <w:rFonts w:asciiTheme="minorHAnsi" w:hAnsiTheme="minorHAnsi" w:cstheme="minorHAnsi"/>
          <w:sz w:val="24"/>
          <w:szCs w:val="24"/>
        </w:rPr>
        <w:t>ere actions have been taken</w:t>
      </w:r>
      <w:r w:rsidR="003B1842" w:rsidRPr="005715D0">
        <w:rPr>
          <w:rStyle w:val="cf01"/>
          <w:rFonts w:asciiTheme="minorHAnsi" w:hAnsiTheme="minorHAnsi" w:cstheme="minorHAnsi"/>
          <w:sz w:val="24"/>
          <w:szCs w:val="24"/>
        </w:rPr>
        <w:t xml:space="preserve"> or </w:t>
      </w:r>
      <w:r w:rsidR="00EC78B2" w:rsidRPr="005715D0">
        <w:rPr>
          <w:rStyle w:val="cf01"/>
          <w:rFonts w:asciiTheme="minorHAnsi" w:hAnsiTheme="minorHAnsi" w:cstheme="minorHAnsi"/>
          <w:sz w:val="24"/>
          <w:szCs w:val="24"/>
        </w:rPr>
        <w:t xml:space="preserve">are </w:t>
      </w:r>
      <w:r w:rsidR="003B1842" w:rsidRPr="005715D0">
        <w:rPr>
          <w:rStyle w:val="cf01"/>
          <w:rFonts w:asciiTheme="minorHAnsi" w:hAnsiTheme="minorHAnsi" w:cstheme="minorHAnsi"/>
          <w:sz w:val="24"/>
          <w:szCs w:val="24"/>
        </w:rPr>
        <w:t xml:space="preserve">in the process of being </w:t>
      </w:r>
      <w:r w:rsidR="00510E11" w:rsidRPr="005715D0">
        <w:rPr>
          <w:rStyle w:val="cf01"/>
          <w:rFonts w:asciiTheme="minorHAnsi" w:hAnsiTheme="minorHAnsi" w:cstheme="minorHAnsi"/>
          <w:sz w:val="24"/>
          <w:szCs w:val="24"/>
        </w:rPr>
        <w:t>taken</w:t>
      </w:r>
      <w:r w:rsidR="003B1842" w:rsidRPr="005715D0">
        <w:rPr>
          <w:rStyle w:val="cf01"/>
          <w:rFonts w:asciiTheme="minorHAnsi" w:hAnsiTheme="minorHAnsi" w:cstheme="minorHAnsi"/>
          <w:sz w:val="24"/>
          <w:szCs w:val="24"/>
        </w:rPr>
        <w:t xml:space="preserve">. The Government </w:t>
      </w:r>
      <w:r w:rsidR="00B1465A" w:rsidRPr="005715D0">
        <w:rPr>
          <w:rStyle w:val="cf01"/>
          <w:rFonts w:asciiTheme="minorHAnsi" w:hAnsiTheme="minorHAnsi" w:cstheme="minorHAnsi"/>
          <w:sz w:val="24"/>
          <w:szCs w:val="24"/>
        </w:rPr>
        <w:t xml:space="preserve">also </w:t>
      </w:r>
      <w:r w:rsidR="00B04BD0" w:rsidRPr="005715D0">
        <w:rPr>
          <w:rStyle w:val="cf01"/>
          <w:rFonts w:asciiTheme="minorHAnsi" w:hAnsiTheme="minorHAnsi" w:cstheme="minorHAnsi"/>
          <w:sz w:val="24"/>
          <w:szCs w:val="24"/>
        </w:rPr>
        <w:t>agrees</w:t>
      </w:r>
      <w:r w:rsidRPr="005715D0">
        <w:rPr>
          <w:rStyle w:val="cf01"/>
          <w:rFonts w:asciiTheme="minorHAnsi" w:hAnsiTheme="minorHAnsi" w:cstheme="minorHAnsi"/>
          <w:sz w:val="24"/>
          <w:szCs w:val="24"/>
        </w:rPr>
        <w:t xml:space="preserve"> </w:t>
      </w:r>
      <w:r w:rsidR="003B1842" w:rsidRPr="005715D0">
        <w:rPr>
          <w:rStyle w:val="cf01"/>
          <w:rFonts w:asciiTheme="minorHAnsi" w:hAnsiTheme="minorHAnsi" w:cstheme="minorHAnsi"/>
          <w:sz w:val="24"/>
          <w:szCs w:val="24"/>
        </w:rPr>
        <w:t>in</w:t>
      </w:r>
      <w:r w:rsidRPr="005715D0">
        <w:rPr>
          <w:rStyle w:val="cf01"/>
          <w:rFonts w:asciiTheme="minorHAnsi" w:hAnsiTheme="minorHAnsi" w:cstheme="minorHAnsi"/>
          <w:sz w:val="24"/>
          <w:szCs w:val="24"/>
        </w:rPr>
        <w:t xml:space="preserve"> </w:t>
      </w:r>
      <w:r w:rsidR="003B1842" w:rsidRPr="005715D0">
        <w:rPr>
          <w:rStyle w:val="cf01"/>
          <w:rFonts w:asciiTheme="minorHAnsi" w:hAnsiTheme="minorHAnsi" w:cstheme="minorHAnsi"/>
          <w:sz w:val="24"/>
          <w:szCs w:val="24"/>
        </w:rPr>
        <w:t xml:space="preserve">principle </w:t>
      </w:r>
      <w:r w:rsidRPr="005715D0">
        <w:rPr>
          <w:rStyle w:val="cf01"/>
          <w:rFonts w:asciiTheme="minorHAnsi" w:hAnsiTheme="minorHAnsi" w:cstheme="minorHAnsi"/>
          <w:sz w:val="24"/>
          <w:szCs w:val="24"/>
        </w:rPr>
        <w:t xml:space="preserve">with </w:t>
      </w:r>
      <w:r w:rsidR="002A3FE6" w:rsidRPr="005715D0">
        <w:rPr>
          <w:rStyle w:val="cf01"/>
          <w:rFonts w:asciiTheme="minorHAnsi" w:hAnsiTheme="minorHAnsi" w:cstheme="minorHAnsi"/>
          <w:sz w:val="24"/>
          <w:szCs w:val="24"/>
        </w:rPr>
        <w:t>4</w:t>
      </w:r>
      <w:r w:rsidR="00B25ADD" w:rsidRPr="005715D0">
        <w:rPr>
          <w:rStyle w:val="cf01"/>
          <w:rFonts w:asciiTheme="minorHAnsi" w:hAnsiTheme="minorHAnsi" w:cstheme="minorHAnsi"/>
          <w:sz w:val="24"/>
          <w:szCs w:val="24"/>
        </w:rPr>
        <w:t> </w:t>
      </w:r>
      <w:r w:rsidR="003B1842" w:rsidRPr="005715D0">
        <w:rPr>
          <w:rStyle w:val="cf01"/>
          <w:rFonts w:asciiTheme="minorHAnsi" w:hAnsiTheme="minorHAnsi" w:cstheme="minorHAnsi"/>
          <w:sz w:val="24"/>
          <w:szCs w:val="24"/>
        </w:rPr>
        <w:t xml:space="preserve">recommendations (9, </w:t>
      </w:r>
      <w:r w:rsidR="00EC0C63" w:rsidRPr="005715D0">
        <w:rPr>
          <w:rStyle w:val="cf01"/>
          <w:rFonts w:asciiTheme="minorHAnsi" w:hAnsiTheme="minorHAnsi" w:cstheme="minorHAnsi"/>
          <w:sz w:val="24"/>
          <w:szCs w:val="24"/>
        </w:rPr>
        <w:t>10,</w:t>
      </w:r>
      <w:r w:rsidR="003B1842" w:rsidRPr="005715D0">
        <w:rPr>
          <w:rStyle w:val="cf01"/>
          <w:rFonts w:asciiTheme="minorHAnsi" w:hAnsiTheme="minorHAnsi" w:cstheme="minorHAnsi"/>
          <w:sz w:val="24"/>
          <w:szCs w:val="24"/>
        </w:rPr>
        <w:t xml:space="preserve"> 11, and 2</w:t>
      </w:r>
      <w:r w:rsidR="00EC0C63" w:rsidRPr="005715D0">
        <w:rPr>
          <w:rStyle w:val="cf01"/>
          <w:rFonts w:asciiTheme="minorHAnsi" w:hAnsiTheme="minorHAnsi" w:cstheme="minorHAnsi"/>
          <w:sz w:val="24"/>
          <w:szCs w:val="24"/>
        </w:rPr>
        <w:t>0</w:t>
      </w:r>
      <w:r w:rsidR="003B1842" w:rsidRPr="005715D0">
        <w:rPr>
          <w:rStyle w:val="cf01"/>
          <w:rFonts w:asciiTheme="minorHAnsi" w:hAnsiTheme="minorHAnsi" w:cstheme="minorHAnsi"/>
          <w:sz w:val="24"/>
          <w:szCs w:val="24"/>
        </w:rPr>
        <w:t xml:space="preserve">) as </w:t>
      </w:r>
      <w:r w:rsidR="0055699A" w:rsidRPr="005715D0">
        <w:rPr>
          <w:rStyle w:val="cf01"/>
          <w:rFonts w:asciiTheme="minorHAnsi" w:hAnsiTheme="minorHAnsi" w:cstheme="minorHAnsi"/>
          <w:sz w:val="24"/>
          <w:szCs w:val="24"/>
        </w:rPr>
        <w:t xml:space="preserve">the </w:t>
      </w:r>
      <w:r w:rsidR="00743F11" w:rsidRPr="005715D0">
        <w:rPr>
          <w:rStyle w:val="cf01"/>
          <w:rFonts w:asciiTheme="minorHAnsi" w:hAnsiTheme="minorHAnsi" w:cstheme="minorHAnsi"/>
          <w:sz w:val="24"/>
          <w:szCs w:val="24"/>
        </w:rPr>
        <w:t xml:space="preserve">broader </w:t>
      </w:r>
      <w:r w:rsidR="00A2379A" w:rsidRPr="005715D0">
        <w:rPr>
          <w:rStyle w:val="cf01"/>
          <w:rFonts w:asciiTheme="minorHAnsi" w:hAnsiTheme="minorHAnsi" w:cstheme="minorHAnsi"/>
          <w:sz w:val="24"/>
          <w:szCs w:val="24"/>
        </w:rPr>
        <w:t xml:space="preserve">intent of these </w:t>
      </w:r>
      <w:r w:rsidR="003B1842" w:rsidRPr="005715D0">
        <w:rPr>
          <w:rStyle w:val="cf01"/>
          <w:rFonts w:asciiTheme="minorHAnsi" w:hAnsiTheme="minorHAnsi" w:cstheme="minorHAnsi"/>
          <w:sz w:val="24"/>
          <w:szCs w:val="24"/>
        </w:rPr>
        <w:t xml:space="preserve">recommendations </w:t>
      </w:r>
      <w:r w:rsidR="00A2379A" w:rsidRPr="005715D0">
        <w:rPr>
          <w:rStyle w:val="cf01"/>
          <w:rFonts w:asciiTheme="minorHAnsi" w:hAnsiTheme="minorHAnsi" w:cstheme="minorHAnsi"/>
          <w:sz w:val="24"/>
          <w:szCs w:val="24"/>
        </w:rPr>
        <w:t xml:space="preserve">is </w:t>
      </w:r>
      <w:r w:rsidR="003B1842" w:rsidRPr="005715D0">
        <w:rPr>
          <w:rStyle w:val="cf01"/>
          <w:rFonts w:asciiTheme="minorHAnsi" w:hAnsiTheme="minorHAnsi" w:cstheme="minorHAnsi"/>
          <w:sz w:val="24"/>
          <w:szCs w:val="24"/>
        </w:rPr>
        <w:t xml:space="preserve">being </w:t>
      </w:r>
      <w:r w:rsidR="00CF2D53" w:rsidRPr="005715D0">
        <w:rPr>
          <w:rStyle w:val="cf01"/>
          <w:rFonts w:asciiTheme="minorHAnsi" w:hAnsiTheme="minorHAnsi" w:cstheme="minorHAnsi"/>
          <w:sz w:val="24"/>
          <w:szCs w:val="24"/>
        </w:rPr>
        <w:t xml:space="preserve">acted upon </w:t>
      </w:r>
      <w:r w:rsidR="003B1842" w:rsidRPr="005715D0">
        <w:rPr>
          <w:rStyle w:val="cf01"/>
          <w:rFonts w:asciiTheme="minorHAnsi" w:hAnsiTheme="minorHAnsi" w:cstheme="minorHAnsi"/>
          <w:sz w:val="24"/>
          <w:szCs w:val="24"/>
        </w:rPr>
        <w:t xml:space="preserve">or </w:t>
      </w:r>
      <w:r w:rsidR="00CF2D53" w:rsidRPr="005715D0">
        <w:rPr>
          <w:rStyle w:val="cf01"/>
          <w:rFonts w:asciiTheme="minorHAnsi" w:hAnsiTheme="minorHAnsi" w:cstheme="minorHAnsi"/>
          <w:sz w:val="24"/>
          <w:szCs w:val="24"/>
        </w:rPr>
        <w:t xml:space="preserve">being </w:t>
      </w:r>
      <w:r w:rsidR="003B1842" w:rsidRPr="005715D0">
        <w:rPr>
          <w:rStyle w:val="cf01"/>
          <w:rFonts w:asciiTheme="minorHAnsi" w:hAnsiTheme="minorHAnsi" w:cstheme="minorHAnsi"/>
          <w:sz w:val="24"/>
          <w:szCs w:val="24"/>
        </w:rPr>
        <w:t>considered through work underway.</w:t>
      </w:r>
      <w:r w:rsidR="00A93C4A" w:rsidRPr="005715D0">
        <w:rPr>
          <w:rFonts w:cstheme="minorHAnsi"/>
        </w:rPr>
        <w:t xml:space="preserve"> </w:t>
      </w:r>
      <w:r w:rsidR="00A93C4A" w:rsidRPr="005715D0">
        <w:rPr>
          <w:rStyle w:val="cf01"/>
          <w:rFonts w:asciiTheme="minorHAnsi" w:hAnsiTheme="minorHAnsi" w:cstheme="minorHAnsi"/>
          <w:sz w:val="24"/>
          <w:szCs w:val="24"/>
        </w:rPr>
        <w:t>The Government agrees</w:t>
      </w:r>
      <w:r w:rsidRPr="005715D0">
        <w:rPr>
          <w:rStyle w:val="cf01"/>
          <w:rFonts w:asciiTheme="minorHAnsi" w:hAnsiTheme="minorHAnsi" w:cstheme="minorHAnsi"/>
          <w:sz w:val="24"/>
          <w:szCs w:val="24"/>
        </w:rPr>
        <w:t xml:space="preserve"> </w:t>
      </w:r>
      <w:r w:rsidR="00A93C4A" w:rsidRPr="005715D0">
        <w:rPr>
          <w:rStyle w:val="cf01"/>
          <w:rFonts w:asciiTheme="minorHAnsi" w:hAnsiTheme="minorHAnsi" w:cstheme="minorHAnsi"/>
          <w:sz w:val="24"/>
          <w:szCs w:val="24"/>
        </w:rPr>
        <w:t>in</w:t>
      </w:r>
      <w:r w:rsidRPr="005715D0">
        <w:rPr>
          <w:rStyle w:val="cf01"/>
          <w:rFonts w:asciiTheme="minorHAnsi" w:hAnsiTheme="minorHAnsi" w:cstheme="minorHAnsi"/>
          <w:sz w:val="24"/>
          <w:szCs w:val="24"/>
        </w:rPr>
        <w:t xml:space="preserve"> </w:t>
      </w:r>
      <w:r w:rsidR="00A93C4A" w:rsidRPr="005715D0">
        <w:rPr>
          <w:rStyle w:val="cf01"/>
          <w:rFonts w:asciiTheme="minorHAnsi" w:hAnsiTheme="minorHAnsi" w:cstheme="minorHAnsi"/>
          <w:sz w:val="24"/>
          <w:szCs w:val="24"/>
        </w:rPr>
        <w:t xml:space="preserve">part with </w:t>
      </w:r>
      <w:r w:rsidR="00D37485" w:rsidRPr="005715D0">
        <w:rPr>
          <w:rStyle w:val="cf01"/>
          <w:rFonts w:asciiTheme="minorHAnsi" w:hAnsiTheme="minorHAnsi" w:cstheme="minorHAnsi"/>
          <w:sz w:val="24"/>
          <w:szCs w:val="24"/>
        </w:rPr>
        <w:t xml:space="preserve">9 </w:t>
      </w:r>
      <w:r w:rsidR="00A93C4A" w:rsidRPr="005715D0">
        <w:rPr>
          <w:rStyle w:val="cf01"/>
          <w:rFonts w:asciiTheme="minorHAnsi" w:hAnsiTheme="minorHAnsi" w:cstheme="minorHAnsi"/>
          <w:sz w:val="24"/>
          <w:szCs w:val="24"/>
        </w:rPr>
        <w:t>recommendations (1, 2, 8, 12, 15, 16, 17, 25 and 26)</w:t>
      </w:r>
      <w:r w:rsidR="00D136B3" w:rsidRPr="005715D0">
        <w:rPr>
          <w:rStyle w:val="cf01"/>
          <w:rFonts w:asciiTheme="minorHAnsi" w:hAnsiTheme="minorHAnsi" w:cstheme="minorHAnsi"/>
          <w:sz w:val="24"/>
          <w:szCs w:val="24"/>
        </w:rPr>
        <w:t xml:space="preserve"> </w:t>
      </w:r>
      <w:r w:rsidR="00A93C4A" w:rsidRPr="005715D0">
        <w:rPr>
          <w:rStyle w:val="cf01"/>
          <w:rFonts w:asciiTheme="minorHAnsi" w:hAnsiTheme="minorHAnsi" w:cstheme="minorHAnsi"/>
          <w:sz w:val="24"/>
          <w:szCs w:val="24"/>
        </w:rPr>
        <w:t xml:space="preserve">where </w:t>
      </w:r>
      <w:r w:rsidR="002E1DDC" w:rsidRPr="005715D0">
        <w:rPr>
          <w:rStyle w:val="cf01"/>
          <w:rFonts w:asciiTheme="minorHAnsi" w:hAnsiTheme="minorHAnsi" w:cstheme="minorHAnsi"/>
          <w:sz w:val="24"/>
          <w:szCs w:val="24"/>
        </w:rPr>
        <w:t>actions have been taken, or are in the process of being taken</w:t>
      </w:r>
      <w:r w:rsidR="00EE04DC" w:rsidRPr="005715D0">
        <w:rPr>
          <w:rStyle w:val="cf01"/>
          <w:rFonts w:asciiTheme="minorHAnsi" w:hAnsiTheme="minorHAnsi" w:cstheme="minorHAnsi"/>
          <w:sz w:val="24"/>
          <w:szCs w:val="24"/>
        </w:rPr>
        <w:t>,</w:t>
      </w:r>
      <w:r w:rsidR="002E1DDC" w:rsidRPr="005715D0">
        <w:rPr>
          <w:rStyle w:val="cf01"/>
          <w:rFonts w:asciiTheme="minorHAnsi" w:hAnsiTheme="minorHAnsi" w:cstheme="minorHAnsi"/>
          <w:sz w:val="24"/>
          <w:szCs w:val="24"/>
        </w:rPr>
        <w:t xml:space="preserve"> to address </w:t>
      </w:r>
      <w:r w:rsidR="00A93C4A" w:rsidRPr="005715D0">
        <w:rPr>
          <w:rStyle w:val="cf01"/>
          <w:rFonts w:asciiTheme="minorHAnsi" w:hAnsiTheme="minorHAnsi" w:cstheme="minorHAnsi"/>
          <w:sz w:val="24"/>
          <w:szCs w:val="24"/>
        </w:rPr>
        <w:t>part of the recommendation</w:t>
      </w:r>
      <w:r w:rsidR="002E1DDC" w:rsidRPr="005715D0">
        <w:rPr>
          <w:rStyle w:val="cf01"/>
          <w:rFonts w:asciiTheme="minorHAnsi" w:hAnsiTheme="minorHAnsi" w:cstheme="minorHAnsi"/>
          <w:sz w:val="24"/>
          <w:szCs w:val="24"/>
        </w:rPr>
        <w:t>.</w:t>
      </w:r>
      <w:r w:rsidR="00A93C4A" w:rsidRPr="005715D0">
        <w:rPr>
          <w:rStyle w:val="cf01"/>
          <w:rFonts w:asciiTheme="minorHAnsi" w:hAnsiTheme="minorHAnsi" w:cstheme="minorHAnsi"/>
          <w:sz w:val="24"/>
          <w:szCs w:val="24"/>
        </w:rPr>
        <w:t xml:space="preserve"> </w:t>
      </w:r>
      <w:r w:rsidR="003B1842" w:rsidRPr="005715D0">
        <w:rPr>
          <w:rStyle w:val="cf01"/>
          <w:rFonts w:asciiTheme="minorHAnsi" w:hAnsiTheme="minorHAnsi" w:cstheme="minorHAnsi"/>
          <w:sz w:val="24"/>
          <w:szCs w:val="24"/>
        </w:rPr>
        <w:t xml:space="preserve">The Government notes the remaining </w:t>
      </w:r>
      <w:r w:rsidR="005D0576" w:rsidRPr="005715D0">
        <w:rPr>
          <w:rStyle w:val="cf01"/>
          <w:rFonts w:asciiTheme="minorHAnsi" w:hAnsiTheme="minorHAnsi" w:cstheme="minorHAnsi"/>
          <w:sz w:val="24"/>
          <w:szCs w:val="24"/>
        </w:rPr>
        <w:t>1</w:t>
      </w:r>
      <w:r w:rsidR="00D37485" w:rsidRPr="005715D0">
        <w:rPr>
          <w:rStyle w:val="cf01"/>
          <w:rFonts w:asciiTheme="minorHAnsi" w:hAnsiTheme="minorHAnsi" w:cstheme="minorHAnsi"/>
          <w:sz w:val="24"/>
          <w:szCs w:val="24"/>
        </w:rPr>
        <w:t>6 </w:t>
      </w:r>
      <w:r w:rsidR="003B1842" w:rsidRPr="005715D0">
        <w:rPr>
          <w:rStyle w:val="cf01"/>
          <w:rFonts w:asciiTheme="minorHAnsi" w:hAnsiTheme="minorHAnsi" w:cstheme="minorHAnsi"/>
          <w:sz w:val="24"/>
          <w:szCs w:val="24"/>
        </w:rPr>
        <w:t>recommendations and will further consider the issues as appropriate</w:t>
      </w:r>
      <w:r w:rsidR="005D0576" w:rsidRPr="005715D0">
        <w:rPr>
          <w:rStyle w:val="cf01"/>
          <w:rFonts w:asciiTheme="minorHAnsi" w:hAnsiTheme="minorHAnsi" w:cstheme="minorHAnsi"/>
          <w:sz w:val="24"/>
          <w:szCs w:val="24"/>
        </w:rPr>
        <w:t>.</w:t>
      </w:r>
    </w:p>
    <w:p w14:paraId="552423B3" w14:textId="77777777" w:rsidR="009A7DF8" w:rsidRPr="005715D0" w:rsidRDefault="009A7DF8" w:rsidP="003B1842">
      <w:pPr>
        <w:rPr>
          <w:rStyle w:val="eop"/>
          <w:rFonts w:cstheme="minorHAnsi"/>
        </w:rPr>
      </w:pPr>
    </w:p>
    <w:p w14:paraId="3AB86D15" w14:textId="5BD4C5B0" w:rsidR="009A7DF8" w:rsidRPr="005715D0" w:rsidRDefault="009A7DF8" w:rsidP="273A57E7">
      <w:pPr>
        <w:rPr>
          <w:rStyle w:val="eop"/>
          <w:rFonts w:cstheme="minorHAnsi"/>
          <w:b/>
          <w:bCs/>
        </w:rPr>
      </w:pPr>
      <w:r w:rsidRPr="005715D0">
        <w:rPr>
          <w:rStyle w:val="eop"/>
          <w:rFonts w:cstheme="minorHAnsi"/>
          <w:b/>
          <w:bCs/>
        </w:rPr>
        <w:t>Table of Government Response to Individual Recommendations</w:t>
      </w:r>
    </w:p>
    <w:tbl>
      <w:tblPr>
        <w:tblStyle w:val="TableGrid"/>
        <w:tblW w:w="0" w:type="auto"/>
        <w:tblLook w:val="04A0" w:firstRow="1" w:lastRow="0" w:firstColumn="1" w:lastColumn="0" w:noHBand="0" w:noVBand="1"/>
      </w:tblPr>
      <w:tblGrid>
        <w:gridCol w:w="2122"/>
        <w:gridCol w:w="5244"/>
        <w:gridCol w:w="1650"/>
      </w:tblGrid>
      <w:tr w:rsidR="009A7DF8" w:rsidRPr="005715D0" w14:paraId="02BCD096" w14:textId="77777777" w:rsidTr="00E00AD3">
        <w:tc>
          <w:tcPr>
            <w:tcW w:w="2122" w:type="dxa"/>
          </w:tcPr>
          <w:p w14:paraId="17B22BF8" w14:textId="45262176" w:rsidR="009A7DF8" w:rsidRPr="005715D0" w:rsidRDefault="009A7DF8" w:rsidP="003B1842">
            <w:pPr>
              <w:rPr>
                <w:rStyle w:val="eop"/>
                <w:rFonts w:cstheme="minorHAnsi"/>
              </w:rPr>
            </w:pPr>
            <w:r w:rsidRPr="005715D0">
              <w:rPr>
                <w:rStyle w:val="eop"/>
                <w:rFonts w:cstheme="minorHAnsi"/>
              </w:rPr>
              <w:t>Recommendation</w:t>
            </w:r>
          </w:p>
        </w:tc>
        <w:tc>
          <w:tcPr>
            <w:tcW w:w="5244" w:type="dxa"/>
          </w:tcPr>
          <w:p w14:paraId="294D765A" w14:textId="294CFAEF" w:rsidR="009A7DF8" w:rsidRPr="005715D0" w:rsidRDefault="00E00AD3" w:rsidP="00887A5E">
            <w:pPr>
              <w:rPr>
                <w:rStyle w:val="eop"/>
                <w:rFonts w:cstheme="minorHAnsi"/>
              </w:rPr>
            </w:pPr>
            <w:r w:rsidRPr="005715D0">
              <w:rPr>
                <w:rStyle w:val="eop"/>
                <w:rFonts w:cstheme="minorHAnsi"/>
              </w:rPr>
              <w:t>Response</w:t>
            </w:r>
          </w:p>
        </w:tc>
        <w:tc>
          <w:tcPr>
            <w:tcW w:w="1650" w:type="dxa"/>
          </w:tcPr>
          <w:p w14:paraId="1BC22973" w14:textId="27E12FAA" w:rsidR="009A7DF8" w:rsidRPr="005715D0" w:rsidRDefault="00E00AD3" w:rsidP="003B1842">
            <w:pPr>
              <w:rPr>
                <w:rStyle w:val="eop"/>
                <w:rFonts w:cstheme="minorHAnsi"/>
              </w:rPr>
            </w:pPr>
            <w:r w:rsidRPr="005A40C6">
              <w:rPr>
                <w:rStyle w:val="eop"/>
                <w:rFonts w:cstheme="minorHAnsi"/>
              </w:rPr>
              <w:t>Page Number</w:t>
            </w:r>
          </w:p>
        </w:tc>
      </w:tr>
      <w:tr w:rsidR="009A7DF8" w:rsidRPr="005715D0" w14:paraId="552CFE21" w14:textId="77777777" w:rsidTr="00E00AD3">
        <w:tc>
          <w:tcPr>
            <w:tcW w:w="2122" w:type="dxa"/>
          </w:tcPr>
          <w:p w14:paraId="209AB9A0" w14:textId="5AAC8AA6" w:rsidR="009A7DF8" w:rsidRPr="005715D0" w:rsidRDefault="00E00AD3" w:rsidP="00E00AD3">
            <w:pPr>
              <w:jc w:val="center"/>
              <w:rPr>
                <w:rStyle w:val="eop"/>
                <w:rFonts w:cstheme="minorHAnsi"/>
              </w:rPr>
            </w:pPr>
            <w:r w:rsidRPr="005715D0">
              <w:rPr>
                <w:rStyle w:val="eop"/>
                <w:rFonts w:cstheme="minorHAnsi"/>
              </w:rPr>
              <w:t>1</w:t>
            </w:r>
          </w:p>
        </w:tc>
        <w:tc>
          <w:tcPr>
            <w:tcW w:w="5244" w:type="dxa"/>
          </w:tcPr>
          <w:p w14:paraId="6ACFEC44" w14:textId="466705E6" w:rsidR="009A7DF8" w:rsidRPr="005715D0" w:rsidRDefault="00E00AD3" w:rsidP="00E00AD3">
            <w:pPr>
              <w:jc w:val="center"/>
              <w:rPr>
                <w:rStyle w:val="eop"/>
                <w:rFonts w:cstheme="minorHAnsi"/>
              </w:rPr>
            </w:pPr>
            <w:r w:rsidRPr="005715D0">
              <w:rPr>
                <w:rStyle w:val="eop"/>
                <w:rFonts w:cstheme="minorHAnsi"/>
              </w:rPr>
              <w:t>Agreed in part</w:t>
            </w:r>
          </w:p>
        </w:tc>
        <w:tc>
          <w:tcPr>
            <w:tcW w:w="1650" w:type="dxa"/>
          </w:tcPr>
          <w:p w14:paraId="45A7E5F0" w14:textId="535001E3" w:rsidR="009A7DF8" w:rsidRPr="005715D0" w:rsidRDefault="005E5290" w:rsidP="00E00AD3">
            <w:pPr>
              <w:jc w:val="center"/>
              <w:rPr>
                <w:rStyle w:val="eop"/>
                <w:rFonts w:cstheme="minorHAnsi"/>
              </w:rPr>
            </w:pPr>
            <w:r w:rsidRPr="005715D0">
              <w:rPr>
                <w:rStyle w:val="eop"/>
                <w:rFonts w:cstheme="minorHAnsi"/>
              </w:rPr>
              <w:t>7</w:t>
            </w:r>
          </w:p>
        </w:tc>
      </w:tr>
      <w:tr w:rsidR="009A7DF8" w:rsidRPr="005715D0" w14:paraId="59980839" w14:textId="77777777" w:rsidTr="00E00AD3">
        <w:tc>
          <w:tcPr>
            <w:tcW w:w="2122" w:type="dxa"/>
          </w:tcPr>
          <w:p w14:paraId="3A1E1EF1" w14:textId="4BCEFFCD" w:rsidR="009A7DF8" w:rsidRPr="005715D0" w:rsidRDefault="00E00AD3" w:rsidP="00E00AD3">
            <w:pPr>
              <w:jc w:val="center"/>
              <w:rPr>
                <w:rStyle w:val="eop"/>
                <w:rFonts w:cstheme="minorHAnsi"/>
              </w:rPr>
            </w:pPr>
            <w:r w:rsidRPr="005715D0">
              <w:rPr>
                <w:rStyle w:val="eop"/>
                <w:rFonts w:cstheme="minorHAnsi"/>
              </w:rPr>
              <w:t>2</w:t>
            </w:r>
          </w:p>
        </w:tc>
        <w:tc>
          <w:tcPr>
            <w:tcW w:w="5244" w:type="dxa"/>
          </w:tcPr>
          <w:p w14:paraId="3095CD0F" w14:textId="0EED3C3F" w:rsidR="009A7DF8" w:rsidRPr="005715D0" w:rsidRDefault="00E00AD3" w:rsidP="00E00AD3">
            <w:pPr>
              <w:jc w:val="center"/>
              <w:rPr>
                <w:rStyle w:val="eop"/>
                <w:rFonts w:cstheme="minorHAnsi"/>
              </w:rPr>
            </w:pPr>
            <w:r w:rsidRPr="005715D0">
              <w:rPr>
                <w:rStyle w:val="eop"/>
                <w:rFonts w:cstheme="minorHAnsi"/>
              </w:rPr>
              <w:t>Agreed in part</w:t>
            </w:r>
          </w:p>
        </w:tc>
        <w:tc>
          <w:tcPr>
            <w:tcW w:w="1650" w:type="dxa"/>
          </w:tcPr>
          <w:p w14:paraId="7DE87331" w14:textId="1F7F98C4" w:rsidR="009A7DF8" w:rsidRPr="005715D0" w:rsidRDefault="00CB2CCE" w:rsidP="00E00AD3">
            <w:pPr>
              <w:jc w:val="center"/>
              <w:rPr>
                <w:rStyle w:val="eop"/>
                <w:rFonts w:cstheme="minorHAnsi"/>
              </w:rPr>
            </w:pPr>
            <w:r w:rsidRPr="005715D0">
              <w:rPr>
                <w:rStyle w:val="eop"/>
                <w:rFonts w:cstheme="minorHAnsi"/>
              </w:rPr>
              <w:t>9</w:t>
            </w:r>
          </w:p>
        </w:tc>
      </w:tr>
      <w:tr w:rsidR="009A7DF8" w:rsidRPr="005715D0" w14:paraId="16EB958C" w14:textId="77777777" w:rsidTr="00E00AD3">
        <w:tc>
          <w:tcPr>
            <w:tcW w:w="2122" w:type="dxa"/>
          </w:tcPr>
          <w:p w14:paraId="3880626D" w14:textId="6229238E" w:rsidR="009A7DF8" w:rsidRPr="005715D0" w:rsidRDefault="00E00AD3" w:rsidP="00E00AD3">
            <w:pPr>
              <w:jc w:val="center"/>
              <w:rPr>
                <w:rStyle w:val="eop"/>
                <w:rFonts w:cstheme="minorHAnsi"/>
              </w:rPr>
            </w:pPr>
            <w:r w:rsidRPr="005715D0">
              <w:rPr>
                <w:rStyle w:val="eop"/>
                <w:rFonts w:cstheme="minorHAnsi"/>
              </w:rPr>
              <w:t>3</w:t>
            </w:r>
          </w:p>
        </w:tc>
        <w:tc>
          <w:tcPr>
            <w:tcW w:w="5244" w:type="dxa"/>
          </w:tcPr>
          <w:p w14:paraId="304CC2C5" w14:textId="5FF8F323" w:rsidR="009A7DF8" w:rsidRPr="005715D0" w:rsidRDefault="00D37485" w:rsidP="00E00AD3">
            <w:pPr>
              <w:jc w:val="center"/>
              <w:rPr>
                <w:rStyle w:val="eop"/>
                <w:rFonts w:cstheme="minorHAnsi"/>
              </w:rPr>
            </w:pPr>
            <w:r w:rsidRPr="005715D0">
              <w:rPr>
                <w:rStyle w:val="eop"/>
                <w:rFonts w:cstheme="minorHAnsi"/>
              </w:rPr>
              <w:t>Noted</w:t>
            </w:r>
          </w:p>
        </w:tc>
        <w:tc>
          <w:tcPr>
            <w:tcW w:w="1650" w:type="dxa"/>
          </w:tcPr>
          <w:p w14:paraId="0BD8CADF" w14:textId="1C66C18C" w:rsidR="009A7DF8" w:rsidRPr="005715D0" w:rsidRDefault="004619BB" w:rsidP="00E00AD3">
            <w:pPr>
              <w:jc w:val="center"/>
              <w:rPr>
                <w:rStyle w:val="eop"/>
                <w:rFonts w:cstheme="minorHAnsi"/>
              </w:rPr>
            </w:pPr>
            <w:r>
              <w:rPr>
                <w:rStyle w:val="eop"/>
                <w:rFonts w:cstheme="minorHAnsi"/>
              </w:rPr>
              <w:t>28</w:t>
            </w:r>
          </w:p>
        </w:tc>
      </w:tr>
      <w:tr w:rsidR="009A7DF8" w:rsidRPr="005715D0" w14:paraId="63F6E66F" w14:textId="77777777" w:rsidTr="00E00AD3">
        <w:tc>
          <w:tcPr>
            <w:tcW w:w="2122" w:type="dxa"/>
          </w:tcPr>
          <w:p w14:paraId="66D4C8BD" w14:textId="424EE943" w:rsidR="009A7DF8" w:rsidRPr="005715D0" w:rsidRDefault="00E00AD3" w:rsidP="00E00AD3">
            <w:pPr>
              <w:jc w:val="center"/>
              <w:rPr>
                <w:rStyle w:val="eop"/>
                <w:rFonts w:cstheme="minorHAnsi"/>
              </w:rPr>
            </w:pPr>
            <w:r w:rsidRPr="005715D0">
              <w:rPr>
                <w:rStyle w:val="eop"/>
                <w:rFonts w:cstheme="minorHAnsi"/>
              </w:rPr>
              <w:t>4</w:t>
            </w:r>
          </w:p>
        </w:tc>
        <w:tc>
          <w:tcPr>
            <w:tcW w:w="5244" w:type="dxa"/>
          </w:tcPr>
          <w:p w14:paraId="0C25F34C" w14:textId="639A67A6" w:rsidR="009A7DF8" w:rsidRPr="005715D0" w:rsidRDefault="00E00AD3" w:rsidP="00E00AD3">
            <w:pPr>
              <w:jc w:val="center"/>
              <w:rPr>
                <w:rStyle w:val="eop"/>
                <w:rFonts w:cstheme="minorHAnsi"/>
              </w:rPr>
            </w:pPr>
            <w:r w:rsidRPr="005715D0">
              <w:rPr>
                <w:rStyle w:val="eop"/>
                <w:rFonts w:cstheme="minorHAnsi"/>
              </w:rPr>
              <w:t>Noted</w:t>
            </w:r>
          </w:p>
        </w:tc>
        <w:tc>
          <w:tcPr>
            <w:tcW w:w="1650" w:type="dxa"/>
          </w:tcPr>
          <w:p w14:paraId="26F36F05" w14:textId="1CD4AFEF" w:rsidR="009A7DF8" w:rsidRPr="005715D0" w:rsidRDefault="00345BA0" w:rsidP="00E00AD3">
            <w:pPr>
              <w:jc w:val="center"/>
              <w:rPr>
                <w:rStyle w:val="eop"/>
                <w:rFonts w:cstheme="minorHAnsi"/>
              </w:rPr>
            </w:pPr>
            <w:r>
              <w:rPr>
                <w:rStyle w:val="eop"/>
                <w:rFonts w:cstheme="minorHAnsi"/>
              </w:rPr>
              <w:t>29</w:t>
            </w:r>
          </w:p>
        </w:tc>
      </w:tr>
      <w:tr w:rsidR="009A7DF8" w:rsidRPr="005715D0" w14:paraId="18FD483B" w14:textId="77777777" w:rsidTr="00E00AD3">
        <w:tc>
          <w:tcPr>
            <w:tcW w:w="2122" w:type="dxa"/>
          </w:tcPr>
          <w:p w14:paraId="11F32571" w14:textId="7F29EA73" w:rsidR="009A7DF8" w:rsidRPr="005715D0" w:rsidRDefault="00E00AD3" w:rsidP="00E00AD3">
            <w:pPr>
              <w:jc w:val="center"/>
              <w:rPr>
                <w:rStyle w:val="eop"/>
                <w:rFonts w:cstheme="minorHAnsi"/>
              </w:rPr>
            </w:pPr>
            <w:r w:rsidRPr="005715D0">
              <w:rPr>
                <w:rStyle w:val="eop"/>
                <w:rFonts w:cstheme="minorHAnsi"/>
              </w:rPr>
              <w:t>5</w:t>
            </w:r>
          </w:p>
        </w:tc>
        <w:tc>
          <w:tcPr>
            <w:tcW w:w="5244" w:type="dxa"/>
          </w:tcPr>
          <w:p w14:paraId="37F00FDB" w14:textId="65BEEFAC" w:rsidR="009A7DF8" w:rsidRPr="005715D0" w:rsidRDefault="00E00AD3" w:rsidP="00E00AD3">
            <w:pPr>
              <w:jc w:val="center"/>
              <w:rPr>
                <w:rStyle w:val="eop"/>
                <w:rFonts w:cstheme="minorHAnsi"/>
              </w:rPr>
            </w:pPr>
            <w:r w:rsidRPr="005715D0">
              <w:rPr>
                <w:rStyle w:val="eop"/>
                <w:rFonts w:cstheme="minorHAnsi"/>
              </w:rPr>
              <w:t>Noted</w:t>
            </w:r>
          </w:p>
        </w:tc>
        <w:tc>
          <w:tcPr>
            <w:tcW w:w="1650" w:type="dxa"/>
          </w:tcPr>
          <w:p w14:paraId="0F9D1A0E" w14:textId="5E233E56" w:rsidR="009A7DF8" w:rsidRPr="005715D0" w:rsidRDefault="00345BA0" w:rsidP="00E00AD3">
            <w:pPr>
              <w:jc w:val="center"/>
              <w:rPr>
                <w:rStyle w:val="eop"/>
                <w:rFonts w:cstheme="minorHAnsi"/>
              </w:rPr>
            </w:pPr>
            <w:r>
              <w:rPr>
                <w:rStyle w:val="eop"/>
                <w:rFonts w:cstheme="minorHAnsi"/>
              </w:rPr>
              <w:t>29</w:t>
            </w:r>
          </w:p>
        </w:tc>
      </w:tr>
      <w:tr w:rsidR="009A7DF8" w:rsidRPr="005715D0" w14:paraId="5C4CD8EF" w14:textId="77777777" w:rsidTr="00E00AD3">
        <w:tc>
          <w:tcPr>
            <w:tcW w:w="2122" w:type="dxa"/>
          </w:tcPr>
          <w:p w14:paraId="47C8BB4D" w14:textId="16815B05" w:rsidR="009A7DF8" w:rsidRPr="005715D0" w:rsidRDefault="00E00AD3" w:rsidP="00E00AD3">
            <w:pPr>
              <w:jc w:val="center"/>
              <w:rPr>
                <w:rStyle w:val="eop"/>
                <w:rFonts w:cstheme="minorHAnsi"/>
              </w:rPr>
            </w:pPr>
            <w:r w:rsidRPr="005715D0">
              <w:rPr>
                <w:rStyle w:val="eop"/>
                <w:rFonts w:cstheme="minorHAnsi"/>
              </w:rPr>
              <w:t>6</w:t>
            </w:r>
          </w:p>
        </w:tc>
        <w:tc>
          <w:tcPr>
            <w:tcW w:w="5244" w:type="dxa"/>
          </w:tcPr>
          <w:p w14:paraId="7AC657D4" w14:textId="7ED7A086" w:rsidR="009A7DF8" w:rsidRPr="005715D0" w:rsidRDefault="00E00AD3" w:rsidP="00E00AD3">
            <w:pPr>
              <w:jc w:val="center"/>
              <w:rPr>
                <w:rStyle w:val="eop"/>
                <w:rFonts w:cstheme="minorHAnsi"/>
              </w:rPr>
            </w:pPr>
            <w:r w:rsidRPr="005715D0">
              <w:rPr>
                <w:rStyle w:val="eop"/>
                <w:rFonts w:cstheme="minorHAnsi"/>
              </w:rPr>
              <w:t>Noted</w:t>
            </w:r>
          </w:p>
        </w:tc>
        <w:tc>
          <w:tcPr>
            <w:tcW w:w="1650" w:type="dxa"/>
          </w:tcPr>
          <w:p w14:paraId="26245E92" w14:textId="7636EACE" w:rsidR="009A7DF8" w:rsidRPr="005715D0" w:rsidRDefault="00B45BE5" w:rsidP="00E00AD3">
            <w:pPr>
              <w:jc w:val="center"/>
              <w:rPr>
                <w:rStyle w:val="eop"/>
                <w:rFonts w:cstheme="minorHAnsi"/>
              </w:rPr>
            </w:pPr>
            <w:r w:rsidRPr="005715D0">
              <w:rPr>
                <w:rStyle w:val="eop"/>
                <w:rFonts w:cstheme="minorHAnsi"/>
              </w:rPr>
              <w:t>3</w:t>
            </w:r>
            <w:r w:rsidR="00345BA0">
              <w:rPr>
                <w:rStyle w:val="eop"/>
                <w:rFonts w:cstheme="minorHAnsi"/>
              </w:rPr>
              <w:t>1</w:t>
            </w:r>
          </w:p>
        </w:tc>
      </w:tr>
      <w:tr w:rsidR="009A7DF8" w:rsidRPr="005715D0" w14:paraId="4F994046" w14:textId="77777777" w:rsidTr="00E00AD3">
        <w:tc>
          <w:tcPr>
            <w:tcW w:w="2122" w:type="dxa"/>
          </w:tcPr>
          <w:p w14:paraId="0B2B371F" w14:textId="75D37133" w:rsidR="009A7DF8" w:rsidRPr="005715D0" w:rsidRDefault="00E00AD3" w:rsidP="00E00AD3">
            <w:pPr>
              <w:jc w:val="center"/>
              <w:rPr>
                <w:rStyle w:val="eop"/>
                <w:rFonts w:cstheme="minorHAnsi"/>
              </w:rPr>
            </w:pPr>
            <w:r w:rsidRPr="005715D0">
              <w:rPr>
                <w:rStyle w:val="eop"/>
                <w:rFonts w:cstheme="minorHAnsi"/>
              </w:rPr>
              <w:t>7</w:t>
            </w:r>
          </w:p>
        </w:tc>
        <w:tc>
          <w:tcPr>
            <w:tcW w:w="5244" w:type="dxa"/>
          </w:tcPr>
          <w:p w14:paraId="13EE6220" w14:textId="3E4A70E1" w:rsidR="009A7DF8" w:rsidRPr="005715D0" w:rsidRDefault="00E00AD3" w:rsidP="00E00AD3">
            <w:pPr>
              <w:jc w:val="center"/>
              <w:rPr>
                <w:rStyle w:val="eop"/>
                <w:rFonts w:cstheme="minorHAnsi"/>
              </w:rPr>
            </w:pPr>
            <w:r w:rsidRPr="005715D0">
              <w:rPr>
                <w:rStyle w:val="eop"/>
                <w:rFonts w:cstheme="minorHAnsi"/>
              </w:rPr>
              <w:t>Noted</w:t>
            </w:r>
          </w:p>
        </w:tc>
        <w:tc>
          <w:tcPr>
            <w:tcW w:w="1650" w:type="dxa"/>
          </w:tcPr>
          <w:p w14:paraId="3B373281" w14:textId="60EB8A11" w:rsidR="009A7DF8" w:rsidRPr="005715D0" w:rsidRDefault="003F4EEA" w:rsidP="00E00AD3">
            <w:pPr>
              <w:jc w:val="center"/>
              <w:rPr>
                <w:rStyle w:val="eop"/>
                <w:rFonts w:cstheme="minorHAnsi"/>
              </w:rPr>
            </w:pPr>
            <w:r w:rsidRPr="005715D0">
              <w:rPr>
                <w:rStyle w:val="eop"/>
                <w:rFonts w:cstheme="minorHAnsi"/>
              </w:rPr>
              <w:t>3</w:t>
            </w:r>
            <w:r w:rsidR="00345BA0">
              <w:rPr>
                <w:rStyle w:val="eop"/>
                <w:rFonts w:cstheme="minorHAnsi"/>
              </w:rPr>
              <w:t>2</w:t>
            </w:r>
          </w:p>
        </w:tc>
      </w:tr>
      <w:tr w:rsidR="00E00AD3" w:rsidRPr="005715D0" w14:paraId="669809A6" w14:textId="77777777" w:rsidTr="00E00AD3">
        <w:tc>
          <w:tcPr>
            <w:tcW w:w="2122" w:type="dxa"/>
          </w:tcPr>
          <w:p w14:paraId="40EE5C0B" w14:textId="7FFDE804" w:rsidR="00E00AD3" w:rsidRPr="005715D0" w:rsidRDefault="00E00AD3" w:rsidP="00E00AD3">
            <w:pPr>
              <w:jc w:val="center"/>
              <w:rPr>
                <w:rStyle w:val="eop"/>
                <w:rFonts w:cstheme="minorHAnsi"/>
              </w:rPr>
            </w:pPr>
            <w:r w:rsidRPr="005715D0">
              <w:rPr>
                <w:rStyle w:val="eop"/>
                <w:rFonts w:cstheme="minorHAnsi"/>
              </w:rPr>
              <w:t>8</w:t>
            </w:r>
          </w:p>
        </w:tc>
        <w:tc>
          <w:tcPr>
            <w:tcW w:w="5244" w:type="dxa"/>
          </w:tcPr>
          <w:p w14:paraId="134DF43B" w14:textId="2B4B9661" w:rsidR="00E00AD3" w:rsidRPr="005715D0" w:rsidRDefault="00E00AD3" w:rsidP="00E00AD3">
            <w:pPr>
              <w:jc w:val="center"/>
              <w:rPr>
                <w:rStyle w:val="eop"/>
                <w:rFonts w:cstheme="minorHAnsi"/>
              </w:rPr>
            </w:pPr>
            <w:r w:rsidRPr="005715D0">
              <w:rPr>
                <w:rStyle w:val="eop"/>
                <w:rFonts w:cstheme="minorHAnsi"/>
              </w:rPr>
              <w:t>Agreed in part</w:t>
            </w:r>
          </w:p>
        </w:tc>
        <w:tc>
          <w:tcPr>
            <w:tcW w:w="1650" w:type="dxa"/>
          </w:tcPr>
          <w:p w14:paraId="309F33EE" w14:textId="319439D6" w:rsidR="00E00AD3" w:rsidRPr="005715D0" w:rsidRDefault="00694DBD" w:rsidP="00E00AD3">
            <w:pPr>
              <w:jc w:val="center"/>
              <w:rPr>
                <w:rStyle w:val="eop"/>
                <w:rFonts w:cstheme="minorHAnsi"/>
              </w:rPr>
            </w:pPr>
            <w:r w:rsidRPr="005715D0">
              <w:rPr>
                <w:rStyle w:val="eop"/>
                <w:rFonts w:cstheme="minorHAnsi"/>
              </w:rPr>
              <w:t>5</w:t>
            </w:r>
            <w:r w:rsidR="00345BA0">
              <w:rPr>
                <w:rStyle w:val="eop"/>
                <w:rFonts w:cstheme="minorHAnsi"/>
              </w:rPr>
              <w:t>3</w:t>
            </w:r>
          </w:p>
        </w:tc>
      </w:tr>
      <w:tr w:rsidR="00E00AD3" w:rsidRPr="005715D0" w14:paraId="4551E150" w14:textId="77777777" w:rsidTr="00E00AD3">
        <w:tc>
          <w:tcPr>
            <w:tcW w:w="2122" w:type="dxa"/>
          </w:tcPr>
          <w:p w14:paraId="71B71D7D" w14:textId="654BF995" w:rsidR="00E00AD3" w:rsidRPr="005715D0" w:rsidRDefault="00E00AD3" w:rsidP="00E00AD3">
            <w:pPr>
              <w:jc w:val="center"/>
              <w:rPr>
                <w:rStyle w:val="eop"/>
                <w:rFonts w:cstheme="minorHAnsi"/>
              </w:rPr>
            </w:pPr>
            <w:r w:rsidRPr="005715D0">
              <w:rPr>
                <w:rStyle w:val="eop"/>
                <w:rFonts w:cstheme="minorHAnsi"/>
              </w:rPr>
              <w:t>9</w:t>
            </w:r>
          </w:p>
        </w:tc>
        <w:tc>
          <w:tcPr>
            <w:tcW w:w="5244" w:type="dxa"/>
          </w:tcPr>
          <w:p w14:paraId="18F32BBD" w14:textId="7F46DF7B" w:rsidR="00E00AD3" w:rsidRPr="005715D0" w:rsidRDefault="00E00AD3" w:rsidP="00E00AD3">
            <w:pPr>
              <w:jc w:val="center"/>
              <w:rPr>
                <w:rStyle w:val="eop"/>
                <w:rFonts w:cstheme="minorHAnsi"/>
              </w:rPr>
            </w:pPr>
            <w:r w:rsidRPr="005715D0">
              <w:rPr>
                <w:rStyle w:val="eop"/>
                <w:rFonts w:cstheme="minorHAnsi"/>
              </w:rPr>
              <w:t>Agreed in principle</w:t>
            </w:r>
          </w:p>
        </w:tc>
        <w:tc>
          <w:tcPr>
            <w:tcW w:w="1650" w:type="dxa"/>
          </w:tcPr>
          <w:p w14:paraId="43E1B7B8" w14:textId="0459CD82" w:rsidR="00E00AD3" w:rsidRPr="005715D0" w:rsidRDefault="00B832B2" w:rsidP="00E00AD3">
            <w:pPr>
              <w:jc w:val="center"/>
              <w:rPr>
                <w:rStyle w:val="eop"/>
                <w:rFonts w:cstheme="minorHAnsi"/>
              </w:rPr>
            </w:pPr>
            <w:r w:rsidRPr="005715D0">
              <w:rPr>
                <w:rStyle w:val="eop"/>
                <w:rFonts w:cstheme="minorHAnsi"/>
              </w:rPr>
              <w:t>4</w:t>
            </w:r>
            <w:r w:rsidR="00345BA0">
              <w:rPr>
                <w:rStyle w:val="eop"/>
                <w:rFonts w:cstheme="minorHAnsi"/>
              </w:rPr>
              <w:t>4</w:t>
            </w:r>
          </w:p>
        </w:tc>
      </w:tr>
      <w:tr w:rsidR="00E00AD3" w:rsidRPr="005715D0" w14:paraId="2E625B35" w14:textId="77777777" w:rsidTr="00E00AD3">
        <w:tc>
          <w:tcPr>
            <w:tcW w:w="2122" w:type="dxa"/>
          </w:tcPr>
          <w:p w14:paraId="713DA13C" w14:textId="400F4FAD" w:rsidR="00E00AD3" w:rsidRPr="005715D0" w:rsidRDefault="00E00AD3" w:rsidP="00E00AD3">
            <w:pPr>
              <w:jc w:val="center"/>
              <w:rPr>
                <w:rStyle w:val="eop"/>
                <w:rFonts w:cstheme="minorHAnsi"/>
              </w:rPr>
            </w:pPr>
            <w:r w:rsidRPr="005715D0">
              <w:rPr>
                <w:rStyle w:val="eop"/>
                <w:rFonts w:cstheme="minorHAnsi"/>
              </w:rPr>
              <w:t>10</w:t>
            </w:r>
          </w:p>
        </w:tc>
        <w:tc>
          <w:tcPr>
            <w:tcW w:w="5244" w:type="dxa"/>
          </w:tcPr>
          <w:p w14:paraId="645F7F91" w14:textId="091A2867" w:rsidR="00E00AD3" w:rsidRPr="005715D0" w:rsidRDefault="00E00AD3" w:rsidP="00E00AD3">
            <w:pPr>
              <w:jc w:val="center"/>
              <w:rPr>
                <w:rStyle w:val="eop"/>
                <w:rFonts w:cstheme="minorHAnsi"/>
              </w:rPr>
            </w:pPr>
            <w:r w:rsidRPr="005715D0">
              <w:rPr>
                <w:rStyle w:val="eop"/>
                <w:rFonts w:cstheme="minorHAnsi"/>
              </w:rPr>
              <w:t>Agreed in principle</w:t>
            </w:r>
          </w:p>
        </w:tc>
        <w:tc>
          <w:tcPr>
            <w:tcW w:w="1650" w:type="dxa"/>
          </w:tcPr>
          <w:p w14:paraId="3EADD8C9" w14:textId="4B6BDCF9" w:rsidR="00E00AD3" w:rsidRPr="005715D0" w:rsidRDefault="00E97AB2" w:rsidP="00E00AD3">
            <w:pPr>
              <w:jc w:val="center"/>
              <w:rPr>
                <w:rStyle w:val="eop"/>
                <w:rFonts w:cstheme="minorHAnsi"/>
              </w:rPr>
            </w:pPr>
            <w:r w:rsidRPr="005715D0">
              <w:rPr>
                <w:rStyle w:val="eop"/>
                <w:rFonts w:cstheme="minorHAnsi"/>
              </w:rPr>
              <w:t>4</w:t>
            </w:r>
            <w:r w:rsidR="00BB4201">
              <w:rPr>
                <w:rStyle w:val="eop"/>
                <w:rFonts w:cstheme="minorHAnsi"/>
              </w:rPr>
              <w:t>5</w:t>
            </w:r>
          </w:p>
        </w:tc>
      </w:tr>
      <w:tr w:rsidR="00E00AD3" w:rsidRPr="005715D0" w14:paraId="4807D4BE" w14:textId="77777777" w:rsidTr="00E00AD3">
        <w:tc>
          <w:tcPr>
            <w:tcW w:w="2122" w:type="dxa"/>
          </w:tcPr>
          <w:p w14:paraId="0E51BEF9" w14:textId="66E417DA" w:rsidR="00E00AD3" w:rsidRPr="005715D0" w:rsidRDefault="00E00AD3" w:rsidP="00E00AD3">
            <w:pPr>
              <w:jc w:val="center"/>
              <w:rPr>
                <w:rStyle w:val="eop"/>
                <w:rFonts w:cstheme="minorHAnsi"/>
              </w:rPr>
            </w:pPr>
            <w:r w:rsidRPr="005715D0">
              <w:rPr>
                <w:rStyle w:val="eop"/>
                <w:rFonts w:cstheme="minorHAnsi"/>
              </w:rPr>
              <w:t>11</w:t>
            </w:r>
          </w:p>
        </w:tc>
        <w:tc>
          <w:tcPr>
            <w:tcW w:w="5244" w:type="dxa"/>
          </w:tcPr>
          <w:p w14:paraId="71180B34" w14:textId="5AF48A81" w:rsidR="00E00AD3" w:rsidRPr="005715D0" w:rsidRDefault="00E00AD3" w:rsidP="00E00AD3">
            <w:pPr>
              <w:jc w:val="center"/>
              <w:rPr>
                <w:rStyle w:val="eop"/>
                <w:rFonts w:cstheme="minorHAnsi"/>
              </w:rPr>
            </w:pPr>
            <w:r w:rsidRPr="005715D0">
              <w:rPr>
                <w:rStyle w:val="eop"/>
                <w:rFonts w:cstheme="minorHAnsi"/>
              </w:rPr>
              <w:t>Agreed in principle</w:t>
            </w:r>
          </w:p>
        </w:tc>
        <w:tc>
          <w:tcPr>
            <w:tcW w:w="1650" w:type="dxa"/>
          </w:tcPr>
          <w:p w14:paraId="4272C54C" w14:textId="696A4D25" w:rsidR="00E00AD3" w:rsidRPr="005715D0" w:rsidRDefault="00B832B2" w:rsidP="00E00AD3">
            <w:pPr>
              <w:jc w:val="center"/>
              <w:rPr>
                <w:rStyle w:val="eop"/>
                <w:rFonts w:cstheme="minorHAnsi"/>
              </w:rPr>
            </w:pPr>
            <w:r w:rsidRPr="005715D0">
              <w:rPr>
                <w:rStyle w:val="eop"/>
                <w:rFonts w:cstheme="minorHAnsi"/>
              </w:rPr>
              <w:t>4</w:t>
            </w:r>
            <w:r w:rsidR="00BB4201">
              <w:rPr>
                <w:rStyle w:val="eop"/>
                <w:rFonts w:cstheme="minorHAnsi"/>
              </w:rPr>
              <w:t>6</w:t>
            </w:r>
          </w:p>
        </w:tc>
      </w:tr>
      <w:tr w:rsidR="00E00AD3" w:rsidRPr="005715D0" w14:paraId="0F6DAA74" w14:textId="77777777" w:rsidTr="00E00AD3">
        <w:tc>
          <w:tcPr>
            <w:tcW w:w="2122" w:type="dxa"/>
          </w:tcPr>
          <w:p w14:paraId="6F795895" w14:textId="30F51E1E" w:rsidR="00E00AD3" w:rsidRPr="005715D0" w:rsidRDefault="00E00AD3" w:rsidP="00E00AD3">
            <w:pPr>
              <w:jc w:val="center"/>
              <w:rPr>
                <w:rStyle w:val="eop"/>
                <w:rFonts w:cstheme="minorHAnsi"/>
              </w:rPr>
            </w:pPr>
            <w:r w:rsidRPr="005715D0">
              <w:rPr>
                <w:rStyle w:val="eop"/>
                <w:rFonts w:cstheme="minorHAnsi"/>
              </w:rPr>
              <w:t>12</w:t>
            </w:r>
          </w:p>
        </w:tc>
        <w:tc>
          <w:tcPr>
            <w:tcW w:w="5244" w:type="dxa"/>
          </w:tcPr>
          <w:p w14:paraId="1D484AFC" w14:textId="282C8549" w:rsidR="00E00AD3" w:rsidRPr="005715D0" w:rsidRDefault="005015FD" w:rsidP="00E00AD3">
            <w:pPr>
              <w:jc w:val="center"/>
              <w:rPr>
                <w:rStyle w:val="eop"/>
                <w:rFonts w:cstheme="minorHAnsi"/>
              </w:rPr>
            </w:pPr>
            <w:r w:rsidRPr="005715D0">
              <w:rPr>
                <w:rStyle w:val="eop"/>
                <w:rFonts w:cstheme="minorHAnsi"/>
              </w:rPr>
              <w:t>Agreed in part</w:t>
            </w:r>
          </w:p>
        </w:tc>
        <w:tc>
          <w:tcPr>
            <w:tcW w:w="1650" w:type="dxa"/>
          </w:tcPr>
          <w:p w14:paraId="79716CF3" w14:textId="60CB6288" w:rsidR="00E00AD3" w:rsidRPr="005715D0" w:rsidRDefault="00B832B2" w:rsidP="00E00AD3">
            <w:pPr>
              <w:jc w:val="center"/>
              <w:rPr>
                <w:rStyle w:val="eop"/>
                <w:rFonts w:cstheme="minorHAnsi"/>
              </w:rPr>
            </w:pPr>
            <w:r w:rsidRPr="005715D0">
              <w:rPr>
                <w:rStyle w:val="eop"/>
                <w:rFonts w:cstheme="minorHAnsi"/>
              </w:rPr>
              <w:t>4</w:t>
            </w:r>
            <w:r w:rsidR="00BB4201">
              <w:rPr>
                <w:rStyle w:val="eop"/>
                <w:rFonts w:cstheme="minorHAnsi"/>
              </w:rPr>
              <w:t>7</w:t>
            </w:r>
          </w:p>
        </w:tc>
      </w:tr>
      <w:tr w:rsidR="00E00AD3" w:rsidRPr="005715D0" w14:paraId="4B070C6A" w14:textId="77777777" w:rsidTr="00E00AD3">
        <w:tc>
          <w:tcPr>
            <w:tcW w:w="2122" w:type="dxa"/>
          </w:tcPr>
          <w:p w14:paraId="7D30E77F" w14:textId="69C1D88B" w:rsidR="00E00AD3" w:rsidRPr="005715D0" w:rsidRDefault="00E00AD3" w:rsidP="00E00AD3">
            <w:pPr>
              <w:jc w:val="center"/>
              <w:rPr>
                <w:rStyle w:val="eop"/>
                <w:rFonts w:cstheme="minorHAnsi"/>
              </w:rPr>
            </w:pPr>
            <w:r w:rsidRPr="005715D0">
              <w:rPr>
                <w:rStyle w:val="eop"/>
                <w:rFonts w:cstheme="minorHAnsi"/>
              </w:rPr>
              <w:t>13</w:t>
            </w:r>
          </w:p>
        </w:tc>
        <w:tc>
          <w:tcPr>
            <w:tcW w:w="5244" w:type="dxa"/>
          </w:tcPr>
          <w:p w14:paraId="582DFEA7" w14:textId="3D159ECF" w:rsidR="00E00AD3" w:rsidRPr="005715D0" w:rsidRDefault="005015FD" w:rsidP="00E00AD3">
            <w:pPr>
              <w:jc w:val="center"/>
              <w:rPr>
                <w:rStyle w:val="eop"/>
                <w:rFonts w:cstheme="minorHAnsi"/>
              </w:rPr>
            </w:pPr>
            <w:r w:rsidRPr="005715D0">
              <w:rPr>
                <w:rStyle w:val="eop"/>
                <w:rFonts w:cstheme="minorHAnsi"/>
              </w:rPr>
              <w:t>Agreed</w:t>
            </w:r>
          </w:p>
        </w:tc>
        <w:tc>
          <w:tcPr>
            <w:tcW w:w="1650" w:type="dxa"/>
          </w:tcPr>
          <w:p w14:paraId="778F2EE5" w14:textId="29E92414" w:rsidR="00E00AD3" w:rsidRPr="005715D0" w:rsidRDefault="00BC5BF1" w:rsidP="00E00AD3">
            <w:pPr>
              <w:jc w:val="center"/>
              <w:rPr>
                <w:rStyle w:val="eop"/>
                <w:rFonts w:cstheme="minorHAnsi"/>
              </w:rPr>
            </w:pPr>
            <w:r w:rsidRPr="005715D0">
              <w:rPr>
                <w:rStyle w:val="eop"/>
                <w:rFonts w:cstheme="minorHAnsi"/>
              </w:rPr>
              <w:t>3</w:t>
            </w:r>
            <w:r w:rsidR="00BB4201">
              <w:rPr>
                <w:rStyle w:val="eop"/>
                <w:rFonts w:cstheme="minorHAnsi"/>
              </w:rPr>
              <w:t>7</w:t>
            </w:r>
          </w:p>
        </w:tc>
      </w:tr>
      <w:tr w:rsidR="00E00AD3" w:rsidRPr="005715D0" w14:paraId="0EDBF949" w14:textId="77777777" w:rsidTr="00E00AD3">
        <w:tc>
          <w:tcPr>
            <w:tcW w:w="2122" w:type="dxa"/>
          </w:tcPr>
          <w:p w14:paraId="687416D9" w14:textId="7EDA2D9B" w:rsidR="00E00AD3" w:rsidRPr="005715D0" w:rsidRDefault="00E00AD3" w:rsidP="00E00AD3">
            <w:pPr>
              <w:jc w:val="center"/>
              <w:rPr>
                <w:rStyle w:val="eop"/>
                <w:rFonts w:cstheme="minorHAnsi"/>
              </w:rPr>
            </w:pPr>
            <w:r w:rsidRPr="005715D0">
              <w:rPr>
                <w:rStyle w:val="eop"/>
                <w:rFonts w:cstheme="minorHAnsi"/>
              </w:rPr>
              <w:t>14</w:t>
            </w:r>
          </w:p>
        </w:tc>
        <w:tc>
          <w:tcPr>
            <w:tcW w:w="5244" w:type="dxa"/>
          </w:tcPr>
          <w:p w14:paraId="489D6297" w14:textId="7907731D" w:rsidR="00E00AD3" w:rsidRPr="005715D0" w:rsidRDefault="005015FD" w:rsidP="00E00AD3">
            <w:pPr>
              <w:jc w:val="center"/>
              <w:rPr>
                <w:rStyle w:val="eop"/>
                <w:rFonts w:cstheme="minorHAnsi"/>
              </w:rPr>
            </w:pPr>
            <w:r w:rsidRPr="005715D0">
              <w:rPr>
                <w:rStyle w:val="eop"/>
                <w:rFonts w:cstheme="minorHAnsi"/>
              </w:rPr>
              <w:t>Agreed</w:t>
            </w:r>
          </w:p>
        </w:tc>
        <w:tc>
          <w:tcPr>
            <w:tcW w:w="1650" w:type="dxa"/>
          </w:tcPr>
          <w:p w14:paraId="58DC19F0" w14:textId="2A571CC3" w:rsidR="00E00AD3" w:rsidRPr="005715D0" w:rsidRDefault="00B832B2" w:rsidP="00E00AD3">
            <w:pPr>
              <w:jc w:val="center"/>
              <w:rPr>
                <w:rStyle w:val="eop"/>
                <w:rFonts w:cstheme="minorHAnsi"/>
              </w:rPr>
            </w:pPr>
            <w:r w:rsidRPr="005715D0">
              <w:rPr>
                <w:rStyle w:val="eop"/>
                <w:rFonts w:cstheme="minorHAnsi"/>
              </w:rPr>
              <w:t>4</w:t>
            </w:r>
            <w:r w:rsidR="00BB4201">
              <w:rPr>
                <w:rStyle w:val="eop"/>
                <w:rFonts w:cstheme="minorHAnsi"/>
              </w:rPr>
              <w:t>0</w:t>
            </w:r>
          </w:p>
        </w:tc>
      </w:tr>
      <w:tr w:rsidR="00E00AD3" w:rsidRPr="005715D0" w14:paraId="40374D59" w14:textId="77777777" w:rsidTr="00E00AD3">
        <w:tc>
          <w:tcPr>
            <w:tcW w:w="2122" w:type="dxa"/>
          </w:tcPr>
          <w:p w14:paraId="381224EB" w14:textId="4E6B998C" w:rsidR="00E00AD3" w:rsidRPr="005715D0" w:rsidRDefault="00E00AD3" w:rsidP="00E00AD3">
            <w:pPr>
              <w:jc w:val="center"/>
              <w:rPr>
                <w:rStyle w:val="eop"/>
                <w:rFonts w:cstheme="minorHAnsi"/>
              </w:rPr>
            </w:pPr>
            <w:r w:rsidRPr="005715D0">
              <w:rPr>
                <w:rStyle w:val="eop"/>
                <w:rFonts w:cstheme="minorHAnsi"/>
              </w:rPr>
              <w:t>15</w:t>
            </w:r>
          </w:p>
        </w:tc>
        <w:tc>
          <w:tcPr>
            <w:tcW w:w="5244" w:type="dxa"/>
          </w:tcPr>
          <w:p w14:paraId="2B1F1EFE" w14:textId="4F1777C7" w:rsidR="00E00AD3" w:rsidRPr="005715D0" w:rsidRDefault="005015FD" w:rsidP="00E00AD3">
            <w:pPr>
              <w:jc w:val="center"/>
              <w:rPr>
                <w:rStyle w:val="eop"/>
                <w:rFonts w:cstheme="minorHAnsi"/>
              </w:rPr>
            </w:pPr>
            <w:r w:rsidRPr="005715D0">
              <w:rPr>
                <w:rStyle w:val="eop"/>
                <w:rFonts w:cstheme="minorHAnsi"/>
              </w:rPr>
              <w:t>Agreed in part</w:t>
            </w:r>
          </w:p>
        </w:tc>
        <w:tc>
          <w:tcPr>
            <w:tcW w:w="1650" w:type="dxa"/>
          </w:tcPr>
          <w:p w14:paraId="63F4C505" w14:textId="28F5F8DA" w:rsidR="00E00AD3" w:rsidRPr="005715D0" w:rsidRDefault="00CB0B6B" w:rsidP="00E00AD3">
            <w:pPr>
              <w:jc w:val="center"/>
              <w:rPr>
                <w:rStyle w:val="eop"/>
                <w:rFonts w:cstheme="minorHAnsi"/>
              </w:rPr>
            </w:pPr>
            <w:r w:rsidRPr="005715D0">
              <w:rPr>
                <w:rStyle w:val="eop"/>
                <w:rFonts w:cstheme="minorHAnsi"/>
              </w:rPr>
              <w:t>3</w:t>
            </w:r>
            <w:r w:rsidR="00BB4201">
              <w:rPr>
                <w:rStyle w:val="eop"/>
                <w:rFonts w:cstheme="minorHAnsi"/>
              </w:rPr>
              <w:t>8</w:t>
            </w:r>
          </w:p>
        </w:tc>
      </w:tr>
      <w:tr w:rsidR="00E00AD3" w:rsidRPr="005715D0" w14:paraId="256D3DB3" w14:textId="77777777" w:rsidTr="00E00AD3">
        <w:tc>
          <w:tcPr>
            <w:tcW w:w="2122" w:type="dxa"/>
          </w:tcPr>
          <w:p w14:paraId="249F24D4" w14:textId="105FBFA3" w:rsidR="00E00AD3" w:rsidRPr="005715D0" w:rsidRDefault="00E00AD3" w:rsidP="00E00AD3">
            <w:pPr>
              <w:jc w:val="center"/>
              <w:rPr>
                <w:rStyle w:val="eop"/>
                <w:rFonts w:cstheme="minorHAnsi"/>
              </w:rPr>
            </w:pPr>
            <w:r w:rsidRPr="005715D0">
              <w:rPr>
                <w:rStyle w:val="eop"/>
                <w:rFonts w:cstheme="minorHAnsi"/>
              </w:rPr>
              <w:t>16</w:t>
            </w:r>
          </w:p>
        </w:tc>
        <w:tc>
          <w:tcPr>
            <w:tcW w:w="5244" w:type="dxa"/>
          </w:tcPr>
          <w:p w14:paraId="08549629" w14:textId="7918DFE9" w:rsidR="00E00AD3" w:rsidRPr="005715D0" w:rsidRDefault="005015FD" w:rsidP="00E00AD3">
            <w:pPr>
              <w:jc w:val="center"/>
              <w:rPr>
                <w:rStyle w:val="eop"/>
                <w:rFonts w:cstheme="minorHAnsi"/>
              </w:rPr>
            </w:pPr>
            <w:r w:rsidRPr="005715D0">
              <w:rPr>
                <w:rStyle w:val="eop"/>
                <w:rFonts w:cstheme="minorHAnsi"/>
              </w:rPr>
              <w:t>Agreed in part</w:t>
            </w:r>
          </w:p>
        </w:tc>
        <w:tc>
          <w:tcPr>
            <w:tcW w:w="1650" w:type="dxa"/>
          </w:tcPr>
          <w:p w14:paraId="30115EC3" w14:textId="36935D5D" w:rsidR="00E00AD3" w:rsidRPr="005715D0" w:rsidRDefault="0058714E" w:rsidP="00E00AD3">
            <w:pPr>
              <w:jc w:val="center"/>
              <w:rPr>
                <w:rStyle w:val="eop"/>
                <w:rFonts w:cstheme="minorHAnsi"/>
              </w:rPr>
            </w:pPr>
            <w:r w:rsidRPr="005715D0">
              <w:rPr>
                <w:rStyle w:val="eop"/>
                <w:rFonts w:cstheme="minorHAnsi"/>
              </w:rPr>
              <w:t>5</w:t>
            </w:r>
            <w:r w:rsidR="00373CDC">
              <w:rPr>
                <w:rStyle w:val="eop"/>
                <w:rFonts w:cstheme="minorHAnsi"/>
              </w:rPr>
              <w:t>5</w:t>
            </w:r>
          </w:p>
        </w:tc>
      </w:tr>
      <w:tr w:rsidR="00E00AD3" w:rsidRPr="005715D0" w14:paraId="1925F47A" w14:textId="77777777" w:rsidTr="00E00AD3">
        <w:tc>
          <w:tcPr>
            <w:tcW w:w="2122" w:type="dxa"/>
          </w:tcPr>
          <w:p w14:paraId="6AE4D437" w14:textId="241DBDD4" w:rsidR="00E00AD3" w:rsidRPr="005715D0" w:rsidRDefault="00E00AD3" w:rsidP="00E00AD3">
            <w:pPr>
              <w:jc w:val="center"/>
              <w:rPr>
                <w:rStyle w:val="eop"/>
                <w:rFonts w:cstheme="minorHAnsi"/>
              </w:rPr>
            </w:pPr>
            <w:r w:rsidRPr="005715D0">
              <w:rPr>
                <w:rStyle w:val="eop"/>
                <w:rFonts w:cstheme="minorHAnsi"/>
              </w:rPr>
              <w:t>17</w:t>
            </w:r>
          </w:p>
        </w:tc>
        <w:tc>
          <w:tcPr>
            <w:tcW w:w="5244" w:type="dxa"/>
          </w:tcPr>
          <w:p w14:paraId="67AE3A2A" w14:textId="54710CAE" w:rsidR="00E00AD3" w:rsidRPr="005715D0" w:rsidRDefault="00E00AD3" w:rsidP="00E00AD3">
            <w:pPr>
              <w:jc w:val="center"/>
              <w:rPr>
                <w:rStyle w:val="eop"/>
                <w:rFonts w:cstheme="minorHAnsi"/>
              </w:rPr>
            </w:pPr>
            <w:r w:rsidRPr="005715D0">
              <w:rPr>
                <w:rStyle w:val="eop"/>
                <w:rFonts w:cstheme="minorHAnsi"/>
              </w:rPr>
              <w:t>Agree</w:t>
            </w:r>
            <w:r w:rsidR="00DA0B44" w:rsidRPr="005715D0">
              <w:rPr>
                <w:rStyle w:val="eop"/>
                <w:rFonts w:cstheme="minorHAnsi"/>
              </w:rPr>
              <w:t>d</w:t>
            </w:r>
            <w:r w:rsidRPr="005715D0">
              <w:rPr>
                <w:rStyle w:val="eop"/>
                <w:rFonts w:cstheme="minorHAnsi"/>
              </w:rPr>
              <w:t xml:space="preserve"> in part</w:t>
            </w:r>
          </w:p>
        </w:tc>
        <w:tc>
          <w:tcPr>
            <w:tcW w:w="1650" w:type="dxa"/>
          </w:tcPr>
          <w:p w14:paraId="21FA4496" w14:textId="73F38E3D" w:rsidR="00E00AD3" w:rsidRPr="005715D0" w:rsidRDefault="00FE2719" w:rsidP="00E00AD3">
            <w:pPr>
              <w:jc w:val="center"/>
              <w:rPr>
                <w:rStyle w:val="eop"/>
                <w:rFonts w:cstheme="minorHAnsi"/>
              </w:rPr>
            </w:pPr>
            <w:r w:rsidRPr="005715D0">
              <w:rPr>
                <w:rStyle w:val="eop"/>
                <w:rFonts w:cstheme="minorHAnsi"/>
              </w:rPr>
              <w:t>1</w:t>
            </w:r>
            <w:r w:rsidR="00373CDC">
              <w:rPr>
                <w:rStyle w:val="eop"/>
                <w:rFonts w:cstheme="minorHAnsi"/>
              </w:rPr>
              <w:t>5</w:t>
            </w:r>
          </w:p>
        </w:tc>
      </w:tr>
      <w:tr w:rsidR="00E00AD3" w:rsidRPr="005715D0" w14:paraId="465C5E4F" w14:textId="77777777" w:rsidTr="00E00AD3">
        <w:tc>
          <w:tcPr>
            <w:tcW w:w="2122" w:type="dxa"/>
          </w:tcPr>
          <w:p w14:paraId="6020B8D2" w14:textId="6396CA74" w:rsidR="00E00AD3" w:rsidRPr="005715D0" w:rsidRDefault="00E00AD3" w:rsidP="00E00AD3">
            <w:pPr>
              <w:jc w:val="center"/>
              <w:rPr>
                <w:rStyle w:val="eop"/>
                <w:rFonts w:cstheme="minorHAnsi"/>
              </w:rPr>
            </w:pPr>
            <w:r w:rsidRPr="005715D0">
              <w:rPr>
                <w:rStyle w:val="eop"/>
                <w:rFonts w:cstheme="minorHAnsi"/>
              </w:rPr>
              <w:t>18</w:t>
            </w:r>
          </w:p>
        </w:tc>
        <w:tc>
          <w:tcPr>
            <w:tcW w:w="5244" w:type="dxa"/>
          </w:tcPr>
          <w:p w14:paraId="625F3B96" w14:textId="2B497D85" w:rsidR="00E00AD3" w:rsidRPr="005715D0" w:rsidRDefault="005015FD" w:rsidP="00E00AD3">
            <w:pPr>
              <w:jc w:val="center"/>
              <w:rPr>
                <w:rStyle w:val="eop"/>
                <w:rFonts w:cstheme="minorHAnsi"/>
              </w:rPr>
            </w:pPr>
            <w:r w:rsidRPr="005715D0">
              <w:rPr>
                <w:rStyle w:val="eop"/>
                <w:rFonts w:cstheme="minorHAnsi"/>
              </w:rPr>
              <w:t>Noted</w:t>
            </w:r>
          </w:p>
        </w:tc>
        <w:tc>
          <w:tcPr>
            <w:tcW w:w="1650" w:type="dxa"/>
          </w:tcPr>
          <w:p w14:paraId="7A7DC786" w14:textId="037AE268" w:rsidR="00E00AD3" w:rsidRPr="005715D0" w:rsidRDefault="004F26E2" w:rsidP="00E00AD3">
            <w:pPr>
              <w:jc w:val="center"/>
              <w:rPr>
                <w:rStyle w:val="eop"/>
                <w:rFonts w:cstheme="minorHAnsi"/>
              </w:rPr>
            </w:pPr>
            <w:r w:rsidRPr="005715D0">
              <w:rPr>
                <w:rStyle w:val="eop"/>
                <w:rFonts w:cstheme="minorHAnsi"/>
              </w:rPr>
              <w:t>1</w:t>
            </w:r>
            <w:r w:rsidR="00373CDC">
              <w:rPr>
                <w:rStyle w:val="eop"/>
                <w:rFonts w:cstheme="minorHAnsi"/>
              </w:rPr>
              <w:t>6</w:t>
            </w:r>
          </w:p>
        </w:tc>
      </w:tr>
      <w:tr w:rsidR="00E00AD3" w:rsidRPr="005715D0" w14:paraId="54F979DC" w14:textId="77777777" w:rsidTr="00E00AD3">
        <w:tc>
          <w:tcPr>
            <w:tcW w:w="2122" w:type="dxa"/>
          </w:tcPr>
          <w:p w14:paraId="609AD5A3" w14:textId="4616FBA8" w:rsidR="00E00AD3" w:rsidRPr="005715D0" w:rsidRDefault="00E00AD3" w:rsidP="00E00AD3">
            <w:pPr>
              <w:jc w:val="center"/>
              <w:rPr>
                <w:rStyle w:val="eop"/>
                <w:rFonts w:cstheme="minorHAnsi"/>
              </w:rPr>
            </w:pPr>
            <w:r w:rsidRPr="005715D0">
              <w:rPr>
                <w:rStyle w:val="eop"/>
                <w:rFonts w:cstheme="minorHAnsi"/>
              </w:rPr>
              <w:t>19</w:t>
            </w:r>
          </w:p>
        </w:tc>
        <w:tc>
          <w:tcPr>
            <w:tcW w:w="5244" w:type="dxa"/>
          </w:tcPr>
          <w:p w14:paraId="2F02BF5C" w14:textId="390EEE54" w:rsidR="00E00AD3" w:rsidRPr="005715D0" w:rsidRDefault="005015FD" w:rsidP="00E00AD3">
            <w:pPr>
              <w:jc w:val="center"/>
              <w:rPr>
                <w:rStyle w:val="eop"/>
                <w:rFonts w:cstheme="minorHAnsi"/>
              </w:rPr>
            </w:pPr>
            <w:r w:rsidRPr="005715D0">
              <w:rPr>
                <w:rStyle w:val="eop"/>
                <w:rFonts w:cstheme="minorHAnsi"/>
              </w:rPr>
              <w:t>Noted</w:t>
            </w:r>
          </w:p>
        </w:tc>
        <w:tc>
          <w:tcPr>
            <w:tcW w:w="1650" w:type="dxa"/>
          </w:tcPr>
          <w:p w14:paraId="1773EA8A" w14:textId="396ECDD0" w:rsidR="00E00AD3" w:rsidRPr="005715D0" w:rsidRDefault="00E21935" w:rsidP="00E00AD3">
            <w:pPr>
              <w:jc w:val="center"/>
              <w:rPr>
                <w:rStyle w:val="eop"/>
                <w:rFonts w:cstheme="minorHAnsi"/>
              </w:rPr>
            </w:pPr>
            <w:r w:rsidRPr="005715D0">
              <w:rPr>
                <w:rStyle w:val="eop"/>
                <w:rFonts w:cstheme="minorHAnsi"/>
              </w:rPr>
              <w:t>1</w:t>
            </w:r>
            <w:r w:rsidR="00373CDC">
              <w:rPr>
                <w:rStyle w:val="eop"/>
                <w:rFonts w:cstheme="minorHAnsi"/>
              </w:rPr>
              <w:t>7</w:t>
            </w:r>
          </w:p>
        </w:tc>
      </w:tr>
      <w:tr w:rsidR="00E00AD3" w:rsidRPr="005715D0" w14:paraId="691C58A6" w14:textId="77777777" w:rsidTr="00E00AD3">
        <w:tc>
          <w:tcPr>
            <w:tcW w:w="2122" w:type="dxa"/>
          </w:tcPr>
          <w:p w14:paraId="01C4E2F0" w14:textId="6CBF9351" w:rsidR="00E00AD3" w:rsidRPr="005715D0" w:rsidRDefault="00E00AD3" w:rsidP="00E00AD3">
            <w:pPr>
              <w:jc w:val="center"/>
              <w:rPr>
                <w:rStyle w:val="eop"/>
                <w:rFonts w:cstheme="minorHAnsi"/>
              </w:rPr>
            </w:pPr>
            <w:r w:rsidRPr="005715D0">
              <w:rPr>
                <w:rStyle w:val="eop"/>
                <w:rFonts w:cstheme="minorHAnsi"/>
              </w:rPr>
              <w:t>20</w:t>
            </w:r>
          </w:p>
        </w:tc>
        <w:tc>
          <w:tcPr>
            <w:tcW w:w="5244" w:type="dxa"/>
          </w:tcPr>
          <w:p w14:paraId="7942C7E2" w14:textId="488226C2" w:rsidR="00E00AD3" w:rsidRPr="005715D0" w:rsidRDefault="00E00AD3" w:rsidP="00E00AD3">
            <w:pPr>
              <w:jc w:val="center"/>
              <w:rPr>
                <w:rStyle w:val="eop"/>
                <w:rFonts w:cstheme="minorHAnsi"/>
              </w:rPr>
            </w:pPr>
            <w:r w:rsidRPr="005715D0">
              <w:rPr>
                <w:rStyle w:val="eop"/>
                <w:rFonts w:cstheme="minorHAnsi"/>
              </w:rPr>
              <w:t>Agreed in principle</w:t>
            </w:r>
          </w:p>
        </w:tc>
        <w:tc>
          <w:tcPr>
            <w:tcW w:w="1650" w:type="dxa"/>
          </w:tcPr>
          <w:p w14:paraId="11FB19E0" w14:textId="7E87E9D3" w:rsidR="00E00AD3" w:rsidRPr="005715D0" w:rsidRDefault="00436497" w:rsidP="00E00AD3">
            <w:pPr>
              <w:jc w:val="center"/>
              <w:rPr>
                <w:rStyle w:val="eop"/>
                <w:rFonts w:cstheme="minorHAnsi"/>
              </w:rPr>
            </w:pPr>
            <w:r w:rsidRPr="005715D0">
              <w:rPr>
                <w:rStyle w:val="eop"/>
                <w:rFonts w:cstheme="minorHAnsi"/>
              </w:rPr>
              <w:t>8</w:t>
            </w:r>
          </w:p>
        </w:tc>
      </w:tr>
      <w:tr w:rsidR="00E00AD3" w:rsidRPr="005715D0" w14:paraId="06D5C9A5" w14:textId="77777777" w:rsidTr="00E00AD3">
        <w:tc>
          <w:tcPr>
            <w:tcW w:w="2122" w:type="dxa"/>
          </w:tcPr>
          <w:p w14:paraId="7F81D3EF" w14:textId="28E109F1" w:rsidR="00E00AD3" w:rsidRPr="005715D0" w:rsidRDefault="00E00AD3" w:rsidP="00E00AD3">
            <w:pPr>
              <w:jc w:val="center"/>
              <w:rPr>
                <w:rStyle w:val="eop"/>
                <w:rFonts w:cstheme="minorHAnsi"/>
              </w:rPr>
            </w:pPr>
            <w:r w:rsidRPr="005715D0">
              <w:rPr>
                <w:rStyle w:val="eop"/>
                <w:rFonts w:cstheme="minorHAnsi"/>
              </w:rPr>
              <w:t>21</w:t>
            </w:r>
          </w:p>
        </w:tc>
        <w:tc>
          <w:tcPr>
            <w:tcW w:w="5244" w:type="dxa"/>
          </w:tcPr>
          <w:p w14:paraId="32AC6CCA" w14:textId="1626FD00" w:rsidR="00E00AD3" w:rsidRPr="005715D0" w:rsidRDefault="005015FD" w:rsidP="00E00AD3">
            <w:pPr>
              <w:jc w:val="center"/>
              <w:rPr>
                <w:rStyle w:val="eop"/>
                <w:rFonts w:cstheme="minorHAnsi"/>
              </w:rPr>
            </w:pPr>
            <w:r w:rsidRPr="005715D0">
              <w:rPr>
                <w:rStyle w:val="eop"/>
                <w:rFonts w:cstheme="minorHAnsi"/>
              </w:rPr>
              <w:t>Noted</w:t>
            </w:r>
          </w:p>
        </w:tc>
        <w:tc>
          <w:tcPr>
            <w:tcW w:w="1650" w:type="dxa"/>
          </w:tcPr>
          <w:p w14:paraId="1BD649B1" w14:textId="660E0002" w:rsidR="00E00AD3" w:rsidRPr="005715D0" w:rsidRDefault="00646A77" w:rsidP="00E00AD3">
            <w:pPr>
              <w:jc w:val="center"/>
              <w:rPr>
                <w:rStyle w:val="eop"/>
                <w:rFonts w:cstheme="minorHAnsi"/>
              </w:rPr>
            </w:pPr>
            <w:r w:rsidRPr="005715D0">
              <w:rPr>
                <w:rStyle w:val="eop"/>
                <w:rFonts w:cstheme="minorHAnsi"/>
              </w:rPr>
              <w:t>2</w:t>
            </w:r>
            <w:r w:rsidR="00070021">
              <w:rPr>
                <w:rStyle w:val="eop"/>
                <w:rFonts w:cstheme="minorHAnsi"/>
              </w:rPr>
              <w:t>1</w:t>
            </w:r>
          </w:p>
        </w:tc>
      </w:tr>
      <w:tr w:rsidR="00E00AD3" w:rsidRPr="005715D0" w14:paraId="75A3D367" w14:textId="77777777" w:rsidTr="00E00AD3">
        <w:tc>
          <w:tcPr>
            <w:tcW w:w="2122" w:type="dxa"/>
          </w:tcPr>
          <w:p w14:paraId="2897E767" w14:textId="1367B037" w:rsidR="00E00AD3" w:rsidRPr="005715D0" w:rsidRDefault="00E00AD3" w:rsidP="00E00AD3">
            <w:pPr>
              <w:jc w:val="center"/>
              <w:rPr>
                <w:rStyle w:val="eop"/>
                <w:rFonts w:cstheme="minorHAnsi"/>
              </w:rPr>
            </w:pPr>
            <w:r w:rsidRPr="005715D0">
              <w:rPr>
                <w:rStyle w:val="eop"/>
                <w:rFonts w:cstheme="minorHAnsi"/>
              </w:rPr>
              <w:t>22</w:t>
            </w:r>
          </w:p>
        </w:tc>
        <w:tc>
          <w:tcPr>
            <w:tcW w:w="5244" w:type="dxa"/>
          </w:tcPr>
          <w:p w14:paraId="66952352" w14:textId="064E2B2D" w:rsidR="00E00AD3" w:rsidRPr="005715D0" w:rsidRDefault="005015FD" w:rsidP="00E00AD3">
            <w:pPr>
              <w:jc w:val="center"/>
              <w:rPr>
                <w:rStyle w:val="eop"/>
                <w:rFonts w:cstheme="minorHAnsi"/>
              </w:rPr>
            </w:pPr>
            <w:r w:rsidRPr="005715D0">
              <w:rPr>
                <w:rStyle w:val="eop"/>
                <w:rFonts w:cstheme="minorHAnsi"/>
              </w:rPr>
              <w:t>Noted</w:t>
            </w:r>
          </w:p>
        </w:tc>
        <w:tc>
          <w:tcPr>
            <w:tcW w:w="1650" w:type="dxa"/>
          </w:tcPr>
          <w:p w14:paraId="0278F6E1" w14:textId="5D682DDC" w:rsidR="00E00AD3" w:rsidRPr="005715D0" w:rsidRDefault="006629AA" w:rsidP="00E00AD3">
            <w:pPr>
              <w:jc w:val="center"/>
              <w:rPr>
                <w:rStyle w:val="eop"/>
                <w:rFonts w:cstheme="minorHAnsi"/>
              </w:rPr>
            </w:pPr>
            <w:r w:rsidRPr="005715D0">
              <w:rPr>
                <w:rStyle w:val="eop"/>
                <w:rFonts w:cstheme="minorHAnsi"/>
              </w:rPr>
              <w:t>2</w:t>
            </w:r>
            <w:r w:rsidR="00070021">
              <w:rPr>
                <w:rStyle w:val="eop"/>
                <w:rFonts w:cstheme="minorHAnsi"/>
              </w:rPr>
              <w:t>2</w:t>
            </w:r>
          </w:p>
        </w:tc>
      </w:tr>
      <w:tr w:rsidR="00E00AD3" w:rsidRPr="005715D0" w14:paraId="2D8A861C" w14:textId="77777777" w:rsidTr="00E00AD3">
        <w:tc>
          <w:tcPr>
            <w:tcW w:w="2122" w:type="dxa"/>
          </w:tcPr>
          <w:p w14:paraId="28F20311" w14:textId="59CD5E77" w:rsidR="00E00AD3" w:rsidRPr="005715D0" w:rsidRDefault="00E00AD3" w:rsidP="00E00AD3">
            <w:pPr>
              <w:jc w:val="center"/>
              <w:rPr>
                <w:rStyle w:val="eop"/>
                <w:rFonts w:cstheme="minorHAnsi"/>
              </w:rPr>
            </w:pPr>
            <w:r w:rsidRPr="005715D0">
              <w:rPr>
                <w:rStyle w:val="eop"/>
                <w:rFonts w:cstheme="minorHAnsi"/>
              </w:rPr>
              <w:t>23</w:t>
            </w:r>
          </w:p>
        </w:tc>
        <w:tc>
          <w:tcPr>
            <w:tcW w:w="5244" w:type="dxa"/>
          </w:tcPr>
          <w:p w14:paraId="676C7C43" w14:textId="6C815684" w:rsidR="00E00AD3" w:rsidRPr="005715D0" w:rsidRDefault="005015FD" w:rsidP="00E00AD3">
            <w:pPr>
              <w:jc w:val="center"/>
              <w:rPr>
                <w:rStyle w:val="eop"/>
                <w:rFonts w:cstheme="minorHAnsi"/>
              </w:rPr>
            </w:pPr>
            <w:r w:rsidRPr="005715D0">
              <w:rPr>
                <w:rStyle w:val="eop"/>
                <w:rFonts w:cstheme="minorHAnsi"/>
              </w:rPr>
              <w:t>Agreed</w:t>
            </w:r>
          </w:p>
        </w:tc>
        <w:tc>
          <w:tcPr>
            <w:tcW w:w="1650" w:type="dxa"/>
          </w:tcPr>
          <w:p w14:paraId="47E8156B" w14:textId="37D6722B" w:rsidR="00E00AD3" w:rsidRPr="005715D0" w:rsidRDefault="00C02DB7" w:rsidP="00E00AD3">
            <w:pPr>
              <w:jc w:val="center"/>
              <w:rPr>
                <w:rStyle w:val="eop"/>
                <w:rFonts w:cstheme="minorHAnsi"/>
              </w:rPr>
            </w:pPr>
            <w:r w:rsidRPr="005715D0">
              <w:rPr>
                <w:rStyle w:val="eop"/>
                <w:rFonts w:cstheme="minorHAnsi"/>
              </w:rPr>
              <w:t>2</w:t>
            </w:r>
            <w:r w:rsidR="00F37EFF" w:rsidRPr="005715D0">
              <w:rPr>
                <w:rStyle w:val="eop"/>
                <w:rFonts w:cstheme="minorHAnsi"/>
              </w:rPr>
              <w:t>3</w:t>
            </w:r>
          </w:p>
        </w:tc>
      </w:tr>
      <w:tr w:rsidR="00E00AD3" w:rsidRPr="005715D0" w14:paraId="3F42FC18" w14:textId="77777777" w:rsidTr="00E00AD3">
        <w:tc>
          <w:tcPr>
            <w:tcW w:w="2122" w:type="dxa"/>
          </w:tcPr>
          <w:p w14:paraId="3647AAA7" w14:textId="172A7171" w:rsidR="00E00AD3" w:rsidRPr="005715D0" w:rsidRDefault="00E00AD3" w:rsidP="00E00AD3">
            <w:pPr>
              <w:jc w:val="center"/>
              <w:rPr>
                <w:rStyle w:val="eop"/>
                <w:rFonts w:cstheme="minorHAnsi"/>
              </w:rPr>
            </w:pPr>
            <w:r w:rsidRPr="005715D0">
              <w:rPr>
                <w:rStyle w:val="eop"/>
                <w:rFonts w:cstheme="minorHAnsi"/>
              </w:rPr>
              <w:t>24</w:t>
            </w:r>
          </w:p>
        </w:tc>
        <w:tc>
          <w:tcPr>
            <w:tcW w:w="5244" w:type="dxa"/>
          </w:tcPr>
          <w:p w14:paraId="766A9145" w14:textId="21AC691B" w:rsidR="00E00AD3" w:rsidRPr="005715D0" w:rsidRDefault="00E00AD3" w:rsidP="00E00AD3">
            <w:pPr>
              <w:jc w:val="center"/>
              <w:rPr>
                <w:rStyle w:val="eop"/>
                <w:rFonts w:cstheme="minorHAnsi"/>
              </w:rPr>
            </w:pPr>
            <w:r w:rsidRPr="005715D0">
              <w:rPr>
                <w:rStyle w:val="eop"/>
                <w:rFonts w:cstheme="minorHAnsi"/>
              </w:rPr>
              <w:t>Noted</w:t>
            </w:r>
          </w:p>
        </w:tc>
        <w:tc>
          <w:tcPr>
            <w:tcW w:w="1650" w:type="dxa"/>
          </w:tcPr>
          <w:p w14:paraId="715404A4" w14:textId="4AC2002A" w:rsidR="00E00AD3" w:rsidRPr="005715D0" w:rsidRDefault="00123607" w:rsidP="00E00AD3">
            <w:pPr>
              <w:jc w:val="center"/>
              <w:rPr>
                <w:rStyle w:val="eop"/>
                <w:rFonts w:cstheme="minorHAnsi"/>
              </w:rPr>
            </w:pPr>
            <w:r w:rsidRPr="005715D0">
              <w:rPr>
                <w:rStyle w:val="eop"/>
                <w:rFonts w:cstheme="minorHAnsi"/>
              </w:rPr>
              <w:t>10</w:t>
            </w:r>
          </w:p>
        </w:tc>
      </w:tr>
      <w:tr w:rsidR="00E00AD3" w:rsidRPr="005715D0" w14:paraId="5478339E" w14:textId="77777777" w:rsidTr="00E00AD3">
        <w:tc>
          <w:tcPr>
            <w:tcW w:w="2122" w:type="dxa"/>
          </w:tcPr>
          <w:p w14:paraId="07CDE995" w14:textId="71DF5895" w:rsidR="00E00AD3" w:rsidRPr="005715D0" w:rsidRDefault="00E00AD3" w:rsidP="00E00AD3">
            <w:pPr>
              <w:jc w:val="center"/>
              <w:rPr>
                <w:rStyle w:val="eop"/>
                <w:rFonts w:cstheme="minorHAnsi"/>
              </w:rPr>
            </w:pPr>
            <w:r w:rsidRPr="005715D0">
              <w:rPr>
                <w:rStyle w:val="eop"/>
                <w:rFonts w:cstheme="minorHAnsi"/>
              </w:rPr>
              <w:t>25</w:t>
            </w:r>
          </w:p>
        </w:tc>
        <w:tc>
          <w:tcPr>
            <w:tcW w:w="5244" w:type="dxa"/>
          </w:tcPr>
          <w:p w14:paraId="0186A9D6" w14:textId="15AFF3DD" w:rsidR="00E00AD3" w:rsidRPr="005715D0" w:rsidRDefault="005015FD" w:rsidP="00E00AD3">
            <w:pPr>
              <w:jc w:val="center"/>
              <w:rPr>
                <w:rStyle w:val="eop"/>
                <w:rFonts w:cstheme="minorHAnsi"/>
              </w:rPr>
            </w:pPr>
            <w:r w:rsidRPr="005715D0">
              <w:rPr>
                <w:rStyle w:val="eop"/>
                <w:rFonts w:cstheme="minorHAnsi"/>
              </w:rPr>
              <w:t>Agreed in part</w:t>
            </w:r>
          </w:p>
        </w:tc>
        <w:tc>
          <w:tcPr>
            <w:tcW w:w="1650" w:type="dxa"/>
          </w:tcPr>
          <w:p w14:paraId="262E2CC4" w14:textId="1B0D0A30" w:rsidR="00E00AD3" w:rsidRPr="005715D0" w:rsidRDefault="00D133CD" w:rsidP="00E00AD3">
            <w:pPr>
              <w:jc w:val="center"/>
              <w:rPr>
                <w:rStyle w:val="eop"/>
                <w:rFonts w:cstheme="minorHAnsi"/>
              </w:rPr>
            </w:pPr>
            <w:r w:rsidRPr="005715D0">
              <w:rPr>
                <w:rStyle w:val="eop"/>
                <w:rFonts w:cstheme="minorHAnsi"/>
              </w:rPr>
              <w:t>1</w:t>
            </w:r>
            <w:r w:rsidR="00070021">
              <w:rPr>
                <w:rStyle w:val="eop"/>
                <w:rFonts w:cstheme="minorHAnsi"/>
              </w:rPr>
              <w:t>7</w:t>
            </w:r>
          </w:p>
        </w:tc>
      </w:tr>
      <w:tr w:rsidR="00E00AD3" w:rsidRPr="005715D0" w14:paraId="162459BD" w14:textId="77777777" w:rsidTr="00E00AD3">
        <w:tc>
          <w:tcPr>
            <w:tcW w:w="2122" w:type="dxa"/>
          </w:tcPr>
          <w:p w14:paraId="226126A1" w14:textId="3E7B5AA2" w:rsidR="00E00AD3" w:rsidRPr="005715D0" w:rsidRDefault="00E00AD3" w:rsidP="00E00AD3">
            <w:pPr>
              <w:jc w:val="center"/>
              <w:rPr>
                <w:rStyle w:val="eop"/>
                <w:rFonts w:cstheme="minorHAnsi"/>
              </w:rPr>
            </w:pPr>
            <w:r w:rsidRPr="005715D0">
              <w:rPr>
                <w:rStyle w:val="eop"/>
                <w:rFonts w:cstheme="minorHAnsi"/>
              </w:rPr>
              <w:t>26</w:t>
            </w:r>
          </w:p>
        </w:tc>
        <w:tc>
          <w:tcPr>
            <w:tcW w:w="5244" w:type="dxa"/>
          </w:tcPr>
          <w:p w14:paraId="0413B1C7" w14:textId="08C2C718" w:rsidR="00E00AD3" w:rsidRPr="005715D0" w:rsidRDefault="005015FD" w:rsidP="00E00AD3">
            <w:pPr>
              <w:jc w:val="center"/>
              <w:rPr>
                <w:rStyle w:val="eop"/>
                <w:rFonts w:cstheme="minorHAnsi"/>
              </w:rPr>
            </w:pPr>
            <w:r w:rsidRPr="005715D0">
              <w:rPr>
                <w:rStyle w:val="eop"/>
                <w:rFonts w:cstheme="minorHAnsi"/>
              </w:rPr>
              <w:t>Agreed in part</w:t>
            </w:r>
          </w:p>
        </w:tc>
        <w:tc>
          <w:tcPr>
            <w:tcW w:w="1650" w:type="dxa"/>
          </w:tcPr>
          <w:p w14:paraId="0297D71E" w14:textId="39311890" w:rsidR="00E00AD3" w:rsidRPr="005715D0" w:rsidRDefault="003C7E8D" w:rsidP="00E00AD3">
            <w:pPr>
              <w:jc w:val="center"/>
              <w:rPr>
                <w:rStyle w:val="eop"/>
                <w:rFonts w:cstheme="minorHAnsi"/>
              </w:rPr>
            </w:pPr>
            <w:r w:rsidRPr="005715D0">
              <w:rPr>
                <w:rStyle w:val="eop"/>
                <w:rFonts w:cstheme="minorHAnsi"/>
              </w:rPr>
              <w:t>1</w:t>
            </w:r>
            <w:r w:rsidR="00070021">
              <w:rPr>
                <w:rStyle w:val="eop"/>
                <w:rFonts w:cstheme="minorHAnsi"/>
              </w:rPr>
              <w:t>8</w:t>
            </w:r>
          </w:p>
        </w:tc>
      </w:tr>
      <w:tr w:rsidR="00E00AD3" w:rsidRPr="005715D0" w14:paraId="2F34E664" w14:textId="77777777" w:rsidTr="00E00AD3">
        <w:tc>
          <w:tcPr>
            <w:tcW w:w="2122" w:type="dxa"/>
          </w:tcPr>
          <w:p w14:paraId="0B937837" w14:textId="1260B101" w:rsidR="00E00AD3" w:rsidRPr="005715D0" w:rsidRDefault="00E00AD3" w:rsidP="00E00AD3">
            <w:pPr>
              <w:jc w:val="center"/>
              <w:rPr>
                <w:rStyle w:val="eop"/>
                <w:rFonts w:cstheme="minorHAnsi"/>
              </w:rPr>
            </w:pPr>
            <w:r w:rsidRPr="005715D0">
              <w:rPr>
                <w:rStyle w:val="eop"/>
                <w:rFonts w:cstheme="minorHAnsi"/>
              </w:rPr>
              <w:t>27</w:t>
            </w:r>
          </w:p>
        </w:tc>
        <w:tc>
          <w:tcPr>
            <w:tcW w:w="5244" w:type="dxa"/>
          </w:tcPr>
          <w:p w14:paraId="33778436" w14:textId="77E72069" w:rsidR="00E00AD3" w:rsidRPr="005715D0" w:rsidRDefault="005015FD" w:rsidP="00E00AD3">
            <w:pPr>
              <w:jc w:val="center"/>
              <w:rPr>
                <w:rStyle w:val="eop"/>
                <w:rFonts w:cstheme="minorHAnsi"/>
              </w:rPr>
            </w:pPr>
            <w:r w:rsidRPr="005715D0">
              <w:rPr>
                <w:rStyle w:val="eop"/>
                <w:rFonts w:cstheme="minorHAnsi"/>
              </w:rPr>
              <w:t>Noted</w:t>
            </w:r>
          </w:p>
        </w:tc>
        <w:tc>
          <w:tcPr>
            <w:tcW w:w="1650" w:type="dxa"/>
          </w:tcPr>
          <w:p w14:paraId="0B17E83B" w14:textId="1D808222" w:rsidR="00E00AD3" w:rsidRPr="005715D0" w:rsidRDefault="00544D0F" w:rsidP="00E00AD3">
            <w:pPr>
              <w:jc w:val="center"/>
              <w:rPr>
                <w:rStyle w:val="eop"/>
                <w:rFonts w:cstheme="minorHAnsi"/>
              </w:rPr>
            </w:pPr>
            <w:r w:rsidRPr="005715D0">
              <w:rPr>
                <w:rStyle w:val="eop"/>
                <w:rFonts w:cstheme="minorHAnsi"/>
              </w:rPr>
              <w:t>2</w:t>
            </w:r>
            <w:r w:rsidR="00070021">
              <w:rPr>
                <w:rStyle w:val="eop"/>
                <w:rFonts w:cstheme="minorHAnsi"/>
              </w:rPr>
              <w:t>4</w:t>
            </w:r>
          </w:p>
        </w:tc>
      </w:tr>
      <w:tr w:rsidR="00E00AD3" w:rsidRPr="005715D0" w14:paraId="504AF9DC" w14:textId="77777777" w:rsidTr="00E00AD3">
        <w:tc>
          <w:tcPr>
            <w:tcW w:w="2122" w:type="dxa"/>
          </w:tcPr>
          <w:p w14:paraId="1B7764B2" w14:textId="71210FE0" w:rsidR="00E00AD3" w:rsidRPr="005715D0" w:rsidRDefault="00E00AD3" w:rsidP="00E00AD3">
            <w:pPr>
              <w:jc w:val="center"/>
              <w:rPr>
                <w:rStyle w:val="eop"/>
                <w:rFonts w:cstheme="minorHAnsi"/>
              </w:rPr>
            </w:pPr>
            <w:r w:rsidRPr="005715D0">
              <w:rPr>
                <w:rStyle w:val="eop"/>
                <w:rFonts w:cstheme="minorHAnsi"/>
              </w:rPr>
              <w:t>28</w:t>
            </w:r>
          </w:p>
        </w:tc>
        <w:tc>
          <w:tcPr>
            <w:tcW w:w="5244" w:type="dxa"/>
          </w:tcPr>
          <w:p w14:paraId="4E5EB663" w14:textId="31FB9C6A" w:rsidR="00E00AD3" w:rsidRPr="005715D0" w:rsidRDefault="001D6CFA" w:rsidP="00E00AD3">
            <w:pPr>
              <w:jc w:val="center"/>
              <w:rPr>
                <w:rStyle w:val="eop"/>
                <w:rFonts w:cstheme="minorHAnsi"/>
              </w:rPr>
            </w:pPr>
            <w:r w:rsidRPr="005715D0">
              <w:rPr>
                <w:rStyle w:val="eop"/>
                <w:rFonts w:cstheme="minorHAnsi"/>
              </w:rPr>
              <w:t>Noted</w:t>
            </w:r>
          </w:p>
        </w:tc>
        <w:tc>
          <w:tcPr>
            <w:tcW w:w="1650" w:type="dxa"/>
          </w:tcPr>
          <w:p w14:paraId="2287D6DF" w14:textId="5CC22341" w:rsidR="00E00AD3" w:rsidRPr="005715D0" w:rsidRDefault="001D2E8C" w:rsidP="00E00AD3">
            <w:pPr>
              <w:jc w:val="center"/>
              <w:rPr>
                <w:rStyle w:val="eop"/>
                <w:rFonts w:cstheme="minorHAnsi"/>
              </w:rPr>
            </w:pPr>
            <w:r w:rsidRPr="005715D0">
              <w:rPr>
                <w:rStyle w:val="eop"/>
                <w:rFonts w:cstheme="minorHAnsi"/>
              </w:rPr>
              <w:t>2</w:t>
            </w:r>
            <w:r w:rsidR="003E7AE2" w:rsidRPr="005715D0">
              <w:rPr>
                <w:rStyle w:val="eop"/>
                <w:rFonts w:cstheme="minorHAnsi"/>
              </w:rPr>
              <w:t>5</w:t>
            </w:r>
          </w:p>
        </w:tc>
      </w:tr>
      <w:tr w:rsidR="00E00AD3" w:rsidRPr="005715D0" w14:paraId="015B69BF" w14:textId="77777777" w:rsidTr="00E00AD3">
        <w:tc>
          <w:tcPr>
            <w:tcW w:w="2122" w:type="dxa"/>
          </w:tcPr>
          <w:p w14:paraId="2023CC12" w14:textId="5BC55A0A" w:rsidR="00E00AD3" w:rsidRPr="005715D0" w:rsidRDefault="00E00AD3" w:rsidP="00E00AD3">
            <w:pPr>
              <w:jc w:val="center"/>
              <w:rPr>
                <w:rStyle w:val="eop"/>
                <w:rFonts w:cstheme="minorHAnsi"/>
              </w:rPr>
            </w:pPr>
            <w:r w:rsidRPr="005715D0">
              <w:rPr>
                <w:rStyle w:val="eop"/>
                <w:rFonts w:cstheme="minorHAnsi"/>
              </w:rPr>
              <w:t>29</w:t>
            </w:r>
          </w:p>
        </w:tc>
        <w:tc>
          <w:tcPr>
            <w:tcW w:w="5244" w:type="dxa"/>
          </w:tcPr>
          <w:p w14:paraId="185892A7" w14:textId="7363DED9" w:rsidR="00E00AD3" w:rsidRPr="005715D0" w:rsidRDefault="001D6CFA" w:rsidP="00E00AD3">
            <w:pPr>
              <w:jc w:val="center"/>
              <w:rPr>
                <w:rStyle w:val="eop"/>
                <w:rFonts w:cstheme="minorHAnsi"/>
              </w:rPr>
            </w:pPr>
            <w:r w:rsidRPr="005715D0">
              <w:rPr>
                <w:rStyle w:val="eop"/>
                <w:rFonts w:cstheme="minorHAnsi"/>
              </w:rPr>
              <w:t>Noted</w:t>
            </w:r>
          </w:p>
        </w:tc>
        <w:tc>
          <w:tcPr>
            <w:tcW w:w="1650" w:type="dxa"/>
          </w:tcPr>
          <w:p w14:paraId="18FEC86B" w14:textId="1DF7E222" w:rsidR="00E00AD3" w:rsidRPr="005715D0" w:rsidRDefault="00CB56D3" w:rsidP="00E00AD3">
            <w:pPr>
              <w:jc w:val="center"/>
              <w:rPr>
                <w:rStyle w:val="eop"/>
                <w:rFonts w:cstheme="minorHAnsi"/>
              </w:rPr>
            </w:pPr>
            <w:r w:rsidRPr="005715D0">
              <w:rPr>
                <w:rStyle w:val="eop"/>
                <w:rFonts w:cstheme="minorHAnsi"/>
              </w:rPr>
              <w:t>3</w:t>
            </w:r>
            <w:r w:rsidR="005A40C6">
              <w:rPr>
                <w:rStyle w:val="eop"/>
                <w:rFonts w:cstheme="minorHAnsi"/>
              </w:rPr>
              <w:t>2</w:t>
            </w:r>
          </w:p>
        </w:tc>
      </w:tr>
      <w:tr w:rsidR="00E00AD3" w:rsidRPr="005715D0" w14:paraId="6FE6D91C" w14:textId="77777777" w:rsidTr="00E00AD3">
        <w:tc>
          <w:tcPr>
            <w:tcW w:w="2122" w:type="dxa"/>
          </w:tcPr>
          <w:p w14:paraId="2AF472B2" w14:textId="08751895" w:rsidR="00E00AD3" w:rsidRPr="005715D0" w:rsidRDefault="00E00AD3" w:rsidP="00E00AD3">
            <w:pPr>
              <w:jc w:val="center"/>
              <w:rPr>
                <w:rStyle w:val="eop"/>
                <w:rFonts w:cstheme="minorHAnsi"/>
              </w:rPr>
            </w:pPr>
            <w:r w:rsidRPr="005715D0">
              <w:rPr>
                <w:rStyle w:val="eop"/>
                <w:rFonts w:cstheme="minorHAnsi"/>
              </w:rPr>
              <w:t>30</w:t>
            </w:r>
          </w:p>
        </w:tc>
        <w:tc>
          <w:tcPr>
            <w:tcW w:w="5244" w:type="dxa"/>
          </w:tcPr>
          <w:p w14:paraId="7EE0D3E1" w14:textId="3D96507A" w:rsidR="00E00AD3" w:rsidRPr="005715D0" w:rsidRDefault="001D6CFA" w:rsidP="00E00AD3">
            <w:pPr>
              <w:jc w:val="center"/>
              <w:rPr>
                <w:rStyle w:val="eop"/>
                <w:rFonts w:cstheme="minorHAnsi"/>
              </w:rPr>
            </w:pPr>
            <w:r w:rsidRPr="005715D0">
              <w:rPr>
                <w:rStyle w:val="eop"/>
                <w:rFonts w:cstheme="minorHAnsi"/>
              </w:rPr>
              <w:t>Noted</w:t>
            </w:r>
          </w:p>
        </w:tc>
        <w:tc>
          <w:tcPr>
            <w:tcW w:w="1650" w:type="dxa"/>
          </w:tcPr>
          <w:p w14:paraId="122D5371" w14:textId="40AF349B" w:rsidR="00E00AD3" w:rsidRPr="005715D0" w:rsidRDefault="007353D7" w:rsidP="00E00AD3">
            <w:pPr>
              <w:jc w:val="center"/>
              <w:rPr>
                <w:rStyle w:val="eop"/>
                <w:rFonts w:cstheme="minorHAnsi"/>
              </w:rPr>
            </w:pPr>
            <w:r w:rsidRPr="005715D0">
              <w:rPr>
                <w:rStyle w:val="eop"/>
                <w:rFonts w:cstheme="minorHAnsi"/>
              </w:rPr>
              <w:t>4</w:t>
            </w:r>
            <w:r w:rsidR="005A40C6">
              <w:rPr>
                <w:rStyle w:val="eop"/>
                <w:rFonts w:cstheme="minorHAnsi"/>
              </w:rPr>
              <w:t>8</w:t>
            </w:r>
          </w:p>
        </w:tc>
      </w:tr>
      <w:tr w:rsidR="00E00AD3" w:rsidRPr="005715D0" w14:paraId="326FF772" w14:textId="77777777" w:rsidTr="00E00AD3">
        <w:tc>
          <w:tcPr>
            <w:tcW w:w="2122" w:type="dxa"/>
          </w:tcPr>
          <w:p w14:paraId="0623F6D2" w14:textId="2A50CBB2" w:rsidR="00E00AD3" w:rsidRPr="005715D0" w:rsidRDefault="00E00AD3" w:rsidP="00E00AD3">
            <w:pPr>
              <w:jc w:val="center"/>
              <w:rPr>
                <w:rStyle w:val="eop"/>
                <w:rFonts w:cstheme="minorHAnsi"/>
              </w:rPr>
            </w:pPr>
            <w:r w:rsidRPr="005715D0">
              <w:rPr>
                <w:rStyle w:val="eop"/>
                <w:rFonts w:cstheme="minorHAnsi"/>
              </w:rPr>
              <w:t>31</w:t>
            </w:r>
          </w:p>
        </w:tc>
        <w:tc>
          <w:tcPr>
            <w:tcW w:w="5244" w:type="dxa"/>
          </w:tcPr>
          <w:p w14:paraId="2CC07C47" w14:textId="23C0ED5B" w:rsidR="00E00AD3" w:rsidRPr="005715D0" w:rsidRDefault="00002226" w:rsidP="00E00AD3">
            <w:pPr>
              <w:jc w:val="center"/>
              <w:rPr>
                <w:rStyle w:val="eop"/>
                <w:rFonts w:cstheme="minorHAnsi"/>
              </w:rPr>
            </w:pPr>
            <w:r w:rsidRPr="005715D0">
              <w:rPr>
                <w:rStyle w:val="eop"/>
                <w:rFonts w:cstheme="minorHAnsi"/>
              </w:rPr>
              <w:t>Agreed</w:t>
            </w:r>
          </w:p>
        </w:tc>
        <w:tc>
          <w:tcPr>
            <w:tcW w:w="1650" w:type="dxa"/>
          </w:tcPr>
          <w:p w14:paraId="6F6C8D27" w14:textId="2D7F81C6" w:rsidR="00E00AD3" w:rsidRPr="005715D0" w:rsidRDefault="0058714E" w:rsidP="00E00AD3">
            <w:pPr>
              <w:jc w:val="center"/>
              <w:rPr>
                <w:rStyle w:val="eop"/>
                <w:rFonts w:cstheme="minorHAnsi"/>
              </w:rPr>
            </w:pPr>
            <w:r w:rsidRPr="005715D0">
              <w:rPr>
                <w:rStyle w:val="eop"/>
                <w:rFonts w:cstheme="minorHAnsi"/>
              </w:rPr>
              <w:t>57</w:t>
            </w:r>
          </w:p>
        </w:tc>
      </w:tr>
      <w:tr w:rsidR="00E00AD3" w:rsidRPr="005715D0" w14:paraId="3618F0DD" w14:textId="77777777" w:rsidTr="00E00AD3">
        <w:tc>
          <w:tcPr>
            <w:tcW w:w="2122" w:type="dxa"/>
          </w:tcPr>
          <w:p w14:paraId="0C74A802" w14:textId="5085FA21" w:rsidR="00E00AD3" w:rsidRPr="005715D0" w:rsidRDefault="00E00AD3" w:rsidP="00E00AD3">
            <w:pPr>
              <w:jc w:val="center"/>
              <w:rPr>
                <w:rStyle w:val="eop"/>
                <w:rFonts w:cstheme="minorHAnsi"/>
              </w:rPr>
            </w:pPr>
            <w:r w:rsidRPr="005715D0">
              <w:rPr>
                <w:rStyle w:val="eop"/>
                <w:rFonts w:cstheme="minorHAnsi"/>
              </w:rPr>
              <w:t>32</w:t>
            </w:r>
          </w:p>
        </w:tc>
        <w:tc>
          <w:tcPr>
            <w:tcW w:w="5244" w:type="dxa"/>
          </w:tcPr>
          <w:p w14:paraId="725E152A" w14:textId="2A1DE899" w:rsidR="00E00AD3" w:rsidRPr="005715D0" w:rsidRDefault="00002226" w:rsidP="00E00AD3">
            <w:pPr>
              <w:jc w:val="center"/>
              <w:rPr>
                <w:rStyle w:val="eop"/>
                <w:rFonts w:cstheme="minorHAnsi"/>
              </w:rPr>
            </w:pPr>
            <w:r w:rsidRPr="005715D0">
              <w:rPr>
                <w:rStyle w:val="eop"/>
                <w:rFonts w:cstheme="minorHAnsi"/>
              </w:rPr>
              <w:t>Noted</w:t>
            </w:r>
          </w:p>
        </w:tc>
        <w:tc>
          <w:tcPr>
            <w:tcW w:w="1650" w:type="dxa"/>
          </w:tcPr>
          <w:p w14:paraId="1E5ECE31" w14:textId="034A1EEB" w:rsidR="00E00AD3" w:rsidRPr="005715D0" w:rsidRDefault="0058714E" w:rsidP="00E00AD3">
            <w:pPr>
              <w:jc w:val="center"/>
              <w:rPr>
                <w:rStyle w:val="eop"/>
                <w:rFonts w:cstheme="minorHAnsi"/>
              </w:rPr>
            </w:pPr>
            <w:r w:rsidRPr="005715D0">
              <w:rPr>
                <w:rStyle w:val="eop"/>
                <w:rFonts w:cstheme="minorHAnsi"/>
              </w:rPr>
              <w:t>5</w:t>
            </w:r>
            <w:r w:rsidR="00693C53" w:rsidRPr="005715D0">
              <w:rPr>
                <w:rStyle w:val="eop"/>
                <w:rFonts w:cstheme="minorHAnsi"/>
              </w:rPr>
              <w:t>7</w:t>
            </w:r>
          </w:p>
        </w:tc>
      </w:tr>
      <w:tr w:rsidR="00E00AD3" w:rsidRPr="005715D0" w14:paraId="2459A749" w14:textId="77777777" w:rsidTr="00E00AD3">
        <w:tc>
          <w:tcPr>
            <w:tcW w:w="2122" w:type="dxa"/>
          </w:tcPr>
          <w:p w14:paraId="75DD1790" w14:textId="6FEA665B" w:rsidR="00E00AD3" w:rsidRPr="005715D0" w:rsidRDefault="00E00AD3" w:rsidP="00E00AD3">
            <w:pPr>
              <w:jc w:val="center"/>
              <w:rPr>
                <w:rStyle w:val="eop"/>
                <w:rFonts w:cstheme="minorHAnsi"/>
              </w:rPr>
            </w:pPr>
            <w:r w:rsidRPr="005715D0">
              <w:rPr>
                <w:rStyle w:val="eop"/>
                <w:rFonts w:cstheme="minorHAnsi"/>
              </w:rPr>
              <w:t>33</w:t>
            </w:r>
          </w:p>
        </w:tc>
        <w:tc>
          <w:tcPr>
            <w:tcW w:w="5244" w:type="dxa"/>
          </w:tcPr>
          <w:p w14:paraId="3DDDE1E1" w14:textId="6B13E2E4" w:rsidR="00E00AD3" w:rsidRPr="005715D0" w:rsidRDefault="00E00AD3" w:rsidP="00E00AD3">
            <w:pPr>
              <w:jc w:val="center"/>
              <w:rPr>
                <w:rStyle w:val="eop"/>
                <w:rFonts w:cstheme="minorHAnsi"/>
              </w:rPr>
            </w:pPr>
            <w:r w:rsidRPr="005715D0">
              <w:rPr>
                <w:rStyle w:val="eop"/>
                <w:rFonts w:cstheme="minorHAnsi"/>
              </w:rPr>
              <w:t>Noted</w:t>
            </w:r>
          </w:p>
        </w:tc>
        <w:tc>
          <w:tcPr>
            <w:tcW w:w="1650" w:type="dxa"/>
          </w:tcPr>
          <w:p w14:paraId="042F443E" w14:textId="54DE9D2F" w:rsidR="00E00AD3" w:rsidRPr="005715D0" w:rsidRDefault="005A05BA" w:rsidP="00E00AD3">
            <w:pPr>
              <w:jc w:val="center"/>
              <w:rPr>
                <w:rStyle w:val="eop"/>
                <w:rFonts w:cstheme="minorHAnsi"/>
              </w:rPr>
            </w:pPr>
            <w:r w:rsidRPr="005715D0">
              <w:rPr>
                <w:rStyle w:val="eop"/>
                <w:rFonts w:cstheme="minorHAnsi"/>
              </w:rPr>
              <w:t>1</w:t>
            </w:r>
            <w:r w:rsidR="005E4588" w:rsidRPr="005715D0">
              <w:rPr>
                <w:rStyle w:val="eop"/>
                <w:rFonts w:cstheme="minorHAnsi"/>
              </w:rPr>
              <w:t>1</w:t>
            </w:r>
          </w:p>
        </w:tc>
      </w:tr>
    </w:tbl>
    <w:p w14:paraId="7C3488AC" w14:textId="77777777" w:rsidR="00B754C9" w:rsidRDefault="00B754C9">
      <w:pPr>
        <w:spacing w:after="200" w:line="276" w:lineRule="auto"/>
        <w:rPr>
          <w:rFonts w:cstheme="minorHAnsi"/>
          <w:b/>
          <w:bCs/>
        </w:rPr>
      </w:pPr>
      <w:r>
        <w:br w:type="page"/>
      </w:r>
    </w:p>
    <w:p w14:paraId="58883711" w14:textId="7632214D" w:rsidR="001D77D0" w:rsidRPr="00EE691E" w:rsidRDefault="00320D80" w:rsidP="005C0353">
      <w:pPr>
        <w:pStyle w:val="Heading2"/>
        <w:keepNext/>
      </w:pPr>
      <w:bookmarkStart w:id="17" w:name="_Toc170224170"/>
      <w:r>
        <w:lastRenderedPageBreak/>
        <w:t xml:space="preserve">1 </w:t>
      </w:r>
      <w:r w:rsidR="48D8360E">
        <w:t>A Strate</w:t>
      </w:r>
      <w:r w:rsidR="39A2C9E2">
        <w:t>gic and Integrated Approach</w:t>
      </w:r>
      <w:bookmarkEnd w:id="17"/>
    </w:p>
    <w:p w14:paraId="1EDB20FE" w14:textId="1952EA47" w:rsidR="002D4E0A" w:rsidRPr="00EE691E" w:rsidRDefault="002D4E0A" w:rsidP="00C25DB7">
      <w:pPr>
        <w:rPr>
          <w:lang w:val="en" w:eastAsia="en-AU"/>
        </w:rPr>
      </w:pPr>
    </w:p>
    <w:p w14:paraId="0C3D2706" w14:textId="2CADDE34" w:rsidR="002635A1" w:rsidRPr="00DF6490" w:rsidRDefault="00EE3A5B" w:rsidP="00C25DB7">
      <w:r w:rsidRPr="00EE691E">
        <w:t xml:space="preserve">The </w:t>
      </w:r>
      <w:r w:rsidRPr="00EE691E">
        <w:rPr>
          <w:rStyle w:val="normaltextrun"/>
          <w:rFonts w:ascii="Calibri" w:hAnsi="Calibri" w:cs="Calibri"/>
        </w:rPr>
        <w:t xml:space="preserve">Committee </w:t>
      </w:r>
      <w:r w:rsidRPr="00EE691E">
        <w:t>investigated the ways in which workers combine working with the care of family members or friends, such as children, people with disability, medical conditions</w:t>
      </w:r>
      <w:r>
        <w:t>,</w:t>
      </w:r>
      <w:r w:rsidRPr="00EE691E">
        <w:t xml:space="preserve"> or mental illness, as well as those frail due to age. It </w:t>
      </w:r>
      <w:r w:rsidRPr="00EE691E">
        <w:rPr>
          <w:rStyle w:val="normaltextrun"/>
          <w:rFonts w:ascii="Calibri" w:hAnsi="Calibri" w:cs="Calibri"/>
          <w:color w:val="000000"/>
          <w:shd w:val="clear" w:color="auto" w:fill="FFFFFF"/>
        </w:rPr>
        <w:t>noted that care is a collective social responsibility</w:t>
      </w:r>
      <w:r w:rsidRPr="00EE691E">
        <w:t xml:space="preserve">. </w:t>
      </w:r>
      <w:r w:rsidR="00830319" w:rsidRPr="00EE691E">
        <w:t xml:space="preserve">It </w:t>
      </w:r>
      <w:r w:rsidR="00564916" w:rsidRPr="00EE691E">
        <w:t>found</w:t>
      </w:r>
      <w:r w:rsidR="00830319" w:rsidRPr="00EE691E">
        <w:t xml:space="preserve"> that</w:t>
      </w:r>
      <w:r w:rsidR="00564916" w:rsidRPr="00EE691E">
        <w:t xml:space="preserve"> a whole of government</w:t>
      </w:r>
      <w:r w:rsidR="00564916" w:rsidRPr="00DF6490">
        <w:t xml:space="preserve"> response is required to meet Australia’s work and care challenges</w:t>
      </w:r>
      <w:r w:rsidR="00A845CF" w:rsidRPr="00DF6490">
        <w:t>.</w:t>
      </w:r>
    </w:p>
    <w:p w14:paraId="0934CE71" w14:textId="77777777" w:rsidR="002635A1" w:rsidRPr="00DF6490" w:rsidRDefault="002635A1" w:rsidP="00C25DB7"/>
    <w:p w14:paraId="21644AC1" w14:textId="09F61300" w:rsidR="00F21BE7" w:rsidRPr="00DF6490" w:rsidRDefault="001244D3" w:rsidP="00F21BE7">
      <w:r w:rsidRPr="00DF6490">
        <w:t xml:space="preserve">The Committee found that care policies and </w:t>
      </w:r>
      <w:r w:rsidR="007D666D" w:rsidRPr="00DF6490">
        <w:t xml:space="preserve">the </w:t>
      </w:r>
      <w:r w:rsidRPr="00DF6490">
        <w:t xml:space="preserve">underpinning regulatory measures need to be reviewed and reformed holistically as a whole of government initiative. </w:t>
      </w:r>
      <w:r w:rsidR="00F21BE7" w:rsidRPr="00DF6490">
        <w:t xml:space="preserve">The Committee noted that there are multifaceted and interlinked issues for working carers, including the gendered nature of care, low wages, and insufficient </w:t>
      </w:r>
      <w:r w:rsidR="00603167" w:rsidRPr="00E604E9">
        <w:t>conditions</w:t>
      </w:r>
      <w:r w:rsidR="00F21BE7" w:rsidRPr="00DF6490">
        <w:t xml:space="preserve"> in the sector. The</w:t>
      </w:r>
      <w:r w:rsidR="004D347A" w:rsidRPr="00DF6490">
        <w:t xml:space="preserve"> Committee</w:t>
      </w:r>
      <w:r w:rsidR="00F21BE7" w:rsidRPr="00DF6490">
        <w:t xml:space="preserve"> also commented upon inadequacies within the</w:t>
      </w:r>
      <w:r w:rsidR="009E488E">
        <w:t xml:space="preserve"> </w:t>
      </w:r>
      <w:r w:rsidR="00AB74C4">
        <w:t>ECEC</w:t>
      </w:r>
      <w:r w:rsidR="00F21BE7" w:rsidRPr="00DF6490">
        <w:t xml:space="preserve"> system, the parental leave framework, the availability of flexible working arrangements, and the workplace relations framework.</w:t>
      </w:r>
    </w:p>
    <w:p w14:paraId="1830A647" w14:textId="77777777" w:rsidR="002635A1" w:rsidRPr="00DF6490" w:rsidRDefault="002635A1" w:rsidP="00C25DB7"/>
    <w:p w14:paraId="3429118C" w14:textId="2C2B9B04" w:rsidR="004728EB" w:rsidRPr="00025E31" w:rsidRDefault="004728EB" w:rsidP="00C25DB7">
      <w:r w:rsidRPr="00DF6490">
        <w:rPr>
          <w:lang w:val="en" w:eastAsia="en-AU"/>
        </w:rPr>
        <w:t>The Government is already taking a comprehensive and integrated approach to addressing the challenges of work and care</w:t>
      </w:r>
      <w:r w:rsidR="005F240E" w:rsidRPr="00DF6490">
        <w:t>.</w:t>
      </w:r>
      <w:r w:rsidR="00600DF4">
        <w:t xml:space="preserve"> </w:t>
      </w:r>
      <w:r w:rsidR="00600DF4" w:rsidRPr="00F80D14">
        <w:rPr>
          <w:i/>
          <w:iCs/>
        </w:rPr>
        <w:t>Working Future: The Australian Government’s White Paper on Jobs and Opportunities</w:t>
      </w:r>
      <w:r w:rsidR="00ED6D44">
        <w:rPr>
          <w:i/>
          <w:iCs/>
        </w:rPr>
        <w:t xml:space="preserve"> </w:t>
      </w:r>
      <w:r w:rsidR="00623013">
        <w:rPr>
          <w:i/>
          <w:iCs/>
        </w:rPr>
        <w:t>(Working Future)</w:t>
      </w:r>
      <w:r w:rsidR="00600DF4" w:rsidRPr="00600DF4">
        <w:t xml:space="preserve"> acknowledges the role of balancing work and care in </w:t>
      </w:r>
      <w:r w:rsidR="00600DF4" w:rsidRPr="00025E31">
        <w:t>supporting inclusion and employment opportunities.</w:t>
      </w:r>
    </w:p>
    <w:p w14:paraId="0F7BF8A6" w14:textId="21FEBFF0" w:rsidR="000E68D5" w:rsidRPr="00025E31" w:rsidRDefault="000E68D5" w:rsidP="00C25DB7"/>
    <w:p w14:paraId="6CABEB2A" w14:textId="7FFA70C2" w:rsidR="00C44896" w:rsidRPr="00025E31" w:rsidRDefault="00C954E1" w:rsidP="00C954E1">
      <w:pPr>
        <w:pStyle w:val="Heading3"/>
      </w:pPr>
      <w:bookmarkStart w:id="18" w:name="_Toc170224171"/>
      <w:r>
        <w:t xml:space="preserve">1.1 </w:t>
      </w:r>
      <w:r w:rsidR="00C44896">
        <w:t>The Care and Support Economy</w:t>
      </w:r>
      <w:bookmarkEnd w:id="18"/>
    </w:p>
    <w:p w14:paraId="502D425D" w14:textId="1232747B" w:rsidR="00D24CC9" w:rsidRPr="00EE691E" w:rsidRDefault="00D24CC9" w:rsidP="00D24CC9">
      <w:r>
        <w:t xml:space="preserve">In 2022, the Government established the Care and Support Economy Taskforce in the Department of the Prime Minister and Cabinet to </w:t>
      </w:r>
      <w:r w:rsidRPr="273A57E7">
        <w:rPr>
          <w:lang w:val="en" w:eastAsia="en-AU"/>
        </w:rPr>
        <w:t xml:space="preserve">address </w:t>
      </w:r>
      <w:r>
        <w:t xml:space="preserve">key </w:t>
      </w:r>
      <w:r w:rsidRPr="273A57E7">
        <w:rPr>
          <w:lang w:val="en" w:eastAsia="en-AU"/>
        </w:rPr>
        <w:t xml:space="preserve">shared challenges across the aged care, disability support, veterans’ care and </w:t>
      </w:r>
      <w:r w:rsidR="007B4733">
        <w:rPr>
          <w:lang w:val="en" w:eastAsia="en-AU"/>
        </w:rPr>
        <w:t>ECEC</w:t>
      </w:r>
      <w:r w:rsidRPr="273A57E7">
        <w:rPr>
          <w:lang w:val="en" w:eastAsia="en-AU"/>
        </w:rPr>
        <w:t xml:space="preserve"> sectors. </w:t>
      </w:r>
      <w:r>
        <w:t xml:space="preserve">In the 2024-25 Budget, the Government established a Care and Support Economy Reform Unit in the Department of the Prime Minister and Cabinet to succeed the Taskforce. The Unit will focus on improving the alignment of policies, programs, and actions across aged care, disability support, veterans’ care and </w:t>
      </w:r>
      <w:r w:rsidR="007B4733">
        <w:t>ECEC</w:t>
      </w:r>
      <w:r w:rsidR="5D6EBF75">
        <w:t>,</w:t>
      </w:r>
      <w:r>
        <w:t xml:space="preserve"> and tracking the implementation of reforms. Taking this holistic approach to improving </w:t>
      </w:r>
      <w:r w:rsidRPr="273A57E7">
        <w:rPr>
          <w:lang w:val="en" w:eastAsia="en-AU"/>
        </w:rPr>
        <w:t xml:space="preserve">the care and support economy in Australia will deliver </w:t>
      </w:r>
      <w:r>
        <w:t xml:space="preserve">quality care and support with quality jobs, while making sure the care and support economy </w:t>
      </w:r>
      <w:r w:rsidR="00037622">
        <w:t xml:space="preserve">is </w:t>
      </w:r>
      <w:r>
        <w:t xml:space="preserve">productive and sustainable into the future. </w:t>
      </w:r>
    </w:p>
    <w:p w14:paraId="5F36AB38" w14:textId="77777777" w:rsidR="00C44896" w:rsidRPr="00EE691E" w:rsidRDefault="00C44896" w:rsidP="00C44896"/>
    <w:p w14:paraId="4F537FB9" w14:textId="00ED9084" w:rsidR="00C44896" w:rsidRPr="00EE691E" w:rsidRDefault="00C44896" w:rsidP="00C44896">
      <w:r w:rsidRPr="00EE691E">
        <w:t>The</w:t>
      </w:r>
      <w:r w:rsidR="003159E8" w:rsidRPr="00EE691E">
        <w:t xml:space="preserve"> Government has already acted to</w:t>
      </w:r>
      <w:r w:rsidR="00883E99" w:rsidRPr="00EE691E">
        <w:t xml:space="preserve"> address</w:t>
      </w:r>
      <w:r w:rsidRPr="00EE691E">
        <w:t xml:space="preserve"> care and support economy</w:t>
      </w:r>
      <w:r w:rsidR="003159E8" w:rsidRPr="00EE691E">
        <w:t xml:space="preserve"> challenges</w:t>
      </w:r>
      <w:r w:rsidRPr="00EE691E">
        <w:t>, including:</w:t>
      </w:r>
    </w:p>
    <w:p w14:paraId="5157CA20" w14:textId="23204909" w:rsidR="00C44896" w:rsidRPr="00EE691E" w:rsidRDefault="00C44896" w:rsidP="00C44896">
      <w:pPr>
        <w:pStyle w:val="ListParagraph"/>
        <w:numPr>
          <w:ilvl w:val="0"/>
          <w:numId w:val="2"/>
        </w:numPr>
        <w:rPr>
          <w:sz w:val="24"/>
          <w:szCs w:val="24"/>
        </w:rPr>
      </w:pPr>
      <w:r w:rsidRPr="00EE691E">
        <w:rPr>
          <w:sz w:val="24"/>
          <w:szCs w:val="24"/>
        </w:rPr>
        <w:t>implement</w:t>
      </w:r>
      <w:r w:rsidR="003B22DE" w:rsidRPr="00EE691E">
        <w:rPr>
          <w:sz w:val="24"/>
          <w:szCs w:val="24"/>
        </w:rPr>
        <w:t>ing</w:t>
      </w:r>
      <w:r w:rsidRPr="00EE691E">
        <w:rPr>
          <w:sz w:val="24"/>
          <w:szCs w:val="24"/>
        </w:rPr>
        <w:t xml:space="preserve"> </w:t>
      </w:r>
      <w:r w:rsidRPr="00EE691E">
        <w:rPr>
          <w:i/>
          <w:sz w:val="24"/>
          <w:szCs w:val="24"/>
        </w:rPr>
        <w:t>Working for Women: A Strategy for Gender Equality</w:t>
      </w:r>
    </w:p>
    <w:p w14:paraId="2FF21960" w14:textId="22B08744" w:rsidR="00C44896" w:rsidRPr="00025E31" w:rsidRDefault="00320D60" w:rsidP="00C44896">
      <w:pPr>
        <w:pStyle w:val="ListParagraph"/>
        <w:numPr>
          <w:ilvl w:val="0"/>
          <w:numId w:val="2"/>
        </w:numPr>
        <w:rPr>
          <w:sz w:val="24"/>
          <w:szCs w:val="24"/>
        </w:rPr>
      </w:pPr>
      <w:r w:rsidRPr="00EE691E">
        <w:rPr>
          <w:sz w:val="24"/>
          <w:szCs w:val="24"/>
        </w:rPr>
        <w:t>implemented</w:t>
      </w:r>
      <w:r>
        <w:rPr>
          <w:sz w:val="24"/>
          <w:szCs w:val="24"/>
        </w:rPr>
        <w:t xml:space="preserve"> </w:t>
      </w:r>
      <w:r w:rsidRPr="008074A9">
        <w:rPr>
          <w:i/>
          <w:iCs/>
          <w:sz w:val="24"/>
          <w:szCs w:val="24"/>
        </w:rPr>
        <w:t>Cheaper Child Care</w:t>
      </w:r>
      <w:r>
        <w:rPr>
          <w:sz w:val="24"/>
          <w:szCs w:val="24"/>
        </w:rPr>
        <w:t xml:space="preserve"> </w:t>
      </w:r>
      <w:r w:rsidR="0071505F">
        <w:rPr>
          <w:sz w:val="24"/>
          <w:szCs w:val="24"/>
        </w:rPr>
        <w:t>–</w:t>
      </w:r>
      <w:r>
        <w:rPr>
          <w:sz w:val="24"/>
          <w:szCs w:val="24"/>
        </w:rPr>
        <w:t xml:space="preserve"> </w:t>
      </w:r>
      <w:r w:rsidR="00C44896" w:rsidRPr="00025E31">
        <w:rPr>
          <w:sz w:val="24"/>
          <w:szCs w:val="24"/>
        </w:rPr>
        <w:t xml:space="preserve">making </w:t>
      </w:r>
      <w:r w:rsidR="007B4733">
        <w:rPr>
          <w:sz w:val="24"/>
          <w:szCs w:val="24"/>
        </w:rPr>
        <w:t>ECEC</w:t>
      </w:r>
      <w:r w:rsidR="003B22DE" w:rsidRPr="00025E31">
        <w:rPr>
          <w:sz w:val="24"/>
          <w:szCs w:val="24"/>
        </w:rPr>
        <w:t xml:space="preserve"> </w:t>
      </w:r>
      <w:r w:rsidR="00C44896" w:rsidRPr="00025E31">
        <w:rPr>
          <w:sz w:val="24"/>
          <w:szCs w:val="24"/>
        </w:rPr>
        <w:t xml:space="preserve">more affordable for families by lifting Child Care Subsidy rates from July 2023 </w:t>
      </w:r>
    </w:p>
    <w:p w14:paraId="75C432FE" w14:textId="7708B45B" w:rsidR="00C44896" w:rsidRPr="00025E31" w:rsidRDefault="00ED4DA0" w:rsidP="0020489D">
      <w:pPr>
        <w:pStyle w:val="ListParagraph"/>
        <w:numPr>
          <w:ilvl w:val="0"/>
          <w:numId w:val="2"/>
        </w:numPr>
        <w:rPr>
          <w:sz w:val="24"/>
          <w:szCs w:val="24"/>
        </w:rPr>
      </w:pPr>
      <w:r w:rsidRPr="00025E31">
        <w:rPr>
          <w:sz w:val="24"/>
          <w:szCs w:val="24"/>
        </w:rPr>
        <w:t>strengthening pay equity through changes to the</w:t>
      </w:r>
      <w:r w:rsidRPr="00796870">
        <w:rPr>
          <w:sz w:val="24"/>
          <w:szCs w:val="24"/>
        </w:rPr>
        <w:t xml:space="preserve"> </w:t>
      </w:r>
      <w:r w:rsidRPr="00D378FF">
        <w:rPr>
          <w:i/>
          <w:iCs/>
          <w:sz w:val="24"/>
          <w:szCs w:val="24"/>
        </w:rPr>
        <w:t>Fair Work Act</w:t>
      </w:r>
      <w:r w:rsidR="0055699A" w:rsidRPr="0055699A">
        <w:rPr>
          <w:i/>
          <w:iCs/>
          <w:sz w:val="24"/>
          <w:szCs w:val="24"/>
        </w:rPr>
        <w:t xml:space="preserve"> 2009</w:t>
      </w:r>
    </w:p>
    <w:p w14:paraId="64A6707D" w14:textId="7B2F81BF" w:rsidR="00A9790D" w:rsidRDefault="00A9790D" w:rsidP="00F506AE">
      <w:pPr>
        <w:pStyle w:val="ListParagraph"/>
        <w:numPr>
          <w:ilvl w:val="0"/>
          <w:numId w:val="2"/>
        </w:numPr>
        <w:rPr>
          <w:sz w:val="24"/>
          <w:szCs w:val="24"/>
        </w:rPr>
      </w:pPr>
      <w:r w:rsidRPr="00A9790D">
        <w:rPr>
          <w:sz w:val="24"/>
          <w:szCs w:val="24"/>
        </w:rPr>
        <w:t>provid</w:t>
      </w:r>
      <w:r w:rsidR="0062482A">
        <w:rPr>
          <w:sz w:val="24"/>
          <w:szCs w:val="24"/>
        </w:rPr>
        <w:t>ing</w:t>
      </w:r>
      <w:r w:rsidRPr="00A9790D">
        <w:rPr>
          <w:sz w:val="24"/>
          <w:szCs w:val="24"/>
        </w:rPr>
        <w:t xml:space="preserve"> funding to support increases to award wages for many aged care workers</w:t>
      </w:r>
    </w:p>
    <w:p w14:paraId="2FAF72AF" w14:textId="68C734DE" w:rsidR="00F506AE" w:rsidRPr="00025E31" w:rsidRDefault="00F506AE" w:rsidP="00F506AE">
      <w:pPr>
        <w:pStyle w:val="ListParagraph"/>
        <w:numPr>
          <w:ilvl w:val="0"/>
          <w:numId w:val="2"/>
        </w:numPr>
        <w:rPr>
          <w:sz w:val="24"/>
          <w:szCs w:val="24"/>
        </w:rPr>
      </w:pPr>
      <w:r>
        <w:rPr>
          <w:sz w:val="24"/>
          <w:szCs w:val="24"/>
        </w:rPr>
        <w:t xml:space="preserve">modernising </w:t>
      </w:r>
      <w:r w:rsidRPr="00025E31">
        <w:rPr>
          <w:sz w:val="24"/>
          <w:szCs w:val="24"/>
        </w:rPr>
        <w:t xml:space="preserve">the Government’s Paid Parental Leave </w:t>
      </w:r>
      <w:r>
        <w:rPr>
          <w:sz w:val="24"/>
          <w:szCs w:val="24"/>
        </w:rPr>
        <w:t>s</w:t>
      </w:r>
      <w:r w:rsidRPr="00025E31">
        <w:rPr>
          <w:sz w:val="24"/>
          <w:szCs w:val="24"/>
        </w:rPr>
        <w:t>cheme</w:t>
      </w:r>
      <w:r>
        <w:rPr>
          <w:sz w:val="24"/>
          <w:szCs w:val="24"/>
        </w:rPr>
        <w:t xml:space="preserve"> and expanding it</w:t>
      </w:r>
      <w:r w:rsidRPr="00025E31">
        <w:rPr>
          <w:sz w:val="24"/>
          <w:szCs w:val="24"/>
        </w:rPr>
        <w:t xml:space="preserve"> by two additional weeks </w:t>
      </w:r>
      <w:r w:rsidR="0030475B">
        <w:rPr>
          <w:sz w:val="24"/>
          <w:szCs w:val="24"/>
        </w:rPr>
        <w:t>each</w:t>
      </w:r>
      <w:r w:rsidR="0030475B" w:rsidRPr="00025E31">
        <w:rPr>
          <w:sz w:val="24"/>
          <w:szCs w:val="24"/>
        </w:rPr>
        <w:t xml:space="preserve"> </w:t>
      </w:r>
      <w:r w:rsidRPr="00025E31">
        <w:rPr>
          <w:sz w:val="24"/>
          <w:szCs w:val="24"/>
        </w:rPr>
        <w:t>year from July 2024 until it reaches 26 weeks from July 2026</w:t>
      </w:r>
    </w:p>
    <w:p w14:paraId="2B103963" w14:textId="515BC2D7" w:rsidR="00C44896" w:rsidRPr="00025E31" w:rsidRDefault="009D33F7" w:rsidP="00C44896">
      <w:pPr>
        <w:pStyle w:val="ListParagraph"/>
        <w:numPr>
          <w:ilvl w:val="0"/>
          <w:numId w:val="2"/>
        </w:numPr>
        <w:rPr>
          <w:sz w:val="24"/>
          <w:szCs w:val="24"/>
        </w:rPr>
      </w:pPr>
      <w:r w:rsidRPr="00025E31">
        <w:rPr>
          <w:sz w:val="24"/>
          <w:szCs w:val="24"/>
        </w:rPr>
        <w:t xml:space="preserve">trialling </w:t>
      </w:r>
      <w:r w:rsidR="00C44896" w:rsidRPr="00025E31">
        <w:rPr>
          <w:sz w:val="24"/>
          <w:szCs w:val="24"/>
        </w:rPr>
        <w:t>an integrated commissioning approach across primary care, disability support, aged care, and veterans’ care</w:t>
      </w:r>
    </w:p>
    <w:p w14:paraId="2876590B" w14:textId="07600142" w:rsidR="00C44896" w:rsidRPr="00025E31" w:rsidRDefault="00A10EDA" w:rsidP="0042549B">
      <w:pPr>
        <w:pStyle w:val="ListParagraph"/>
        <w:keepNext/>
        <w:keepLines/>
        <w:numPr>
          <w:ilvl w:val="0"/>
          <w:numId w:val="2"/>
        </w:numPr>
        <w:ind w:left="714" w:hanging="357"/>
        <w:rPr>
          <w:sz w:val="24"/>
          <w:szCs w:val="24"/>
        </w:rPr>
      </w:pPr>
      <w:r w:rsidRPr="00025E31">
        <w:rPr>
          <w:sz w:val="24"/>
          <w:szCs w:val="24"/>
        </w:rPr>
        <w:lastRenderedPageBreak/>
        <w:t xml:space="preserve">supporting </w:t>
      </w:r>
      <w:r w:rsidR="00C44896" w:rsidRPr="00025E31">
        <w:rPr>
          <w:sz w:val="24"/>
          <w:szCs w:val="24"/>
        </w:rPr>
        <w:t xml:space="preserve">Jobs and Skills Australia’s </w:t>
      </w:r>
      <w:r w:rsidR="007B4CB8">
        <w:rPr>
          <w:sz w:val="24"/>
          <w:szCs w:val="24"/>
        </w:rPr>
        <w:t>ECEC</w:t>
      </w:r>
      <w:r w:rsidR="00C44896" w:rsidRPr="00025E31">
        <w:rPr>
          <w:sz w:val="24"/>
          <w:szCs w:val="24"/>
        </w:rPr>
        <w:t xml:space="preserve"> Capacity Study</w:t>
      </w:r>
      <w:r w:rsidR="00A6303C">
        <w:rPr>
          <w:sz w:val="24"/>
          <w:szCs w:val="24"/>
        </w:rPr>
        <w:t>, and</w:t>
      </w:r>
    </w:p>
    <w:p w14:paraId="212B5015" w14:textId="292E61A7" w:rsidR="00C44896" w:rsidRPr="00025E31" w:rsidRDefault="00917797" w:rsidP="0042549B">
      <w:pPr>
        <w:pStyle w:val="ListParagraph"/>
        <w:keepNext/>
        <w:keepLines/>
        <w:numPr>
          <w:ilvl w:val="0"/>
          <w:numId w:val="2"/>
        </w:numPr>
        <w:ind w:left="714" w:hanging="357"/>
        <w:rPr>
          <w:sz w:val="24"/>
          <w:szCs w:val="24"/>
        </w:rPr>
      </w:pPr>
      <w:r w:rsidRPr="273A57E7">
        <w:rPr>
          <w:sz w:val="24"/>
          <w:szCs w:val="24"/>
        </w:rPr>
        <w:t xml:space="preserve">getting </w:t>
      </w:r>
      <w:r w:rsidR="00C44896" w:rsidRPr="273A57E7">
        <w:rPr>
          <w:sz w:val="24"/>
          <w:szCs w:val="24"/>
        </w:rPr>
        <w:t>the National Disability Insurance Scheme for participants, their families</w:t>
      </w:r>
      <w:r w:rsidR="00653B7D" w:rsidRPr="273A57E7">
        <w:rPr>
          <w:sz w:val="24"/>
          <w:szCs w:val="24"/>
        </w:rPr>
        <w:t>,</w:t>
      </w:r>
      <w:r w:rsidR="00C44896" w:rsidRPr="273A57E7">
        <w:rPr>
          <w:sz w:val="24"/>
          <w:szCs w:val="24"/>
        </w:rPr>
        <w:t xml:space="preserve"> and carers</w:t>
      </w:r>
      <w:r w:rsidR="0090388B" w:rsidRPr="273A57E7">
        <w:rPr>
          <w:sz w:val="24"/>
          <w:szCs w:val="24"/>
          <w:lang w:eastAsia="en-AU"/>
        </w:rPr>
        <w:t>.</w:t>
      </w:r>
    </w:p>
    <w:p w14:paraId="15ABF03A" w14:textId="77777777" w:rsidR="00C44896" w:rsidRPr="00025E31" w:rsidRDefault="00C44896" w:rsidP="00267C7A"/>
    <w:p w14:paraId="56C41479" w14:textId="27D69938" w:rsidR="00C44896" w:rsidRDefault="00C44896" w:rsidP="00267C7A">
      <w:r w:rsidRPr="00025E31">
        <w:t>These</w:t>
      </w:r>
      <w:r w:rsidR="005D6057">
        <w:t>, along with the</w:t>
      </w:r>
      <w:r w:rsidRPr="00025E31">
        <w:t xml:space="preserve"> </w:t>
      </w:r>
      <w:r w:rsidR="005D6057">
        <w:t>measures</w:t>
      </w:r>
      <w:r w:rsidRPr="00025E31">
        <w:t xml:space="preserve"> </w:t>
      </w:r>
      <w:r w:rsidR="005D6057">
        <w:t xml:space="preserve">described throughout this response are </w:t>
      </w:r>
      <w:r w:rsidRPr="00025E31">
        <w:t xml:space="preserve">addressing the gender pay gap and </w:t>
      </w:r>
      <w:r w:rsidR="005D6057">
        <w:t xml:space="preserve">the </w:t>
      </w:r>
      <w:r w:rsidRPr="00025E31">
        <w:t xml:space="preserve">challenges </w:t>
      </w:r>
      <w:r w:rsidR="005D6057">
        <w:t>faced by people balancing</w:t>
      </w:r>
      <w:r w:rsidRPr="00025E31">
        <w:t xml:space="preserve"> work and care</w:t>
      </w:r>
      <w:r w:rsidR="006A76FD">
        <w:t>.</w:t>
      </w:r>
    </w:p>
    <w:p w14:paraId="3DE38A12" w14:textId="77777777" w:rsidR="00DC524D" w:rsidRDefault="00DC524D" w:rsidP="00267C7A"/>
    <w:p w14:paraId="5C82AE72" w14:textId="0E1081D0" w:rsidR="00DC524D" w:rsidRPr="00DF6490" w:rsidRDefault="00DC524D" w:rsidP="00224720">
      <w:pPr>
        <w:pBdr>
          <w:top w:val="single" w:sz="4" w:space="1" w:color="auto"/>
          <w:left w:val="single" w:sz="4" w:space="4" w:color="auto"/>
          <w:bottom w:val="single" w:sz="4" w:space="1" w:color="auto"/>
          <w:right w:val="single" w:sz="4" w:space="4" w:color="auto"/>
        </w:pBdr>
      </w:pPr>
      <w:r w:rsidRPr="006632D2">
        <w:rPr>
          <w:rStyle w:val="Heading6Char"/>
        </w:rPr>
        <w:t>Recommendation 1</w:t>
      </w:r>
      <w:r w:rsidRPr="00E00BD3">
        <w:br/>
      </w:r>
      <w:r w:rsidRPr="00DF6490">
        <w:rPr>
          <w:rFonts w:eastAsia="Calibri"/>
        </w:rPr>
        <w:t>The committee recommends the Australian Government take a comprehensive and integrated approach to addressing the challenges of work and care in this country. The Australian Government should implement the recommendations in the committee</w:t>
      </w:r>
      <w:r>
        <w:rPr>
          <w:rFonts w:eastAsia="Calibri"/>
        </w:rPr>
        <w:t>’</w:t>
      </w:r>
      <w:r w:rsidRPr="00DF6490">
        <w:rPr>
          <w:rFonts w:eastAsia="Calibri"/>
        </w:rPr>
        <w:t>s interim and final reports to a range of systems, including workplace relations, early childhood education and care, paid leave, disability and aged care, as well as financial supports for carers. This reform package should ensure that Australians have a right to care, alongside their right to work, and our systems and laws should provide unequivocal support for this important role through a new work and care social contract fit for the 21</w:t>
      </w:r>
      <w:r w:rsidRPr="00320D80">
        <w:rPr>
          <w:rFonts w:eastAsia="Calibri"/>
          <w:vertAlign w:val="superscript"/>
        </w:rPr>
        <w:t>st</w:t>
      </w:r>
      <w:r w:rsidRPr="00DF6490">
        <w:rPr>
          <w:rFonts w:eastAsia="Calibri"/>
        </w:rPr>
        <w:t xml:space="preserve"> century.</w:t>
      </w:r>
    </w:p>
    <w:p w14:paraId="1ADB2880" w14:textId="77777777" w:rsidR="005F2CC0" w:rsidRDefault="005F2CC0" w:rsidP="00267C7A"/>
    <w:p w14:paraId="537D6985" w14:textId="4B994AE8" w:rsidR="00DC524D" w:rsidRPr="00DF6490" w:rsidRDefault="00267C7A" w:rsidP="00267C7A">
      <w:pPr>
        <w:rPr>
          <w:b/>
          <w:bCs/>
        </w:rPr>
      </w:pPr>
      <w:r>
        <w:t xml:space="preserve">The Government </w:t>
      </w:r>
      <w:r>
        <w:rPr>
          <w:b/>
          <w:bCs/>
        </w:rPr>
        <w:t xml:space="preserve">agrees in part </w:t>
      </w:r>
      <w:r>
        <w:t xml:space="preserve">to this recommendation. </w:t>
      </w:r>
    </w:p>
    <w:p w14:paraId="0D45EE5C" w14:textId="77777777" w:rsidR="00DC524D" w:rsidRPr="00DF6490" w:rsidRDefault="00DC524D" w:rsidP="00267C7A"/>
    <w:p w14:paraId="468F20A0" w14:textId="46BCAD46" w:rsidR="00DC524D" w:rsidRDefault="00DC524D" w:rsidP="4BD34BD8">
      <w:pPr>
        <w:rPr>
          <w:lang w:val="en-US" w:eastAsia="en-AU"/>
        </w:rPr>
      </w:pPr>
      <w:r w:rsidRPr="4BD34BD8">
        <w:rPr>
          <w:lang w:val="en-US" w:eastAsia="en-AU"/>
        </w:rPr>
        <w:t>The Government is taking a comprehensive approach to the issues of work and care across a range of systems and policy areas.</w:t>
      </w:r>
      <w:r w:rsidR="0003596E" w:rsidRPr="4BD34BD8">
        <w:rPr>
          <w:lang w:val="en-US" w:eastAsia="en-AU"/>
        </w:rPr>
        <w:t xml:space="preserve"> The Government </w:t>
      </w:r>
      <w:r w:rsidR="00B039EB" w:rsidRPr="4BD34BD8">
        <w:rPr>
          <w:lang w:val="en-US" w:eastAsia="en-AU"/>
        </w:rPr>
        <w:t>acknowledges</w:t>
      </w:r>
      <w:r w:rsidR="0003596E" w:rsidRPr="4BD34BD8">
        <w:rPr>
          <w:lang w:val="en-US" w:eastAsia="en-AU"/>
        </w:rPr>
        <w:t xml:space="preserve"> the right to care as a shared responsibility </w:t>
      </w:r>
      <w:r w:rsidR="009A4E43" w:rsidRPr="4BD34BD8">
        <w:rPr>
          <w:lang w:val="en-US" w:eastAsia="en-AU"/>
        </w:rPr>
        <w:t xml:space="preserve">across </w:t>
      </w:r>
      <w:r w:rsidR="0003596E" w:rsidRPr="4BD34BD8">
        <w:rPr>
          <w:lang w:val="en-US" w:eastAsia="en-AU"/>
        </w:rPr>
        <w:t>levels of government.</w:t>
      </w:r>
      <w:r w:rsidR="00267C7A" w:rsidRPr="4BD34BD8">
        <w:rPr>
          <w:lang w:val="en-US" w:eastAsia="en-AU"/>
        </w:rPr>
        <w:t xml:space="preserve"> </w:t>
      </w:r>
      <w:r w:rsidR="00A42441">
        <w:rPr>
          <w:lang w:val="en-US" w:eastAsia="en-AU"/>
        </w:rPr>
        <w:t>T</w:t>
      </w:r>
      <w:r w:rsidR="00A42441" w:rsidRPr="4BD34BD8">
        <w:rPr>
          <w:lang w:val="en-US" w:eastAsia="en-AU"/>
        </w:rPr>
        <w:t xml:space="preserve">he </w:t>
      </w:r>
      <w:r w:rsidRPr="4BD34BD8">
        <w:rPr>
          <w:lang w:val="en-US" w:eastAsia="en-AU"/>
        </w:rPr>
        <w:t xml:space="preserve">Government </w:t>
      </w:r>
      <w:r w:rsidR="00A42441">
        <w:rPr>
          <w:lang w:val="en-US" w:eastAsia="en-AU"/>
        </w:rPr>
        <w:t xml:space="preserve">is </w:t>
      </w:r>
      <w:r w:rsidRPr="4BD34BD8">
        <w:rPr>
          <w:lang w:val="en-US" w:eastAsia="en-AU"/>
        </w:rPr>
        <w:t>address</w:t>
      </w:r>
      <w:r w:rsidR="00FE0CE3">
        <w:rPr>
          <w:lang w:val="en-US" w:eastAsia="en-AU"/>
        </w:rPr>
        <w:t>ing</w:t>
      </w:r>
      <w:r w:rsidRPr="4BD34BD8">
        <w:rPr>
          <w:lang w:val="en-US" w:eastAsia="en-AU"/>
        </w:rPr>
        <w:t xml:space="preserve"> the issues at the intersection of work and care:</w:t>
      </w:r>
    </w:p>
    <w:p w14:paraId="60D6118A" w14:textId="02633453" w:rsidR="00DC524D" w:rsidRPr="0042549B" w:rsidRDefault="00DC524D" w:rsidP="0042549B">
      <w:pPr>
        <w:pStyle w:val="ListParagraph"/>
        <w:numPr>
          <w:ilvl w:val="0"/>
          <w:numId w:val="13"/>
        </w:numPr>
        <w:rPr>
          <w:sz w:val="24"/>
          <w:szCs w:val="24"/>
          <w:lang w:eastAsia="en-AU"/>
        </w:rPr>
      </w:pPr>
      <w:r w:rsidRPr="0042549B">
        <w:rPr>
          <w:sz w:val="24"/>
          <w:szCs w:val="24"/>
          <w:lang w:eastAsia="en-AU"/>
        </w:rPr>
        <w:t xml:space="preserve">First, the Government’s </w:t>
      </w:r>
      <w:r w:rsidRPr="004B4C16">
        <w:rPr>
          <w:i/>
          <w:iCs/>
          <w:sz w:val="24"/>
          <w:szCs w:val="24"/>
          <w:lang w:eastAsia="en-AU"/>
        </w:rPr>
        <w:t>Working for Women: A Strategy for Gender Equality</w:t>
      </w:r>
      <w:r w:rsidRPr="0042549B">
        <w:rPr>
          <w:sz w:val="24"/>
          <w:szCs w:val="24"/>
          <w:lang w:eastAsia="en-AU"/>
        </w:rPr>
        <w:t xml:space="preserve">, launched on 7 March 2024, forms the </w:t>
      </w:r>
      <w:r w:rsidRPr="273A57E7">
        <w:rPr>
          <w:sz w:val="24"/>
          <w:szCs w:val="24"/>
          <w:lang w:eastAsia="en-AU"/>
        </w:rPr>
        <w:t>centrepiece</w:t>
      </w:r>
      <w:r w:rsidRPr="0042549B">
        <w:rPr>
          <w:sz w:val="24"/>
          <w:szCs w:val="24"/>
          <w:lang w:eastAsia="en-AU"/>
        </w:rPr>
        <w:t xml:space="preserve"> of the Government’s gender equality policy and identifies unpaid and paid care</w:t>
      </w:r>
      <w:r w:rsidR="008C531E" w:rsidRPr="0042549B">
        <w:rPr>
          <w:sz w:val="24"/>
          <w:szCs w:val="24"/>
          <w:lang w:eastAsia="en-AU"/>
        </w:rPr>
        <w:t>,</w:t>
      </w:r>
      <w:r w:rsidRPr="0042549B">
        <w:rPr>
          <w:sz w:val="24"/>
          <w:szCs w:val="24"/>
          <w:lang w:eastAsia="en-AU"/>
        </w:rPr>
        <w:t xml:space="preserve"> and economic equality and security as priority areas.</w:t>
      </w:r>
    </w:p>
    <w:p w14:paraId="31DC8833" w14:textId="7211907A" w:rsidR="00DC524D" w:rsidRPr="0042549B" w:rsidRDefault="00DC524D" w:rsidP="0042549B">
      <w:pPr>
        <w:pStyle w:val="ListParagraph"/>
        <w:numPr>
          <w:ilvl w:val="0"/>
          <w:numId w:val="13"/>
        </w:numPr>
        <w:rPr>
          <w:sz w:val="24"/>
          <w:szCs w:val="24"/>
          <w:lang w:eastAsia="en-AU"/>
        </w:rPr>
      </w:pPr>
      <w:r w:rsidRPr="0042549B">
        <w:rPr>
          <w:sz w:val="24"/>
          <w:szCs w:val="24"/>
          <w:lang w:eastAsia="en-AU"/>
        </w:rPr>
        <w:t>Second, the Government is developing a National Carer Strategy to deliver a whole</w:t>
      </w:r>
      <w:r w:rsidR="0042549B">
        <w:rPr>
          <w:sz w:val="24"/>
          <w:szCs w:val="24"/>
          <w:lang w:eastAsia="en-AU"/>
        </w:rPr>
        <w:noBreakHyphen/>
      </w:r>
      <w:r w:rsidRPr="0042549B">
        <w:rPr>
          <w:sz w:val="24"/>
          <w:szCs w:val="24"/>
          <w:lang w:eastAsia="en-AU"/>
        </w:rPr>
        <w:t>of-government framework to support Australia’s carers.</w:t>
      </w:r>
    </w:p>
    <w:p w14:paraId="69204938" w14:textId="77777777" w:rsidR="00DC524D" w:rsidRPr="0042549B" w:rsidRDefault="00DC524D" w:rsidP="0042549B">
      <w:pPr>
        <w:pStyle w:val="ListParagraph"/>
        <w:numPr>
          <w:ilvl w:val="0"/>
          <w:numId w:val="13"/>
        </w:numPr>
        <w:rPr>
          <w:sz w:val="24"/>
          <w:szCs w:val="24"/>
          <w:lang w:eastAsia="en-AU"/>
        </w:rPr>
      </w:pPr>
      <w:r w:rsidRPr="0042549B">
        <w:rPr>
          <w:sz w:val="24"/>
          <w:szCs w:val="24"/>
          <w:lang w:eastAsia="en-AU"/>
        </w:rPr>
        <w:t xml:space="preserve">Third, the Government’s Employment White Paper, </w:t>
      </w:r>
      <w:r w:rsidRPr="00C53B72">
        <w:rPr>
          <w:i/>
          <w:iCs/>
          <w:sz w:val="24"/>
          <w:szCs w:val="24"/>
          <w:lang w:eastAsia="en-AU"/>
        </w:rPr>
        <w:t>Working Future</w:t>
      </w:r>
      <w:r w:rsidRPr="0042549B">
        <w:rPr>
          <w:sz w:val="24"/>
          <w:szCs w:val="24"/>
          <w:lang w:eastAsia="en-AU"/>
        </w:rPr>
        <w:t>, sets out its strategy for the labour market, recognising the role of balancing work and care in supporting inclusion and employment opportunities.</w:t>
      </w:r>
    </w:p>
    <w:p w14:paraId="70D32D05" w14:textId="71CCC3F5" w:rsidR="00DC524D" w:rsidRPr="0042549B" w:rsidRDefault="00DC524D" w:rsidP="0042549B">
      <w:pPr>
        <w:pStyle w:val="ListParagraph"/>
        <w:numPr>
          <w:ilvl w:val="0"/>
          <w:numId w:val="13"/>
        </w:numPr>
        <w:rPr>
          <w:sz w:val="24"/>
          <w:szCs w:val="24"/>
          <w:lang w:eastAsia="en-AU"/>
        </w:rPr>
      </w:pPr>
      <w:r w:rsidRPr="0042549B">
        <w:rPr>
          <w:sz w:val="24"/>
          <w:szCs w:val="24"/>
          <w:lang w:eastAsia="en-AU"/>
        </w:rPr>
        <w:t xml:space="preserve">Fourth, </w:t>
      </w:r>
      <w:r w:rsidR="00894AE5" w:rsidRPr="0042549B">
        <w:rPr>
          <w:sz w:val="24"/>
          <w:szCs w:val="24"/>
          <w:lang w:eastAsia="en-AU"/>
        </w:rPr>
        <w:t xml:space="preserve">the Government has created a Care and Support Economy Reform Unit in the Department of </w:t>
      </w:r>
      <w:r w:rsidR="00404580" w:rsidRPr="0042549B">
        <w:rPr>
          <w:sz w:val="24"/>
          <w:szCs w:val="24"/>
          <w:lang w:eastAsia="en-AU"/>
        </w:rPr>
        <w:t xml:space="preserve">the </w:t>
      </w:r>
      <w:r w:rsidR="00894AE5" w:rsidRPr="0042549B">
        <w:rPr>
          <w:sz w:val="24"/>
          <w:szCs w:val="24"/>
          <w:lang w:eastAsia="en-AU"/>
        </w:rPr>
        <w:t>Prime Minister and Cabinet to improve the alignment of policies, programs, and actions across the care and support economy.</w:t>
      </w:r>
    </w:p>
    <w:p w14:paraId="45E55D85" w14:textId="228752E3" w:rsidR="008A7CE5" w:rsidRPr="008A7CE5" w:rsidRDefault="000D3FF5" w:rsidP="0042549B">
      <w:pPr>
        <w:pStyle w:val="ListParagraph"/>
        <w:numPr>
          <w:ilvl w:val="0"/>
          <w:numId w:val="13"/>
        </w:numPr>
        <w:rPr>
          <w:sz w:val="24"/>
          <w:szCs w:val="24"/>
          <w:lang w:eastAsia="en-AU"/>
        </w:rPr>
      </w:pPr>
      <w:r w:rsidRPr="00267C7A">
        <w:rPr>
          <w:sz w:val="24"/>
          <w:szCs w:val="24"/>
          <w:lang w:eastAsia="en-AU"/>
        </w:rPr>
        <w:t xml:space="preserve">Fifth, the Fair Work Commission </w:t>
      </w:r>
      <w:r>
        <w:rPr>
          <w:sz w:val="24"/>
          <w:szCs w:val="24"/>
          <w:lang w:eastAsia="en-AU"/>
        </w:rPr>
        <w:t>is conducting</w:t>
      </w:r>
      <w:r w:rsidRPr="00267C7A">
        <w:rPr>
          <w:sz w:val="24"/>
          <w:szCs w:val="24"/>
          <w:lang w:eastAsia="en-AU"/>
        </w:rPr>
        <w:t xml:space="preserve"> a </w:t>
      </w:r>
      <w:r>
        <w:rPr>
          <w:sz w:val="24"/>
          <w:szCs w:val="24"/>
          <w:lang w:eastAsia="en-AU"/>
        </w:rPr>
        <w:t xml:space="preserve">targeted </w:t>
      </w:r>
      <w:r w:rsidRPr="00267C7A">
        <w:rPr>
          <w:sz w:val="24"/>
          <w:szCs w:val="24"/>
          <w:lang w:eastAsia="en-AU"/>
        </w:rPr>
        <w:t xml:space="preserve">review of modern awards following a request made by the Minister for Employment </w:t>
      </w:r>
      <w:r w:rsidRPr="00B81E2F">
        <w:rPr>
          <w:sz w:val="24"/>
          <w:szCs w:val="24"/>
          <w:lang w:eastAsia="en-AU"/>
        </w:rPr>
        <w:t>and Workplace Relations on 12 September 2023. This request followed the Government’s Jobs and Skills Summit</w:t>
      </w:r>
      <w:r w:rsidR="005B5467" w:rsidRPr="00B81E2F">
        <w:rPr>
          <w:sz w:val="24"/>
          <w:szCs w:val="24"/>
          <w:lang w:eastAsia="en-AU"/>
        </w:rPr>
        <w:t xml:space="preserve"> commitment</w:t>
      </w:r>
      <w:r w:rsidRPr="00B81E2F">
        <w:rPr>
          <w:sz w:val="24"/>
          <w:szCs w:val="24"/>
          <w:lang w:eastAsia="en-AU"/>
        </w:rPr>
        <w:t xml:space="preserve"> to consider where modern awards</w:t>
      </w:r>
      <w:r w:rsidR="0045336E" w:rsidRPr="00B81E2F">
        <w:rPr>
          <w:sz w:val="24"/>
          <w:szCs w:val="24"/>
          <w:lang w:eastAsia="en-AU"/>
        </w:rPr>
        <w:t xml:space="preserve"> can be improved</w:t>
      </w:r>
      <w:r w:rsidRPr="00B81E2F">
        <w:rPr>
          <w:sz w:val="24"/>
          <w:szCs w:val="24"/>
          <w:lang w:eastAsia="en-AU"/>
        </w:rPr>
        <w:t>, and to consult</w:t>
      </w:r>
      <w:r w:rsidR="009A060A" w:rsidRPr="00B81E2F">
        <w:rPr>
          <w:sz w:val="24"/>
          <w:szCs w:val="24"/>
          <w:lang w:eastAsia="en-AU"/>
        </w:rPr>
        <w:t xml:space="preserve"> on</w:t>
      </w:r>
      <w:r w:rsidRPr="00B81E2F">
        <w:rPr>
          <w:sz w:val="24"/>
          <w:szCs w:val="24"/>
          <w:lang w:eastAsia="en-AU"/>
        </w:rPr>
        <w:t xml:space="preserve"> and research the impact of workplace relations settings on work and care. </w:t>
      </w:r>
    </w:p>
    <w:p w14:paraId="4A9F0D73" w14:textId="458E79B1" w:rsidR="00EC28A8" w:rsidRDefault="00EC28A8">
      <w:pPr>
        <w:spacing w:after="200" w:line="276" w:lineRule="auto"/>
        <w:rPr>
          <w:b/>
          <w:bCs/>
        </w:rPr>
      </w:pPr>
      <w:r>
        <w:rPr>
          <w:b/>
          <w:bCs/>
        </w:rPr>
        <w:br w:type="page"/>
      </w:r>
    </w:p>
    <w:p w14:paraId="4A77F587" w14:textId="77777777" w:rsidR="00DC524D" w:rsidRPr="00DF6490" w:rsidRDefault="00DC524D" w:rsidP="00267C7A">
      <w:pPr>
        <w:pStyle w:val="Heading6"/>
        <w:pBdr>
          <w:top w:val="single" w:sz="4" w:space="1" w:color="auto"/>
          <w:left w:val="single" w:sz="4" w:space="4" w:color="auto"/>
          <w:bottom w:val="single" w:sz="4" w:space="1" w:color="auto"/>
          <w:right w:val="single" w:sz="4" w:space="4" w:color="auto"/>
        </w:pBdr>
      </w:pPr>
      <w:r w:rsidRPr="00DF6490">
        <w:lastRenderedPageBreak/>
        <w:t>Recommendation 20</w:t>
      </w:r>
    </w:p>
    <w:p w14:paraId="77131248" w14:textId="69B074CB" w:rsidR="00DC524D" w:rsidRPr="00DF6490" w:rsidRDefault="00DC524D" w:rsidP="273A57E7">
      <w:pPr>
        <w:pBdr>
          <w:top w:val="single" w:sz="4" w:space="1" w:color="auto"/>
          <w:left w:val="single" w:sz="4" w:space="4" w:color="auto"/>
          <w:bottom w:val="single" w:sz="4" w:space="1" w:color="auto"/>
          <w:right w:val="single" w:sz="4" w:space="4" w:color="auto"/>
        </w:pBdr>
      </w:pPr>
      <w:r>
        <w:t>The committee recommends the Department of the Prime Minister and Cabinet consider the operation of markets in the aged, disability and early childhood education and care sectors and the effectiveness of current models of provision (including profit and not</w:t>
      </w:r>
      <w:r w:rsidR="00143C6A">
        <w:noBreakHyphen/>
      </w:r>
      <w:r>
        <w:t>for</w:t>
      </w:r>
      <w:r w:rsidR="00143C6A">
        <w:noBreakHyphen/>
      </w:r>
      <w:r>
        <w:t>profit models) in delivering quality care and addressing provision in thin markets.</w:t>
      </w:r>
    </w:p>
    <w:p w14:paraId="31B156FB" w14:textId="77777777" w:rsidR="00DC524D" w:rsidRPr="00DF6490" w:rsidRDefault="00DC524D" w:rsidP="00267C7A"/>
    <w:p w14:paraId="7B62BAB7" w14:textId="3C097B3A" w:rsidR="00DC524D" w:rsidRPr="00DF6490" w:rsidRDefault="00DC524D" w:rsidP="00267C7A">
      <w:pPr>
        <w:pBdr>
          <w:top w:val="single" w:sz="4" w:space="1" w:color="auto"/>
          <w:left w:val="single" w:sz="4" w:space="4" w:color="auto"/>
          <w:bottom w:val="single" w:sz="4" w:space="1" w:color="auto"/>
          <w:right w:val="single" w:sz="4" w:space="4" w:color="auto"/>
        </w:pBdr>
        <w:rPr>
          <w:b/>
          <w:i/>
          <w:iCs/>
        </w:rPr>
      </w:pPr>
      <w:r w:rsidRPr="00DF6490">
        <w:rPr>
          <w:b/>
          <w:i/>
          <w:iCs/>
        </w:rPr>
        <w:t xml:space="preserve">Australian Greens’ </w:t>
      </w:r>
      <w:r w:rsidR="00DB5AFD">
        <w:rPr>
          <w:b/>
          <w:i/>
          <w:iCs/>
        </w:rPr>
        <w:t>A</w:t>
      </w:r>
      <w:r w:rsidR="00DB5AFD" w:rsidRPr="00DF6490">
        <w:rPr>
          <w:b/>
          <w:i/>
          <w:iCs/>
        </w:rPr>
        <w:t xml:space="preserve">dditional </w:t>
      </w:r>
      <w:r w:rsidR="00DB5AFD">
        <w:rPr>
          <w:b/>
          <w:i/>
          <w:iCs/>
        </w:rPr>
        <w:t>R</w:t>
      </w:r>
      <w:r w:rsidRPr="00DF6490">
        <w:rPr>
          <w:b/>
          <w:i/>
          <w:iCs/>
        </w:rPr>
        <w:t>ecommendation 13</w:t>
      </w:r>
    </w:p>
    <w:p w14:paraId="15A1EF07" w14:textId="77777777" w:rsidR="00DC524D" w:rsidRPr="00DF6490" w:rsidRDefault="00DC524D" w:rsidP="00267C7A">
      <w:pPr>
        <w:pBdr>
          <w:top w:val="single" w:sz="4" w:space="1" w:color="auto"/>
          <w:left w:val="single" w:sz="4" w:space="4" w:color="auto"/>
          <w:bottom w:val="single" w:sz="4" w:space="1" w:color="auto"/>
          <w:right w:val="single" w:sz="4" w:space="4" w:color="auto"/>
        </w:pBdr>
        <w:rPr>
          <w:i/>
          <w:iCs/>
        </w:rPr>
      </w:pPr>
      <w:r w:rsidRPr="00DF6490">
        <w:rPr>
          <w:i/>
          <w:iCs/>
        </w:rPr>
        <w:t xml:space="preserve">The Australian Greens recommend the Australian Government urgently review the provision of for-profit care in the aged, disability, and early childhood education and care sectors, including: </w:t>
      </w:r>
    </w:p>
    <w:p w14:paraId="005B8C6E" w14:textId="3B91B8D2" w:rsidR="00DC524D" w:rsidRPr="00DF6490" w:rsidRDefault="00DC524D" w:rsidP="00267C7A">
      <w:pPr>
        <w:pStyle w:val="ListParagraph"/>
        <w:numPr>
          <w:ilvl w:val="0"/>
          <w:numId w:val="10"/>
        </w:numPr>
        <w:pBdr>
          <w:top w:val="single" w:sz="4" w:space="1" w:color="auto"/>
          <w:left w:val="single" w:sz="4" w:space="4" w:color="auto"/>
          <w:bottom w:val="single" w:sz="4" w:space="1" w:color="auto"/>
          <w:right w:val="single" w:sz="4" w:space="4" w:color="auto"/>
        </w:pBdr>
        <w:rPr>
          <w:i/>
          <w:iCs/>
          <w:sz w:val="24"/>
          <w:szCs w:val="24"/>
        </w:rPr>
      </w:pPr>
      <w:r w:rsidRPr="00DF6490">
        <w:rPr>
          <w:i/>
          <w:iCs/>
          <w:sz w:val="24"/>
          <w:szCs w:val="24"/>
        </w:rPr>
        <w:t>consideration of the quantum of public funds diverted from direct service provision to profit and its consequences for the quality of care;</w:t>
      </w:r>
    </w:p>
    <w:p w14:paraId="532703DE" w14:textId="77777777" w:rsidR="00DC524D" w:rsidRPr="00DF6490" w:rsidRDefault="00DC524D" w:rsidP="00267C7A">
      <w:pPr>
        <w:pStyle w:val="ListParagraph"/>
        <w:numPr>
          <w:ilvl w:val="0"/>
          <w:numId w:val="10"/>
        </w:numPr>
        <w:pBdr>
          <w:top w:val="single" w:sz="4" w:space="1" w:color="auto"/>
          <w:left w:val="single" w:sz="4" w:space="4" w:color="auto"/>
          <w:bottom w:val="single" w:sz="4" w:space="1" w:color="auto"/>
          <w:right w:val="single" w:sz="4" w:space="4" w:color="auto"/>
        </w:pBdr>
        <w:rPr>
          <w:i/>
          <w:iCs/>
          <w:sz w:val="24"/>
          <w:szCs w:val="24"/>
        </w:rPr>
      </w:pPr>
      <w:r w:rsidRPr="00DF6490">
        <w:rPr>
          <w:i/>
          <w:iCs/>
          <w:sz w:val="24"/>
          <w:szCs w:val="24"/>
        </w:rPr>
        <w:t>comparing the quality of care in for-profit and not-for-profit care; and</w:t>
      </w:r>
    </w:p>
    <w:p w14:paraId="1ACC466D" w14:textId="77777777" w:rsidR="00DC524D" w:rsidRPr="00DF6490" w:rsidRDefault="00DC524D" w:rsidP="00267C7A">
      <w:pPr>
        <w:pStyle w:val="ListParagraph"/>
        <w:numPr>
          <w:ilvl w:val="0"/>
          <w:numId w:val="10"/>
        </w:numPr>
        <w:pBdr>
          <w:top w:val="single" w:sz="4" w:space="1" w:color="auto"/>
          <w:left w:val="single" w:sz="4" w:space="4" w:color="auto"/>
          <w:bottom w:val="single" w:sz="4" w:space="1" w:color="auto"/>
          <w:right w:val="single" w:sz="4" w:space="4" w:color="auto"/>
        </w:pBdr>
      </w:pPr>
      <w:r w:rsidRPr="00DF6490">
        <w:rPr>
          <w:i/>
          <w:iCs/>
          <w:sz w:val="24"/>
          <w:szCs w:val="24"/>
        </w:rPr>
        <w:t xml:space="preserve">examining the relationship between for-profit provision of care and the occurrence of </w:t>
      </w:r>
      <w:r>
        <w:rPr>
          <w:i/>
          <w:iCs/>
          <w:sz w:val="24"/>
          <w:szCs w:val="24"/>
        </w:rPr>
        <w:t>‘</w:t>
      </w:r>
      <w:r w:rsidRPr="00DF6490">
        <w:rPr>
          <w:i/>
          <w:iCs/>
          <w:sz w:val="24"/>
          <w:szCs w:val="24"/>
        </w:rPr>
        <w:t>care deserts</w:t>
      </w:r>
      <w:r>
        <w:rPr>
          <w:i/>
          <w:iCs/>
          <w:sz w:val="24"/>
          <w:szCs w:val="24"/>
        </w:rPr>
        <w:t>’</w:t>
      </w:r>
      <w:r w:rsidRPr="00DF6490">
        <w:rPr>
          <w:i/>
          <w:iCs/>
          <w:sz w:val="24"/>
          <w:szCs w:val="24"/>
        </w:rPr>
        <w:t xml:space="preserve"> across Australia.</w:t>
      </w:r>
    </w:p>
    <w:p w14:paraId="60922043" w14:textId="77777777" w:rsidR="00DC524D" w:rsidRPr="00DC524D" w:rsidRDefault="00DC524D" w:rsidP="00267C7A">
      <w:pPr>
        <w:rPr>
          <w:b/>
          <w:bCs/>
        </w:rPr>
      </w:pPr>
    </w:p>
    <w:p w14:paraId="16CB4D3C" w14:textId="606C222F" w:rsidR="00DC524D" w:rsidRPr="00267C7A" w:rsidRDefault="00267C7A" w:rsidP="00267C7A">
      <w:r>
        <w:t xml:space="preserve">The Government </w:t>
      </w:r>
      <w:r>
        <w:rPr>
          <w:b/>
          <w:bCs/>
        </w:rPr>
        <w:t xml:space="preserve">agrees in principle </w:t>
      </w:r>
      <w:r>
        <w:t xml:space="preserve">to this recommendation and </w:t>
      </w:r>
      <w:r>
        <w:rPr>
          <w:b/>
          <w:bCs/>
        </w:rPr>
        <w:t xml:space="preserve">notes </w:t>
      </w:r>
      <w:r>
        <w:t>the Australian Greens’ additional recommendation.</w:t>
      </w:r>
    </w:p>
    <w:p w14:paraId="1A977287" w14:textId="77777777" w:rsidR="00DC524D" w:rsidRPr="00DF6490" w:rsidRDefault="00DC524D" w:rsidP="00267C7A"/>
    <w:p w14:paraId="3F115F0A" w14:textId="3A6A43A6" w:rsidR="00DC524D" w:rsidRDefault="00DC524D" w:rsidP="00267C7A">
      <w:pPr>
        <w:rPr>
          <w:lang w:val="en" w:eastAsia="en-AU"/>
        </w:rPr>
      </w:pPr>
      <w:r>
        <w:rPr>
          <w:lang w:val="en" w:eastAsia="en-AU"/>
        </w:rPr>
        <w:t>R</w:t>
      </w:r>
      <w:r w:rsidRPr="00DF6490">
        <w:rPr>
          <w:lang w:val="en" w:eastAsia="en-AU"/>
        </w:rPr>
        <w:t xml:space="preserve">elevant Government departments </w:t>
      </w:r>
      <w:r>
        <w:rPr>
          <w:lang w:val="en" w:eastAsia="en-AU"/>
        </w:rPr>
        <w:t xml:space="preserve">are considering and trialing ways </w:t>
      </w:r>
      <w:r w:rsidRPr="00DF6490">
        <w:rPr>
          <w:lang w:val="en" w:eastAsia="en-AU"/>
        </w:rPr>
        <w:t xml:space="preserve">to improve access to </w:t>
      </w:r>
      <w:r w:rsidR="007662D0">
        <w:rPr>
          <w:lang w:val="en" w:eastAsia="en-AU"/>
        </w:rPr>
        <w:t xml:space="preserve">services </w:t>
      </w:r>
      <w:r>
        <w:rPr>
          <w:lang w:val="en" w:eastAsia="en-AU"/>
        </w:rPr>
        <w:t>and</w:t>
      </w:r>
      <w:r w:rsidR="00017CD8">
        <w:rPr>
          <w:lang w:val="en" w:eastAsia="en-AU"/>
        </w:rPr>
        <w:t xml:space="preserve"> </w:t>
      </w:r>
      <w:r w:rsidRPr="00DF6490">
        <w:rPr>
          <w:lang w:val="en" w:eastAsia="en-AU"/>
        </w:rPr>
        <w:t>service</w:t>
      </w:r>
      <w:r w:rsidR="007662D0">
        <w:rPr>
          <w:lang w:val="en" w:eastAsia="en-AU"/>
        </w:rPr>
        <w:t xml:space="preserve"> quality</w:t>
      </w:r>
      <w:r w:rsidRPr="00DF6490">
        <w:rPr>
          <w:lang w:val="en" w:eastAsia="en-AU"/>
        </w:rPr>
        <w:t>, particularly in thin markets.</w:t>
      </w:r>
    </w:p>
    <w:p w14:paraId="1877CCBD" w14:textId="77777777" w:rsidR="00DC524D" w:rsidRDefault="00DC524D" w:rsidP="00267C7A">
      <w:pPr>
        <w:rPr>
          <w:lang w:val="en" w:eastAsia="en-AU"/>
        </w:rPr>
      </w:pPr>
    </w:p>
    <w:p w14:paraId="46F63ACA" w14:textId="2CB89778" w:rsidR="00DC524D" w:rsidRPr="00025E31" w:rsidRDefault="00DC524D" w:rsidP="00267C7A">
      <w:pPr>
        <w:rPr>
          <w:color w:val="FF0000"/>
        </w:rPr>
      </w:pPr>
      <w:r>
        <w:rPr>
          <w:lang w:val="en" w:eastAsia="en-AU"/>
        </w:rPr>
        <w:t xml:space="preserve">To better understand these issues, the Government directed the </w:t>
      </w:r>
      <w:r w:rsidRPr="00006AA4">
        <w:rPr>
          <w:lang w:val="en" w:eastAsia="en-AU"/>
        </w:rPr>
        <w:t xml:space="preserve">Australian Competition and Consumer Commission </w:t>
      </w:r>
      <w:r>
        <w:rPr>
          <w:lang w:val="en" w:eastAsia="en-AU"/>
        </w:rPr>
        <w:t xml:space="preserve">to conduct an inquiry into the market for the supply of </w:t>
      </w:r>
      <w:r w:rsidR="00462884">
        <w:rPr>
          <w:lang w:val="en" w:eastAsia="en-AU"/>
        </w:rPr>
        <w:t>ECEC</w:t>
      </w:r>
      <w:r>
        <w:rPr>
          <w:lang w:val="en" w:eastAsia="en-AU"/>
        </w:rPr>
        <w:t xml:space="preserve"> services. T</w:t>
      </w:r>
      <w:r w:rsidRPr="00DF6490">
        <w:t xml:space="preserve">he </w:t>
      </w:r>
      <w:r w:rsidRPr="00025E31">
        <w:t xml:space="preserve">National Disability Insurance Scheme </w:t>
      </w:r>
      <w:r w:rsidRPr="00DF6490">
        <w:t xml:space="preserve">Review </w:t>
      </w:r>
      <w:r>
        <w:t xml:space="preserve">and Aged Care Taskforce </w:t>
      </w:r>
      <w:r w:rsidRPr="00DF6490">
        <w:t xml:space="preserve">also </w:t>
      </w:r>
      <w:r>
        <w:t>considered</w:t>
      </w:r>
      <w:r w:rsidRPr="00DF6490">
        <w:t xml:space="preserve"> thin market challenges in the </w:t>
      </w:r>
      <w:r w:rsidRPr="00025E31">
        <w:t xml:space="preserve">National Disability Insurance Scheme </w:t>
      </w:r>
      <w:r>
        <w:t>and aged care respectively</w:t>
      </w:r>
      <w:r w:rsidRPr="00DF6490">
        <w:t>.</w:t>
      </w:r>
      <w:r>
        <w:t xml:space="preserve"> The Department of Health and Aged Care Is developing an Aged Care Market Strategy and undertaken consultations to inform this work. </w:t>
      </w:r>
    </w:p>
    <w:p w14:paraId="6F3A1FD6" w14:textId="77777777" w:rsidR="00DC524D" w:rsidRDefault="00DC524D" w:rsidP="00267C7A"/>
    <w:p w14:paraId="23E44762" w14:textId="77777777" w:rsidR="00DC524D" w:rsidRPr="00850B32" w:rsidRDefault="00DC524D" w:rsidP="00267C7A">
      <w:r>
        <w:t xml:space="preserve">The Government, through its Integrated Care and Commissioning Project, is trialling </w:t>
      </w:r>
      <w:r w:rsidRPr="00437920">
        <w:t xml:space="preserve">collaborative, place-based and innovative approaches </w:t>
      </w:r>
      <w:r>
        <w:t>to improve</w:t>
      </w:r>
      <w:r w:rsidRPr="00437920">
        <w:t xml:space="preserve"> service availability </w:t>
      </w:r>
      <w:r>
        <w:t xml:space="preserve">across </w:t>
      </w:r>
      <w:r w:rsidRPr="00437920">
        <w:t>health, aged care, disability, and veterans’ care sectors</w:t>
      </w:r>
      <w:r>
        <w:t xml:space="preserve"> </w:t>
      </w:r>
      <w:r w:rsidRPr="00437920">
        <w:t>for people living in regional, rural and remote communities, and for First Nations peoples in targeted urban areas</w:t>
      </w:r>
      <w:r>
        <w:t>.</w:t>
      </w:r>
    </w:p>
    <w:p w14:paraId="07935126" w14:textId="77777777" w:rsidR="00DC524D" w:rsidRPr="00DF6490" w:rsidRDefault="00DC524D" w:rsidP="00267C7A">
      <w:pPr>
        <w:rPr>
          <w:lang w:val="en" w:eastAsia="en-AU"/>
        </w:rPr>
      </w:pPr>
    </w:p>
    <w:p w14:paraId="3E077A06" w14:textId="5190B1B7" w:rsidR="00DC524D" w:rsidRDefault="00DC524D" w:rsidP="00267C7A">
      <w:r w:rsidRPr="00DF6490">
        <w:rPr>
          <w:lang w:val="en" w:eastAsia="en-AU"/>
        </w:rPr>
        <w:t>The Government notes that these markets should meet First Nations cultural needs, including services that support people to remain on Country.</w:t>
      </w:r>
    </w:p>
    <w:p w14:paraId="1B8484A7" w14:textId="4C54E422" w:rsidR="001D77D0" w:rsidRPr="00DF6490" w:rsidRDefault="001D77D0" w:rsidP="00267C7A"/>
    <w:p w14:paraId="263BA1E3" w14:textId="20C01DB6" w:rsidR="000A0DDE" w:rsidRPr="00DF6490" w:rsidRDefault="00320D80" w:rsidP="00267C7A">
      <w:pPr>
        <w:pStyle w:val="Heading3"/>
      </w:pPr>
      <w:bookmarkStart w:id="19" w:name="_Toc170224172"/>
      <w:r>
        <w:t xml:space="preserve">1.2 </w:t>
      </w:r>
      <w:r w:rsidR="6AC939D1" w:rsidRPr="00025E31">
        <w:t>Data and reporting</w:t>
      </w:r>
      <w:bookmarkEnd w:id="19"/>
    </w:p>
    <w:p w14:paraId="6A35AF87" w14:textId="4A70752B" w:rsidR="008F3514" w:rsidRPr="00DF6490" w:rsidRDefault="008F3514" w:rsidP="008F3514">
      <w:r w:rsidRPr="00DF6490">
        <w:t xml:space="preserve">The Government notes the importance of adequate data to inform policymaking. </w:t>
      </w:r>
      <w:r w:rsidR="00D35264">
        <w:rPr>
          <w:rFonts w:ascii="Calibri" w:eastAsia="Calibri" w:hAnsi="Calibri" w:cs="Calibri"/>
        </w:rPr>
        <w:t>D</w:t>
      </w:r>
      <w:r w:rsidRPr="00DF6490">
        <w:rPr>
          <w:rFonts w:ascii="Calibri" w:eastAsia="Calibri" w:hAnsi="Calibri" w:cs="Calibri"/>
        </w:rPr>
        <w:t>ata sources</w:t>
      </w:r>
      <w:r w:rsidR="00E14EA1">
        <w:rPr>
          <w:rFonts w:ascii="Calibri" w:eastAsia="Calibri" w:hAnsi="Calibri" w:cs="Calibri"/>
        </w:rPr>
        <w:t xml:space="preserve"> that</w:t>
      </w:r>
      <w:r w:rsidRPr="00DF6490">
        <w:rPr>
          <w:rFonts w:ascii="Calibri" w:eastAsia="Calibri" w:hAnsi="Calibri" w:cs="Calibri"/>
        </w:rPr>
        <w:t xml:space="preserve"> provide insights into the employment experience of carers and the intersection between caring and employment</w:t>
      </w:r>
      <w:r w:rsidR="00D35264">
        <w:rPr>
          <w:rFonts w:ascii="Calibri" w:eastAsia="Calibri" w:hAnsi="Calibri" w:cs="Calibri"/>
        </w:rPr>
        <w:t xml:space="preserve"> already exist and provide a platform to build from</w:t>
      </w:r>
      <w:r w:rsidRPr="00DF6490">
        <w:rPr>
          <w:rFonts w:ascii="Calibri" w:eastAsia="Calibri" w:hAnsi="Calibri" w:cs="Calibri"/>
        </w:rPr>
        <w:t>.</w:t>
      </w:r>
    </w:p>
    <w:p w14:paraId="289BB90B" w14:textId="4DE0EF34" w:rsidR="00EC28A8" w:rsidRDefault="00EC28A8">
      <w:pPr>
        <w:spacing w:after="200" w:line="276" w:lineRule="auto"/>
        <w:rPr>
          <w:rFonts w:ascii="Calibri" w:eastAsia="Calibri" w:hAnsi="Calibri" w:cs="Calibri"/>
          <w:sz w:val="22"/>
          <w:szCs w:val="22"/>
        </w:rPr>
      </w:pPr>
      <w:r>
        <w:rPr>
          <w:rFonts w:ascii="Calibri" w:eastAsia="Calibri" w:hAnsi="Calibri" w:cs="Calibri"/>
          <w:sz w:val="22"/>
          <w:szCs w:val="22"/>
        </w:rPr>
        <w:br w:type="page"/>
      </w:r>
    </w:p>
    <w:p w14:paraId="6265E675" w14:textId="15CB8A56" w:rsidR="008F3514" w:rsidRPr="00DF6490" w:rsidRDefault="00CF1A59" w:rsidP="00CF1A59">
      <w:r>
        <w:lastRenderedPageBreak/>
        <w:t xml:space="preserve">In 2020, </w:t>
      </w:r>
      <w:r w:rsidRPr="00CF1A59">
        <w:t xml:space="preserve">Deloitte Access Economics analysis found </w:t>
      </w:r>
      <w:r w:rsidR="008F3514" w:rsidRPr="00DF6490">
        <w:t>the estimated cost to replace informal/unpaid care in Australia was $77.9 billion per year.</w:t>
      </w:r>
      <w:r w:rsidR="002078ED" w:rsidRPr="00DF6490">
        <w:rPr>
          <w:rStyle w:val="FootnoteReference"/>
        </w:rPr>
        <w:footnoteReference w:id="4"/>
      </w:r>
      <w:r w:rsidR="008F3514" w:rsidRPr="00DF6490">
        <w:t xml:space="preserve"> Taking time out of work or limiting work hours</w:t>
      </w:r>
      <w:r w:rsidR="00685888">
        <w:t xml:space="preserve"> (</w:t>
      </w:r>
      <w:r w:rsidR="008F3514" w:rsidRPr="00DF6490">
        <w:t>often for caring responsibilities</w:t>
      </w:r>
      <w:r w:rsidR="00685888">
        <w:t>)</w:t>
      </w:r>
      <w:r w:rsidR="008F3514" w:rsidRPr="00DF6490">
        <w:t xml:space="preserve"> can have a big impact on women’s labour force participation, pay and career progression. </w:t>
      </w:r>
      <w:r w:rsidR="00685888">
        <w:t xml:space="preserve">In 2022, </w:t>
      </w:r>
      <w:r w:rsidR="005C5238" w:rsidRPr="005C5238">
        <w:t>KPMG analysis found factors related to unpaid care work</w:t>
      </w:r>
      <w:r w:rsidR="008F3514" w:rsidRPr="00DF6490">
        <w:t xml:space="preserve"> interrupted workforce participation and </w:t>
      </w:r>
      <w:r w:rsidR="00D35264">
        <w:t xml:space="preserve">that </w:t>
      </w:r>
      <w:r w:rsidR="008F3514" w:rsidRPr="00DF6490">
        <w:t>part</w:t>
      </w:r>
      <w:r w:rsidR="0055699A">
        <w:t>-</w:t>
      </w:r>
      <w:r w:rsidR="008F3514" w:rsidRPr="00DF6490">
        <w:t>time employment contribute</w:t>
      </w:r>
      <w:r w:rsidR="00D35264">
        <w:t>s</w:t>
      </w:r>
      <w:r w:rsidR="008F3514" w:rsidRPr="00DF6490">
        <w:t xml:space="preserve"> 33 per cent of the national gender pay gap.</w:t>
      </w:r>
      <w:r w:rsidR="00F31967" w:rsidRPr="00DF6490">
        <w:rPr>
          <w:rStyle w:val="FootnoteReference"/>
        </w:rPr>
        <w:footnoteReference w:id="5"/>
      </w:r>
      <w:r w:rsidR="00685888">
        <w:t xml:space="preserve"> </w:t>
      </w:r>
      <w:r w:rsidR="00944454">
        <w:t>Published in</w:t>
      </w:r>
      <w:r w:rsidR="00685888">
        <w:t xml:space="preserve"> 2023, </w:t>
      </w:r>
      <w:r w:rsidR="00352A75">
        <w:t>the Government’s White Paper</w:t>
      </w:r>
      <w:r w:rsidR="009719DC">
        <w:t xml:space="preserve"> </w:t>
      </w:r>
      <w:r w:rsidR="00685888" w:rsidRPr="00685888">
        <w:rPr>
          <w:i/>
          <w:iCs/>
        </w:rPr>
        <w:t>Working Future</w:t>
      </w:r>
      <w:r w:rsidR="0000119F">
        <w:rPr>
          <w:i/>
          <w:iCs/>
        </w:rPr>
        <w:t xml:space="preserve"> </w:t>
      </w:r>
      <w:r w:rsidR="00685888" w:rsidRPr="00685888">
        <w:t>estimat</w:t>
      </w:r>
      <w:r w:rsidR="00944454">
        <w:t>ed</w:t>
      </w:r>
      <w:r w:rsidR="00685888" w:rsidRPr="00685888">
        <w:t xml:space="preserve"> that the replacement value of unpaid care work in 2020</w:t>
      </w:r>
      <w:r w:rsidR="00851075">
        <w:rPr>
          <w:rFonts w:cstheme="minorHAnsi"/>
        </w:rPr>
        <w:t>–</w:t>
      </w:r>
      <w:r w:rsidR="00685888" w:rsidRPr="00685888">
        <w:t>21 was around $165.1 billion</w:t>
      </w:r>
      <w:r w:rsidR="00944454">
        <w:t>.</w:t>
      </w:r>
    </w:p>
    <w:p w14:paraId="7A46FB21" w14:textId="77777777" w:rsidR="008F3514" w:rsidRPr="00DF6490" w:rsidRDefault="008F3514" w:rsidP="008F3514"/>
    <w:p w14:paraId="5B50AE32" w14:textId="5E7E3E59" w:rsidR="002A46A8" w:rsidRDefault="003C3986" w:rsidP="003C3986">
      <w:r w:rsidRPr="00A50F07">
        <w:t xml:space="preserve">On 7 March 2024, the Government released </w:t>
      </w:r>
      <w:r w:rsidRPr="00A50F07">
        <w:rPr>
          <w:i/>
        </w:rPr>
        <w:t>Working for Women: A Strategy for Gender Equality</w:t>
      </w:r>
      <w:r w:rsidRPr="00A50F07">
        <w:t xml:space="preserve"> which outlines the Government’s vision for gender equality – an Australia where people are safe, treated with respect, have choices, and have access to resources and equal outcomes no matter their gender. This is an important mechanism to elevate and prioritise actions over the next 10 years to drive gender equality in Australia, including addressing challenges relating to unpaid and paid work and care. Th</w:t>
      </w:r>
      <w:r w:rsidR="006A4885">
        <w:t>is</w:t>
      </w:r>
      <w:r w:rsidRPr="00A50F07">
        <w:t xml:space="preserve"> Strategy’s reporting framework includes outcomes and indicators that will be used to measure change over </w:t>
      </w:r>
      <w:r w:rsidR="006A4885">
        <w:t xml:space="preserve">its </w:t>
      </w:r>
      <w:r w:rsidRPr="00A50F07">
        <w:t>lifespan.</w:t>
      </w:r>
    </w:p>
    <w:p w14:paraId="7CEF1473" w14:textId="18DC0BD6" w:rsidR="003C3986" w:rsidRPr="00DF6490" w:rsidRDefault="003C3986" w:rsidP="003C3986"/>
    <w:p w14:paraId="7AF08200" w14:textId="0EF41992" w:rsidR="003C3986" w:rsidRDefault="003C3986" w:rsidP="00267C7A">
      <w:pPr>
        <w:rPr>
          <w:lang w:val="en-GB"/>
        </w:rPr>
      </w:pPr>
      <w:r>
        <w:t xml:space="preserve">To support better information, in 2023 the Government made significant legislative reforms to the Workplace Gender Equality Agency’s reporting framework through the </w:t>
      </w:r>
      <w:r w:rsidRPr="273A57E7">
        <w:rPr>
          <w:i/>
          <w:iCs/>
        </w:rPr>
        <w:t>Workplace</w:t>
      </w:r>
      <w:r w:rsidR="00143C6A">
        <w:rPr>
          <w:i/>
          <w:iCs/>
        </w:rPr>
        <w:t> </w:t>
      </w:r>
      <w:r w:rsidRPr="273A57E7">
        <w:rPr>
          <w:i/>
          <w:iCs/>
        </w:rPr>
        <w:t>Gender Equality Amendment (Closing the Gender Pay Gap) Act 2023</w:t>
      </w:r>
      <w:r w:rsidR="00096FAF">
        <w:t xml:space="preserve">. The Government also </w:t>
      </w:r>
      <w:r>
        <w:t xml:space="preserve">remade subordinate instruments, the </w:t>
      </w:r>
      <w:r w:rsidRPr="00143C6A">
        <w:rPr>
          <w:i/>
          <w:iCs/>
        </w:rPr>
        <w:t>Workplace Gender Equality (Gender Equality Standards) Instrument 2023</w:t>
      </w:r>
      <w:r>
        <w:t xml:space="preserve"> and the </w:t>
      </w:r>
      <w:r w:rsidRPr="00143C6A">
        <w:rPr>
          <w:i/>
          <w:iCs/>
        </w:rPr>
        <w:t>Workplace Gender Equality (Matters in relation to Gender Equality Indicators) Instrument 2023</w:t>
      </w:r>
      <w:r>
        <w:t xml:space="preserve">. Following these changes, on </w:t>
      </w:r>
      <w:r>
        <w:br/>
      </w:r>
      <w:r w:rsidRPr="273A57E7">
        <w:rPr>
          <w:lang w:val="en-GB"/>
        </w:rPr>
        <w:t>27 February 2024, the Workplace Gender Equality Agency published employer-level gender pay gaps for employers with 100 or more employees. Publishing employer gender pay gaps is a critical part of legislative action aimed at closing the gender pay gap.</w:t>
      </w:r>
    </w:p>
    <w:p w14:paraId="4F9D8CF7" w14:textId="77777777" w:rsidR="00D35264" w:rsidRDefault="00D35264" w:rsidP="00267C7A">
      <w:pPr>
        <w:rPr>
          <w:lang w:val="en-GB"/>
        </w:rPr>
      </w:pPr>
    </w:p>
    <w:p w14:paraId="1196F002" w14:textId="77777777" w:rsidR="00DC524D" w:rsidRPr="00DF6490" w:rsidRDefault="00DC524D" w:rsidP="00E2189F">
      <w:pPr>
        <w:pStyle w:val="Heading6"/>
        <w:pBdr>
          <w:top w:val="single" w:sz="4" w:space="1" w:color="auto"/>
          <w:left w:val="single" w:sz="4" w:space="4" w:color="auto"/>
          <w:bottom w:val="single" w:sz="4" w:space="1" w:color="auto"/>
          <w:right w:val="single" w:sz="4" w:space="4" w:color="auto"/>
        </w:pBdr>
      </w:pPr>
      <w:r w:rsidRPr="00DF6490">
        <w:t>Recommendation 2</w:t>
      </w:r>
    </w:p>
    <w:p w14:paraId="22BB8899" w14:textId="668225DC" w:rsidR="00DC524D" w:rsidRDefault="00DC524D" w:rsidP="00E2189F">
      <w:pPr>
        <w:pBdr>
          <w:top w:val="single" w:sz="4" w:space="1" w:color="auto"/>
          <w:left w:val="single" w:sz="4" w:space="4" w:color="auto"/>
          <w:bottom w:val="single" w:sz="4" w:space="1" w:color="auto"/>
          <w:right w:val="single" w:sz="4" w:space="4" w:color="auto"/>
        </w:pBdr>
        <w:rPr>
          <w:lang w:val="en-GB"/>
        </w:rPr>
      </w:pPr>
      <w:r w:rsidRPr="00DF6490">
        <w:t>The committee recommends the Australian Government include a statement in the employment white paper, providing an estimate of the annual financial contribution of unpaid care to the national economy. Further, the committee recommends that the Australian Government consider including a statement in the Budget papers providing an estimate of the annual financial contribution of unpaid care to the national economy. The committee also recommends that the wellbeing budget include specific analysis of the contribution of care to wellbeing, and include measurement of such care, its state and change over time.</w:t>
      </w:r>
    </w:p>
    <w:p w14:paraId="2F22D6EF" w14:textId="77777777" w:rsidR="00DC524D" w:rsidRDefault="00DC524D" w:rsidP="00267C7A">
      <w:pPr>
        <w:rPr>
          <w:lang w:val="en-GB"/>
        </w:rPr>
      </w:pPr>
    </w:p>
    <w:p w14:paraId="2DF74394" w14:textId="310DE94F" w:rsidR="00DC524D" w:rsidRPr="00E2189F" w:rsidRDefault="00E2189F" w:rsidP="00267C7A">
      <w:r>
        <w:t xml:space="preserve">The Government </w:t>
      </w:r>
      <w:r>
        <w:rPr>
          <w:b/>
          <w:bCs/>
        </w:rPr>
        <w:t xml:space="preserve">agrees in part </w:t>
      </w:r>
      <w:r>
        <w:t>to</w:t>
      </w:r>
      <w:r>
        <w:rPr>
          <w:b/>
          <w:bCs/>
        </w:rPr>
        <w:t xml:space="preserve"> </w:t>
      </w:r>
      <w:r>
        <w:t xml:space="preserve">this recommendation. </w:t>
      </w:r>
    </w:p>
    <w:p w14:paraId="01E8432F" w14:textId="77777777" w:rsidR="00DC524D" w:rsidRPr="00DF6490" w:rsidRDefault="00DC524D" w:rsidP="00267C7A"/>
    <w:p w14:paraId="46B32456" w14:textId="48AFAB84" w:rsidR="00E2189F" w:rsidRDefault="00E2189F" w:rsidP="00E2189F">
      <w:r>
        <w:t>I</w:t>
      </w:r>
      <w:r w:rsidRPr="006161E2">
        <w:t xml:space="preserve">n </w:t>
      </w:r>
      <w:r w:rsidR="009C5FFC">
        <w:t>its</w:t>
      </w:r>
      <w:r w:rsidR="00C066F5">
        <w:t xml:space="preserve"> </w:t>
      </w:r>
      <w:r>
        <w:t xml:space="preserve">White Paper, </w:t>
      </w:r>
      <w:r w:rsidRPr="00F80D14">
        <w:rPr>
          <w:i/>
          <w:iCs/>
        </w:rPr>
        <w:t>Working Future</w:t>
      </w:r>
      <w:r>
        <w:t xml:space="preserve">, </w:t>
      </w:r>
      <w:r w:rsidRPr="005A19F6">
        <w:t>the Government provided an estimate of the annual financial contribution of unpaid care to the national economy.</w:t>
      </w:r>
    </w:p>
    <w:p w14:paraId="3EFA8B5C" w14:textId="77777777" w:rsidR="00E2189F" w:rsidRDefault="00E2189F" w:rsidP="00267C7A"/>
    <w:p w14:paraId="1EB57EB0" w14:textId="1653CE48" w:rsidR="00DC524D" w:rsidRPr="00E2189F" w:rsidRDefault="00DC524D" w:rsidP="00267C7A">
      <w:r w:rsidRPr="005A19F6">
        <w:lastRenderedPageBreak/>
        <w:t>While the Australian Bureau of Statistics</w:t>
      </w:r>
      <w:r>
        <w:t xml:space="preserve"> </w:t>
      </w:r>
      <w:r w:rsidRPr="005A19F6">
        <w:t>has previously published estimates of the value of unpaid care, the Government appreciates that a more regular and timely measure is an important step to properly valuing the economic contribution of care work.</w:t>
      </w:r>
      <w:r w:rsidR="00E2189F">
        <w:t xml:space="preserve"> As such</w:t>
      </w:r>
      <w:r w:rsidRPr="005A19F6">
        <w:t>, the Government has provided funding to the Australian Bureau of Statistics</w:t>
      </w:r>
      <w:r>
        <w:t xml:space="preserve"> </w:t>
      </w:r>
      <w:r w:rsidRPr="005A19F6">
        <w:t>to produce regular statistics on the amount and value of unpaid care in Australia.</w:t>
      </w:r>
    </w:p>
    <w:p w14:paraId="286FD2E2" w14:textId="77777777" w:rsidR="00DC524D" w:rsidRDefault="00DC524D" w:rsidP="00267C7A">
      <w:pPr>
        <w:rPr>
          <w:lang w:val="en-GB"/>
        </w:rPr>
      </w:pPr>
    </w:p>
    <w:p w14:paraId="2A3CF1B0" w14:textId="77777777" w:rsidR="00DC524D" w:rsidRPr="00DF6490" w:rsidRDefault="00DC524D" w:rsidP="00E2189F">
      <w:pPr>
        <w:pStyle w:val="Heading6"/>
        <w:pBdr>
          <w:top w:val="single" w:sz="4" w:space="1" w:color="auto"/>
          <w:left w:val="single" w:sz="4" w:space="4" w:color="auto"/>
          <w:bottom w:val="single" w:sz="4" w:space="1" w:color="auto"/>
          <w:right w:val="single" w:sz="4" w:space="4" w:color="auto"/>
        </w:pBdr>
      </w:pPr>
      <w:r w:rsidRPr="00DF6490">
        <w:t>Recommendation 24</w:t>
      </w:r>
    </w:p>
    <w:p w14:paraId="7F10C559" w14:textId="6EF1DB72" w:rsidR="00DC524D" w:rsidRPr="00DF6490" w:rsidRDefault="00DC524D" w:rsidP="00E2189F">
      <w:pPr>
        <w:pBdr>
          <w:top w:val="single" w:sz="4" w:space="1" w:color="auto"/>
          <w:left w:val="single" w:sz="4" w:space="4" w:color="auto"/>
          <w:bottom w:val="single" w:sz="4" w:space="1" w:color="auto"/>
          <w:right w:val="single" w:sz="4" w:space="4" w:color="auto"/>
        </w:pBdr>
      </w:pPr>
      <w:r w:rsidRPr="00DF6490">
        <w:t xml:space="preserve">The committee recommends the mandatory annual reporting of companies with over </w:t>
      </w:r>
      <w:r w:rsidR="00A86646">
        <w:br/>
      </w:r>
      <w:r w:rsidRPr="00DF6490">
        <w:t xml:space="preserve">20 000 employees in Australia to the Fair Work Commission on workplace practices to ensure roster justice and flexible working arrangements. </w:t>
      </w:r>
    </w:p>
    <w:p w14:paraId="416FF46C" w14:textId="77777777" w:rsidR="00DC524D" w:rsidRPr="00DF6490" w:rsidRDefault="00DC524D" w:rsidP="00E2189F">
      <w:pPr>
        <w:pBdr>
          <w:top w:val="single" w:sz="4" w:space="1" w:color="auto"/>
          <w:left w:val="single" w:sz="4" w:space="4" w:color="auto"/>
          <w:bottom w:val="single" w:sz="4" w:space="1" w:color="auto"/>
          <w:right w:val="single" w:sz="4" w:space="4" w:color="auto"/>
        </w:pBdr>
      </w:pPr>
    </w:p>
    <w:p w14:paraId="7F00AE45" w14:textId="77777777" w:rsidR="00DC524D" w:rsidRPr="00DF6490" w:rsidRDefault="00DC524D" w:rsidP="00E2189F">
      <w:pPr>
        <w:pBdr>
          <w:top w:val="single" w:sz="4" w:space="1" w:color="auto"/>
          <w:left w:val="single" w:sz="4" w:space="4" w:color="auto"/>
          <w:bottom w:val="single" w:sz="4" w:space="1" w:color="auto"/>
          <w:right w:val="single" w:sz="4" w:space="4" w:color="auto"/>
        </w:pBdr>
      </w:pPr>
      <w:r w:rsidRPr="00DF6490">
        <w:t xml:space="preserve">The committee further recommends the mandatory collection of data by these companies of requests, including at store level, for roster changes and flexible working arrangements, and the percentage of changes to shifts that have been initiated by the employer within one week of the shift taking place. The data should: </w:t>
      </w:r>
    </w:p>
    <w:p w14:paraId="582A8181" w14:textId="77777777" w:rsidR="00DC524D" w:rsidRPr="0045627D" w:rsidRDefault="00DC524D" w:rsidP="00E2189F">
      <w:pPr>
        <w:pStyle w:val="ListParagraph"/>
        <w:numPr>
          <w:ilvl w:val="0"/>
          <w:numId w:val="16"/>
        </w:numPr>
        <w:pBdr>
          <w:top w:val="single" w:sz="4" w:space="1" w:color="auto"/>
          <w:left w:val="single" w:sz="4" w:space="4" w:color="auto"/>
          <w:bottom w:val="single" w:sz="4" w:space="1" w:color="auto"/>
          <w:right w:val="single" w:sz="4" w:space="4" w:color="auto"/>
        </w:pBdr>
        <w:rPr>
          <w:sz w:val="24"/>
          <w:szCs w:val="24"/>
        </w:rPr>
      </w:pPr>
      <w:r w:rsidRPr="0045627D">
        <w:rPr>
          <w:sz w:val="24"/>
          <w:szCs w:val="24"/>
        </w:rPr>
        <w:t xml:space="preserve">include a collection of all requests, including those deemed 'informal', and detail whether these requests were approved, approved with modification, or denied; </w:t>
      </w:r>
    </w:p>
    <w:p w14:paraId="71B71631" w14:textId="77777777" w:rsidR="00DC524D" w:rsidRPr="0045627D" w:rsidRDefault="00DC524D" w:rsidP="00E2189F">
      <w:pPr>
        <w:pStyle w:val="ListParagraph"/>
        <w:numPr>
          <w:ilvl w:val="0"/>
          <w:numId w:val="16"/>
        </w:numPr>
        <w:pBdr>
          <w:top w:val="single" w:sz="4" w:space="1" w:color="auto"/>
          <w:left w:val="single" w:sz="4" w:space="4" w:color="auto"/>
          <w:bottom w:val="single" w:sz="4" w:space="1" w:color="auto"/>
          <w:right w:val="single" w:sz="4" w:space="4" w:color="auto"/>
        </w:pBdr>
        <w:rPr>
          <w:sz w:val="24"/>
          <w:szCs w:val="24"/>
        </w:rPr>
      </w:pPr>
      <w:r w:rsidRPr="0045627D">
        <w:rPr>
          <w:sz w:val="24"/>
          <w:szCs w:val="24"/>
        </w:rPr>
        <w:t xml:space="preserve">provide information on the length of employment (up until the date of reporting) for that employee after their request was initially made; and </w:t>
      </w:r>
    </w:p>
    <w:p w14:paraId="17DB37F6" w14:textId="77777777" w:rsidR="00DC524D" w:rsidRPr="00DF6490" w:rsidRDefault="00DC524D" w:rsidP="00E2189F">
      <w:pPr>
        <w:pStyle w:val="ListParagraph"/>
        <w:numPr>
          <w:ilvl w:val="0"/>
          <w:numId w:val="16"/>
        </w:numPr>
        <w:pBdr>
          <w:top w:val="single" w:sz="4" w:space="1" w:color="auto"/>
          <w:left w:val="single" w:sz="4" w:space="4" w:color="auto"/>
          <w:bottom w:val="single" w:sz="4" w:space="1" w:color="auto"/>
          <w:right w:val="single" w:sz="4" w:space="4" w:color="auto"/>
        </w:pBdr>
        <w:rPr>
          <w:lang w:eastAsia="en-AU"/>
        </w:rPr>
      </w:pPr>
      <w:r w:rsidRPr="0045627D">
        <w:rPr>
          <w:sz w:val="24"/>
          <w:szCs w:val="24"/>
        </w:rPr>
        <w:t>be provided in full to the Workplace Gender Equality Agency and published on the respective company's website.</w:t>
      </w:r>
    </w:p>
    <w:p w14:paraId="326CF678" w14:textId="77777777" w:rsidR="003A05BC" w:rsidRPr="00DF6490" w:rsidRDefault="003A05BC" w:rsidP="003A05BC"/>
    <w:p w14:paraId="38B585AD" w14:textId="4658F962" w:rsidR="00DC524D" w:rsidRPr="00DF4C16" w:rsidRDefault="00B23398" w:rsidP="273A57E7">
      <w:r>
        <w:rPr>
          <w:lang w:val="en-GB"/>
        </w:rPr>
        <w:t xml:space="preserve">The Government </w:t>
      </w:r>
      <w:r>
        <w:rPr>
          <w:b/>
          <w:bCs/>
          <w:lang w:val="en-GB"/>
        </w:rPr>
        <w:t xml:space="preserve">notes </w:t>
      </w:r>
      <w:r>
        <w:rPr>
          <w:lang w:val="en-GB"/>
        </w:rPr>
        <w:t xml:space="preserve">this </w:t>
      </w:r>
      <w:r w:rsidRPr="00AC3BD3">
        <w:rPr>
          <w:lang w:val="en-GB"/>
        </w:rPr>
        <w:t>recommendation</w:t>
      </w:r>
      <w:r w:rsidR="00DC524D" w:rsidRPr="00AC3BD3">
        <w:t>.</w:t>
      </w:r>
    </w:p>
    <w:p w14:paraId="2D898259" w14:textId="77777777" w:rsidR="00DC524D" w:rsidRPr="00DF6490" w:rsidRDefault="00DC524D" w:rsidP="00267C7A"/>
    <w:p w14:paraId="0F5A69E0" w14:textId="727BDCBF" w:rsidR="00DC524D" w:rsidRPr="00DF6490" w:rsidRDefault="00DC524D" w:rsidP="00267C7A">
      <w:r>
        <w:t>The</w:t>
      </w:r>
      <w:r w:rsidRPr="00DF6490">
        <w:t xml:space="preserve"> Workplace Gender Equality Agency already requires employers with 100</w:t>
      </w:r>
      <w:r>
        <w:t xml:space="preserve"> or more</w:t>
      </w:r>
      <w:r w:rsidRPr="00DF6490">
        <w:t xml:space="preserve"> employees to report on matters including the availability and utility of employment terms, conditions and practices relating to flexible working arrangements for employees and to working arrangements supporting employees with family or caring responsibilities.</w:t>
      </w:r>
    </w:p>
    <w:p w14:paraId="1A9C6C2D" w14:textId="77777777" w:rsidR="00DC524D" w:rsidRPr="00DF6490" w:rsidRDefault="00DC524D" w:rsidP="00267C7A"/>
    <w:p w14:paraId="7DEEBDDB" w14:textId="1AFE6AB6" w:rsidR="00DC524D" w:rsidRDefault="007D3EE0" w:rsidP="00267C7A">
      <w:r>
        <w:t>Th</w:t>
      </w:r>
      <w:r w:rsidR="00DC524D">
        <w:t xml:space="preserve">e reforms made by the </w:t>
      </w:r>
      <w:r w:rsidR="00DC524D">
        <w:rPr>
          <w:i/>
          <w:iCs/>
        </w:rPr>
        <w:t xml:space="preserve">Workplace Gender Equality Amendment (Closing the Gender Pay Gap) Act 2023 </w:t>
      </w:r>
      <w:r w:rsidR="00DC524D" w:rsidRPr="00DF6490">
        <w:t xml:space="preserve">have strengthened reporting obligations </w:t>
      </w:r>
      <w:r w:rsidR="00DC524D">
        <w:t>in respect of</w:t>
      </w:r>
      <w:r w:rsidR="00DC524D" w:rsidRPr="00DF6490">
        <w:t xml:space="preserve"> this </w:t>
      </w:r>
      <w:r w:rsidR="00B23398">
        <w:t xml:space="preserve">indicator </w:t>
      </w:r>
      <w:r w:rsidR="00DC524D" w:rsidRPr="00DF6490">
        <w:t xml:space="preserve">and other gender equality indicators by requiring employers </w:t>
      </w:r>
      <w:r w:rsidR="00DC524D">
        <w:t>with 500 or more employees</w:t>
      </w:r>
      <w:r w:rsidR="00DC524D" w:rsidRPr="00DF6490">
        <w:t xml:space="preserve"> to put in place policies or strategies against all gender equality indicators. </w:t>
      </w:r>
      <w:r w:rsidR="00DC524D">
        <w:t>Such employers</w:t>
      </w:r>
      <w:r w:rsidR="00DC524D" w:rsidRPr="00DF6490">
        <w:t xml:space="preserve"> are now required to have policies or strategies to support flexible working arrangements and arrangements to support employees with family or caring responsibilities.</w:t>
      </w:r>
    </w:p>
    <w:p w14:paraId="00B58C94" w14:textId="2FA990A5" w:rsidR="00DC524D" w:rsidRDefault="00DC524D" w:rsidP="00267C7A">
      <w:pPr>
        <w:rPr>
          <w:b/>
          <w:bCs/>
          <w:lang w:val="en-GB"/>
        </w:rPr>
      </w:pPr>
    </w:p>
    <w:p w14:paraId="14FB30D3" w14:textId="062D3986" w:rsidR="009744E9" w:rsidRPr="004C0D1C" w:rsidRDefault="00BC79A2" w:rsidP="273A57E7">
      <w:r w:rsidRPr="273A57E7">
        <w:rPr>
          <w:lang w:val="en-GB"/>
        </w:rPr>
        <w:t>Rostering and flexible working arrangements are being considered by the Fair Work Commission as part of the Modern Awards Review requested by the Minister for Employment and Workplace Relations. Discussion papers for both the work and care and job security streams of the</w:t>
      </w:r>
      <w:r w:rsidR="008C03C2">
        <w:rPr>
          <w:lang w:val="en-GB"/>
        </w:rPr>
        <w:t xml:space="preserve"> Modern Awards</w:t>
      </w:r>
      <w:r w:rsidRPr="273A57E7">
        <w:rPr>
          <w:lang w:val="en-GB"/>
        </w:rPr>
        <w:t xml:space="preserve"> Review</w:t>
      </w:r>
      <w:r w:rsidR="00214927">
        <w:rPr>
          <w:lang w:val="en-GB"/>
        </w:rPr>
        <w:t xml:space="preserve"> </w:t>
      </w:r>
      <w:r w:rsidR="00214927">
        <w:t>2023–24</w:t>
      </w:r>
      <w:r w:rsidRPr="273A57E7">
        <w:rPr>
          <w:lang w:val="en-GB"/>
        </w:rPr>
        <w:t xml:space="preserve"> identified recommendation 24 </w:t>
      </w:r>
      <w:r w:rsidR="00CE5673" w:rsidRPr="273A57E7">
        <w:rPr>
          <w:lang w:val="en-GB"/>
        </w:rPr>
        <w:t>as a</w:t>
      </w:r>
      <w:r w:rsidRPr="273A57E7">
        <w:rPr>
          <w:lang w:val="en-GB"/>
        </w:rPr>
        <w:t xml:space="preserve"> recommendation for consideration. </w:t>
      </w:r>
      <w:r w:rsidRPr="273A57E7">
        <w:t>The Government will consider the outcomes of the Modern Awards Review once the Fair Work Commission’s Final Report is published.</w:t>
      </w:r>
    </w:p>
    <w:p w14:paraId="6140FA15" w14:textId="2D5BA117" w:rsidR="00AE38D6" w:rsidRDefault="00AE38D6">
      <w:pPr>
        <w:spacing w:after="200" w:line="276" w:lineRule="auto"/>
        <w:rPr>
          <w:b/>
          <w:bCs/>
          <w:lang w:val="en-GB"/>
        </w:rPr>
      </w:pPr>
      <w:r>
        <w:rPr>
          <w:b/>
          <w:bCs/>
          <w:lang w:val="en-GB"/>
        </w:rPr>
        <w:br w:type="page"/>
      </w:r>
    </w:p>
    <w:p w14:paraId="0B4CC3A8" w14:textId="77777777" w:rsidR="00DC524D" w:rsidRPr="00DF6490" w:rsidRDefault="00DC524D" w:rsidP="007D3EE0">
      <w:pPr>
        <w:pStyle w:val="Heading6"/>
        <w:pBdr>
          <w:top w:val="single" w:sz="4" w:space="1" w:color="auto"/>
          <w:left w:val="single" w:sz="4" w:space="4" w:color="auto"/>
          <w:bottom w:val="single" w:sz="4" w:space="1" w:color="auto"/>
          <w:right w:val="single" w:sz="4" w:space="4" w:color="auto"/>
        </w:pBdr>
      </w:pPr>
      <w:r w:rsidRPr="00DF6490">
        <w:lastRenderedPageBreak/>
        <w:t>Recommendation 33</w:t>
      </w:r>
    </w:p>
    <w:p w14:paraId="1AFABEA1" w14:textId="74BD7F03" w:rsidR="00DC524D" w:rsidRPr="00DF6490" w:rsidRDefault="00DC524D" w:rsidP="007D3EE0">
      <w:pPr>
        <w:pBdr>
          <w:top w:val="single" w:sz="4" w:space="1" w:color="auto"/>
          <w:left w:val="single" w:sz="4" w:space="4" w:color="auto"/>
          <w:bottom w:val="single" w:sz="4" w:space="1" w:color="auto"/>
          <w:right w:val="single" w:sz="4" w:space="4" w:color="auto"/>
        </w:pBdr>
      </w:pPr>
      <w:r w:rsidRPr="00DF6490">
        <w:t>The committee recommends the establishment of a new longitudinal data set in parallel to the Household Income and Labour Dynamics in Australia survey with a specific focus on workplaces and the experience of workers within them, including how they intersect with care activities.</w:t>
      </w:r>
    </w:p>
    <w:p w14:paraId="206FDB9D" w14:textId="77777777" w:rsidR="00DC524D" w:rsidRPr="00DF6490" w:rsidRDefault="00DC524D" w:rsidP="007D3EE0">
      <w:pPr>
        <w:pBdr>
          <w:top w:val="single" w:sz="4" w:space="1" w:color="auto"/>
          <w:left w:val="single" w:sz="4" w:space="4" w:color="auto"/>
          <w:bottom w:val="single" w:sz="4" w:space="1" w:color="auto"/>
          <w:right w:val="single" w:sz="4" w:space="4" w:color="auto"/>
        </w:pBdr>
      </w:pPr>
    </w:p>
    <w:p w14:paraId="7E48E78E" w14:textId="77777777" w:rsidR="00DC524D" w:rsidRPr="00DF6490" w:rsidRDefault="00DC524D" w:rsidP="007D3EE0">
      <w:pPr>
        <w:pBdr>
          <w:top w:val="single" w:sz="4" w:space="1" w:color="auto"/>
          <w:left w:val="single" w:sz="4" w:space="4" w:color="auto"/>
          <w:bottom w:val="single" w:sz="4" w:space="1" w:color="auto"/>
          <w:right w:val="single" w:sz="4" w:space="4" w:color="auto"/>
        </w:pBdr>
      </w:pPr>
      <w:r w:rsidRPr="00DF6490">
        <w:t>The committee further recommends that additional research be funded to independently analyse and publicly report on the circumstances and experiences of carers in Australia.</w:t>
      </w:r>
    </w:p>
    <w:p w14:paraId="4DE82467" w14:textId="77777777" w:rsidR="00DC524D" w:rsidRPr="00DF6490" w:rsidRDefault="00DC524D" w:rsidP="00267C7A"/>
    <w:p w14:paraId="5DC959F5" w14:textId="5B5F4749" w:rsidR="00DC524D" w:rsidRPr="00DF6490" w:rsidRDefault="00DC524D" w:rsidP="007D3EE0">
      <w:pPr>
        <w:pBdr>
          <w:top w:val="single" w:sz="4" w:space="1" w:color="auto"/>
          <w:left w:val="single" w:sz="4" w:space="4" w:color="auto"/>
          <w:bottom w:val="single" w:sz="4" w:space="1" w:color="auto"/>
          <w:right w:val="single" w:sz="4" w:space="4" w:color="auto"/>
        </w:pBdr>
        <w:textAlignment w:val="baseline"/>
        <w:rPr>
          <w:rFonts w:ascii="Segoe UI" w:hAnsi="Segoe UI" w:cs="Segoe UI"/>
          <w:b/>
          <w:bCs/>
          <w:i/>
          <w:iCs/>
          <w:sz w:val="18"/>
          <w:szCs w:val="18"/>
          <w:lang w:eastAsia="en-AU"/>
        </w:rPr>
      </w:pPr>
      <w:r w:rsidRPr="00DF6490">
        <w:rPr>
          <w:rFonts w:ascii="Calibri" w:hAnsi="Calibri" w:cs="Calibri"/>
          <w:b/>
          <w:bCs/>
          <w:i/>
          <w:iCs/>
          <w:lang w:eastAsia="en-AU"/>
        </w:rPr>
        <w:t>Interim Report Recommendation 1 </w:t>
      </w:r>
    </w:p>
    <w:p w14:paraId="108D0458" w14:textId="77777777" w:rsidR="00DC524D" w:rsidRDefault="00DC524D" w:rsidP="007D3EE0">
      <w:pPr>
        <w:pBdr>
          <w:top w:val="single" w:sz="4" w:space="1" w:color="auto"/>
          <w:left w:val="single" w:sz="4" w:space="4" w:color="auto"/>
          <w:bottom w:val="single" w:sz="4" w:space="1" w:color="auto"/>
          <w:right w:val="single" w:sz="4" w:space="4" w:color="auto"/>
        </w:pBdr>
        <w:textAlignment w:val="baseline"/>
        <w:rPr>
          <w:rFonts w:ascii="Calibri" w:hAnsi="Calibri" w:cs="Calibri"/>
          <w:i/>
          <w:iCs/>
          <w:lang w:eastAsia="en-AU"/>
        </w:rPr>
      </w:pPr>
      <w:r w:rsidRPr="00DF6490">
        <w:rPr>
          <w:rFonts w:ascii="Calibri" w:hAnsi="Calibri" w:cs="Calibri"/>
          <w:i/>
          <w:iCs/>
          <w:lang w:eastAsia="en-AU"/>
        </w:rPr>
        <w:t>The committee recommends that, as a matter of priority, the Australian Government include new questions in the Census and/or new regular surveys of a representative group of workers to determine the extent, nature and effects of the interaction of work and care responsibilities across Australia. This data collection project should survey workers every five years with the aim of: </w:t>
      </w:r>
    </w:p>
    <w:p w14:paraId="44C743A7" w14:textId="77777777" w:rsidR="007D3EE0" w:rsidRDefault="00DC524D" w:rsidP="007D3EE0">
      <w:pPr>
        <w:numPr>
          <w:ilvl w:val="0"/>
          <w:numId w:val="18"/>
        </w:numPr>
        <w:pBdr>
          <w:top w:val="single" w:sz="4" w:space="1" w:color="auto"/>
          <w:left w:val="single" w:sz="4" w:space="4" w:color="auto"/>
          <w:bottom w:val="single" w:sz="4" w:space="1" w:color="auto"/>
          <w:right w:val="single" w:sz="4" w:space="4" w:color="auto"/>
        </w:pBdr>
        <w:textAlignment w:val="baseline"/>
        <w:rPr>
          <w:rFonts w:ascii="Calibri" w:hAnsi="Calibri" w:cs="Calibri"/>
          <w:i/>
          <w:iCs/>
          <w:lang w:eastAsia="en-AU"/>
        </w:rPr>
      </w:pPr>
      <w:r w:rsidRPr="00DF6490">
        <w:rPr>
          <w:rFonts w:ascii="Calibri" w:hAnsi="Calibri" w:cs="Calibri"/>
          <w:i/>
          <w:iCs/>
          <w:lang w:eastAsia="en-AU"/>
        </w:rPr>
        <w:t>analysing the extent and nature of the interaction of work and care responsibilities across Australia, with consideration of particular subgroups including (but not limited to): </w:t>
      </w:r>
    </w:p>
    <w:p w14:paraId="603FD4F7" w14:textId="5668C416" w:rsidR="00DC524D" w:rsidRPr="007D3EE0" w:rsidRDefault="007D3EE0" w:rsidP="007D3EE0">
      <w:pPr>
        <w:numPr>
          <w:ilvl w:val="1"/>
          <w:numId w:val="18"/>
        </w:numPr>
        <w:pBdr>
          <w:top w:val="single" w:sz="4" w:space="1" w:color="auto"/>
          <w:left w:val="single" w:sz="4" w:space="4" w:color="auto"/>
          <w:bottom w:val="single" w:sz="4" w:space="1" w:color="auto"/>
          <w:right w:val="single" w:sz="4" w:space="4" w:color="auto"/>
        </w:pBdr>
        <w:textAlignment w:val="baseline"/>
        <w:rPr>
          <w:rFonts w:ascii="Calibri" w:hAnsi="Calibri" w:cs="Calibri"/>
          <w:i/>
          <w:iCs/>
          <w:lang w:eastAsia="en-AU"/>
        </w:rPr>
      </w:pPr>
      <w:r>
        <w:rPr>
          <w:rFonts w:ascii="Calibri" w:hAnsi="Calibri" w:cs="Calibri"/>
          <w:i/>
          <w:iCs/>
          <w:lang w:eastAsia="en-AU"/>
        </w:rPr>
        <w:tab/>
      </w:r>
      <w:r>
        <w:rPr>
          <w:rFonts w:ascii="Calibri" w:hAnsi="Calibri" w:cs="Calibri"/>
          <w:i/>
          <w:iCs/>
          <w:lang w:eastAsia="en-AU"/>
        </w:rPr>
        <w:tab/>
      </w:r>
      <w:r w:rsidR="00DC524D" w:rsidRPr="007D3EE0">
        <w:rPr>
          <w:rFonts w:ascii="Calibri" w:hAnsi="Calibri" w:cs="Calibri"/>
          <w:i/>
          <w:iCs/>
          <w:lang w:eastAsia="en-AU"/>
        </w:rPr>
        <w:t>age; </w:t>
      </w:r>
    </w:p>
    <w:p w14:paraId="0BD9FB59" w14:textId="50E4E281" w:rsidR="00DC524D" w:rsidRPr="00DF6490" w:rsidRDefault="007D3EE0" w:rsidP="007D3EE0">
      <w:pPr>
        <w:numPr>
          <w:ilvl w:val="1"/>
          <w:numId w:val="18"/>
        </w:numPr>
        <w:pBdr>
          <w:top w:val="single" w:sz="4" w:space="1" w:color="auto"/>
          <w:left w:val="single" w:sz="4" w:space="4" w:color="auto"/>
          <w:bottom w:val="single" w:sz="4" w:space="1" w:color="auto"/>
          <w:right w:val="single" w:sz="4" w:space="4" w:color="auto"/>
        </w:pBdr>
        <w:textAlignment w:val="baseline"/>
        <w:rPr>
          <w:rFonts w:ascii="Calibri" w:hAnsi="Calibri" w:cs="Calibri"/>
          <w:i/>
          <w:iCs/>
          <w:lang w:eastAsia="en-AU"/>
        </w:rPr>
      </w:pPr>
      <w:r>
        <w:rPr>
          <w:rFonts w:ascii="Calibri" w:hAnsi="Calibri" w:cs="Calibri"/>
          <w:i/>
          <w:iCs/>
          <w:lang w:eastAsia="en-AU"/>
        </w:rPr>
        <w:tab/>
      </w:r>
      <w:r>
        <w:rPr>
          <w:rFonts w:ascii="Calibri" w:hAnsi="Calibri" w:cs="Calibri"/>
          <w:i/>
          <w:iCs/>
          <w:lang w:eastAsia="en-AU"/>
        </w:rPr>
        <w:tab/>
      </w:r>
      <w:r w:rsidR="00DC524D" w:rsidRPr="00DF6490">
        <w:rPr>
          <w:rFonts w:ascii="Calibri" w:hAnsi="Calibri" w:cs="Calibri"/>
          <w:i/>
          <w:iCs/>
          <w:lang w:eastAsia="en-AU"/>
        </w:rPr>
        <w:t>gender; </w:t>
      </w:r>
    </w:p>
    <w:p w14:paraId="448C4339" w14:textId="5E59B79C" w:rsidR="00DC524D" w:rsidRPr="00DF6490" w:rsidRDefault="007D3EE0" w:rsidP="007D3EE0">
      <w:pPr>
        <w:numPr>
          <w:ilvl w:val="1"/>
          <w:numId w:val="18"/>
        </w:numPr>
        <w:pBdr>
          <w:top w:val="single" w:sz="4" w:space="1" w:color="auto"/>
          <w:left w:val="single" w:sz="4" w:space="4" w:color="auto"/>
          <w:bottom w:val="single" w:sz="4" w:space="1" w:color="auto"/>
          <w:right w:val="single" w:sz="4" w:space="4" w:color="auto"/>
        </w:pBdr>
        <w:textAlignment w:val="baseline"/>
        <w:rPr>
          <w:rFonts w:ascii="Calibri" w:hAnsi="Calibri" w:cs="Calibri"/>
          <w:i/>
          <w:iCs/>
          <w:lang w:eastAsia="en-AU"/>
        </w:rPr>
      </w:pPr>
      <w:r>
        <w:rPr>
          <w:rFonts w:ascii="Calibri" w:hAnsi="Calibri" w:cs="Calibri"/>
          <w:i/>
          <w:iCs/>
          <w:lang w:eastAsia="en-AU"/>
        </w:rPr>
        <w:tab/>
      </w:r>
      <w:r>
        <w:rPr>
          <w:rFonts w:ascii="Calibri" w:hAnsi="Calibri" w:cs="Calibri"/>
          <w:i/>
          <w:iCs/>
          <w:lang w:eastAsia="en-AU"/>
        </w:rPr>
        <w:tab/>
      </w:r>
      <w:r w:rsidR="00DC524D" w:rsidRPr="00DF6490">
        <w:rPr>
          <w:rFonts w:ascii="Calibri" w:hAnsi="Calibri" w:cs="Calibri"/>
          <w:i/>
          <w:iCs/>
          <w:lang w:eastAsia="en-AU"/>
        </w:rPr>
        <w:t>type of care; </w:t>
      </w:r>
    </w:p>
    <w:p w14:paraId="53FBBCE5" w14:textId="281B216F" w:rsidR="00DC524D" w:rsidRPr="007D3EE0" w:rsidRDefault="007D3EE0" w:rsidP="007D3EE0">
      <w:pPr>
        <w:numPr>
          <w:ilvl w:val="1"/>
          <w:numId w:val="18"/>
        </w:numPr>
        <w:pBdr>
          <w:top w:val="single" w:sz="4" w:space="1" w:color="auto"/>
          <w:left w:val="single" w:sz="4" w:space="4" w:color="auto"/>
          <w:bottom w:val="single" w:sz="4" w:space="1" w:color="auto"/>
          <w:right w:val="single" w:sz="4" w:space="4" w:color="auto"/>
        </w:pBdr>
        <w:textAlignment w:val="baseline"/>
        <w:rPr>
          <w:rFonts w:ascii="Times New Roman" w:hAnsi="Times New Roman" w:cs="Times New Roman"/>
          <w:b/>
          <w:bCs/>
        </w:rPr>
      </w:pPr>
      <w:r>
        <w:rPr>
          <w:rFonts w:ascii="Calibri" w:hAnsi="Calibri" w:cs="Calibri"/>
          <w:i/>
          <w:iCs/>
          <w:lang w:eastAsia="en-AU"/>
        </w:rPr>
        <w:tab/>
      </w:r>
      <w:r>
        <w:rPr>
          <w:rFonts w:ascii="Calibri" w:hAnsi="Calibri" w:cs="Calibri"/>
          <w:i/>
          <w:iCs/>
          <w:lang w:eastAsia="en-AU"/>
        </w:rPr>
        <w:tab/>
      </w:r>
      <w:r w:rsidR="00DC524D" w:rsidRPr="00DF6490">
        <w:rPr>
          <w:rFonts w:ascii="Calibri" w:hAnsi="Calibri" w:cs="Calibri"/>
          <w:i/>
          <w:iCs/>
          <w:lang w:eastAsia="en-AU"/>
        </w:rPr>
        <w:t>extent of workforce participation; and </w:t>
      </w:r>
    </w:p>
    <w:p w14:paraId="7B8A7933" w14:textId="77777777" w:rsidR="00DC524D" w:rsidRPr="00DF6490" w:rsidRDefault="00DC524D" w:rsidP="007D3EE0">
      <w:pPr>
        <w:numPr>
          <w:ilvl w:val="0"/>
          <w:numId w:val="18"/>
        </w:numPr>
        <w:pBdr>
          <w:top w:val="single" w:sz="4" w:space="1" w:color="auto"/>
          <w:left w:val="single" w:sz="4" w:space="4" w:color="auto"/>
          <w:bottom w:val="single" w:sz="4" w:space="1" w:color="auto"/>
          <w:right w:val="single" w:sz="4" w:space="4" w:color="auto"/>
        </w:pBdr>
        <w:textAlignment w:val="baseline"/>
        <w:rPr>
          <w:rFonts w:ascii="Times New Roman" w:hAnsi="Times New Roman" w:cs="Times New Roman"/>
          <w:b/>
          <w:bCs/>
        </w:rPr>
      </w:pPr>
      <w:r w:rsidRPr="00DF6490">
        <w:rPr>
          <w:rFonts w:ascii="Calibri" w:hAnsi="Calibri" w:cs="Calibri"/>
          <w:i/>
          <w:iCs/>
          <w:lang w:eastAsia="en-AU"/>
        </w:rPr>
        <w:t>generating data to allow extensive analysis of the work and care system, and how it affects outcomes for working carers.</w:t>
      </w:r>
      <w:r w:rsidRPr="00DF6490">
        <w:rPr>
          <w:rFonts w:ascii="Calibri" w:hAnsi="Calibri" w:cs="Calibri"/>
          <w:lang w:eastAsia="en-AU"/>
        </w:rPr>
        <w:t> </w:t>
      </w:r>
    </w:p>
    <w:p w14:paraId="421B25F3" w14:textId="77777777" w:rsidR="00DC524D" w:rsidRDefault="00DC524D" w:rsidP="00267C7A">
      <w:pPr>
        <w:rPr>
          <w:b/>
          <w:bCs/>
          <w:lang w:val="en-GB"/>
        </w:rPr>
      </w:pPr>
    </w:p>
    <w:p w14:paraId="10D1F4B7" w14:textId="22FB1106" w:rsidR="00DC524D" w:rsidRPr="00DF6490" w:rsidRDefault="007D3EE0" w:rsidP="007D3EE0">
      <w:pPr>
        <w:rPr>
          <w:rFonts w:ascii="Calibri" w:eastAsia="Calibri" w:hAnsi="Calibri" w:cs="Calibri"/>
          <w:i/>
          <w:iCs/>
        </w:rPr>
      </w:pPr>
      <w:r>
        <w:rPr>
          <w:bCs/>
        </w:rPr>
        <w:t xml:space="preserve">The Government </w:t>
      </w:r>
      <w:r>
        <w:rPr>
          <w:b/>
        </w:rPr>
        <w:t xml:space="preserve">notes </w:t>
      </w:r>
      <w:r>
        <w:rPr>
          <w:bCs/>
        </w:rPr>
        <w:t xml:space="preserve">this recommendation and the Interim Report </w:t>
      </w:r>
      <w:r w:rsidR="00A9469E">
        <w:rPr>
          <w:bCs/>
        </w:rPr>
        <w:t>r</w:t>
      </w:r>
      <w:r>
        <w:rPr>
          <w:bCs/>
        </w:rPr>
        <w:t>ecommendation.</w:t>
      </w:r>
    </w:p>
    <w:p w14:paraId="61A5BDBC" w14:textId="77777777" w:rsidR="00DC524D" w:rsidRPr="00DF6490" w:rsidRDefault="00DC524D" w:rsidP="00267C7A">
      <w:pPr>
        <w:rPr>
          <w:rFonts w:ascii="Calibri" w:eastAsia="Calibri" w:hAnsi="Calibri" w:cs="Calibri"/>
        </w:rPr>
      </w:pPr>
    </w:p>
    <w:p w14:paraId="2E6CCA69" w14:textId="73650BF9" w:rsidR="00DC524D" w:rsidRPr="00DF6490" w:rsidRDefault="00DC524D" w:rsidP="00267C7A">
      <w:pPr>
        <w:rPr>
          <w:rFonts w:ascii="Calibri" w:eastAsia="Calibri" w:hAnsi="Calibri" w:cs="Calibri"/>
        </w:rPr>
      </w:pPr>
      <w:r>
        <w:t xml:space="preserve">The cost and complexity of longitudinal data collection with a workplace level focus would be more challenging than a longitudinal study of households and people like the Household Income and Labour Dynamics in Australia </w:t>
      </w:r>
      <w:r w:rsidR="00730D5F">
        <w:t>study</w:t>
      </w:r>
      <w:r>
        <w:t xml:space="preserve">. </w:t>
      </w:r>
      <w:r w:rsidRPr="273A57E7">
        <w:rPr>
          <w:rFonts w:ascii="Calibri" w:eastAsia="Calibri" w:hAnsi="Calibri" w:cs="Calibri"/>
        </w:rPr>
        <w:t>This is one reason why there is no</w:t>
      </w:r>
      <w:r w:rsidR="00B43CE2" w:rsidRPr="273A57E7">
        <w:rPr>
          <w:rFonts w:ascii="Calibri" w:eastAsia="Calibri" w:hAnsi="Calibri" w:cs="Calibri"/>
        </w:rPr>
        <w:t>t a</w:t>
      </w:r>
      <w:r w:rsidRPr="273A57E7">
        <w:rPr>
          <w:rFonts w:ascii="Calibri" w:eastAsia="Calibri" w:hAnsi="Calibri" w:cs="Calibri"/>
        </w:rPr>
        <w:t xml:space="preserve"> nationally representative, longitudinal workplace level collection, similar to the Australian Workplace Industrial Relations Survey from the mid-90s</w:t>
      </w:r>
      <w:r w:rsidR="007439D0" w:rsidRPr="273A57E7">
        <w:rPr>
          <w:rFonts w:ascii="Calibri" w:eastAsia="Calibri" w:hAnsi="Calibri" w:cs="Calibri"/>
        </w:rPr>
        <w:t>, in Australia</w:t>
      </w:r>
      <w:r w:rsidRPr="273A57E7">
        <w:rPr>
          <w:rFonts w:ascii="Calibri" w:eastAsia="Calibri" w:hAnsi="Calibri" w:cs="Calibri"/>
        </w:rPr>
        <w:t>.</w:t>
      </w:r>
    </w:p>
    <w:p w14:paraId="557B0917" w14:textId="77777777" w:rsidR="00DC524D" w:rsidRPr="00DF6490" w:rsidRDefault="00DC524D" w:rsidP="00267C7A"/>
    <w:p w14:paraId="7427BCAB" w14:textId="18B5CFF6" w:rsidR="00DC524D" w:rsidRDefault="00DC524D" w:rsidP="00267C7A">
      <w:r w:rsidRPr="00DF6490">
        <w:t>The Government notes that work could be commissioned to assess the extent to which existing data sources could be better leveraged or enhanced to meet key data requirements identified by the Committee (for example, integrating additional employer and employee data into other data collection activities). The Government will consider the most appropriate approach and avenue for progressing this</w:t>
      </w:r>
      <w:r w:rsidR="007D3EE0">
        <w:t xml:space="preserve"> work</w:t>
      </w:r>
      <w:r w:rsidRPr="00DF6490">
        <w:t>.</w:t>
      </w:r>
    </w:p>
    <w:p w14:paraId="5AD4CBB9" w14:textId="77777777" w:rsidR="001C1F8D" w:rsidRDefault="001C1F8D" w:rsidP="00267C7A"/>
    <w:p w14:paraId="608B47AA" w14:textId="01205392" w:rsidR="00730D5F" w:rsidRDefault="00730D5F" w:rsidP="00730D5F">
      <w:pPr>
        <w:rPr>
          <w:sz w:val="22"/>
          <w:szCs w:val="22"/>
        </w:rPr>
      </w:pPr>
      <w:r>
        <w:t xml:space="preserve">A </w:t>
      </w:r>
      <w:r w:rsidRPr="273A57E7">
        <w:rPr>
          <w:i/>
          <w:iCs/>
        </w:rPr>
        <w:t>Household, Income and Labour Dynamics Australia Women’s Progress Report 2001</w:t>
      </w:r>
      <w:r w:rsidR="00126A65" w:rsidRPr="273A57E7">
        <w:rPr>
          <w:i/>
          <w:iCs/>
        </w:rPr>
        <w:t>–</w:t>
      </w:r>
      <w:r w:rsidRPr="273A57E7">
        <w:rPr>
          <w:i/>
          <w:iCs/>
        </w:rPr>
        <w:t>2022</w:t>
      </w:r>
      <w:r>
        <w:t xml:space="preserve"> has been commissioned to showcase developments in women’s progress since the study first commenced in 2001. Due in late 2024, the Report is expected to analyse changes in women’s health and wellbeing, attitudes to gender roles in home and family life and employment, labour market participation, income and career progression, housing and homelessness, caring and unpaid labour and how this is shared in households, and financial health and security.  </w:t>
      </w:r>
    </w:p>
    <w:p w14:paraId="06EBCD6A" w14:textId="77777777" w:rsidR="00D837CC" w:rsidRDefault="00D837CC">
      <w:pPr>
        <w:spacing w:after="200" w:line="276" w:lineRule="auto"/>
        <w:rPr>
          <w:rFonts w:cstheme="minorHAnsi"/>
          <w:b/>
          <w:bCs/>
        </w:rPr>
      </w:pPr>
      <w:r>
        <w:br w:type="page"/>
      </w:r>
    </w:p>
    <w:p w14:paraId="6C97B579" w14:textId="4483F403" w:rsidR="005A0DF8" w:rsidRPr="00DF6490" w:rsidRDefault="00355CFF" w:rsidP="00355CFF">
      <w:pPr>
        <w:pStyle w:val="Heading2"/>
      </w:pPr>
      <w:bookmarkStart w:id="20" w:name="_Toc170224173"/>
      <w:r>
        <w:lastRenderedPageBreak/>
        <w:t xml:space="preserve">2 </w:t>
      </w:r>
      <w:r w:rsidR="00DD42D6">
        <w:t xml:space="preserve">Flexible and </w:t>
      </w:r>
      <w:r w:rsidR="00BA4CE8">
        <w:t>Supportive Workplaces</w:t>
      </w:r>
      <w:bookmarkEnd w:id="20"/>
    </w:p>
    <w:p w14:paraId="7E3C3238" w14:textId="0B6670E7" w:rsidR="006D0709" w:rsidRPr="00DF6490" w:rsidRDefault="006D0709" w:rsidP="0065464B">
      <w:pPr>
        <w:rPr>
          <w:rFonts w:cstheme="minorHAnsi"/>
        </w:rPr>
      </w:pPr>
    </w:p>
    <w:p w14:paraId="27319134" w14:textId="47464C06" w:rsidR="00677955" w:rsidRPr="00DF6490" w:rsidRDefault="00677955" w:rsidP="73FF5E00">
      <w:pPr>
        <w:rPr>
          <w:rStyle w:val="normaltextrun"/>
          <w:rFonts w:ascii="Calibri" w:hAnsi="Calibri" w:cs="Calibri"/>
          <w:color w:val="000000" w:themeColor="text1"/>
        </w:rPr>
      </w:pPr>
      <w:r w:rsidRPr="00DF6490">
        <w:t>The</w:t>
      </w:r>
      <w:r w:rsidR="006F3480">
        <w:rPr>
          <w:rStyle w:val="normaltextrun"/>
          <w:rFonts w:ascii="Calibri" w:hAnsi="Calibri" w:cs="Calibri"/>
        </w:rPr>
        <w:t xml:space="preserve"> Committee </w:t>
      </w:r>
      <w:r w:rsidR="005B1A8A" w:rsidRPr="00DF6490">
        <w:t xml:space="preserve">considered </w:t>
      </w:r>
      <w:r w:rsidR="00043E8A" w:rsidRPr="00DF6490">
        <w:t xml:space="preserve">the experiences of </w:t>
      </w:r>
      <w:r w:rsidR="005B1A8A" w:rsidRPr="00DF6490">
        <w:t xml:space="preserve">both </w:t>
      </w:r>
      <w:r w:rsidR="00334B83">
        <w:t>paid and unpaid</w:t>
      </w:r>
      <w:r w:rsidR="00043E8A" w:rsidRPr="00DF6490">
        <w:t xml:space="preserve"> </w:t>
      </w:r>
      <w:r w:rsidR="005B1A8A" w:rsidRPr="00DF6490">
        <w:t>carers and</w:t>
      </w:r>
      <w:r w:rsidR="00043E8A" w:rsidRPr="00DF6490">
        <w:t xml:space="preserve"> </w:t>
      </w:r>
      <w:r w:rsidR="00C050A3" w:rsidRPr="00DF6490">
        <w:t xml:space="preserve">proposed </w:t>
      </w:r>
      <w:r w:rsidR="00523813" w:rsidRPr="00DF6490">
        <w:t xml:space="preserve">the need for </w:t>
      </w:r>
      <w:r w:rsidRPr="00DF6490">
        <w:t xml:space="preserve">a </w:t>
      </w:r>
      <w:r w:rsidR="00523813" w:rsidRPr="00DF6490">
        <w:t>new</w:t>
      </w:r>
      <w:r w:rsidRPr="00DF6490">
        <w:t xml:space="preserve"> ‘work and care social contract’</w:t>
      </w:r>
      <w:r w:rsidR="00A22DDE" w:rsidRPr="00DF6490">
        <w:t>.</w:t>
      </w:r>
      <w:r w:rsidR="00A22DDE" w:rsidRPr="00DF6490">
        <w:rPr>
          <w:rStyle w:val="ui-provider"/>
        </w:rPr>
        <w:t xml:space="preserve"> </w:t>
      </w:r>
      <w:r w:rsidR="003815A1" w:rsidRPr="00DF6490">
        <w:rPr>
          <w:rStyle w:val="ui-provider"/>
        </w:rPr>
        <w:t>This</w:t>
      </w:r>
      <w:r w:rsidR="003B6BD4" w:rsidRPr="00DF6490">
        <w:rPr>
          <w:rStyle w:val="ui-provider"/>
        </w:rPr>
        <w:t xml:space="preserve"> work and care social contract </w:t>
      </w:r>
      <w:r w:rsidR="00002BBE" w:rsidRPr="00DF6490">
        <w:rPr>
          <w:rStyle w:val="ui-provider"/>
        </w:rPr>
        <w:t xml:space="preserve">would </w:t>
      </w:r>
      <w:r w:rsidR="0080511E" w:rsidRPr="00DF6490">
        <w:rPr>
          <w:rStyle w:val="ui-provider"/>
        </w:rPr>
        <w:t xml:space="preserve">enable </w:t>
      </w:r>
      <w:r w:rsidR="00A85D38" w:rsidRPr="00DF6490">
        <w:rPr>
          <w:rStyle w:val="ui-provider"/>
        </w:rPr>
        <w:t>equalised</w:t>
      </w:r>
      <w:r w:rsidR="00A22DDE" w:rsidRPr="00DF6490">
        <w:rPr>
          <w:rStyle w:val="ui-provider"/>
        </w:rPr>
        <w:t xml:space="preserve"> child</w:t>
      </w:r>
      <w:r w:rsidR="009F1C0A">
        <w:rPr>
          <w:rStyle w:val="ui-provider"/>
        </w:rPr>
        <w:t xml:space="preserve"> </w:t>
      </w:r>
      <w:r w:rsidR="00A22DDE" w:rsidRPr="00DF6490">
        <w:rPr>
          <w:rStyle w:val="ui-provider"/>
        </w:rPr>
        <w:t xml:space="preserve">care responsibilities for both men and women, </w:t>
      </w:r>
      <w:r w:rsidR="000329D7" w:rsidRPr="00DF6490">
        <w:rPr>
          <w:rStyle w:val="ui-provider"/>
        </w:rPr>
        <w:t xml:space="preserve">promote </w:t>
      </w:r>
      <w:r w:rsidR="00A22DDE" w:rsidRPr="00DF6490">
        <w:rPr>
          <w:rStyle w:val="ui-provider"/>
        </w:rPr>
        <w:t xml:space="preserve">job security, </w:t>
      </w:r>
      <w:r w:rsidR="009C49B4">
        <w:rPr>
          <w:rStyle w:val="ui-provider"/>
        </w:rPr>
        <w:t xml:space="preserve">provide </w:t>
      </w:r>
      <w:r w:rsidR="00A22DDE" w:rsidRPr="00DF6490">
        <w:rPr>
          <w:rStyle w:val="ui-provider"/>
        </w:rPr>
        <w:t>flexible jobs and transitions in and out of work</w:t>
      </w:r>
      <w:r w:rsidR="000C33F5" w:rsidRPr="00DF6490">
        <w:rPr>
          <w:rStyle w:val="ui-provider"/>
        </w:rPr>
        <w:t>,</w:t>
      </w:r>
      <w:r w:rsidR="00A22DDE" w:rsidRPr="00DF6490">
        <w:rPr>
          <w:rStyle w:val="ui-provider"/>
        </w:rPr>
        <w:t xml:space="preserve"> and </w:t>
      </w:r>
      <w:r w:rsidR="007F31C3" w:rsidRPr="00DF6490">
        <w:rPr>
          <w:rStyle w:val="ui-provider"/>
        </w:rPr>
        <w:t xml:space="preserve">ensure </w:t>
      </w:r>
      <w:r w:rsidR="00A22DDE" w:rsidRPr="00DF6490">
        <w:rPr>
          <w:rStyle w:val="ui-provider"/>
        </w:rPr>
        <w:t xml:space="preserve">that workers remain above the poverty line when they </w:t>
      </w:r>
      <w:r w:rsidR="007E5587" w:rsidRPr="00DF6490">
        <w:rPr>
          <w:rStyle w:val="ui-provider"/>
        </w:rPr>
        <w:t>cannot</w:t>
      </w:r>
      <w:r w:rsidR="00A22DDE" w:rsidRPr="00DF6490">
        <w:rPr>
          <w:rStyle w:val="ui-provider"/>
        </w:rPr>
        <w:t xml:space="preserve"> work and </w:t>
      </w:r>
      <w:r w:rsidR="00930C9D">
        <w:rPr>
          <w:rStyle w:val="ui-provider"/>
        </w:rPr>
        <w:t xml:space="preserve">when </w:t>
      </w:r>
      <w:r w:rsidR="00A22DDE" w:rsidRPr="00DF6490">
        <w:rPr>
          <w:rStyle w:val="ui-provider"/>
        </w:rPr>
        <w:t>in retirement.</w:t>
      </w:r>
    </w:p>
    <w:p w14:paraId="577D2C0C" w14:textId="77777777" w:rsidR="00200036" w:rsidRPr="00DF6490" w:rsidRDefault="00200036" w:rsidP="0065464B">
      <w:pPr>
        <w:rPr>
          <w:rFonts w:cstheme="minorHAnsi"/>
        </w:rPr>
      </w:pPr>
    </w:p>
    <w:p w14:paraId="0259F8CA" w14:textId="62B8F565" w:rsidR="00FB5429" w:rsidRPr="00DF6490" w:rsidRDefault="4F600BB4" w:rsidP="00C10F4E">
      <w:r>
        <w:t xml:space="preserve">The Government is committed to improving </w:t>
      </w:r>
      <w:r w:rsidR="465A2601">
        <w:t xml:space="preserve">pay and </w:t>
      </w:r>
      <w:r>
        <w:t>conditions for all workers, including those in the care sector and those who have caring responsibilities</w:t>
      </w:r>
      <w:r w:rsidR="00200FD5">
        <w:t>.</w:t>
      </w:r>
      <w:r w:rsidR="00FB5429">
        <w:t xml:space="preserve"> The workplace relations system </w:t>
      </w:r>
      <w:r w:rsidR="00550F7C">
        <w:t xml:space="preserve">should </w:t>
      </w:r>
      <w:r w:rsidR="00CB24F8">
        <w:t xml:space="preserve">support Australians </w:t>
      </w:r>
      <w:r w:rsidR="00FB5429">
        <w:t xml:space="preserve">to manage </w:t>
      </w:r>
      <w:r w:rsidR="00CB24F8">
        <w:t xml:space="preserve">work and care responsibilities. </w:t>
      </w:r>
      <w:r w:rsidR="00FB5429">
        <w:t>The Government has introduced</w:t>
      </w:r>
      <w:r w:rsidR="009C49B4">
        <w:t xml:space="preserve"> significant</w:t>
      </w:r>
      <w:r w:rsidR="00FB5429">
        <w:t xml:space="preserve"> legislative amendments to</w:t>
      </w:r>
      <w:r w:rsidR="00550F7C">
        <w:t xml:space="preserve"> the </w:t>
      </w:r>
      <w:r w:rsidR="00550F7C" w:rsidRPr="273A57E7">
        <w:rPr>
          <w:i/>
          <w:iCs/>
        </w:rPr>
        <w:t xml:space="preserve">Fair Work Act 2009 </w:t>
      </w:r>
      <w:r w:rsidR="00550F7C">
        <w:t>(Fair Work Act)</w:t>
      </w:r>
      <w:r w:rsidR="00FB5429">
        <w:t xml:space="preserve"> </w:t>
      </w:r>
      <w:r w:rsidR="000A6733">
        <w:t xml:space="preserve">to </w:t>
      </w:r>
      <w:r w:rsidR="00FB5429">
        <w:t>reform the workplace relations system</w:t>
      </w:r>
      <w:r w:rsidR="00A55F37">
        <w:t xml:space="preserve"> to achieve these objectives</w:t>
      </w:r>
      <w:r w:rsidR="00752C54">
        <w:t>.</w:t>
      </w:r>
    </w:p>
    <w:p w14:paraId="5BB456F0" w14:textId="77777777" w:rsidR="00FB5429" w:rsidRPr="00DF6490" w:rsidRDefault="00FB5429" w:rsidP="00C10F4E"/>
    <w:p w14:paraId="5347F306" w14:textId="3D6121F2" w:rsidR="00C10F4E" w:rsidRPr="00DF6490" w:rsidRDefault="00FB5429" w:rsidP="00C10F4E">
      <w:r w:rsidRPr="00DF6490">
        <w:t xml:space="preserve">This chapter </w:t>
      </w:r>
      <w:r w:rsidR="009C49B4">
        <w:t xml:space="preserve">sets out the Government’s response to the Committee’s </w:t>
      </w:r>
      <w:r w:rsidR="00A56E61" w:rsidRPr="00DF6490">
        <w:t xml:space="preserve">recommendations associated with </w:t>
      </w:r>
      <w:r w:rsidR="00CF72D3" w:rsidRPr="00DF6490">
        <w:t>leave entitlements</w:t>
      </w:r>
      <w:r w:rsidR="004F01D6" w:rsidRPr="00DF6490">
        <w:t>,</w:t>
      </w:r>
      <w:r w:rsidR="00CF72D3" w:rsidRPr="00DF6490">
        <w:t xml:space="preserve"> </w:t>
      </w:r>
      <w:r w:rsidR="00A56E61" w:rsidRPr="00DF6490">
        <w:t>forms of work and working hours</w:t>
      </w:r>
      <w:r w:rsidR="00842A75">
        <w:t>. It</w:t>
      </w:r>
      <w:r w:rsidR="009C49B4">
        <w:t xml:space="preserve"> provides an overview of legislative reforms to the workplace relations framework since taking office</w:t>
      </w:r>
      <w:r w:rsidR="00A56E61" w:rsidRPr="00DF6490">
        <w:t>.</w:t>
      </w:r>
    </w:p>
    <w:p w14:paraId="3E042050" w14:textId="2D9ECFA4" w:rsidR="00590580" w:rsidRPr="00DF6490" w:rsidRDefault="00590580" w:rsidP="00E3572B">
      <w:pPr>
        <w:rPr>
          <w:rFonts w:cstheme="minorHAnsi"/>
        </w:rPr>
      </w:pPr>
    </w:p>
    <w:p w14:paraId="1538D7F9" w14:textId="529F6C82" w:rsidR="001F656C" w:rsidRPr="00320D80" w:rsidRDefault="00320D80" w:rsidP="003910F7">
      <w:pPr>
        <w:pStyle w:val="Heading3"/>
      </w:pPr>
      <w:bookmarkStart w:id="21" w:name="_Toc170224174"/>
      <w:r w:rsidRPr="00320D80">
        <w:t>2.</w:t>
      </w:r>
      <w:r w:rsidR="001C1F8D">
        <w:t>1</w:t>
      </w:r>
      <w:r w:rsidRPr="00320D80">
        <w:t xml:space="preserve"> </w:t>
      </w:r>
      <w:r w:rsidR="001F656C" w:rsidRPr="00320D80">
        <w:t>Workplace relations reforms</w:t>
      </w:r>
      <w:bookmarkEnd w:id="21"/>
    </w:p>
    <w:p w14:paraId="294459C2" w14:textId="526028FD" w:rsidR="001F656C" w:rsidRDefault="001F656C" w:rsidP="001F656C">
      <w:pPr>
        <w:rPr>
          <w:lang w:eastAsia="en-AU"/>
        </w:rPr>
      </w:pPr>
      <w:r>
        <w:t xml:space="preserve">The Government has implemented a significant program of legislative </w:t>
      </w:r>
      <w:r w:rsidRPr="002A0A1F">
        <w:rPr>
          <w:lang w:eastAsia="en-AU"/>
        </w:rPr>
        <w:t xml:space="preserve">reforms to </w:t>
      </w:r>
      <w:r w:rsidRPr="00980982">
        <w:rPr>
          <w:lang w:eastAsia="en-AU"/>
        </w:rPr>
        <w:t>improve Australia’s workplace relations system.</w:t>
      </w:r>
      <w:r w:rsidR="00422787">
        <w:rPr>
          <w:lang w:eastAsia="en-AU"/>
        </w:rPr>
        <w:t xml:space="preserve"> </w:t>
      </w:r>
      <w:r w:rsidRPr="00980982">
        <w:rPr>
          <w:lang w:eastAsia="en-AU"/>
        </w:rPr>
        <w:t xml:space="preserve">Many of these reforms </w:t>
      </w:r>
      <w:r w:rsidR="001A1694">
        <w:rPr>
          <w:lang w:eastAsia="en-AU"/>
        </w:rPr>
        <w:t>are</w:t>
      </w:r>
      <w:r w:rsidRPr="00980982">
        <w:rPr>
          <w:lang w:eastAsia="en-AU"/>
        </w:rPr>
        <w:t xml:space="preserve"> support</w:t>
      </w:r>
      <w:r w:rsidR="001A1694">
        <w:rPr>
          <w:lang w:eastAsia="en-AU"/>
        </w:rPr>
        <w:t>ing</w:t>
      </w:r>
      <w:r w:rsidRPr="00980982">
        <w:rPr>
          <w:lang w:eastAsia="en-AU"/>
        </w:rPr>
        <w:t xml:space="preserve"> employees to manage their work and care responsibilities more effectively</w:t>
      </w:r>
      <w:r w:rsidRPr="00980982">
        <w:t xml:space="preserve">, particularly through improved flexibility and more bargaining options. Employers and employees </w:t>
      </w:r>
      <w:r w:rsidR="001A1694">
        <w:t>are</w:t>
      </w:r>
      <w:r w:rsidRPr="00980982">
        <w:t xml:space="preserve"> be</w:t>
      </w:r>
      <w:r w:rsidR="001A1694">
        <w:t>ing</w:t>
      </w:r>
      <w:r w:rsidRPr="00980982">
        <w:t xml:space="preserve"> empowered to establish working relationships that are appropriate for </w:t>
      </w:r>
      <w:r w:rsidR="009C49B4">
        <w:t>both workplaces and families.</w:t>
      </w:r>
    </w:p>
    <w:p w14:paraId="35D09A70" w14:textId="77777777" w:rsidR="001F656C" w:rsidRDefault="001F656C" w:rsidP="001F656C"/>
    <w:p w14:paraId="1EC19D85" w14:textId="684B6B3C" w:rsidR="001F656C" w:rsidRPr="003910F7" w:rsidRDefault="00320D80" w:rsidP="003910F7">
      <w:pPr>
        <w:pStyle w:val="Heading4"/>
      </w:pPr>
      <w:r w:rsidRPr="003910F7">
        <w:t>2.</w:t>
      </w:r>
      <w:r w:rsidR="001C1F8D">
        <w:t>1</w:t>
      </w:r>
      <w:r w:rsidRPr="003910F7">
        <w:t xml:space="preserve">.1 </w:t>
      </w:r>
      <w:r w:rsidR="001F656C" w:rsidRPr="003910F7">
        <w:t>Paid Family and Domestic Violence Leave reforms</w:t>
      </w:r>
    </w:p>
    <w:p w14:paraId="04C4C133" w14:textId="77777777" w:rsidR="001F656C" w:rsidRDefault="001F656C" w:rsidP="001F656C"/>
    <w:p w14:paraId="105E0704" w14:textId="013CD098" w:rsidR="00D962E5" w:rsidRPr="009C49B4" w:rsidRDefault="00D962E5" w:rsidP="00D962E5">
      <w:r>
        <w:t xml:space="preserve">The </w:t>
      </w:r>
      <w:r w:rsidRPr="00854A4A">
        <w:rPr>
          <w:i/>
          <w:iCs/>
        </w:rPr>
        <w:t>Fair Work Amendment (Paid Family and Domestic Violence Leave) Act 2022</w:t>
      </w:r>
      <w:r w:rsidRPr="0008590F">
        <w:t xml:space="preserve"> </w:t>
      </w:r>
      <w:r>
        <w:t>means victim/survivors d</w:t>
      </w:r>
      <w:r w:rsidRPr="000E6CEA">
        <w:t xml:space="preserve">o not need to choose between </w:t>
      </w:r>
      <w:r>
        <w:t>their</w:t>
      </w:r>
      <w:r w:rsidRPr="000E6CEA">
        <w:t xml:space="preserve"> safety</w:t>
      </w:r>
      <w:r>
        <w:t xml:space="preserve"> or their pay</w:t>
      </w:r>
      <w:r w:rsidRPr="000E6CEA">
        <w:t xml:space="preserve">. All national system employees, including casuals, are now entitled to </w:t>
      </w:r>
      <w:r w:rsidR="004E5E07">
        <w:t>10</w:t>
      </w:r>
      <w:r w:rsidR="004E5E07" w:rsidRPr="000E6CEA">
        <w:t xml:space="preserve"> </w:t>
      </w:r>
      <w:r w:rsidRPr="000E6CEA">
        <w:t>days of paid family and domestic violence leave each</w:t>
      </w:r>
      <w:r>
        <w:t xml:space="preserve"> year, at their full rate of pay. This will extend to non-national system employees on 9 September 2024, 3 months after the International Labour Organization’s </w:t>
      </w:r>
      <w:r>
        <w:rPr>
          <w:i/>
          <w:iCs/>
        </w:rPr>
        <w:t>Violence and Harassment at Work Convention</w:t>
      </w:r>
      <w:r w:rsidR="00A326BA">
        <w:rPr>
          <w:i/>
          <w:iCs/>
        </w:rPr>
        <w:t>,</w:t>
      </w:r>
      <w:r>
        <w:rPr>
          <w:i/>
          <w:iCs/>
        </w:rPr>
        <w:t xml:space="preserve"> 2019</w:t>
      </w:r>
      <w:r>
        <w:t xml:space="preserve"> comes into force for Australia. </w:t>
      </w:r>
    </w:p>
    <w:p w14:paraId="77093291" w14:textId="77777777" w:rsidR="001F656C" w:rsidRDefault="001F656C" w:rsidP="001F656C"/>
    <w:p w14:paraId="36E5D631" w14:textId="17FD6854" w:rsidR="001F656C" w:rsidRPr="007D4AB8" w:rsidRDefault="00320D80" w:rsidP="00EB76F5">
      <w:pPr>
        <w:pStyle w:val="Heading4"/>
      </w:pPr>
      <w:r>
        <w:t>2.</w:t>
      </w:r>
      <w:r w:rsidR="001C1F8D">
        <w:t>1</w:t>
      </w:r>
      <w:r>
        <w:t xml:space="preserve">.2 </w:t>
      </w:r>
      <w:r w:rsidR="001F656C" w:rsidRPr="007D4AB8">
        <w:t>Secure Jobs, Better Pay reforms</w:t>
      </w:r>
    </w:p>
    <w:p w14:paraId="2A56F6D6" w14:textId="334CE3E0" w:rsidR="001F656C" w:rsidRDefault="001F656C" w:rsidP="001F656C"/>
    <w:p w14:paraId="65482BD5" w14:textId="77777777" w:rsidR="001F656C" w:rsidRPr="00980982" w:rsidRDefault="001F656C" w:rsidP="001F656C">
      <w:pPr>
        <w:rPr>
          <w:rFonts w:cstheme="minorHAnsi"/>
        </w:rPr>
      </w:pPr>
      <w:r>
        <w:t>T</w:t>
      </w:r>
      <w:r w:rsidRPr="00980982">
        <w:t>he Government introduced key reforms to improve job security and wages through the</w:t>
      </w:r>
      <w:r w:rsidRPr="00980982">
        <w:rPr>
          <w:i/>
          <w:iCs/>
        </w:rPr>
        <w:t xml:space="preserve"> </w:t>
      </w:r>
      <w:r w:rsidRPr="00980982">
        <w:rPr>
          <w:i/>
        </w:rPr>
        <w:t>Fair Work Legislation Amendment (Secure Jobs, Better Pay) Act 2022</w:t>
      </w:r>
      <w:r w:rsidRPr="00980982">
        <w:t>, which delivered on the Government’s election commitments and outcomes from the 2022 Jobs and Skills Summit.</w:t>
      </w:r>
    </w:p>
    <w:p w14:paraId="1CC67E25" w14:textId="77777777" w:rsidR="001F656C" w:rsidRPr="00980982" w:rsidRDefault="001F656C" w:rsidP="001F656C">
      <w:pPr>
        <w:rPr>
          <w:rFonts w:cstheme="minorHAnsi"/>
        </w:rPr>
      </w:pPr>
    </w:p>
    <w:p w14:paraId="05E21D46" w14:textId="77777777" w:rsidR="001F656C" w:rsidRPr="00980982" w:rsidRDefault="001F656C" w:rsidP="001F656C">
      <w:pPr>
        <w:rPr>
          <w:rFonts w:cstheme="minorHAnsi"/>
        </w:rPr>
      </w:pPr>
      <w:r w:rsidRPr="00980982">
        <w:rPr>
          <w:rFonts w:cstheme="minorHAnsi"/>
        </w:rPr>
        <w:t>The Secure Jobs, Better Pay reforms improve job security and put gender equality at the centre of the workplace relations system, through amendments that:</w:t>
      </w:r>
    </w:p>
    <w:p w14:paraId="4E89B303" w14:textId="659CB196" w:rsidR="001F656C" w:rsidRPr="00980982" w:rsidRDefault="001F656C" w:rsidP="001F656C">
      <w:pPr>
        <w:pStyle w:val="ListParagraph"/>
        <w:numPr>
          <w:ilvl w:val="0"/>
          <w:numId w:val="3"/>
        </w:numPr>
        <w:rPr>
          <w:sz w:val="24"/>
          <w:szCs w:val="24"/>
        </w:rPr>
      </w:pPr>
      <w:r w:rsidRPr="00980982">
        <w:rPr>
          <w:sz w:val="24"/>
          <w:szCs w:val="24"/>
        </w:rPr>
        <w:t>ma</w:t>
      </w:r>
      <w:r w:rsidR="00107795">
        <w:rPr>
          <w:sz w:val="24"/>
          <w:szCs w:val="24"/>
        </w:rPr>
        <w:t>d</w:t>
      </w:r>
      <w:r w:rsidRPr="00980982">
        <w:rPr>
          <w:sz w:val="24"/>
          <w:szCs w:val="24"/>
        </w:rPr>
        <w:t xml:space="preserve">e </w:t>
      </w:r>
      <w:r w:rsidRPr="00980982" w:rsidDel="00976223">
        <w:rPr>
          <w:sz w:val="24"/>
          <w:szCs w:val="24"/>
        </w:rPr>
        <w:t xml:space="preserve">gender </w:t>
      </w:r>
      <w:r w:rsidRPr="00980982">
        <w:rPr>
          <w:sz w:val="24"/>
          <w:szCs w:val="24"/>
        </w:rPr>
        <w:t>equality and job security objects of the Fair Work Act</w:t>
      </w:r>
    </w:p>
    <w:p w14:paraId="13A556DB" w14:textId="77777777" w:rsidR="001F656C" w:rsidRPr="00980982" w:rsidRDefault="001F656C" w:rsidP="001F656C">
      <w:pPr>
        <w:pStyle w:val="ListParagraph"/>
        <w:numPr>
          <w:ilvl w:val="0"/>
          <w:numId w:val="3"/>
        </w:numPr>
        <w:rPr>
          <w:rFonts w:cstheme="minorHAnsi"/>
          <w:sz w:val="24"/>
          <w:szCs w:val="24"/>
        </w:rPr>
      </w:pPr>
      <w:r w:rsidRPr="00980982">
        <w:rPr>
          <w:rFonts w:cstheme="minorHAnsi"/>
          <w:sz w:val="24"/>
          <w:szCs w:val="24"/>
        </w:rPr>
        <w:t>help guide the way the Fair Work Commission considers equal remuneration cases and gender-based undervaluation in work value cases</w:t>
      </w:r>
    </w:p>
    <w:p w14:paraId="4901BE17" w14:textId="0FF4D80B" w:rsidR="001F656C" w:rsidRPr="00980982" w:rsidRDefault="001F656C" w:rsidP="001F656C">
      <w:pPr>
        <w:pStyle w:val="ListParagraph"/>
        <w:numPr>
          <w:ilvl w:val="0"/>
          <w:numId w:val="3"/>
        </w:numPr>
        <w:rPr>
          <w:rFonts w:cstheme="minorHAnsi"/>
          <w:sz w:val="24"/>
          <w:szCs w:val="24"/>
        </w:rPr>
      </w:pPr>
      <w:r w:rsidRPr="00980982">
        <w:rPr>
          <w:rFonts w:cstheme="minorHAnsi"/>
          <w:sz w:val="24"/>
          <w:szCs w:val="24"/>
        </w:rPr>
        <w:lastRenderedPageBreak/>
        <w:t xml:space="preserve">require the Fair Work Commission to </w:t>
      </w:r>
      <w:r w:rsidR="009C49B4">
        <w:rPr>
          <w:rFonts w:cstheme="minorHAnsi"/>
          <w:sz w:val="24"/>
          <w:szCs w:val="24"/>
        </w:rPr>
        <w:t>consider the need to promote secure work and achieve</w:t>
      </w:r>
      <w:r w:rsidRPr="00980982">
        <w:rPr>
          <w:rFonts w:cstheme="minorHAnsi"/>
          <w:sz w:val="24"/>
          <w:szCs w:val="24"/>
        </w:rPr>
        <w:t xml:space="preserve"> gender equality </w:t>
      </w:r>
      <w:r w:rsidR="009C49B4">
        <w:rPr>
          <w:rFonts w:cstheme="minorHAnsi"/>
          <w:sz w:val="24"/>
          <w:szCs w:val="24"/>
        </w:rPr>
        <w:t>in setting the terms of modern awards</w:t>
      </w:r>
    </w:p>
    <w:p w14:paraId="62E64A7A" w14:textId="42BAAC2B" w:rsidR="001F656C" w:rsidRPr="00980982" w:rsidRDefault="001F656C" w:rsidP="001F656C">
      <w:pPr>
        <w:pStyle w:val="ListParagraph"/>
        <w:numPr>
          <w:ilvl w:val="0"/>
          <w:numId w:val="3"/>
        </w:numPr>
        <w:rPr>
          <w:rFonts w:cstheme="minorHAnsi"/>
          <w:sz w:val="24"/>
          <w:szCs w:val="24"/>
        </w:rPr>
      </w:pPr>
      <w:r w:rsidRPr="00980982">
        <w:rPr>
          <w:rFonts w:cstheme="minorHAnsi"/>
          <w:sz w:val="24"/>
          <w:szCs w:val="24"/>
        </w:rPr>
        <w:t xml:space="preserve">require the Fair Work Commission to </w:t>
      </w:r>
      <w:r w:rsidR="009C49B4">
        <w:rPr>
          <w:rFonts w:cstheme="minorHAnsi"/>
          <w:sz w:val="24"/>
          <w:szCs w:val="24"/>
        </w:rPr>
        <w:t>consider the</w:t>
      </w:r>
      <w:r w:rsidRPr="00980982">
        <w:rPr>
          <w:rFonts w:cstheme="minorHAnsi"/>
          <w:sz w:val="24"/>
          <w:szCs w:val="24"/>
        </w:rPr>
        <w:t xml:space="preserve"> need to achieve gender equality </w:t>
      </w:r>
      <w:r w:rsidR="009C49B4">
        <w:rPr>
          <w:rFonts w:cstheme="minorHAnsi"/>
          <w:sz w:val="24"/>
          <w:szCs w:val="24"/>
        </w:rPr>
        <w:t>in</w:t>
      </w:r>
      <w:r w:rsidR="009C49B4" w:rsidRPr="00980982">
        <w:rPr>
          <w:rFonts w:cstheme="minorHAnsi"/>
          <w:sz w:val="24"/>
          <w:szCs w:val="24"/>
        </w:rPr>
        <w:t xml:space="preserve"> </w:t>
      </w:r>
      <w:r w:rsidRPr="00980982">
        <w:rPr>
          <w:rFonts w:cstheme="minorHAnsi"/>
          <w:sz w:val="24"/>
          <w:szCs w:val="24"/>
        </w:rPr>
        <w:t xml:space="preserve">setting </w:t>
      </w:r>
      <w:r w:rsidR="009C49B4">
        <w:rPr>
          <w:rFonts w:cstheme="minorHAnsi"/>
          <w:sz w:val="24"/>
          <w:szCs w:val="24"/>
        </w:rPr>
        <w:t>the national minimum wage and award wages</w:t>
      </w:r>
    </w:p>
    <w:p w14:paraId="37C40728" w14:textId="579F8A1A" w:rsidR="001F656C" w:rsidRPr="00980982" w:rsidRDefault="001F656C" w:rsidP="001F656C">
      <w:pPr>
        <w:pStyle w:val="ListParagraph"/>
        <w:numPr>
          <w:ilvl w:val="0"/>
          <w:numId w:val="3"/>
        </w:numPr>
        <w:rPr>
          <w:rFonts w:cstheme="minorHAnsi"/>
          <w:sz w:val="24"/>
          <w:szCs w:val="24"/>
        </w:rPr>
      </w:pPr>
      <w:r w:rsidRPr="00980982">
        <w:rPr>
          <w:rFonts w:cstheme="minorHAnsi"/>
          <w:sz w:val="24"/>
          <w:szCs w:val="24"/>
        </w:rPr>
        <w:t xml:space="preserve">establish Expert Panels in the Fair Work Commission </w:t>
      </w:r>
      <w:r w:rsidR="00107795">
        <w:rPr>
          <w:rFonts w:cstheme="minorHAnsi"/>
          <w:sz w:val="24"/>
          <w:szCs w:val="24"/>
        </w:rPr>
        <w:t xml:space="preserve">so it has the knowledge and expertise </w:t>
      </w:r>
      <w:r w:rsidRPr="00980982">
        <w:rPr>
          <w:rFonts w:cstheme="minorHAnsi"/>
          <w:sz w:val="24"/>
          <w:szCs w:val="24"/>
        </w:rPr>
        <w:t>to deal with pay equity and care and community sector</w:t>
      </w:r>
      <w:r w:rsidR="00107795">
        <w:rPr>
          <w:rFonts w:cstheme="minorHAnsi"/>
          <w:sz w:val="24"/>
          <w:szCs w:val="24"/>
        </w:rPr>
        <w:t xml:space="preserve"> </w:t>
      </w:r>
      <w:r w:rsidR="00107795" w:rsidRPr="00980982">
        <w:rPr>
          <w:rFonts w:cstheme="minorHAnsi"/>
          <w:sz w:val="24"/>
          <w:szCs w:val="24"/>
        </w:rPr>
        <w:t>matters</w:t>
      </w:r>
    </w:p>
    <w:p w14:paraId="033F7EFE" w14:textId="670A4420" w:rsidR="009C49B4" w:rsidRPr="00980982" w:rsidRDefault="001F656C" w:rsidP="008A7D83">
      <w:pPr>
        <w:pStyle w:val="ListParagraph"/>
        <w:numPr>
          <w:ilvl w:val="0"/>
          <w:numId w:val="3"/>
        </w:numPr>
        <w:rPr>
          <w:rFonts w:cstheme="minorHAnsi"/>
          <w:sz w:val="24"/>
          <w:szCs w:val="24"/>
        </w:rPr>
      </w:pPr>
      <w:r w:rsidRPr="009C49B4">
        <w:rPr>
          <w:rFonts w:cstheme="minorHAnsi"/>
          <w:sz w:val="24"/>
          <w:szCs w:val="24"/>
        </w:rPr>
        <w:t>strengthen the right to request flexible working arrangements</w:t>
      </w:r>
    </w:p>
    <w:p w14:paraId="7865A1B0" w14:textId="314D83C7" w:rsidR="001F656C" w:rsidRPr="009C49B4" w:rsidRDefault="009C49B4" w:rsidP="008A7D83">
      <w:pPr>
        <w:pStyle w:val="ListParagraph"/>
        <w:numPr>
          <w:ilvl w:val="0"/>
          <w:numId w:val="3"/>
        </w:numPr>
        <w:rPr>
          <w:rFonts w:cstheme="minorHAnsi"/>
          <w:sz w:val="24"/>
          <w:szCs w:val="24"/>
        </w:rPr>
      </w:pPr>
      <w:r w:rsidRPr="009C49B4">
        <w:rPr>
          <w:rFonts w:cstheme="minorHAnsi"/>
          <w:sz w:val="24"/>
          <w:szCs w:val="24"/>
        </w:rPr>
        <w:t>reinvigorate the bargaining system, with a focus on opening it up to low-paid, female-dominated sectors</w:t>
      </w:r>
    </w:p>
    <w:p w14:paraId="6DF8E096" w14:textId="34F45EC5" w:rsidR="001F656C" w:rsidRPr="00980982" w:rsidRDefault="001F656C" w:rsidP="001F656C">
      <w:pPr>
        <w:pStyle w:val="ListParagraph"/>
        <w:numPr>
          <w:ilvl w:val="0"/>
          <w:numId w:val="3"/>
        </w:numPr>
        <w:rPr>
          <w:rFonts w:cstheme="minorHAnsi"/>
          <w:sz w:val="24"/>
          <w:szCs w:val="24"/>
        </w:rPr>
      </w:pPr>
      <w:r w:rsidRPr="00980982">
        <w:rPr>
          <w:rFonts w:cstheme="minorHAnsi"/>
          <w:sz w:val="24"/>
          <w:szCs w:val="24"/>
        </w:rPr>
        <w:t>prohibit pay secrecy clauses in employment contracts, and</w:t>
      </w:r>
    </w:p>
    <w:p w14:paraId="7FCCB9DF" w14:textId="7CB99B23" w:rsidR="001F656C" w:rsidRPr="00980982" w:rsidRDefault="001F656C" w:rsidP="001F656C">
      <w:pPr>
        <w:pStyle w:val="ListParagraph"/>
        <w:numPr>
          <w:ilvl w:val="0"/>
          <w:numId w:val="3"/>
        </w:numPr>
        <w:rPr>
          <w:rFonts w:cstheme="minorHAnsi"/>
          <w:sz w:val="24"/>
          <w:szCs w:val="24"/>
        </w:rPr>
      </w:pPr>
      <w:r w:rsidRPr="00980982">
        <w:rPr>
          <w:sz w:val="24"/>
          <w:szCs w:val="24"/>
        </w:rPr>
        <w:t>limit the use of fixed-term contracts.</w:t>
      </w:r>
    </w:p>
    <w:p w14:paraId="6C03A90E" w14:textId="77777777" w:rsidR="001F656C" w:rsidRPr="00980982" w:rsidRDefault="001F656C" w:rsidP="001F656C">
      <w:pPr>
        <w:rPr>
          <w:rFonts w:cstheme="minorHAnsi"/>
        </w:rPr>
      </w:pPr>
    </w:p>
    <w:p w14:paraId="63796077" w14:textId="738E2BE6" w:rsidR="001F656C" w:rsidRPr="007D4AB8" w:rsidRDefault="00320D80" w:rsidP="00EB76F5">
      <w:pPr>
        <w:pStyle w:val="Heading4"/>
      </w:pPr>
      <w:r>
        <w:t>2.</w:t>
      </w:r>
      <w:r w:rsidR="001C1F8D">
        <w:t>1</w:t>
      </w:r>
      <w:r>
        <w:t xml:space="preserve">.3 </w:t>
      </w:r>
      <w:r w:rsidR="001F656C" w:rsidRPr="007D4AB8">
        <w:t>Protecting Worker Entitlements reforms</w:t>
      </w:r>
    </w:p>
    <w:p w14:paraId="4276A21A" w14:textId="318760A4" w:rsidR="001F656C" w:rsidRPr="00320D80" w:rsidRDefault="001F656C" w:rsidP="00320D80">
      <w:pPr>
        <w:ind w:firstLine="357"/>
        <w:rPr>
          <w:i/>
          <w:iCs/>
        </w:rPr>
      </w:pPr>
    </w:p>
    <w:p w14:paraId="5C35965C" w14:textId="0FE47D82" w:rsidR="001F656C" w:rsidRPr="00980982" w:rsidRDefault="001F656C" w:rsidP="001F656C">
      <w:pPr>
        <w:rPr>
          <w:rFonts w:cstheme="minorHAnsi"/>
        </w:rPr>
      </w:pPr>
      <w:r w:rsidRPr="00980982">
        <w:t xml:space="preserve">The </w:t>
      </w:r>
      <w:r w:rsidRPr="00686A00">
        <w:rPr>
          <w:i/>
        </w:rPr>
        <w:t xml:space="preserve">Fair Work Legislation Amendment (Protecting Worker Entitlements) </w:t>
      </w:r>
      <w:r>
        <w:rPr>
          <w:i/>
          <w:iCs/>
        </w:rPr>
        <w:t>Act</w:t>
      </w:r>
      <w:r w:rsidRPr="00686A00">
        <w:rPr>
          <w:i/>
          <w:iCs/>
        </w:rPr>
        <w:t xml:space="preserve"> </w:t>
      </w:r>
      <w:r w:rsidRPr="00686A00">
        <w:rPr>
          <w:i/>
        </w:rPr>
        <w:t>2023</w:t>
      </w:r>
      <w:r w:rsidRPr="00980982">
        <w:t xml:space="preserve"> </w:t>
      </w:r>
      <w:r>
        <w:t>made</w:t>
      </w:r>
      <w:r w:rsidRPr="00980982">
        <w:t xml:space="preserve"> </w:t>
      </w:r>
      <w:r>
        <w:t xml:space="preserve">further reforms to </w:t>
      </w:r>
      <w:r w:rsidRPr="00980982">
        <w:t>enhance worker protections, promote gender equality, remove unnecessary administrative burden, and clarify aspects of the workplace relations system. It include</w:t>
      </w:r>
      <w:r>
        <w:t>d</w:t>
      </w:r>
      <w:r w:rsidRPr="00980982">
        <w:t xml:space="preserve"> amendments to the Fair Work Act to:</w:t>
      </w:r>
    </w:p>
    <w:p w14:paraId="142F3779" w14:textId="2BC54B70" w:rsidR="009C49B4" w:rsidRPr="009C49B4" w:rsidRDefault="009C49B4" w:rsidP="001F656C">
      <w:pPr>
        <w:pStyle w:val="ListParagraph"/>
        <w:numPr>
          <w:ilvl w:val="0"/>
          <w:numId w:val="6"/>
        </w:numPr>
        <w:rPr>
          <w:rFonts w:cstheme="minorHAnsi"/>
          <w:sz w:val="24"/>
          <w:szCs w:val="24"/>
        </w:rPr>
      </w:pPr>
      <w:r>
        <w:rPr>
          <w:rFonts w:cstheme="minorHAnsi"/>
          <w:sz w:val="24"/>
          <w:szCs w:val="24"/>
        </w:rPr>
        <w:t>clarify the rights of temporary migrant workers to pay and entitlements is not affected by their migration status</w:t>
      </w:r>
    </w:p>
    <w:p w14:paraId="0ED63C3D" w14:textId="30E31F29" w:rsidR="001F656C" w:rsidRPr="00980982" w:rsidRDefault="001F656C" w:rsidP="001F656C">
      <w:pPr>
        <w:pStyle w:val="ListParagraph"/>
        <w:numPr>
          <w:ilvl w:val="0"/>
          <w:numId w:val="6"/>
        </w:numPr>
        <w:rPr>
          <w:rFonts w:cstheme="minorHAnsi"/>
          <w:sz w:val="24"/>
          <w:szCs w:val="24"/>
        </w:rPr>
      </w:pPr>
      <w:r w:rsidRPr="00980982">
        <w:rPr>
          <w:rFonts w:ascii="Calibri" w:eastAsia="Calibri" w:hAnsi="Calibri" w:cs="Calibri"/>
          <w:color w:val="000000" w:themeColor="text1"/>
          <w:sz w:val="24"/>
          <w:szCs w:val="24"/>
          <w:lang w:val="en-GB"/>
        </w:rPr>
        <w:t>insert an entitlement to superannuation in the National Employment Standards</w:t>
      </w:r>
      <w:r w:rsidRPr="00980982">
        <w:rPr>
          <w:sz w:val="24"/>
          <w:szCs w:val="24"/>
          <w:lang w:eastAsia="en-AU"/>
        </w:rPr>
        <w:t>, and</w:t>
      </w:r>
    </w:p>
    <w:p w14:paraId="4BD1AA74" w14:textId="77777777" w:rsidR="001F656C" w:rsidRPr="00980982" w:rsidRDefault="001F656C" w:rsidP="001F656C">
      <w:pPr>
        <w:pStyle w:val="ListParagraph"/>
        <w:numPr>
          <w:ilvl w:val="0"/>
          <w:numId w:val="4"/>
        </w:numPr>
        <w:rPr>
          <w:sz w:val="24"/>
          <w:szCs w:val="24"/>
        </w:rPr>
      </w:pPr>
      <w:r w:rsidRPr="00980982">
        <w:rPr>
          <w:sz w:val="24"/>
          <w:szCs w:val="24"/>
        </w:rPr>
        <w:t xml:space="preserve">provide stronger access to unpaid parental leave and complement recent changes to the </w:t>
      </w:r>
      <w:r w:rsidRPr="00980982">
        <w:rPr>
          <w:i/>
          <w:sz w:val="24"/>
          <w:szCs w:val="24"/>
        </w:rPr>
        <w:t xml:space="preserve">Paid Parental Leave Act </w:t>
      </w:r>
      <w:r w:rsidRPr="00980982">
        <w:rPr>
          <w:i/>
          <w:iCs/>
          <w:sz w:val="24"/>
          <w:szCs w:val="24"/>
        </w:rPr>
        <w:t>2010</w:t>
      </w:r>
      <w:r w:rsidRPr="00980982">
        <w:rPr>
          <w:sz w:val="24"/>
          <w:szCs w:val="24"/>
        </w:rPr>
        <w:t>.</w:t>
      </w:r>
    </w:p>
    <w:p w14:paraId="45850A1E" w14:textId="77777777" w:rsidR="001F656C" w:rsidRDefault="001F656C" w:rsidP="001F656C">
      <w:pPr>
        <w:rPr>
          <w:rFonts w:cstheme="minorHAnsi"/>
        </w:rPr>
      </w:pPr>
    </w:p>
    <w:p w14:paraId="1BE202E8" w14:textId="4B852CD4" w:rsidR="001F656C" w:rsidRPr="007D4AB8" w:rsidRDefault="00320D80" w:rsidP="00EB76F5">
      <w:pPr>
        <w:pStyle w:val="Heading4"/>
      </w:pPr>
      <w:r>
        <w:t>2.</w:t>
      </w:r>
      <w:r w:rsidR="001C1F8D">
        <w:t>1</w:t>
      </w:r>
      <w:r>
        <w:t xml:space="preserve">.4 </w:t>
      </w:r>
      <w:r w:rsidR="001F656C" w:rsidRPr="007D4AB8">
        <w:t xml:space="preserve">Closing </w:t>
      </w:r>
      <w:r w:rsidR="001F656C">
        <w:t>L</w:t>
      </w:r>
      <w:r w:rsidR="001F656C" w:rsidRPr="007D4AB8">
        <w:t>oopholes</w:t>
      </w:r>
      <w:r w:rsidR="001F656C">
        <w:t xml:space="preserve"> reforms</w:t>
      </w:r>
    </w:p>
    <w:p w14:paraId="4896483C" w14:textId="44E991C5" w:rsidR="001F656C" w:rsidRDefault="001F656C" w:rsidP="001F656C">
      <w:pPr>
        <w:rPr>
          <w:rFonts w:ascii="Times New Roman" w:eastAsiaTheme="minorHAnsi" w:hAnsi="Times New Roman" w:cs="Times New Roman"/>
          <w:lang w:eastAsia="en-AU"/>
        </w:rPr>
      </w:pPr>
    </w:p>
    <w:p w14:paraId="485E0A5A" w14:textId="362246AB" w:rsidR="001F656C" w:rsidRPr="002A0A1F" w:rsidRDefault="00107795" w:rsidP="001F656C">
      <w:r>
        <w:t>T</w:t>
      </w:r>
      <w:r w:rsidR="001F656C" w:rsidRPr="002A0A1F">
        <w:t xml:space="preserve">he Government </w:t>
      </w:r>
      <w:r>
        <w:t xml:space="preserve">also </w:t>
      </w:r>
      <w:r w:rsidR="001F656C" w:rsidRPr="002A0A1F">
        <w:t xml:space="preserve">made further improvements to the workplace relations system through the </w:t>
      </w:r>
      <w:r w:rsidR="001F656C" w:rsidRPr="002A0A1F">
        <w:rPr>
          <w:i/>
          <w:iCs/>
        </w:rPr>
        <w:t>Fair Work Legislation Amendment (Closing Loopholes) Act 2023</w:t>
      </w:r>
      <w:r w:rsidR="001F656C" w:rsidRPr="002A0A1F">
        <w:t xml:space="preserve"> and the </w:t>
      </w:r>
      <w:r w:rsidR="001F656C" w:rsidRPr="00B74776">
        <w:rPr>
          <w:i/>
          <w:iCs/>
        </w:rPr>
        <w:t>Fair Work</w:t>
      </w:r>
      <w:r w:rsidR="001F656C" w:rsidRPr="002A0A1F">
        <w:t xml:space="preserve"> </w:t>
      </w:r>
      <w:r w:rsidR="001F656C" w:rsidRPr="002A0A1F">
        <w:rPr>
          <w:i/>
          <w:iCs/>
        </w:rPr>
        <w:t>Legislation Amendment (Closing Loopholes No. 2) Act 2024</w:t>
      </w:r>
      <w:r w:rsidR="001F656C" w:rsidRPr="002A0A1F">
        <w:t>. The Closing Loopholes reforms make amendments to the Fair Work Act to:</w:t>
      </w:r>
    </w:p>
    <w:p w14:paraId="5ABFEF64" w14:textId="77777777" w:rsidR="001F656C" w:rsidRPr="002A0A1F" w:rsidRDefault="001F656C" w:rsidP="001F656C">
      <w:pPr>
        <w:pStyle w:val="ListParagraph"/>
        <w:numPr>
          <w:ilvl w:val="0"/>
          <w:numId w:val="5"/>
        </w:numPr>
        <w:rPr>
          <w:sz w:val="24"/>
          <w:szCs w:val="24"/>
        </w:rPr>
      </w:pPr>
      <w:r w:rsidRPr="002A0A1F">
        <w:rPr>
          <w:sz w:val="24"/>
          <w:szCs w:val="24"/>
        </w:rPr>
        <w:t>address the misuse of casual employment arrangements and provide a clearer pathway to permanent work</w:t>
      </w:r>
    </w:p>
    <w:p w14:paraId="104FC139" w14:textId="77777777" w:rsidR="001F656C" w:rsidRPr="002A0A1F" w:rsidRDefault="001F656C" w:rsidP="001F656C">
      <w:pPr>
        <w:pStyle w:val="ListParagraph"/>
        <w:numPr>
          <w:ilvl w:val="0"/>
          <w:numId w:val="5"/>
        </w:numPr>
        <w:rPr>
          <w:sz w:val="24"/>
          <w:szCs w:val="24"/>
        </w:rPr>
      </w:pPr>
      <w:r w:rsidRPr="002A0A1F">
        <w:rPr>
          <w:sz w:val="24"/>
          <w:szCs w:val="24"/>
        </w:rPr>
        <w:t>ensure labour hire workers are paid at least the same as directly engaged employees doing the same work</w:t>
      </w:r>
    </w:p>
    <w:p w14:paraId="5EB45EC7" w14:textId="77777777" w:rsidR="001F656C" w:rsidRPr="002A0A1F" w:rsidRDefault="001F656C" w:rsidP="001F656C">
      <w:pPr>
        <w:pStyle w:val="ListParagraph"/>
        <w:numPr>
          <w:ilvl w:val="0"/>
          <w:numId w:val="5"/>
        </w:numPr>
        <w:rPr>
          <w:sz w:val="24"/>
          <w:szCs w:val="24"/>
        </w:rPr>
      </w:pPr>
      <w:r w:rsidRPr="002A0A1F">
        <w:rPr>
          <w:sz w:val="24"/>
          <w:szCs w:val="24"/>
        </w:rPr>
        <w:t>criminalise wage theft by introducing criminal offences for</w:t>
      </w:r>
      <w:r>
        <w:rPr>
          <w:sz w:val="24"/>
          <w:szCs w:val="24"/>
        </w:rPr>
        <w:t xml:space="preserve"> </w:t>
      </w:r>
      <w:r w:rsidRPr="00412676">
        <w:rPr>
          <w:sz w:val="24"/>
          <w:szCs w:val="24"/>
        </w:rPr>
        <w:t>intentional underpayment of employees’ wages and certain entitlements</w:t>
      </w:r>
    </w:p>
    <w:p w14:paraId="48A4E58A" w14:textId="69A76B31" w:rsidR="001F656C" w:rsidRPr="002A0A1F" w:rsidRDefault="001F656C" w:rsidP="001F656C">
      <w:pPr>
        <w:pStyle w:val="ListParagraph"/>
        <w:numPr>
          <w:ilvl w:val="0"/>
          <w:numId w:val="5"/>
        </w:numPr>
        <w:rPr>
          <w:sz w:val="24"/>
          <w:szCs w:val="24"/>
        </w:rPr>
      </w:pPr>
      <w:r w:rsidRPr="002A0A1F">
        <w:rPr>
          <w:sz w:val="24"/>
          <w:szCs w:val="24"/>
        </w:rPr>
        <w:t>provide stronger protections against discrimination, adverse action</w:t>
      </w:r>
      <w:r w:rsidR="005E2665">
        <w:rPr>
          <w:sz w:val="24"/>
          <w:szCs w:val="24"/>
        </w:rPr>
        <w:t>,</w:t>
      </w:r>
      <w:r w:rsidRPr="002A0A1F">
        <w:rPr>
          <w:sz w:val="24"/>
          <w:szCs w:val="24"/>
        </w:rPr>
        <w:t xml:space="preserve"> and harassment</w:t>
      </w:r>
    </w:p>
    <w:p w14:paraId="7906B286" w14:textId="77777777" w:rsidR="001F656C" w:rsidRPr="002A0A1F" w:rsidRDefault="001F656C" w:rsidP="001F656C">
      <w:pPr>
        <w:pStyle w:val="ListParagraph"/>
        <w:numPr>
          <w:ilvl w:val="0"/>
          <w:numId w:val="5"/>
        </w:numPr>
        <w:rPr>
          <w:sz w:val="24"/>
          <w:szCs w:val="24"/>
        </w:rPr>
      </w:pPr>
      <w:r w:rsidRPr="002A0A1F">
        <w:rPr>
          <w:sz w:val="24"/>
          <w:szCs w:val="24"/>
        </w:rPr>
        <w:t>extend the powers of the Fair Work Commission to inquire into and set minimum standards for ‘employee-like’ work</w:t>
      </w:r>
      <w:r>
        <w:rPr>
          <w:sz w:val="24"/>
          <w:szCs w:val="24"/>
        </w:rPr>
        <w:t>ers</w:t>
      </w:r>
      <w:r w:rsidRPr="002A0A1F">
        <w:rPr>
          <w:sz w:val="24"/>
          <w:szCs w:val="24"/>
        </w:rPr>
        <w:t>, and</w:t>
      </w:r>
    </w:p>
    <w:p w14:paraId="10FBC541" w14:textId="77777777" w:rsidR="001F656C" w:rsidRPr="002A0A1F" w:rsidRDefault="001F656C" w:rsidP="001F656C">
      <w:pPr>
        <w:pStyle w:val="ListParagraph"/>
        <w:numPr>
          <w:ilvl w:val="0"/>
          <w:numId w:val="5"/>
        </w:numPr>
        <w:rPr>
          <w:sz w:val="24"/>
          <w:szCs w:val="24"/>
        </w:rPr>
      </w:pPr>
      <w:r w:rsidRPr="002A0A1F">
        <w:rPr>
          <w:sz w:val="24"/>
          <w:szCs w:val="24"/>
        </w:rPr>
        <w:t>introduce an employee right to disconnect</w:t>
      </w:r>
      <w:r w:rsidRPr="002A0A1F">
        <w:t>.</w:t>
      </w:r>
    </w:p>
    <w:p w14:paraId="25CB0AC8" w14:textId="77777777" w:rsidR="001F656C" w:rsidRPr="002A0A1F" w:rsidRDefault="001F656C" w:rsidP="001F656C">
      <w:pPr>
        <w:rPr>
          <w:rFonts w:cstheme="minorHAnsi"/>
        </w:rPr>
      </w:pPr>
    </w:p>
    <w:p w14:paraId="79696F06" w14:textId="0AC2F6A8" w:rsidR="001F656C" w:rsidRPr="00320D80" w:rsidRDefault="00320D80" w:rsidP="00EB76F5">
      <w:pPr>
        <w:pStyle w:val="Heading4"/>
      </w:pPr>
      <w:r w:rsidRPr="00320D80">
        <w:t>2.</w:t>
      </w:r>
      <w:r w:rsidR="001C1F8D">
        <w:t>1</w:t>
      </w:r>
      <w:r w:rsidRPr="00320D80">
        <w:t xml:space="preserve">.5 </w:t>
      </w:r>
      <w:r w:rsidR="001F656C" w:rsidRPr="00320D80">
        <w:t>Modern Awards Review 2023</w:t>
      </w:r>
      <w:r w:rsidR="00851075" w:rsidRPr="00851075">
        <w:t>–</w:t>
      </w:r>
      <w:r w:rsidR="001F656C" w:rsidRPr="00320D80">
        <w:t>24</w:t>
      </w:r>
    </w:p>
    <w:p w14:paraId="5CD5273F" w14:textId="33975CCE" w:rsidR="001F656C" w:rsidRPr="006E27B6" w:rsidRDefault="001F656C" w:rsidP="001F656C">
      <w:pPr>
        <w:rPr>
          <w:rFonts w:cstheme="minorHAnsi"/>
        </w:rPr>
      </w:pPr>
    </w:p>
    <w:p w14:paraId="784F95A4" w14:textId="7EA77589" w:rsidR="001F656C" w:rsidRPr="000A7F89" w:rsidRDefault="001F656C" w:rsidP="001F656C">
      <w:r w:rsidRPr="00980982">
        <w:rPr>
          <w:rStyle w:val="normaltextrun"/>
          <w:color w:val="000000"/>
          <w:shd w:val="clear" w:color="auto" w:fill="FFFFFF"/>
          <w:lang w:val="en-GB"/>
        </w:rPr>
        <w:t xml:space="preserve">In addition to legislative reforms, the Government committed at the Jobs and Skills Summit to consider where improvements can be made to modern </w:t>
      </w:r>
      <w:r w:rsidRPr="00314AB4">
        <w:rPr>
          <w:rStyle w:val="normaltextrun"/>
          <w:color w:val="000000"/>
          <w:shd w:val="clear" w:color="auto" w:fill="FFFFFF"/>
          <w:lang w:val="en-GB"/>
        </w:rPr>
        <w:t xml:space="preserve">awards, and to conduct detailed consultation and research on the impact of workplace relations settings (such as rostering arrangements) on work and care. </w:t>
      </w:r>
      <w:r w:rsidRPr="00314AB4" w:rsidDel="001B4E62">
        <w:rPr>
          <w:rStyle w:val="normaltextrun"/>
          <w:color w:val="000000"/>
          <w:shd w:val="clear" w:color="auto" w:fill="FFFFFF"/>
          <w:lang w:val="en-GB"/>
        </w:rPr>
        <w:t xml:space="preserve">The Government provided $0.8 million in </w:t>
      </w:r>
      <w:r w:rsidRPr="00314AB4">
        <w:rPr>
          <w:rStyle w:val="normaltextrun"/>
          <w:color w:val="000000"/>
          <w:shd w:val="clear" w:color="auto" w:fill="FFFFFF"/>
          <w:lang w:val="en-GB"/>
        </w:rPr>
        <w:t>the</w:t>
      </w:r>
      <w:r w:rsidRPr="00314AB4" w:rsidDel="001B4E62">
        <w:rPr>
          <w:rStyle w:val="normaltextrun"/>
          <w:color w:val="000000"/>
          <w:shd w:val="clear" w:color="auto" w:fill="FFFFFF"/>
          <w:lang w:val="en-GB"/>
        </w:rPr>
        <w:t xml:space="preserve"> </w:t>
      </w:r>
      <w:r w:rsidR="00E250AD">
        <w:rPr>
          <w:rStyle w:val="normaltextrun"/>
          <w:color w:val="000000"/>
          <w:shd w:val="clear" w:color="auto" w:fill="FFFFFF"/>
          <w:lang w:val="en-GB"/>
        </w:rPr>
        <w:br/>
      </w:r>
      <w:r w:rsidRPr="00314AB4" w:rsidDel="001B4E62">
        <w:rPr>
          <w:rStyle w:val="normaltextrun"/>
          <w:color w:val="000000"/>
          <w:shd w:val="clear" w:color="auto" w:fill="FFFFFF"/>
          <w:lang w:val="en-GB"/>
        </w:rPr>
        <w:lastRenderedPageBreak/>
        <w:t>2023</w:t>
      </w:r>
      <w:r w:rsidR="00851075" w:rsidRPr="273A57E7">
        <w:t>–</w:t>
      </w:r>
      <w:r w:rsidRPr="00314AB4" w:rsidDel="001B4E62">
        <w:rPr>
          <w:rStyle w:val="normaltextrun"/>
          <w:color w:val="000000"/>
          <w:shd w:val="clear" w:color="auto" w:fill="FFFFFF"/>
          <w:lang w:val="en-GB"/>
        </w:rPr>
        <w:t>24</w:t>
      </w:r>
      <w:r w:rsidR="008C03C2">
        <w:rPr>
          <w:rStyle w:val="normaltextrun"/>
          <w:color w:val="000000"/>
          <w:shd w:val="clear" w:color="auto" w:fill="FFFFFF"/>
          <w:lang w:val="en-GB"/>
        </w:rPr>
        <w:t> </w:t>
      </w:r>
      <w:r w:rsidRPr="000A7F89">
        <w:rPr>
          <w:rStyle w:val="normaltextrun"/>
          <w:color w:val="000000"/>
          <w:shd w:val="clear" w:color="auto" w:fill="FFFFFF"/>
          <w:lang w:val="en-GB"/>
        </w:rPr>
        <w:t>B</w:t>
      </w:r>
      <w:r w:rsidRPr="000A7F89" w:rsidDel="001B4E62">
        <w:rPr>
          <w:rStyle w:val="normaltextrun"/>
          <w:color w:val="000000"/>
          <w:shd w:val="clear" w:color="auto" w:fill="FFFFFF"/>
          <w:lang w:val="en-GB"/>
        </w:rPr>
        <w:t xml:space="preserve">udget to the Fair Work Commission and the Department of Employment and Workplace Relations to deliver on these important commitments. </w:t>
      </w:r>
    </w:p>
    <w:p w14:paraId="5785033B" w14:textId="77777777" w:rsidR="00AC0540" w:rsidRPr="000A7F89" w:rsidRDefault="00AC0540" w:rsidP="001F656C"/>
    <w:p w14:paraId="13BFD3A1" w14:textId="2563A51D" w:rsidR="00EB76F5" w:rsidRPr="000A7F89" w:rsidRDefault="00EB76F5" w:rsidP="00EB76F5">
      <w:r>
        <w:t>On 12 September</w:t>
      </w:r>
      <w:r w:rsidR="00A03785">
        <w:t> </w:t>
      </w:r>
      <w:r>
        <w:t xml:space="preserve">2023, the Minister for Employment and Workplace Relations wrote to the </w:t>
      </w:r>
      <w:r w:rsidR="000D3CF9">
        <w:t xml:space="preserve">President of the </w:t>
      </w:r>
      <w:r>
        <w:t xml:space="preserve">Fair Work Commission to </w:t>
      </w:r>
      <w:r w:rsidR="002E3C00">
        <w:t>recommend</w:t>
      </w:r>
      <w:r>
        <w:t xml:space="preserve"> the </w:t>
      </w:r>
      <w:r w:rsidR="002E3C00">
        <w:t xml:space="preserve">Fair Work </w:t>
      </w:r>
      <w:r>
        <w:t>Commission undertak</w:t>
      </w:r>
      <w:r w:rsidR="002E3C00">
        <w:t>e</w:t>
      </w:r>
      <w:r>
        <w:t xml:space="preserve"> a targeted review of modern awards. The letter identified key priorities for such a review</w:t>
      </w:r>
      <w:r w:rsidR="00AA26E1">
        <w:t>,</w:t>
      </w:r>
      <w:r>
        <w:t xml:space="preserve"> including:</w:t>
      </w:r>
    </w:p>
    <w:p w14:paraId="41268BE6" w14:textId="26D0BBC2" w:rsidR="00EB76F5" w:rsidRPr="000A7F89" w:rsidRDefault="00EB76F5" w:rsidP="00EB76F5">
      <w:pPr>
        <w:ind w:left="720"/>
        <w:rPr>
          <w:rStyle w:val="normaltextrun"/>
          <w:color w:val="000000"/>
          <w:shd w:val="clear" w:color="auto" w:fill="FFFFFF"/>
          <w:lang w:val="en-GB"/>
        </w:rPr>
      </w:pPr>
      <w:r w:rsidRPr="000A7F89">
        <w:rPr>
          <w:i/>
          <w:iCs/>
        </w:rPr>
        <w:t>a consultation and research process considering the impact of workplace relations settings (such as rostering arrangements) on work and care, including early education and care […], having regard to relevant findings and recommendations of the Final Report of the Senate Select Committee on Work and Care.</w:t>
      </w:r>
      <w:r w:rsidR="00A03785" w:rsidRPr="00E250AD">
        <w:rPr>
          <w:rStyle w:val="FootnoteReference"/>
        </w:rPr>
        <w:footnoteReference w:id="6"/>
      </w:r>
    </w:p>
    <w:p w14:paraId="5CE757F1" w14:textId="77777777" w:rsidR="00EB76F5" w:rsidRPr="000A7F89" w:rsidRDefault="00EB76F5" w:rsidP="00EB76F5">
      <w:pPr>
        <w:rPr>
          <w:rStyle w:val="normaltextrun"/>
          <w:color w:val="000000"/>
          <w:shd w:val="clear" w:color="auto" w:fill="FFFFFF"/>
          <w:lang w:val="en-GB"/>
        </w:rPr>
      </w:pPr>
    </w:p>
    <w:p w14:paraId="3F6DA581" w14:textId="2BE17970" w:rsidR="00047554" w:rsidRDefault="00047554" w:rsidP="00047554">
      <w:pPr>
        <w:rPr>
          <w:rStyle w:val="normaltextrun"/>
          <w:color w:val="000000"/>
          <w:shd w:val="clear" w:color="auto" w:fill="FFFFFF"/>
          <w:lang w:val="en-GB"/>
        </w:rPr>
      </w:pPr>
      <w:r w:rsidRPr="000A7F89">
        <w:rPr>
          <w:rStyle w:val="normaltextrun"/>
          <w:color w:val="000000"/>
          <w:shd w:val="clear" w:color="auto" w:fill="FFFFFF"/>
          <w:lang w:val="en-GB"/>
        </w:rPr>
        <w:t>The Fair Work Commission commenced the Modern Awards Review 2023</w:t>
      </w:r>
      <w:r w:rsidRPr="273A57E7">
        <w:t>–</w:t>
      </w:r>
      <w:r w:rsidRPr="000A7F89">
        <w:rPr>
          <w:rStyle w:val="normaltextrun"/>
          <w:color w:val="000000"/>
          <w:shd w:val="clear" w:color="auto" w:fill="FFFFFF"/>
          <w:lang w:val="en-GB"/>
        </w:rPr>
        <w:t xml:space="preserve">24 </w:t>
      </w:r>
      <w:r>
        <w:rPr>
          <w:rStyle w:val="normaltextrun"/>
          <w:color w:val="000000"/>
          <w:shd w:val="clear" w:color="auto" w:fill="FFFFFF"/>
          <w:lang w:val="en-GB"/>
        </w:rPr>
        <w:t xml:space="preserve">(Modern Awards Review) </w:t>
      </w:r>
      <w:r w:rsidRPr="000A7F89">
        <w:rPr>
          <w:rStyle w:val="normaltextrun"/>
          <w:color w:val="000000"/>
          <w:shd w:val="clear" w:color="auto" w:fill="FFFFFF"/>
          <w:lang w:val="en-GB"/>
        </w:rPr>
        <w:t xml:space="preserve">on 15 September 2023. </w:t>
      </w:r>
      <w:r>
        <w:rPr>
          <w:rStyle w:val="normaltextrun"/>
          <w:color w:val="000000"/>
          <w:shd w:val="clear" w:color="auto" w:fill="FFFFFF"/>
          <w:lang w:val="en-GB"/>
        </w:rPr>
        <w:t xml:space="preserve">It </w:t>
      </w:r>
      <w:r w:rsidRPr="000A7F89">
        <w:rPr>
          <w:rStyle w:val="normaltextrun"/>
          <w:color w:val="000000"/>
          <w:shd w:val="clear" w:color="auto" w:fill="FFFFFF"/>
          <w:lang w:val="en-GB"/>
        </w:rPr>
        <w:t>includes</w:t>
      </w:r>
      <w:r w:rsidRPr="002073B1">
        <w:rPr>
          <w:rStyle w:val="normaltextrun"/>
          <w:color w:val="000000"/>
          <w:shd w:val="clear" w:color="auto" w:fill="FFFFFF"/>
          <w:lang w:val="en-GB"/>
        </w:rPr>
        <w:t xml:space="preserve"> a </w:t>
      </w:r>
      <w:r>
        <w:rPr>
          <w:rStyle w:val="normaltextrun"/>
          <w:color w:val="000000"/>
          <w:shd w:val="clear" w:color="auto" w:fill="FFFFFF"/>
          <w:lang w:val="en-GB"/>
        </w:rPr>
        <w:t>w</w:t>
      </w:r>
      <w:r w:rsidRPr="002073B1">
        <w:rPr>
          <w:rStyle w:val="normaltextrun"/>
          <w:color w:val="000000"/>
          <w:shd w:val="clear" w:color="auto" w:fill="FFFFFF"/>
          <w:lang w:val="en-GB"/>
        </w:rPr>
        <w:t xml:space="preserve">ork and </w:t>
      </w:r>
      <w:r>
        <w:rPr>
          <w:rStyle w:val="normaltextrun"/>
          <w:color w:val="000000"/>
          <w:shd w:val="clear" w:color="auto" w:fill="FFFFFF"/>
          <w:lang w:val="en-GB"/>
        </w:rPr>
        <w:t>c</w:t>
      </w:r>
      <w:r w:rsidRPr="002073B1">
        <w:rPr>
          <w:rStyle w:val="normaltextrun"/>
          <w:color w:val="000000"/>
          <w:shd w:val="clear" w:color="auto" w:fill="FFFFFF"/>
          <w:lang w:val="en-GB"/>
        </w:rPr>
        <w:t xml:space="preserve">are stream that is considering the impact of workplace relations settings on work and care, having regard to relevant findings and recommendations of the Committee. </w:t>
      </w:r>
      <w:r>
        <w:rPr>
          <w:rStyle w:val="normaltextrun"/>
          <w:color w:val="000000"/>
          <w:shd w:val="clear" w:color="auto" w:fill="FFFFFF"/>
          <w:lang w:val="en-GB"/>
        </w:rPr>
        <w:t xml:space="preserve">The job security stream is also having regard to certain findings of the Committee. </w:t>
      </w:r>
    </w:p>
    <w:p w14:paraId="6C732B17" w14:textId="77777777" w:rsidR="00047554" w:rsidRDefault="00047554" w:rsidP="00047554">
      <w:pPr>
        <w:rPr>
          <w:rStyle w:val="normaltextrun"/>
          <w:color w:val="000000"/>
          <w:shd w:val="clear" w:color="auto" w:fill="FFFFFF"/>
          <w:lang w:val="en-GB"/>
        </w:rPr>
      </w:pPr>
    </w:p>
    <w:p w14:paraId="1948FA68" w14:textId="0EFFA475" w:rsidR="00047554" w:rsidRDefault="00047554" w:rsidP="00047554">
      <w:pPr>
        <w:rPr>
          <w:rStyle w:val="normaltextrun"/>
          <w:color w:val="000000"/>
          <w:shd w:val="clear" w:color="auto" w:fill="FFFFFF"/>
          <w:lang w:val="en-GB"/>
        </w:rPr>
      </w:pPr>
      <w:r w:rsidRPr="002073B1">
        <w:rPr>
          <w:rStyle w:val="normaltextrun"/>
          <w:color w:val="000000"/>
          <w:shd w:val="clear" w:color="auto" w:fill="FFFFFF"/>
          <w:lang w:val="en-GB"/>
        </w:rPr>
        <w:t xml:space="preserve">The consultation process for </w:t>
      </w:r>
      <w:r>
        <w:rPr>
          <w:rStyle w:val="normaltextrun"/>
          <w:color w:val="000000"/>
          <w:shd w:val="clear" w:color="auto" w:fill="FFFFFF"/>
          <w:lang w:val="en-GB"/>
        </w:rPr>
        <w:t>the work and care</w:t>
      </w:r>
      <w:r w:rsidRPr="002073B1">
        <w:rPr>
          <w:rStyle w:val="normaltextrun"/>
          <w:color w:val="000000"/>
          <w:shd w:val="clear" w:color="auto" w:fill="FFFFFF"/>
          <w:lang w:val="en-GB"/>
        </w:rPr>
        <w:t xml:space="preserve"> stream included a discussion paper on </w:t>
      </w:r>
      <w:r w:rsidR="00D97BA6">
        <w:rPr>
          <w:rStyle w:val="normaltextrun"/>
          <w:color w:val="000000"/>
          <w:shd w:val="clear" w:color="auto" w:fill="FFFFFF"/>
          <w:lang w:val="en-GB"/>
        </w:rPr>
        <w:t>w</w:t>
      </w:r>
      <w:r w:rsidRPr="002073B1">
        <w:rPr>
          <w:rStyle w:val="normaltextrun"/>
          <w:color w:val="000000"/>
          <w:shd w:val="clear" w:color="auto" w:fill="FFFFFF"/>
          <w:lang w:val="en-GB"/>
        </w:rPr>
        <w:t xml:space="preserve">ork and </w:t>
      </w:r>
      <w:r w:rsidR="00D97BA6">
        <w:rPr>
          <w:rStyle w:val="normaltextrun"/>
          <w:color w:val="000000"/>
          <w:shd w:val="clear" w:color="auto" w:fill="FFFFFF"/>
          <w:lang w:val="en-GB"/>
        </w:rPr>
        <w:t>c</w:t>
      </w:r>
      <w:r w:rsidRPr="002073B1">
        <w:rPr>
          <w:rStyle w:val="normaltextrun"/>
          <w:color w:val="000000"/>
          <w:shd w:val="clear" w:color="auto" w:fill="FFFFFF"/>
          <w:lang w:val="en-GB"/>
        </w:rPr>
        <w:t>are, a literature review p</w:t>
      </w:r>
      <w:r>
        <w:rPr>
          <w:rStyle w:val="normaltextrun"/>
          <w:color w:val="000000"/>
          <w:shd w:val="clear" w:color="auto" w:fill="FFFFFF"/>
          <w:lang w:val="en-GB"/>
        </w:rPr>
        <w:t>roduced</w:t>
      </w:r>
      <w:r w:rsidRPr="002073B1">
        <w:rPr>
          <w:rStyle w:val="normaltextrun"/>
          <w:color w:val="000000"/>
          <w:shd w:val="clear" w:color="auto" w:fill="FFFFFF"/>
          <w:lang w:val="en-GB"/>
        </w:rPr>
        <w:t xml:space="preserve"> by </w:t>
      </w:r>
      <w:r>
        <w:rPr>
          <w:rStyle w:val="normaltextrun"/>
          <w:color w:val="000000"/>
          <w:shd w:val="clear" w:color="auto" w:fill="FFFFFF"/>
          <w:lang w:val="en-GB"/>
        </w:rPr>
        <w:t xml:space="preserve">the </w:t>
      </w:r>
      <w:r w:rsidRPr="002073B1">
        <w:rPr>
          <w:rStyle w:val="normaltextrun"/>
          <w:color w:val="000000"/>
          <w:shd w:val="clear" w:color="auto" w:fill="FFFFFF"/>
          <w:lang w:val="en-GB"/>
        </w:rPr>
        <w:t xml:space="preserve">Western Sydney University, a data profile on workplace flexibilities, a survey of employers, submissions from interested parties, and hearings with key stakeholders. The discussion paper on </w:t>
      </w:r>
      <w:r>
        <w:rPr>
          <w:rStyle w:val="normaltextrun"/>
          <w:color w:val="000000"/>
          <w:shd w:val="clear" w:color="auto" w:fill="FFFFFF"/>
          <w:lang w:val="en-GB"/>
        </w:rPr>
        <w:t>w</w:t>
      </w:r>
      <w:r w:rsidRPr="002073B1">
        <w:rPr>
          <w:rStyle w:val="normaltextrun"/>
          <w:color w:val="000000"/>
          <w:shd w:val="clear" w:color="auto" w:fill="FFFFFF"/>
          <w:lang w:val="en-GB"/>
        </w:rPr>
        <w:t xml:space="preserve">ork and </w:t>
      </w:r>
      <w:r>
        <w:rPr>
          <w:rStyle w:val="normaltextrun"/>
          <w:color w:val="000000"/>
          <w:shd w:val="clear" w:color="auto" w:fill="FFFFFF"/>
          <w:lang w:val="en-GB"/>
        </w:rPr>
        <w:t>c</w:t>
      </w:r>
      <w:r w:rsidRPr="002073B1">
        <w:rPr>
          <w:rStyle w:val="normaltextrun"/>
          <w:color w:val="000000"/>
          <w:shd w:val="clear" w:color="auto" w:fill="FFFFFF"/>
          <w:lang w:val="en-GB"/>
        </w:rPr>
        <w:t>are identified the Committee’s Final Report recommendations 15, 17, 18, 19, 21, 22, 23, 24, 25 and 27 (as well as Interim Report recommendations 4 and 5) a</w:t>
      </w:r>
      <w:r>
        <w:rPr>
          <w:rStyle w:val="normaltextrun"/>
          <w:color w:val="000000"/>
          <w:shd w:val="clear" w:color="auto" w:fill="FFFFFF"/>
          <w:lang w:val="en-GB"/>
        </w:rPr>
        <w:t>s relevant to the stream.</w:t>
      </w:r>
      <w:r>
        <w:rPr>
          <w:rStyle w:val="FootnoteReference"/>
          <w:color w:val="000000"/>
          <w:shd w:val="clear" w:color="auto" w:fill="FFFFFF"/>
          <w:lang w:val="en-GB"/>
        </w:rPr>
        <w:footnoteReference w:id="7"/>
      </w:r>
    </w:p>
    <w:p w14:paraId="1FBB34BC" w14:textId="77777777" w:rsidR="00047554" w:rsidRDefault="00047554" w:rsidP="00047554">
      <w:pPr>
        <w:rPr>
          <w:rStyle w:val="normaltextrun"/>
          <w:color w:val="000000"/>
          <w:shd w:val="clear" w:color="auto" w:fill="FFFFFF"/>
          <w:lang w:val="en-GB"/>
        </w:rPr>
      </w:pPr>
    </w:p>
    <w:p w14:paraId="6BE2D8AD" w14:textId="4AA74954" w:rsidR="00047554" w:rsidRPr="00543C7D" w:rsidRDefault="00047554" w:rsidP="00047554">
      <w:pPr>
        <w:rPr>
          <w:rStyle w:val="normaltextrun"/>
          <w:color w:val="000000"/>
          <w:shd w:val="clear" w:color="auto" w:fill="FFFFFF"/>
          <w:lang w:val="en-GB"/>
        </w:rPr>
      </w:pPr>
      <w:r>
        <w:rPr>
          <w:rStyle w:val="normaltextrun"/>
          <w:color w:val="000000"/>
          <w:shd w:val="clear" w:color="auto" w:fill="FFFFFF"/>
          <w:lang w:val="en-GB"/>
        </w:rPr>
        <w:t>T</w:t>
      </w:r>
      <w:r w:rsidRPr="000A7F89">
        <w:rPr>
          <w:rStyle w:val="normaltextrun"/>
          <w:color w:val="000000"/>
          <w:shd w:val="clear" w:color="auto" w:fill="FFFFFF"/>
          <w:lang w:val="en-GB"/>
        </w:rPr>
        <w:t xml:space="preserve">he Fair Work Commission will publish </w:t>
      </w:r>
      <w:r>
        <w:rPr>
          <w:rStyle w:val="normaltextrun"/>
          <w:color w:val="000000"/>
          <w:shd w:val="clear" w:color="auto" w:fill="FFFFFF"/>
          <w:lang w:val="en-GB"/>
        </w:rPr>
        <w:t>its findings in a</w:t>
      </w:r>
      <w:r w:rsidRPr="000A7F89">
        <w:rPr>
          <w:rStyle w:val="normaltextrun"/>
          <w:color w:val="000000"/>
          <w:shd w:val="clear" w:color="auto" w:fill="FFFFFF"/>
          <w:lang w:val="en-GB"/>
        </w:rPr>
        <w:t xml:space="preserve"> report at the conclusion of the Modern Awards Review on</w:t>
      </w:r>
      <w:r w:rsidR="3BC9E550" w:rsidRPr="000A7F89">
        <w:rPr>
          <w:rStyle w:val="normaltextrun"/>
          <w:color w:val="000000"/>
          <w:shd w:val="clear" w:color="auto" w:fill="FFFFFF"/>
          <w:lang w:val="en-GB"/>
        </w:rPr>
        <w:t>,</w:t>
      </w:r>
      <w:r w:rsidRPr="000A7F89">
        <w:rPr>
          <w:rStyle w:val="normaltextrun"/>
          <w:color w:val="000000"/>
          <w:shd w:val="clear" w:color="auto" w:fill="FFFFFF"/>
          <w:lang w:val="en-GB"/>
        </w:rPr>
        <w:t xml:space="preserve"> or around</w:t>
      </w:r>
      <w:r w:rsidR="241A8573" w:rsidRPr="000A7F89">
        <w:rPr>
          <w:rStyle w:val="normaltextrun"/>
          <w:color w:val="000000"/>
          <w:shd w:val="clear" w:color="auto" w:fill="FFFFFF"/>
          <w:lang w:val="en-GB"/>
        </w:rPr>
        <w:t>,</w:t>
      </w:r>
      <w:r w:rsidRPr="000A7F89">
        <w:rPr>
          <w:rStyle w:val="normaltextrun"/>
          <w:color w:val="000000"/>
          <w:shd w:val="clear" w:color="auto" w:fill="FFFFFF"/>
          <w:lang w:val="en-GB"/>
        </w:rPr>
        <w:t xml:space="preserve"> 28 June 2024.</w:t>
      </w:r>
    </w:p>
    <w:p w14:paraId="789F5084" w14:textId="77777777" w:rsidR="00047554" w:rsidRPr="002A0A1F" w:rsidRDefault="00047554" w:rsidP="00047554">
      <w:pPr>
        <w:rPr>
          <w:rFonts w:cstheme="minorHAnsi"/>
        </w:rPr>
      </w:pPr>
    </w:p>
    <w:p w14:paraId="12E0D8E8" w14:textId="77777777" w:rsidR="00047554" w:rsidRPr="00320D80" w:rsidRDefault="00047554" w:rsidP="00047554">
      <w:pPr>
        <w:pStyle w:val="Heading4"/>
      </w:pPr>
      <w:r>
        <w:t xml:space="preserve">2.1.6 Resourcing the </w:t>
      </w:r>
      <w:r w:rsidRPr="00320D80">
        <w:t>Fair Work Commission</w:t>
      </w:r>
    </w:p>
    <w:p w14:paraId="56EE06FC" w14:textId="56F2732A" w:rsidR="00047554" w:rsidRPr="00320D80" w:rsidRDefault="00047554" w:rsidP="00047554">
      <w:pPr>
        <w:ind w:firstLine="357"/>
        <w:rPr>
          <w:i/>
          <w:iCs/>
        </w:rPr>
      </w:pPr>
    </w:p>
    <w:p w14:paraId="048ECF10" w14:textId="77777777" w:rsidR="00047554" w:rsidRPr="00DF6490" w:rsidRDefault="00047554" w:rsidP="00047554">
      <w:r w:rsidRPr="006335C0">
        <w:t>Funding for</w:t>
      </w:r>
      <w:r w:rsidRPr="00980982">
        <w:t xml:space="preserve"> the </w:t>
      </w:r>
      <w:r>
        <w:t>Modern Awards Review</w:t>
      </w:r>
      <w:r w:rsidRPr="00980982">
        <w:t xml:space="preserve"> complements the </w:t>
      </w:r>
      <w:r>
        <w:t>$20.2 million</w:t>
      </w:r>
      <w:r w:rsidRPr="00980982">
        <w:t xml:space="preserve"> allocated in the 2022</w:t>
      </w:r>
      <w:r>
        <w:rPr>
          <w:rFonts w:cstheme="minorHAnsi"/>
        </w:rPr>
        <w:t>–</w:t>
      </w:r>
      <w:r w:rsidRPr="00980982">
        <w:t>23</w:t>
      </w:r>
      <w:r>
        <w:t xml:space="preserve"> </w:t>
      </w:r>
      <w:r w:rsidRPr="00980982">
        <w:t xml:space="preserve">October Budget to </w:t>
      </w:r>
      <w:r>
        <w:t xml:space="preserve">establish </w:t>
      </w:r>
      <w:r w:rsidRPr="00980982">
        <w:t xml:space="preserve">the Expert Panels </w:t>
      </w:r>
      <w:r>
        <w:t>for p</w:t>
      </w:r>
      <w:r w:rsidRPr="00980982">
        <w:t xml:space="preserve">ay </w:t>
      </w:r>
      <w:r>
        <w:t>e</w:t>
      </w:r>
      <w:r w:rsidRPr="00980982">
        <w:t xml:space="preserve">quity and </w:t>
      </w:r>
      <w:r>
        <w:t xml:space="preserve">the </w:t>
      </w:r>
      <w:r w:rsidRPr="00980982">
        <w:t xml:space="preserve">Care and Community Sector in the Fair Work Commission, </w:t>
      </w:r>
      <w:r>
        <w:t>assisted by a</w:t>
      </w:r>
      <w:r w:rsidRPr="00980982">
        <w:t xml:space="preserve"> dedicated research unit. Taken</w:t>
      </w:r>
      <w:r w:rsidRPr="00766ED4">
        <w:t xml:space="preserve"> together, the Government</w:t>
      </w:r>
      <w:r w:rsidRPr="00DF6490">
        <w:t xml:space="preserve"> has provided the </w:t>
      </w:r>
      <w:r>
        <w:t xml:space="preserve">Fair Work </w:t>
      </w:r>
      <w:r w:rsidRPr="00DF6490">
        <w:t xml:space="preserve">Commission with the resources and expertise it needs to </w:t>
      </w:r>
      <w:r>
        <w:t xml:space="preserve">understand and </w:t>
      </w:r>
      <w:r w:rsidRPr="00DF6490">
        <w:t xml:space="preserve">address the low pay and conditions faced in female dominated </w:t>
      </w:r>
      <w:r>
        <w:t>workplaces</w:t>
      </w:r>
      <w:r w:rsidRPr="00DF6490">
        <w:t xml:space="preserve"> such as </w:t>
      </w:r>
      <w:r>
        <w:t xml:space="preserve">many in </w:t>
      </w:r>
      <w:r w:rsidRPr="00DF6490">
        <w:t>the care and community sector.</w:t>
      </w:r>
      <w:r w:rsidRPr="00DF6490" w:rsidDel="00E26089">
        <w:t xml:space="preserve"> </w:t>
      </w:r>
    </w:p>
    <w:p w14:paraId="4B79F26D" w14:textId="0EF19701" w:rsidR="00B53CFD" w:rsidRDefault="00B53CFD">
      <w:pPr>
        <w:spacing w:after="200" w:line="276" w:lineRule="auto"/>
        <w:rPr>
          <w:rFonts w:eastAsia="Calibri"/>
          <w:lang w:val="en-GB"/>
        </w:rPr>
      </w:pPr>
      <w:r>
        <w:rPr>
          <w:rFonts w:eastAsia="Calibri"/>
          <w:lang w:val="en-GB"/>
        </w:rPr>
        <w:br w:type="page"/>
      </w:r>
    </w:p>
    <w:p w14:paraId="69FC730E" w14:textId="4B9F586B" w:rsidR="003B441D" w:rsidRPr="00DF6490" w:rsidRDefault="003910F7" w:rsidP="00CF72D3">
      <w:pPr>
        <w:pStyle w:val="Heading3"/>
      </w:pPr>
      <w:bookmarkStart w:id="22" w:name="_Toc170224175"/>
      <w:r>
        <w:lastRenderedPageBreak/>
        <w:t>2.</w:t>
      </w:r>
      <w:r w:rsidR="001C1F8D">
        <w:t>2</w:t>
      </w:r>
      <w:r>
        <w:t xml:space="preserve"> </w:t>
      </w:r>
      <w:r w:rsidR="00CF72D3" w:rsidRPr="00DF6490">
        <w:t xml:space="preserve">Leave entitlements and forms </w:t>
      </w:r>
      <w:r w:rsidR="0002753B" w:rsidRPr="00DF6490">
        <w:t>of work</w:t>
      </w:r>
      <w:bookmarkEnd w:id="22"/>
    </w:p>
    <w:p w14:paraId="0FEEE502" w14:textId="7360A867" w:rsidR="003B441D" w:rsidRDefault="00617159" w:rsidP="003B441D">
      <w:r w:rsidRPr="00DF6490">
        <w:t xml:space="preserve">Five Committee recommendations </w:t>
      </w:r>
      <w:r w:rsidR="003B441D" w:rsidRPr="00DF6490">
        <w:t xml:space="preserve">relate </w:t>
      </w:r>
      <w:r w:rsidR="000C3A42">
        <w:t xml:space="preserve">to </w:t>
      </w:r>
      <w:r w:rsidR="00D468B0" w:rsidRPr="00DF6490">
        <w:t>leave entitlement</w:t>
      </w:r>
      <w:r w:rsidR="00E6449D">
        <w:t xml:space="preserve"> access</w:t>
      </w:r>
      <w:r w:rsidR="00D468B0" w:rsidRPr="00DF6490">
        <w:t xml:space="preserve"> </w:t>
      </w:r>
      <w:r w:rsidR="00482CE1" w:rsidRPr="00DF6490">
        <w:t>or</w:t>
      </w:r>
      <w:r w:rsidR="00885F4E" w:rsidRPr="00DF6490">
        <w:t xml:space="preserve"> </w:t>
      </w:r>
      <w:r w:rsidR="00840070" w:rsidRPr="00DF6490">
        <w:t xml:space="preserve">forms </w:t>
      </w:r>
      <w:r w:rsidR="0DCB5E48" w:rsidRPr="00DF6490">
        <w:t xml:space="preserve">of </w:t>
      </w:r>
      <w:r w:rsidR="5EA71D86" w:rsidRPr="00DF6490">
        <w:t>work</w:t>
      </w:r>
      <w:r w:rsidR="05BA2AB6" w:rsidRPr="00DF6490">
        <w:t>.</w:t>
      </w:r>
    </w:p>
    <w:p w14:paraId="08456781" w14:textId="77777777" w:rsidR="000C5849" w:rsidRDefault="000C5849" w:rsidP="003B441D"/>
    <w:p w14:paraId="43F4E0D7" w14:textId="1EDC9D20" w:rsidR="00866756" w:rsidRPr="00DF6490" w:rsidRDefault="00FD66D4" w:rsidP="003B441D">
      <w:r w:rsidRPr="00766ED4">
        <w:rPr>
          <w:rStyle w:val="ui-provider"/>
        </w:rPr>
        <w:t>Minimum leave entitlements for employees are set in law through the National Employment Standards. An award, registered agreement or contract of employment can provide for other leave entitlements</w:t>
      </w:r>
      <w:r w:rsidR="00F86BEB">
        <w:rPr>
          <w:rStyle w:val="ui-provider"/>
        </w:rPr>
        <w:t>,</w:t>
      </w:r>
      <w:r w:rsidRPr="00766ED4">
        <w:rPr>
          <w:rStyle w:val="ui-provider"/>
        </w:rPr>
        <w:t xml:space="preserve"> but they cannot be less </w:t>
      </w:r>
      <w:r w:rsidR="00F86BEB">
        <w:rPr>
          <w:rStyle w:val="ui-provider"/>
        </w:rPr>
        <w:t xml:space="preserve">beneficial </w:t>
      </w:r>
      <w:r w:rsidRPr="00766ED4">
        <w:rPr>
          <w:rStyle w:val="ui-provider"/>
        </w:rPr>
        <w:t xml:space="preserve">than the entitlement in the </w:t>
      </w:r>
      <w:r w:rsidR="0046076C" w:rsidRPr="00766ED4">
        <w:rPr>
          <w:rStyle w:val="ui-provider"/>
        </w:rPr>
        <w:t>National Employment Standards</w:t>
      </w:r>
      <w:r w:rsidRPr="00766ED4">
        <w:rPr>
          <w:rStyle w:val="ui-provider"/>
        </w:rPr>
        <w:t>.</w:t>
      </w:r>
      <w:r w:rsidR="00412385">
        <w:rPr>
          <w:rStyle w:val="ui-provider"/>
        </w:rPr>
        <w:t xml:space="preserve"> </w:t>
      </w:r>
      <w:r w:rsidR="008E0C8C" w:rsidRPr="00766ED4">
        <w:t>Employers can also provide terms and conditions of employment above the legislated minimum standard, including greater quantum and access to paid leave for employees.</w:t>
      </w:r>
    </w:p>
    <w:p w14:paraId="599612BA" w14:textId="77777777" w:rsidR="00FA353D" w:rsidRDefault="00FA353D" w:rsidP="0E4CF4D2">
      <w:pPr>
        <w:rPr>
          <w:rStyle w:val="normaltextrun"/>
          <w:lang w:val="en-GB"/>
        </w:rPr>
      </w:pPr>
    </w:p>
    <w:p w14:paraId="519AB694" w14:textId="77777777" w:rsidR="00DC524D" w:rsidRPr="00DF6490" w:rsidRDefault="00DC524D" w:rsidP="007D3EE0">
      <w:pPr>
        <w:pStyle w:val="Heading6"/>
        <w:pBdr>
          <w:top w:val="single" w:sz="4" w:space="1" w:color="auto"/>
          <w:left w:val="single" w:sz="4" w:space="4" w:color="auto"/>
          <w:bottom w:val="single" w:sz="4" w:space="1" w:color="auto"/>
          <w:right w:val="single" w:sz="4" w:space="4" w:color="auto"/>
        </w:pBdr>
      </w:pPr>
      <w:r w:rsidRPr="00DF6490">
        <w:t>Recommendation 17</w:t>
      </w:r>
    </w:p>
    <w:p w14:paraId="375B37E3" w14:textId="40B7BCBD" w:rsidR="00DC524D" w:rsidRPr="00DF6490" w:rsidRDefault="00DC524D" w:rsidP="007D3EE0">
      <w:pPr>
        <w:pBdr>
          <w:top w:val="single" w:sz="4" w:space="1" w:color="auto"/>
          <w:left w:val="single" w:sz="4" w:space="4" w:color="auto"/>
          <w:bottom w:val="single" w:sz="4" w:space="1" w:color="auto"/>
          <w:right w:val="single" w:sz="4" w:space="4" w:color="auto"/>
        </w:pBdr>
        <w:rPr>
          <w:rFonts w:cstheme="minorHAnsi"/>
        </w:rPr>
      </w:pPr>
      <w:r w:rsidRPr="00DF6490">
        <w:rPr>
          <w:rFonts w:cstheme="minorHAnsi"/>
        </w:rPr>
        <w:t xml:space="preserve">The committee recommends that the definition of 'immediate family' in the </w:t>
      </w:r>
      <w:r w:rsidRPr="00F2021C">
        <w:rPr>
          <w:rFonts w:cstheme="minorHAnsi"/>
          <w:i/>
          <w:iCs/>
        </w:rPr>
        <w:t>Fair</w:t>
      </w:r>
      <w:r>
        <w:rPr>
          <w:rFonts w:cstheme="minorHAnsi"/>
          <w:i/>
          <w:iCs/>
        </w:rPr>
        <w:t> </w:t>
      </w:r>
      <w:r w:rsidRPr="00F2021C">
        <w:rPr>
          <w:rFonts w:cstheme="minorHAnsi"/>
          <w:i/>
          <w:iCs/>
        </w:rPr>
        <w:t>Work</w:t>
      </w:r>
      <w:r w:rsidR="004625AE">
        <w:rPr>
          <w:rFonts w:cstheme="minorHAnsi"/>
          <w:i/>
          <w:iCs/>
        </w:rPr>
        <w:t> </w:t>
      </w:r>
      <w:r w:rsidRPr="00F2021C">
        <w:rPr>
          <w:rFonts w:cstheme="minorHAnsi"/>
          <w:i/>
          <w:iCs/>
        </w:rPr>
        <w:t>Act</w:t>
      </w:r>
      <w:r w:rsidR="004625AE">
        <w:rPr>
          <w:rFonts w:cstheme="minorHAnsi"/>
          <w:i/>
          <w:iCs/>
        </w:rPr>
        <w:t> </w:t>
      </w:r>
      <w:r w:rsidRPr="00F2021C">
        <w:rPr>
          <w:rFonts w:cstheme="minorHAnsi"/>
          <w:i/>
          <w:iCs/>
        </w:rPr>
        <w:t xml:space="preserve">2009 </w:t>
      </w:r>
      <w:r w:rsidRPr="00DF6490">
        <w:rPr>
          <w:rFonts w:cstheme="minorHAnsi"/>
        </w:rPr>
        <w:t>be amended and broadened for the purposes of an employee accessing carer's leave. In addition to the current definition, the following persons should be classified as 'immediate family':</w:t>
      </w:r>
    </w:p>
    <w:p w14:paraId="417BDD6D" w14:textId="49320A6D" w:rsidR="00DC524D" w:rsidRPr="00DF6490" w:rsidRDefault="00DC524D" w:rsidP="007D3EE0">
      <w:pPr>
        <w:pStyle w:val="ListParagraph"/>
        <w:numPr>
          <w:ilvl w:val="0"/>
          <w:numId w:val="19"/>
        </w:numPr>
        <w:pBdr>
          <w:top w:val="single" w:sz="4" w:space="1" w:color="auto"/>
          <w:left w:val="single" w:sz="4" w:space="4" w:color="auto"/>
          <w:bottom w:val="single" w:sz="4" w:space="1" w:color="auto"/>
          <w:right w:val="single" w:sz="4" w:space="4" w:color="auto"/>
        </w:pBdr>
        <w:rPr>
          <w:rFonts w:cstheme="minorHAnsi"/>
          <w:sz w:val="24"/>
          <w:szCs w:val="24"/>
        </w:rPr>
      </w:pPr>
      <w:r w:rsidRPr="00DF6490">
        <w:rPr>
          <w:rFonts w:cstheme="minorHAnsi"/>
          <w:sz w:val="24"/>
          <w:szCs w:val="24"/>
        </w:rPr>
        <w:t>any person who is a member of an employee's household, and has been for a continuous period of over 18 months;</w:t>
      </w:r>
    </w:p>
    <w:p w14:paraId="47EA6FE5" w14:textId="1FC6C9CC" w:rsidR="00DC524D" w:rsidRPr="00DF6490" w:rsidRDefault="00DC524D" w:rsidP="007D3EE0">
      <w:pPr>
        <w:pStyle w:val="ListParagraph"/>
        <w:numPr>
          <w:ilvl w:val="0"/>
          <w:numId w:val="19"/>
        </w:numPr>
        <w:pBdr>
          <w:top w:val="single" w:sz="4" w:space="1" w:color="auto"/>
          <w:left w:val="single" w:sz="4" w:space="4" w:color="auto"/>
          <w:bottom w:val="single" w:sz="4" w:space="1" w:color="auto"/>
          <w:right w:val="single" w:sz="4" w:space="4" w:color="auto"/>
        </w:pBdr>
        <w:rPr>
          <w:rFonts w:cstheme="minorHAnsi"/>
          <w:sz w:val="24"/>
          <w:szCs w:val="24"/>
        </w:rPr>
      </w:pPr>
      <w:r w:rsidRPr="00DF6490">
        <w:rPr>
          <w:rFonts w:cstheme="minorHAnsi"/>
          <w:sz w:val="24"/>
          <w:szCs w:val="24"/>
        </w:rPr>
        <w:t>any of the employee's children (including adopted, step and ex-nuptial children);</w:t>
      </w:r>
    </w:p>
    <w:p w14:paraId="07D3811B" w14:textId="31E9BFD4" w:rsidR="00DC524D" w:rsidRPr="00DF6490" w:rsidRDefault="00DC524D" w:rsidP="273A57E7">
      <w:pPr>
        <w:pStyle w:val="ListParagraph"/>
        <w:numPr>
          <w:ilvl w:val="0"/>
          <w:numId w:val="19"/>
        </w:numPr>
        <w:pBdr>
          <w:top w:val="single" w:sz="4" w:space="1" w:color="auto"/>
          <w:left w:val="single" w:sz="4" w:space="4" w:color="auto"/>
          <w:bottom w:val="single" w:sz="4" w:space="1" w:color="auto"/>
          <w:right w:val="single" w:sz="4" w:space="4" w:color="auto"/>
        </w:pBdr>
        <w:rPr>
          <w:sz w:val="24"/>
          <w:szCs w:val="24"/>
        </w:rPr>
      </w:pPr>
      <w:r w:rsidRPr="273A57E7">
        <w:rPr>
          <w:sz w:val="24"/>
          <w:szCs w:val="24"/>
        </w:rPr>
        <w:t>any of the employee's siblings (including a sibling of their spouse or de facto partner);</w:t>
      </w:r>
      <w:r w:rsidR="6F0091D1" w:rsidRPr="273A57E7">
        <w:rPr>
          <w:sz w:val="24"/>
          <w:szCs w:val="24"/>
        </w:rPr>
        <w:t xml:space="preserve"> </w:t>
      </w:r>
      <w:r w:rsidRPr="273A57E7">
        <w:rPr>
          <w:sz w:val="24"/>
          <w:szCs w:val="24"/>
        </w:rPr>
        <w:t>and</w:t>
      </w:r>
    </w:p>
    <w:p w14:paraId="580CA546" w14:textId="77777777" w:rsidR="00DC524D" w:rsidRPr="00270C9A" w:rsidRDefault="00DC524D" w:rsidP="007D3EE0">
      <w:pPr>
        <w:pStyle w:val="ListParagraph"/>
        <w:numPr>
          <w:ilvl w:val="0"/>
          <w:numId w:val="19"/>
        </w:numPr>
        <w:pBdr>
          <w:top w:val="single" w:sz="4" w:space="1" w:color="auto"/>
          <w:left w:val="single" w:sz="4" w:space="4" w:color="auto"/>
          <w:bottom w:val="single" w:sz="4" w:space="1" w:color="auto"/>
          <w:right w:val="single" w:sz="4" w:space="4" w:color="auto"/>
        </w:pBdr>
        <w:rPr>
          <w:b/>
          <w:i/>
        </w:rPr>
      </w:pPr>
      <w:r w:rsidRPr="00DF6490">
        <w:rPr>
          <w:sz w:val="24"/>
          <w:szCs w:val="24"/>
        </w:rPr>
        <w:t>any other person significant to the employee to whom the employee provides regular care.</w:t>
      </w:r>
    </w:p>
    <w:p w14:paraId="7800224D" w14:textId="77777777" w:rsidR="00DC524D" w:rsidRDefault="00DC524D" w:rsidP="0E4CF4D2">
      <w:pPr>
        <w:rPr>
          <w:rStyle w:val="normaltextrun"/>
          <w:lang w:val="en-GB"/>
        </w:rPr>
      </w:pPr>
    </w:p>
    <w:p w14:paraId="7F98B447" w14:textId="5796DE1B" w:rsidR="00DC524D" w:rsidRPr="007D3EE0" w:rsidRDefault="007D3EE0" w:rsidP="00DC524D">
      <w:pPr>
        <w:rPr>
          <w:rFonts w:cstheme="minorHAnsi"/>
        </w:rPr>
      </w:pPr>
      <w:r>
        <w:rPr>
          <w:rFonts w:cstheme="minorHAnsi"/>
        </w:rPr>
        <w:t xml:space="preserve">The Government </w:t>
      </w:r>
      <w:r>
        <w:rPr>
          <w:rFonts w:cstheme="minorHAnsi"/>
          <w:b/>
          <w:bCs/>
        </w:rPr>
        <w:t xml:space="preserve">agrees in </w:t>
      </w:r>
      <w:r w:rsidR="00E00AD3">
        <w:rPr>
          <w:rFonts w:cstheme="minorHAnsi"/>
          <w:b/>
          <w:bCs/>
        </w:rPr>
        <w:t>part</w:t>
      </w:r>
      <w:r>
        <w:rPr>
          <w:rFonts w:cstheme="minorHAnsi"/>
          <w:b/>
          <w:bCs/>
        </w:rPr>
        <w:t xml:space="preserve"> </w:t>
      </w:r>
      <w:r>
        <w:rPr>
          <w:rFonts w:cstheme="minorHAnsi"/>
        </w:rPr>
        <w:t>to this recommendation.</w:t>
      </w:r>
    </w:p>
    <w:p w14:paraId="2048FCAF" w14:textId="77777777" w:rsidR="00DC524D" w:rsidRPr="00DF6490" w:rsidRDefault="00DC524D" w:rsidP="00DC524D">
      <w:pPr>
        <w:rPr>
          <w:rFonts w:cstheme="minorHAnsi"/>
        </w:rPr>
      </w:pPr>
    </w:p>
    <w:p w14:paraId="5CD834B5" w14:textId="249E872A" w:rsidR="00DC524D" w:rsidRPr="00DF6490" w:rsidRDefault="0077168F" w:rsidP="00DC524D">
      <w:pPr>
        <w:rPr>
          <w:rFonts w:cstheme="minorHAnsi"/>
        </w:rPr>
      </w:pPr>
      <w:r>
        <w:rPr>
          <w:rFonts w:cstheme="minorHAnsi"/>
        </w:rPr>
        <w:t>F</w:t>
      </w:r>
      <w:r w:rsidR="00DC524D" w:rsidRPr="00DF6490">
        <w:rPr>
          <w:rFonts w:cstheme="minorHAnsi"/>
        </w:rPr>
        <w:t xml:space="preserve">amily members </w:t>
      </w:r>
      <w:r>
        <w:rPr>
          <w:rFonts w:cstheme="minorHAnsi"/>
        </w:rPr>
        <w:t>captured by</w:t>
      </w:r>
      <w:r w:rsidR="00DC524D" w:rsidRPr="00DF6490">
        <w:rPr>
          <w:rFonts w:cstheme="minorHAnsi"/>
        </w:rPr>
        <w:t xml:space="preserve"> th</w:t>
      </w:r>
      <w:r w:rsidR="00DC524D">
        <w:rPr>
          <w:rFonts w:cstheme="minorHAnsi"/>
        </w:rPr>
        <w:t xml:space="preserve">e first </w:t>
      </w:r>
      <w:r w:rsidR="00CF5A0F">
        <w:rPr>
          <w:rFonts w:cstheme="minorHAnsi"/>
        </w:rPr>
        <w:t xml:space="preserve">3 </w:t>
      </w:r>
      <w:r w:rsidR="00DC524D">
        <w:rPr>
          <w:rFonts w:cstheme="minorHAnsi"/>
        </w:rPr>
        <w:t>bullet points of</w:t>
      </w:r>
      <w:r w:rsidR="00DC524D" w:rsidRPr="00DF6490">
        <w:rPr>
          <w:rFonts w:cstheme="minorHAnsi"/>
        </w:rPr>
        <w:t xml:space="preserve"> </w:t>
      </w:r>
      <w:r w:rsidR="00DC524D">
        <w:rPr>
          <w:rFonts w:cstheme="minorHAnsi"/>
        </w:rPr>
        <w:t xml:space="preserve">this </w:t>
      </w:r>
      <w:r w:rsidR="00DC524D" w:rsidRPr="00DF6490">
        <w:rPr>
          <w:rFonts w:cstheme="minorHAnsi"/>
        </w:rPr>
        <w:t>recommendation are already able to access carer’s leave under the Fair Work Act.</w:t>
      </w:r>
      <w:r w:rsidR="007D3EE0">
        <w:rPr>
          <w:rFonts w:cstheme="minorHAnsi"/>
        </w:rPr>
        <w:t xml:space="preserve"> </w:t>
      </w:r>
      <w:r w:rsidR="00DC524D" w:rsidRPr="00DF6490">
        <w:rPr>
          <w:rFonts w:cstheme="minorHAnsi"/>
        </w:rPr>
        <w:t>Section 12 of the Fair Work Act defines immediate family as the spouse, de facto partner, child, parent, grandparent, grandchild or sibling of the employee, or of the employee’s spouse/de facto partner. Section 17 provides</w:t>
      </w:r>
      <w:r w:rsidR="00DC524D">
        <w:rPr>
          <w:rFonts w:cstheme="minorHAnsi"/>
        </w:rPr>
        <w:t xml:space="preserve"> that</w:t>
      </w:r>
      <w:r w:rsidR="00DC524D" w:rsidRPr="00DF6490">
        <w:rPr>
          <w:rFonts w:cstheme="minorHAnsi"/>
        </w:rPr>
        <w:t xml:space="preserve"> this includes step relations and adoptive relations. Sections 97 and 102 of the Fair Work Act enable employees to use paid and unpaid personal/carer’s leave to care for both immediate family and for a member of the employee’s household.</w:t>
      </w:r>
    </w:p>
    <w:p w14:paraId="6D6AE502" w14:textId="77777777" w:rsidR="00DC524D" w:rsidRPr="00DF6490" w:rsidRDefault="00DC524D" w:rsidP="00DC524D">
      <w:pPr>
        <w:rPr>
          <w:rFonts w:cstheme="minorHAnsi"/>
        </w:rPr>
      </w:pPr>
    </w:p>
    <w:p w14:paraId="38E07517" w14:textId="428E74AA" w:rsidR="00DC524D" w:rsidRPr="00994439" w:rsidRDefault="00DC524D" w:rsidP="273A57E7">
      <w:r w:rsidRPr="273A57E7">
        <w:t xml:space="preserve">With respect to the fourth </w:t>
      </w:r>
      <w:r w:rsidR="007D3EE0" w:rsidRPr="273A57E7">
        <w:t>bullet</w:t>
      </w:r>
      <w:r w:rsidRPr="273A57E7">
        <w:t xml:space="preserve"> point – “any other persons significant to the employee to whom the employee provides regular care” – this form of relationship is not currently included in the Fair Work Act’s carer’s leave definitions. However, the workplace relations system enables employees and employers to agree to</w:t>
      </w:r>
      <w:r w:rsidR="00267C7A" w:rsidRPr="273A57E7">
        <w:t xml:space="preserve"> other</w:t>
      </w:r>
      <w:r w:rsidRPr="273A57E7">
        <w:t xml:space="preserve"> arrangements t</w:t>
      </w:r>
      <w:r w:rsidR="00267C7A" w:rsidRPr="273A57E7">
        <w:t xml:space="preserve">ailored to </w:t>
      </w:r>
      <w:r w:rsidRPr="273A57E7">
        <w:t xml:space="preserve">the employee’s caring responsibilities, including through enterprise bargaining. For instance, carers within the meaning of the </w:t>
      </w:r>
      <w:r w:rsidRPr="273A57E7">
        <w:rPr>
          <w:i/>
          <w:iCs/>
        </w:rPr>
        <w:t xml:space="preserve">Carer Recognition Act 2021 </w:t>
      </w:r>
      <w:r w:rsidRPr="273A57E7">
        <w:t>are entitled to make requests for flexible working arrangements under s 65(1A) of the Fair Work Act.</w:t>
      </w:r>
    </w:p>
    <w:p w14:paraId="15F8B479" w14:textId="77777777" w:rsidR="00DC524D" w:rsidRDefault="00DC524D" w:rsidP="00DC524D">
      <w:pPr>
        <w:rPr>
          <w:rFonts w:cstheme="minorHAnsi"/>
        </w:rPr>
      </w:pPr>
    </w:p>
    <w:p w14:paraId="4A54A8B2" w14:textId="2CD88211" w:rsidR="00AE38D6" w:rsidRDefault="00AE38D6">
      <w:pPr>
        <w:spacing w:after="200" w:line="276" w:lineRule="auto"/>
        <w:rPr>
          <w:rFonts w:cstheme="minorHAnsi"/>
        </w:rPr>
      </w:pPr>
      <w:r>
        <w:rPr>
          <w:rFonts w:cstheme="minorHAnsi"/>
        </w:rPr>
        <w:br w:type="page"/>
      </w:r>
    </w:p>
    <w:p w14:paraId="5496B3EB" w14:textId="6B0C9276" w:rsidR="00730E79" w:rsidRDefault="00730E79" w:rsidP="273A57E7">
      <w:r w:rsidRPr="273A57E7">
        <w:lastRenderedPageBreak/>
        <w:t>This recommendation is being considered by the Fair Work Commission as part of the Modern Awards Review. The Commission’s work and care stream discussion paper notes this recommendation and Question 15 of the paper asks:</w:t>
      </w:r>
    </w:p>
    <w:p w14:paraId="5C2EEAAA" w14:textId="3599C7F9" w:rsidR="00DC524D" w:rsidRPr="00027087" w:rsidRDefault="00DC524D" w:rsidP="00027087">
      <w:pPr>
        <w:ind w:left="720"/>
        <w:rPr>
          <w:rFonts w:cstheme="minorHAnsi"/>
          <w:i/>
          <w:iCs/>
        </w:rPr>
      </w:pPr>
      <w:r w:rsidRPr="00027087">
        <w:rPr>
          <w:rFonts w:cstheme="minorHAnsi"/>
          <w:i/>
          <w:iCs/>
        </w:rPr>
        <w:t>Noting the Work and Care Final Report Recommendation 17, that the definition of immediate family should be expanded, are there any specific variations in modern awards that are necessary to ensure they continue to meet the modern awards objective?</w:t>
      </w:r>
      <w:r w:rsidR="00027087" w:rsidRPr="00E250AD">
        <w:rPr>
          <w:rStyle w:val="FootnoteReference"/>
          <w:rFonts w:cstheme="minorHAnsi"/>
        </w:rPr>
        <w:footnoteReference w:id="8"/>
      </w:r>
    </w:p>
    <w:p w14:paraId="0EED5E41" w14:textId="77777777" w:rsidR="00DC524D" w:rsidRDefault="00DC524D" w:rsidP="00DC524D">
      <w:pPr>
        <w:rPr>
          <w:rFonts w:cstheme="minorHAnsi"/>
        </w:rPr>
      </w:pPr>
    </w:p>
    <w:p w14:paraId="4345A15B" w14:textId="67995DB1" w:rsidR="00DC524D" w:rsidRDefault="00DC524D" w:rsidP="00DC524D">
      <w:pPr>
        <w:rPr>
          <w:rFonts w:cstheme="minorHAnsi"/>
        </w:rPr>
      </w:pPr>
      <w:r>
        <w:rPr>
          <w:rFonts w:cstheme="minorHAnsi"/>
        </w:rPr>
        <w:t xml:space="preserve">The Government will </w:t>
      </w:r>
      <w:r w:rsidR="00267C7A">
        <w:rPr>
          <w:rFonts w:cstheme="minorHAnsi"/>
        </w:rPr>
        <w:t>consider</w:t>
      </w:r>
      <w:r>
        <w:rPr>
          <w:rFonts w:cstheme="minorHAnsi"/>
        </w:rPr>
        <w:t xml:space="preserve"> this aspect of the recommendation</w:t>
      </w:r>
      <w:r w:rsidR="00267C7A">
        <w:rPr>
          <w:rFonts w:cstheme="minorHAnsi"/>
        </w:rPr>
        <w:t xml:space="preserve"> further</w:t>
      </w:r>
      <w:r>
        <w:rPr>
          <w:rFonts w:cstheme="minorHAnsi"/>
        </w:rPr>
        <w:t xml:space="preserve"> in light of the outcomes of the Modern Awards Review, including any award variation proposals put forward by parties.</w:t>
      </w:r>
    </w:p>
    <w:p w14:paraId="7831B91B" w14:textId="77777777" w:rsidR="00DC524D" w:rsidRDefault="00DC524D" w:rsidP="0E4CF4D2">
      <w:pPr>
        <w:rPr>
          <w:rStyle w:val="normaltextrun"/>
          <w:lang w:val="en-GB"/>
        </w:rPr>
      </w:pPr>
    </w:p>
    <w:p w14:paraId="48023A1D" w14:textId="77777777" w:rsidR="00DC524D" w:rsidRPr="00DF6490" w:rsidRDefault="00DC524D" w:rsidP="007D3EE0">
      <w:pPr>
        <w:pStyle w:val="Heading6"/>
        <w:pBdr>
          <w:top w:val="single" w:sz="4" w:space="1" w:color="auto"/>
          <w:left w:val="single" w:sz="4" w:space="4" w:color="auto"/>
          <w:bottom w:val="single" w:sz="4" w:space="1" w:color="auto"/>
          <w:right w:val="single" w:sz="4" w:space="4" w:color="auto"/>
        </w:pBdr>
      </w:pPr>
      <w:r w:rsidRPr="00DF6490">
        <w:t>Recommendation 18</w:t>
      </w:r>
    </w:p>
    <w:p w14:paraId="187C36F7" w14:textId="6CA348F9" w:rsidR="00DC524D" w:rsidRPr="00DF6490" w:rsidRDefault="00DC524D" w:rsidP="007D3EE0">
      <w:pPr>
        <w:pBdr>
          <w:top w:val="single" w:sz="4" w:space="1" w:color="auto"/>
          <w:left w:val="single" w:sz="4" w:space="4" w:color="auto"/>
          <w:bottom w:val="single" w:sz="4" w:space="1" w:color="auto"/>
          <w:right w:val="single" w:sz="4" w:space="4" w:color="auto"/>
        </w:pBdr>
        <w:rPr>
          <w:rFonts w:cstheme="minorHAnsi"/>
        </w:rPr>
      </w:pPr>
      <w:r w:rsidRPr="00DF6490">
        <w:rPr>
          <w:rFonts w:cstheme="minorHAnsi"/>
        </w:rPr>
        <w:t xml:space="preserve">The committee recommends the Australian Government consider the adequacy of existing leave arrangements and investigate potential improvements in leave arrangements in the </w:t>
      </w:r>
      <w:r w:rsidRPr="00816A6B">
        <w:rPr>
          <w:rFonts w:cstheme="minorHAnsi"/>
          <w:i/>
          <w:iCs/>
        </w:rPr>
        <w:t>Fair Work Act 2009</w:t>
      </w:r>
      <w:r w:rsidRPr="00DF6490">
        <w:rPr>
          <w:rFonts w:cstheme="minorHAnsi"/>
        </w:rPr>
        <w:t xml:space="preserve">, including separate carer's leave and </w:t>
      </w:r>
      <w:r w:rsidR="00243D71">
        <w:rPr>
          <w:rFonts w:cstheme="minorHAnsi"/>
        </w:rPr>
        <w:t>personal</w:t>
      </w:r>
      <w:r w:rsidR="00F755D4">
        <w:rPr>
          <w:rFonts w:cstheme="minorHAnsi"/>
        </w:rPr>
        <w:t xml:space="preserve"> </w:t>
      </w:r>
      <w:r w:rsidRPr="00DF6490">
        <w:rPr>
          <w:rFonts w:cstheme="minorHAnsi"/>
        </w:rPr>
        <w:t>leave.</w:t>
      </w:r>
    </w:p>
    <w:p w14:paraId="70555FB2" w14:textId="77777777" w:rsidR="00DC524D" w:rsidRPr="00DF6490" w:rsidRDefault="00DC524D" w:rsidP="00DC524D">
      <w:pPr>
        <w:rPr>
          <w:rFonts w:cstheme="minorHAnsi"/>
        </w:rPr>
      </w:pPr>
    </w:p>
    <w:p w14:paraId="164511D3" w14:textId="706F8450" w:rsidR="00DC524D" w:rsidRPr="00DF6490" w:rsidRDefault="00DC524D" w:rsidP="007D3EE0">
      <w:pPr>
        <w:pBdr>
          <w:top w:val="single" w:sz="4" w:space="1" w:color="auto"/>
          <w:left w:val="single" w:sz="4" w:space="4" w:color="auto"/>
          <w:bottom w:val="single" w:sz="4" w:space="1" w:color="auto"/>
          <w:right w:val="single" w:sz="4" w:space="4" w:color="auto"/>
        </w:pBdr>
        <w:rPr>
          <w:b/>
          <w:i/>
          <w:iCs/>
        </w:rPr>
      </w:pPr>
      <w:r w:rsidRPr="00DF6490">
        <w:rPr>
          <w:b/>
          <w:i/>
          <w:iCs/>
        </w:rPr>
        <w:t>Australian Greens’ Additional Recommendation 8</w:t>
      </w:r>
    </w:p>
    <w:p w14:paraId="72C97D54" w14:textId="77777777" w:rsidR="00DC524D" w:rsidRPr="00DF6490" w:rsidRDefault="00DC524D" w:rsidP="007D3EE0">
      <w:pPr>
        <w:pBdr>
          <w:top w:val="single" w:sz="4" w:space="1" w:color="auto"/>
          <w:left w:val="single" w:sz="4" w:space="4" w:color="auto"/>
          <w:bottom w:val="single" w:sz="4" w:space="1" w:color="auto"/>
          <w:right w:val="single" w:sz="4" w:space="4" w:color="auto"/>
        </w:pBdr>
        <w:rPr>
          <w:i/>
          <w:iCs/>
        </w:rPr>
      </w:pPr>
      <w:r w:rsidRPr="00DF6490">
        <w:rPr>
          <w:i/>
          <w:iCs/>
        </w:rPr>
        <w:t xml:space="preserve">The Australian Greens recommend the Australian Government amend the National Employment Standards under Division 7 of the </w:t>
      </w:r>
      <w:r w:rsidRPr="00270C9A">
        <w:t>Fair Work Act 2009</w:t>
      </w:r>
      <w:r w:rsidRPr="00DF6490">
        <w:rPr>
          <w:i/>
          <w:iCs/>
        </w:rPr>
        <w:t>, to separate carer's leave and personal leave into unique leave entitlements.</w:t>
      </w:r>
    </w:p>
    <w:p w14:paraId="36D9E9C4" w14:textId="77777777" w:rsidR="00DC524D" w:rsidRPr="00270C9A" w:rsidRDefault="00DC524D" w:rsidP="007D3EE0">
      <w:pPr>
        <w:pBdr>
          <w:top w:val="single" w:sz="4" w:space="1" w:color="auto"/>
          <w:left w:val="single" w:sz="4" w:space="4" w:color="auto"/>
          <w:bottom w:val="single" w:sz="4" w:space="1" w:color="auto"/>
          <w:right w:val="single" w:sz="4" w:space="4" w:color="auto"/>
        </w:pBdr>
        <w:rPr>
          <w:i/>
          <w:iCs/>
        </w:rPr>
      </w:pPr>
    </w:p>
    <w:p w14:paraId="60E9CD8E" w14:textId="77777777" w:rsidR="00DC524D" w:rsidRPr="00DF6490" w:rsidRDefault="00DC524D" w:rsidP="007D3EE0">
      <w:pPr>
        <w:pBdr>
          <w:top w:val="single" w:sz="4" w:space="1" w:color="auto"/>
          <w:left w:val="single" w:sz="4" w:space="4" w:color="auto"/>
          <w:bottom w:val="single" w:sz="4" w:space="1" w:color="auto"/>
          <w:right w:val="single" w:sz="4" w:space="4" w:color="auto"/>
        </w:pBdr>
        <w:rPr>
          <w:i/>
          <w:iCs/>
        </w:rPr>
      </w:pPr>
      <w:r w:rsidRPr="00DF6490">
        <w:rPr>
          <w:i/>
          <w:iCs/>
        </w:rPr>
        <w:t>These separate leave entitlements should:</w:t>
      </w:r>
    </w:p>
    <w:p w14:paraId="047FBA20" w14:textId="77777777" w:rsidR="00DC524D" w:rsidRPr="00DF6490" w:rsidRDefault="00DC524D" w:rsidP="007D3EE0">
      <w:pPr>
        <w:pStyle w:val="ListParagraph"/>
        <w:numPr>
          <w:ilvl w:val="0"/>
          <w:numId w:val="9"/>
        </w:numPr>
        <w:pBdr>
          <w:top w:val="single" w:sz="4" w:space="1" w:color="auto"/>
          <w:left w:val="single" w:sz="4" w:space="4" w:color="auto"/>
          <w:bottom w:val="single" w:sz="4" w:space="1" w:color="auto"/>
          <w:right w:val="single" w:sz="4" w:space="4" w:color="auto"/>
        </w:pBdr>
        <w:rPr>
          <w:i/>
          <w:iCs/>
          <w:sz w:val="24"/>
          <w:szCs w:val="24"/>
        </w:rPr>
      </w:pPr>
      <w:r w:rsidRPr="00DF6490">
        <w:rPr>
          <w:i/>
          <w:iCs/>
          <w:sz w:val="24"/>
          <w:szCs w:val="24"/>
        </w:rPr>
        <w:t>provide 10 days of paid carer's leave and a further 10 days of paid personal leave; and</w:t>
      </w:r>
    </w:p>
    <w:p w14:paraId="33140291" w14:textId="77777777" w:rsidR="00DC524D" w:rsidRPr="00270C9A" w:rsidRDefault="00DC524D" w:rsidP="007D3EE0">
      <w:pPr>
        <w:pStyle w:val="ListParagraph"/>
        <w:numPr>
          <w:ilvl w:val="0"/>
          <w:numId w:val="9"/>
        </w:numPr>
        <w:pBdr>
          <w:top w:val="single" w:sz="4" w:space="1" w:color="auto"/>
          <w:left w:val="single" w:sz="4" w:space="4" w:color="auto"/>
          <w:bottom w:val="single" w:sz="4" w:space="1" w:color="auto"/>
          <w:right w:val="single" w:sz="4" w:space="4" w:color="auto"/>
        </w:pBdr>
        <w:rPr>
          <w:sz w:val="24"/>
          <w:szCs w:val="24"/>
        </w:rPr>
      </w:pPr>
      <w:r w:rsidRPr="00270C9A">
        <w:rPr>
          <w:i/>
          <w:sz w:val="24"/>
          <w:szCs w:val="24"/>
        </w:rPr>
        <w:t>be available on a pro-rata basis to all casual, part-time and permanent employees who have been engaged by an employer for at least six months.</w:t>
      </w:r>
    </w:p>
    <w:p w14:paraId="2325D57A" w14:textId="77777777" w:rsidR="00DC524D" w:rsidRDefault="00DC524D" w:rsidP="0E4CF4D2">
      <w:pPr>
        <w:rPr>
          <w:rStyle w:val="normaltextrun"/>
          <w:lang w:val="en-GB"/>
        </w:rPr>
      </w:pPr>
    </w:p>
    <w:p w14:paraId="552A6BF5" w14:textId="32A09E0B" w:rsidR="00DC524D" w:rsidRDefault="007D3EE0" w:rsidP="007D3EE0">
      <w:pPr>
        <w:rPr>
          <w:i/>
          <w:iCs/>
        </w:rPr>
      </w:pPr>
      <w:r>
        <w:rPr>
          <w:rFonts w:cstheme="minorHAnsi"/>
        </w:rPr>
        <w:t xml:space="preserve">The Government </w:t>
      </w:r>
      <w:r>
        <w:rPr>
          <w:rFonts w:cstheme="minorHAnsi"/>
          <w:b/>
          <w:bCs/>
        </w:rPr>
        <w:t xml:space="preserve">notes </w:t>
      </w:r>
      <w:r>
        <w:rPr>
          <w:rFonts w:cstheme="minorHAnsi"/>
        </w:rPr>
        <w:t xml:space="preserve">this recommendation and the Australian Greens’ </w:t>
      </w:r>
      <w:r w:rsidR="00A9469E">
        <w:rPr>
          <w:rFonts w:cstheme="minorHAnsi"/>
        </w:rPr>
        <w:t>a</w:t>
      </w:r>
      <w:r>
        <w:rPr>
          <w:rFonts w:cstheme="minorHAnsi"/>
        </w:rPr>
        <w:t xml:space="preserve">dditional </w:t>
      </w:r>
      <w:r w:rsidR="00A9469E">
        <w:rPr>
          <w:rFonts w:cstheme="minorHAnsi"/>
        </w:rPr>
        <w:t>r</w:t>
      </w:r>
      <w:r>
        <w:rPr>
          <w:rFonts w:cstheme="minorHAnsi"/>
        </w:rPr>
        <w:t xml:space="preserve">ecommendation. </w:t>
      </w:r>
    </w:p>
    <w:p w14:paraId="5AB664D3" w14:textId="77777777" w:rsidR="007D3EE0" w:rsidRDefault="007D3EE0" w:rsidP="007D3EE0">
      <w:pPr>
        <w:rPr>
          <w:rFonts w:cstheme="minorHAnsi"/>
        </w:rPr>
      </w:pPr>
    </w:p>
    <w:p w14:paraId="43ED7E10" w14:textId="3A65BB84" w:rsidR="002D2FE5" w:rsidRDefault="002D2FE5" w:rsidP="002D2FE5">
      <w:pPr>
        <w:rPr>
          <w:rFonts w:cstheme="minorHAnsi"/>
        </w:rPr>
      </w:pPr>
      <w:r>
        <w:rPr>
          <w:rFonts w:cstheme="minorHAnsi"/>
        </w:rPr>
        <w:t>These recommendations are being considered by the Fair Work Commission as part of the Modern Awards Review requested by the Minister for Employment and Workplace Relations.</w:t>
      </w:r>
    </w:p>
    <w:p w14:paraId="0909FA44" w14:textId="77777777" w:rsidR="002D2FE5" w:rsidRDefault="002D2FE5" w:rsidP="002D2FE5"/>
    <w:p w14:paraId="299968E3" w14:textId="6DA9B3D7" w:rsidR="009A2C2D" w:rsidRDefault="002D2FE5" w:rsidP="002D2FE5">
      <w:pPr>
        <w:rPr>
          <w:rFonts w:cstheme="minorHAnsi"/>
        </w:rPr>
      </w:pPr>
      <w:r>
        <w:rPr>
          <w:rFonts w:cstheme="minorHAnsi"/>
        </w:rPr>
        <w:t xml:space="preserve">The </w:t>
      </w:r>
      <w:r w:rsidR="003F2AC9">
        <w:rPr>
          <w:rFonts w:cstheme="minorHAnsi"/>
        </w:rPr>
        <w:t xml:space="preserve">Fair Work </w:t>
      </w:r>
      <w:r>
        <w:rPr>
          <w:rFonts w:cstheme="minorHAnsi"/>
        </w:rPr>
        <w:t>Commission’s</w:t>
      </w:r>
      <w:r w:rsidRPr="00C67ADA">
        <w:rPr>
          <w:rFonts w:cstheme="minorHAnsi"/>
        </w:rPr>
        <w:t xml:space="preserve"> </w:t>
      </w:r>
      <w:r>
        <w:rPr>
          <w:rFonts w:cstheme="minorHAnsi"/>
        </w:rPr>
        <w:t>w</w:t>
      </w:r>
      <w:r w:rsidRPr="005F1C62">
        <w:rPr>
          <w:rFonts w:cstheme="minorHAnsi"/>
        </w:rPr>
        <w:t xml:space="preserve">ork and </w:t>
      </w:r>
      <w:r>
        <w:rPr>
          <w:rFonts w:cstheme="minorHAnsi"/>
        </w:rPr>
        <w:t>c</w:t>
      </w:r>
      <w:r w:rsidRPr="005F1C62">
        <w:rPr>
          <w:rFonts w:cstheme="minorHAnsi"/>
        </w:rPr>
        <w:t xml:space="preserve">are </w:t>
      </w:r>
      <w:r>
        <w:rPr>
          <w:rFonts w:cstheme="minorHAnsi"/>
        </w:rPr>
        <w:t>s</w:t>
      </w:r>
      <w:r w:rsidRPr="005F1C62">
        <w:rPr>
          <w:rFonts w:cstheme="minorHAnsi"/>
        </w:rPr>
        <w:t xml:space="preserve">tream </w:t>
      </w:r>
      <w:r>
        <w:rPr>
          <w:rFonts w:cstheme="minorHAnsi"/>
        </w:rPr>
        <w:t>d</w:t>
      </w:r>
      <w:r w:rsidRPr="005F1C62">
        <w:rPr>
          <w:rFonts w:cstheme="minorHAnsi"/>
        </w:rPr>
        <w:t xml:space="preserve">iscussion </w:t>
      </w:r>
      <w:r>
        <w:rPr>
          <w:rFonts w:cstheme="minorHAnsi"/>
        </w:rPr>
        <w:t>p</w:t>
      </w:r>
      <w:r w:rsidRPr="005F1C62">
        <w:rPr>
          <w:rFonts w:cstheme="minorHAnsi"/>
        </w:rPr>
        <w:t>aper</w:t>
      </w:r>
      <w:r w:rsidRPr="00C67ADA">
        <w:rPr>
          <w:rFonts w:cstheme="minorHAnsi"/>
        </w:rPr>
        <w:t xml:space="preserve"> </w:t>
      </w:r>
      <w:r>
        <w:rPr>
          <w:rFonts w:cstheme="minorHAnsi"/>
        </w:rPr>
        <w:t>not</w:t>
      </w:r>
      <w:r w:rsidRPr="00C67ADA">
        <w:rPr>
          <w:rFonts w:cstheme="minorHAnsi"/>
        </w:rPr>
        <w:t>e</w:t>
      </w:r>
      <w:r>
        <w:rPr>
          <w:rFonts w:cstheme="minorHAnsi"/>
        </w:rPr>
        <w:t>s</w:t>
      </w:r>
      <w:r w:rsidRPr="00C67ADA">
        <w:rPr>
          <w:rFonts w:cstheme="minorHAnsi"/>
        </w:rPr>
        <w:t xml:space="preserve"> this recommendation</w:t>
      </w:r>
      <w:r>
        <w:rPr>
          <w:rFonts w:cstheme="minorHAnsi"/>
        </w:rPr>
        <w:t xml:space="preserve"> and </w:t>
      </w:r>
      <w:r w:rsidRPr="00C67ADA">
        <w:rPr>
          <w:rFonts w:cstheme="minorHAnsi"/>
        </w:rPr>
        <w:t xml:space="preserve">Question 17 </w:t>
      </w:r>
      <w:r>
        <w:rPr>
          <w:rFonts w:cstheme="minorHAnsi"/>
        </w:rPr>
        <w:t xml:space="preserve">asks: </w:t>
      </w:r>
    </w:p>
    <w:p w14:paraId="5ED2BCFF" w14:textId="4584A851" w:rsidR="002D2FE5" w:rsidRPr="009A2C2D" w:rsidRDefault="002D2FE5" w:rsidP="273A57E7">
      <w:pPr>
        <w:ind w:left="720"/>
        <w:rPr>
          <w:i/>
          <w:iCs/>
        </w:rPr>
      </w:pPr>
      <w:r w:rsidRPr="273A57E7">
        <w:rPr>
          <w:i/>
          <w:iCs/>
        </w:rPr>
        <w:t>Noting Senate Committee Recommendation 18, to consider separating personal/carer’s leave entitlement, are there any specific variations in modern awards that are necessary to ensure they continue to meet the modern awards objective?</w:t>
      </w:r>
      <w:r w:rsidR="009A2C2D" w:rsidRPr="273A57E7">
        <w:rPr>
          <w:rStyle w:val="FootnoteReference"/>
          <w:i/>
          <w:iCs/>
        </w:rPr>
        <w:footnoteReference w:id="9"/>
      </w:r>
      <w:r w:rsidR="009A2C2D" w:rsidRPr="273A57E7" w:rsidDel="009A2C2D">
        <w:rPr>
          <w:i/>
          <w:iCs/>
        </w:rPr>
        <w:t xml:space="preserve"> </w:t>
      </w:r>
    </w:p>
    <w:p w14:paraId="55A9689D" w14:textId="77777777" w:rsidR="002D2FE5" w:rsidRDefault="002D2FE5" w:rsidP="002D2FE5">
      <w:pPr>
        <w:rPr>
          <w:rFonts w:cstheme="minorHAnsi"/>
        </w:rPr>
      </w:pPr>
    </w:p>
    <w:p w14:paraId="4AA93CF3" w14:textId="4B60FEF4" w:rsidR="00505CB5" w:rsidRDefault="002D2FE5" w:rsidP="007F20A4">
      <w:pPr>
        <w:rPr>
          <w:rFonts w:cstheme="minorHAnsi"/>
        </w:rPr>
      </w:pPr>
      <w:r>
        <w:rPr>
          <w:rFonts w:cstheme="minorHAnsi"/>
        </w:rPr>
        <w:t>The Government will consider the outcomes of the Modern Awards Review, including findings relevant to the above recommendations.</w:t>
      </w:r>
      <w:r w:rsidR="00505CB5">
        <w:rPr>
          <w:rFonts w:cstheme="minorHAnsi"/>
        </w:rPr>
        <w:br w:type="page"/>
      </w:r>
    </w:p>
    <w:p w14:paraId="59941AD4" w14:textId="77777777" w:rsidR="002D2FE5" w:rsidRPr="00DF6490" w:rsidRDefault="002D2FE5" w:rsidP="002D2FE5">
      <w:pPr>
        <w:pStyle w:val="Heading6"/>
        <w:pBdr>
          <w:top w:val="single" w:sz="4" w:space="1" w:color="auto"/>
          <w:left w:val="single" w:sz="4" w:space="4" w:color="auto"/>
          <w:bottom w:val="single" w:sz="4" w:space="1" w:color="auto"/>
          <w:right w:val="single" w:sz="4" w:space="4" w:color="auto"/>
        </w:pBdr>
      </w:pPr>
      <w:r w:rsidRPr="00DF6490">
        <w:lastRenderedPageBreak/>
        <w:t>Recommendation 19</w:t>
      </w:r>
    </w:p>
    <w:p w14:paraId="21D62E14" w14:textId="77777777" w:rsidR="002D2FE5" w:rsidRPr="00DF6490" w:rsidRDefault="002D2FE5" w:rsidP="002D2FE5">
      <w:pPr>
        <w:pBdr>
          <w:top w:val="single" w:sz="4" w:space="1" w:color="auto"/>
          <w:left w:val="single" w:sz="4" w:space="4" w:color="auto"/>
          <w:bottom w:val="single" w:sz="4" w:space="1" w:color="auto"/>
          <w:right w:val="single" w:sz="4" w:space="4" w:color="auto"/>
        </w:pBdr>
        <w:rPr>
          <w:rFonts w:cstheme="minorHAnsi"/>
        </w:rPr>
      </w:pPr>
      <w:r w:rsidRPr="00DF6490">
        <w:rPr>
          <w:rFonts w:cstheme="minorHAnsi"/>
        </w:rPr>
        <w:t xml:space="preserve">The committee recommends the Australian Government request the Fair Work Commission to review access to and compensation for paid sick and annual leave for casual and </w:t>
      </w:r>
      <w:r>
        <w:rPr>
          <w:rFonts w:cstheme="minorHAnsi"/>
        </w:rPr>
        <w:br/>
      </w:r>
      <w:r w:rsidRPr="00DF6490">
        <w:rPr>
          <w:rFonts w:cstheme="minorHAnsi"/>
        </w:rPr>
        <w:t>part-time workers.</w:t>
      </w:r>
    </w:p>
    <w:p w14:paraId="79B36B89" w14:textId="77777777" w:rsidR="00DC524D" w:rsidRPr="00DF6490" w:rsidRDefault="00DC524D" w:rsidP="00DC524D">
      <w:pPr>
        <w:rPr>
          <w:rFonts w:cstheme="minorHAnsi"/>
        </w:rPr>
      </w:pPr>
    </w:p>
    <w:p w14:paraId="73316219" w14:textId="51ACF2A5" w:rsidR="00DC524D" w:rsidRPr="00DF6490" w:rsidRDefault="00DC524D" w:rsidP="007D3EE0">
      <w:pPr>
        <w:pBdr>
          <w:top w:val="single" w:sz="4" w:space="1" w:color="auto"/>
          <w:left w:val="single" w:sz="4" w:space="4" w:color="auto"/>
          <w:bottom w:val="single" w:sz="4" w:space="1" w:color="auto"/>
          <w:right w:val="single" w:sz="4" w:space="4" w:color="auto"/>
        </w:pBdr>
        <w:rPr>
          <w:b/>
          <w:i/>
          <w:iCs/>
        </w:rPr>
      </w:pPr>
      <w:r w:rsidRPr="00DF6490">
        <w:rPr>
          <w:b/>
          <w:i/>
          <w:iCs/>
        </w:rPr>
        <w:t>Australian Greens’ Additional Recommendation 7</w:t>
      </w:r>
    </w:p>
    <w:p w14:paraId="53FFBFBB" w14:textId="05BFEA73" w:rsidR="00DC524D" w:rsidRDefault="00DC524D" w:rsidP="007D3EE0">
      <w:pPr>
        <w:pBdr>
          <w:top w:val="single" w:sz="4" w:space="1" w:color="auto"/>
          <w:left w:val="single" w:sz="4" w:space="4" w:color="auto"/>
          <w:bottom w:val="single" w:sz="4" w:space="1" w:color="auto"/>
          <w:right w:val="single" w:sz="4" w:space="4" w:color="auto"/>
        </w:pBdr>
        <w:rPr>
          <w:rStyle w:val="normaltextrun"/>
          <w:lang w:val="en-GB"/>
        </w:rPr>
      </w:pPr>
      <w:r w:rsidRPr="00DF6490">
        <w:rPr>
          <w:i/>
          <w:iCs/>
        </w:rPr>
        <w:t xml:space="preserve">The Australian Greens recommend the Australian Government amend the National Employment Standards in the </w:t>
      </w:r>
      <w:r w:rsidRPr="007D3EE0">
        <w:rPr>
          <w:i/>
          <w:iCs/>
        </w:rPr>
        <w:t>Fair Work Act 2009</w:t>
      </w:r>
      <w:r w:rsidRPr="00DF6490">
        <w:rPr>
          <w:i/>
          <w:iCs/>
        </w:rPr>
        <w:t xml:space="preserve"> to establish a right for all workers (including casual workers) who have worked for a period of six months, to pro-rata paid sick and holiday leave.</w:t>
      </w:r>
    </w:p>
    <w:p w14:paraId="6A5CDF68" w14:textId="77777777" w:rsidR="00DC524D" w:rsidRDefault="00DC524D" w:rsidP="0E4CF4D2">
      <w:pPr>
        <w:rPr>
          <w:rStyle w:val="normaltextrun"/>
          <w:lang w:val="en-GB"/>
        </w:rPr>
      </w:pPr>
    </w:p>
    <w:p w14:paraId="3A1606A6" w14:textId="2114F2BB" w:rsidR="00DC524D" w:rsidRPr="00980982" w:rsidRDefault="007D3EE0" w:rsidP="007D3EE0">
      <w:pPr>
        <w:rPr>
          <w:i/>
          <w:iCs/>
        </w:rPr>
      </w:pPr>
      <w:r>
        <w:t xml:space="preserve">The Government </w:t>
      </w:r>
      <w:r>
        <w:rPr>
          <w:b/>
          <w:bCs/>
        </w:rPr>
        <w:t xml:space="preserve">notes </w:t>
      </w:r>
      <w:r>
        <w:t xml:space="preserve">this recommendation and the Australian Greens’ </w:t>
      </w:r>
      <w:r w:rsidR="00A9469E">
        <w:t>a</w:t>
      </w:r>
      <w:r>
        <w:t xml:space="preserve">dditional </w:t>
      </w:r>
      <w:r w:rsidR="00A9469E">
        <w:t>r</w:t>
      </w:r>
      <w:r>
        <w:t>ecommendation.</w:t>
      </w:r>
    </w:p>
    <w:p w14:paraId="7A09F314" w14:textId="77777777" w:rsidR="00DC524D" w:rsidRPr="00980982" w:rsidRDefault="00DC524D" w:rsidP="00DC524D"/>
    <w:p w14:paraId="40F72BD5" w14:textId="0A99BCC6" w:rsidR="00287996" w:rsidRDefault="00287996" w:rsidP="00287996">
      <w:pPr>
        <w:rPr>
          <w:rFonts w:cstheme="minorHAnsi"/>
        </w:rPr>
      </w:pPr>
      <w:r>
        <w:rPr>
          <w:rFonts w:cstheme="minorHAnsi"/>
        </w:rPr>
        <w:t xml:space="preserve">Leave entitlements are being considered by the Fair Work Commission as part of the Modern Awards Review requested by the Minister for Employment and Workplace Relations. Both the work and care and job security stream discussion papers identified recommendation 19 </w:t>
      </w:r>
      <w:r w:rsidR="00407B97">
        <w:rPr>
          <w:rFonts w:cstheme="minorHAnsi"/>
        </w:rPr>
        <w:t>as a</w:t>
      </w:r>
      <w:r>
        <w:rPr>
          <w:rFonts w:cstheme="minorHAnsi"/>
        </w:rPr>
        <w:t xml:space="preserve"> recommendation for consideration. The Government will consider the outcomes of the Modern Awards Review once the Fair Work Commission’s Final Report is published.</w:t>
      </w:r>
    </w:p>
    <w:p w14:paraId="15AC8BC8" w14:textId="77777777" w:rsidR="00DC524D" w:rsidRDefault="00DC524D" w:rsidP="00DC524D">
      <w:pPr>
        <w:rPr>
          <w:rFonts w:cstheme="minorHAnsi"/>
        </w:rPr>
      </w:pPr>
    </w:p>
    <w:p w14:paraId="177B339A" w14:textId="5C4E1DBA" w:rsidR="00DC524D" w:rsidRDefault="00DC524D" w:rsidP="273A57E7">
      <w:pPr>
        <w:rPr>
          <w:highlight w:val="cyan"/>
        </w:rPr>
      </w:pPr>
      <w:r w:rsidRPr="273A57E7">
        <w:t>The Government is committed to protecting and facilitating workers’ access to entitlements as provided for under the Fair Work Act and other relevant legislation, including through legislative reform measures to prevent sham contracting and restore a fair, objective definitions of employment and casual work. Together, these will help ensure fewer workers miss out on leave entitlements due to misclassification.</w:t>
      </w:r>
    </w:p>
    <w:p w14:paraId="1A2BE488" w14:textId="77777777" w:rsidR="00DC524D" w:rsidRDefault="00DC524D" w:rsidP="0E4CF4D2">
      <w:pPr>
        <w:rPr>
          <w:rStyle w:val="normaltextrun"/>
          <w:lang w:val="en-GB"/>
        </w:rPr>
      </w:pPr>
    </w:p>
    <w:p w14:paraId="10B03E1B" w14:textId="77777777" w:rsidR="00DC524D" w:rsidRPr="00C41F20" w:rsidRDefault="00DC524D" w:rsidP="007D3EE0">
      <w:pPr>
        <w:pStyle w:val="Heading6"/>
        <w:pBdr>
          <w:top w:val="single" w:sz="4" w:space="1" w:color="auto"/>
          <w:left w:val="single" w:sz="4" w:space="4" w:color="auto"/>
          <w:bottom w:val="single" w:sz="4" w:space="1" w:color="auto"/>
          <w:right w:val="single" w:sz="4" w:space="4" w:color="auto"/>
        </w:pBdr>
      </w:pPr>
      <w:r w:rsidRPr="00C41F20">
        <w:t>Recommendation 25</w:t>
      </w:r>
    </w:p>
    <w:p w14:paraId="544B3ACB" w14:textId="6764C779" w:rsidR="00DC524D" w:rsidRPr="002C68F5" w:rsidRDefault="00DC524D" w:rsidP="007D3EE0">
      <w:pPr>
        <w:pBdr>
          <w:top w:val="single" w:sz="4" w:space="1" w:color="auto"/>
          <w:left w:val="single" w:sz="4" w:space="4" w:color="auto"/>
          <w:bottom w:val="single" w:sz="4" w:space="1" w:color="auto"/>
          <w:right w:val="single" w:sz="4" w:space="4" w:color="auto"/>
        </w:pBdr>
        <w:rPr>
          <w:rFonts w:cstheme="minorHAnsi"/>
        </w:rPr>
      </w:pPr>
      <w:r w:rsidRPr="002C68F5">
        <w:rPr>
          <w:rFonts w:cstheme="minorHAnsi"/>
        </w:rPr>
        <w:t>The committee recommends the Australian Government respond to the recommendations of the Senate Select Committee on Job Security as a matter of priority. The committee reiterates those recommendations and calls on the Australian Government to:</w:t>
      </w:r>
    </w:p>
    <w:p w14:paraId="651B654C" w14:textId="20455137" w:rsidR="00DC524D" w:rsidRPr="002C68F5" w:rsidRDefault="00DC524D" w:rsidP="007D3EE0">
      <w:pPr>
        <w:pStyle w:val="ListParagraph"/>
        <w:numPr>
          <w:ilvl w:val="0"/>
          <w:numId w:val="20"/>
        </w:numPr>
        <w:pBdr>
          <w:top w:val="single" w:sz="4" w:space="1" w:color="auto"/>
          <w:left w:val="single" w:sz="4" w:space="4" w:color="auto"/>
          <w:bottom w:val="single" w:sz="4" w:space="1" w:color="auto"/>
          <w:right w:val="single" w:sz="4" w:space="4" w:color="auto"/>
        </w:pBdr>
        <w:rPr>
          <w:rFonts w:cstheme="minorHAnsi"/>
          <w:sz w:val="24"/>
          <w:szCs w:val="24"/>
        </w:rPr>
      </w:pPr>
      <w:r w:rsidRPr="002C68F5">
        <w:rPr>
          <w:rFonts w:cstheme="minorHAnsi"/>
          <w:sz w:val="24"/>
          <w:szCs w:val="24"/>
        </w:rPr>
        <w:t>develop a new statutory definition of casual employment that reflects the true nature of the employment relationship and is restricted to work that is genuinely intermittent, seasonal or unpredictable; and</w:t>
      </w:r>
    </w:p>
    <w:p w14:paraId="6709EF7F" w14:textId="1E495FCF" w:rsidR="00DC524D" w:rsidRPr="002C68F5" w:rsidRDefault="00DC524D" w:rsidP="007D3EE0">
      <w:pPr>
        <w:pStyle w:val="ListParagraph"/>
        <w:numPr>
          <w:ilvl w:val="0"/>
          <w:numId w:val="20"/>
        </w:numPr>
        <w:pBdr>
          <w:top w:val="single" w:sz="4" w:space="1" w:color="auto"/>
          <w:left w:val="single" w:sz="4" w:space="4" w:color="auto"/>
          <w:bottom w:val="single" w:sz="4" w:space="1" w:color="auto"/>
          <w:right w:val="single" w:sz="4" w:space="4" w:color="auto"/>
        </w:pBdr>
        <w:rPr>
          <w:rFonts w:cstheme="minorHAnsi"/>
          <w:sz w:val="24"/>
          <w:szCs w:val="24"/>
        </w:rPr>
      </w:pPr>
      <w:r w:rsidRPr="002C68F5">
        <w:rPr>
          <w:rFonts w:cstheme="minorHAnsi"/>
          <w:sz w:val="24"/>
          <w:szCs w:val="24"/>
        </w:rPr>
        <w:t>restrict the use of low base hour contracts, which can be 'flexed up' without incurring any pay penalty for additional hours worked beyond contract, and ensure permanent part-time employees have access to regular, predicable patterns and hours of work. This could include implementing penalty rates for any hours worked over the contracted amount. For example, if an employee is contracted for 15 hours and their employer rosters them for more, they should be paid a penalty rate for hours worked beyond the contracted amount.</w:t>
      </w:r>
    </w:p>
    <w:p w14:paraId="0335C1A5" w14:textId="77777777" w:rsidR="00DC524D" w:rsidRPr="002C68F5" w:rsidRDefault="00DC524D" w:rsidP="007D3EE0">
      <w:pPr>
        <w:pBdr>
          <w:top w:val="single" w:sz="4" w:space="1" w:color="auto"/>
          <w:left w:val="single" w:sz="4" w:space="4" w:color="auto"/>
          <w:bottom w:val="single" w:sz="4" w:space="1" w:color="auto"/>
          <w:right w:val="single" w:sz="4" w:space="4" w:color="auto"/>
        </w:pBdr>
        <w:rPr>
          <w:rFonts w:cstheme="minorHAnsi"/>
        </w:rPr>
      </w:pPr>
    </w:p>
    <w:p w14:paraId="34454B5B" w14:textId="7D7F4FAA" w:rsidR="00DC524D" w:rsidRDefault="00DC524D" w:rsidP="007D3EE0">
      <w:pPr>
        <w:pBdr>
          <w:top w:val="single" w:sz="4" w:space="1" w:color="auto"/>
          <w:left w:val="single" w:sz="4" w:space="4" w:color="auto"/>
          <w:bottom w:val="single" w:sz="4" w:space="1" w:color="auto"/>
          <w:right w:val="single" w:sz="4" w:space="4" w:color="auto"/>
        </w:pBdr>
        <w:rPr>
          <w:rStyle w:val="normaltextrun"/>
          <w:lang w:val="en-GB"/>
        </w:rPr>
      </w:pPr>
      <w:r w:rsidRPr="002C68F5">
        <w:t xml:space="preserve">The committee further recommends that the Australian Government develop clearly delineated statutory definitions of part-time and full-time employment and that these definitions, as well as a definition of casual employment, be inserted into the </w:t>
      </w:r>
      <w:r w:rsidRPr="002C68F5">
        <w:rPr>
          <w:i/>
          <w:iCs/>
        </w:rPr>
        <w:t>Fair</w:t>
      </w:r>
      <w:r w:rsidR="0020373A">
        <w:rPr>
          <w:i/>
          <w:iCs/>
        </w:rPr>
        <w:t> </w:t>
      </w:r>
      <w:r w:rsidRPr="002C68F5">
        <w:rPr>
          <w:i/>
          <w:iCs/>
        </w:rPr>
        <w:t>Work</w:t>
      </w:r>
      <w:r w:rsidR="0020373A">
        <w:rPr>
          <w:i/>
          <w:iCs/>
        </w:rPr>
        <w:t> </w:t>
      </w:r>
      <w:r w:rsidRPr="002C68F5">
        <w:rPr>
          <w:i/>
          <w:iCs/>
        </w:rPr>
        <w:t>Act</w:t>
      </w:r>
      <w:r w:rsidR="0020373A">
        <w:rPr>
          <w:i/>
          <w:iCs/>
        </w:rPr>
        <w:t> </w:t>
      </w:r>
      <w:r w:rsidRPr="002C68F5">
        <w:rPr>
          <w:i/>
          <w:iCs/>
        </w:rPr>
        <w:t>2009</w:t>
      </w:r>
      <w:r w:rsidRPr="002C68F5">
        <w:t xml:space="preserve">. These definitions should accurately reflect modern employment relationships and address employers' use of widely accepted legal loopholes, which can </w:t>
      </w:r>
      <w:r w:rsidRPr="002C68F5">
        <w:lastRenderedPageBreak/>
        <w:t>result in employment conditions that do not align with community expectations. In particular, the growing trend of part-time work to function as a form of casual employment without the benefit of casual loading.</w:t>
      </w:r>
    </w:p>
    <w:p w14:paraId="4B07F4BA" w14:textId="77777777" w:rsidR="00DC524D" w:rsidRDefault="00DC524D" w:rsidP="0E4CF4D2">
      <w:pPr>
        <w:rPr>
          <w:rStyle w:val="normaltextrun"/>
          <w:lang w:val="en-GB"/>
        </w:rPr>
      </w:pPr>
    </w:p>
    <w:p w14:paraId="76073F2D" w14:textId="714D5062" w:rsidR="00DC524D" w:rsidRPr="007D3EE0" w:rsidRDefault="007D3EE0" w:rsidP="00DC524D">
      <w:pPr>
        <w:rPr>
          <w:rStyle w:val="normaltextrun"/>
          <w:lang w:val="en-GB"/>
        </w:rPr>
      </w:pPr>
      <w:r>
        <w:rPr>
          <w:rStyle w:val="normaltextrun"/>
          <w:lang w:val="en-GB"/>
        </w:rPr>
        <w:t xml:space="preserve">The Government </w:t>
      </w:r>
      <w:r>
        <w:rPr>
          <w:rStyle w:val="normaltextrun"/>
          <w:b/>
          <w:bCs/>
          <w:lang w:val="en-GB"/>
        </w:rPr>
        <w:t xml:space="preserve">agrees in part </w:t>
      </w:r>
      <w:r>
        <w:rPr>
          <w:rStyle w:val="normaltextrun"/>
          <w:lang w:val="en-GB"/>
        </w:rPr>
        <w:t xml:space="preserve">to this recommendation. </w:t>
      </w:r>
    </w:p>
    <w:p w14:paraId="0F0FA0A7" w14:textId="30F992A0" w:rsidR="00DC524D" w:rsidRPr="00DC524D" w:rsidRDefault="00DC524D" w:rsidP="00DC524D">
      <w:pPr>
        <w:rPr>
          <w:rStyle w:val="normaltextrun"/>
          <w:lang w:val="en-GB"/>
        </w:rPr>
      </w:pPr>
    </w:p>
    <w:p w14:paraId="284DF672" w14:textId="472CE3C7" w:rsidR="00883438" w:rsidRDefault="00883438" w:rsidP="00883438">
      <w:pPr>
        <w:rPr>
          <w:rStyle w:val="normaltextrun"/>
          <w:lang w:val="en-GB"/>
        </w:rPr>
      </w:pPr>
      <w:r w:rsidRPr="273A57E7">
        <w:rPr>
          <w:rStyle w:val="normaltextrun"/>
          <w:lang w:val="en-GB"/>
        </w:rPr>
        <w:t>The Government</w:t>
      </w:r>
      <w:r w:rsidR="005A1EF2" w:rsidRPr="273A57E7">
        <w:rPr>
          <w:rStyle w:val="normaltextrun"/>
          <w:lang w:val="en-GB"/>
        </w:rPr>
        <w:t>’</w:t>
      </w:r>
      <w:r w:rsidR="00A00E86" w:rsidRPr="273A57E7">
        <w:rPr>
          <w:rStyle w:val="normaltextrun"/>
          <w:lang w:val="en-GB"/>
        </w:rPr>
        <w:t>s</w:t>
      </w:r>
      <w:r w:rsidR="00435767" w:rsidRPr="273A57E7">
        <w:rPr>
          <w:rStyle w:val="normaltextrun"/>
          <w:lang w:val="en-GB"/>
        </w:rPr>
        <w:t xml:space="preserve"> </w:t>
      </w:r>
      <w:r w:rsidRPr="273A57E7">
        <w:rPr>
          <w:rStyle w:val="normaltextrun"/>
          <w:lang w:val="en-GB"/>
        </w:rPr>
        <w:t>Secure Jobs, Better Pay and Closing Loopholes reforms to the Fair Work Act</w:t>
      </w:r>
      <w:r w:rsidR="00A00E86" w:rsidRPr="273A57E7">
        <w:rPr>
          <w:rStyle w:val="normaltextrun"/>
          <w:lang w:val="en-GB"/>
        </w:rPr>
        <w:t xml:space="preserve"> partially address this recommendation</w:t>
      </w:r>
      <w:r w:rsidRPr="273A57E7">
        <w:rPr>
          <w:rStyle w:val="normaltextrun"/>
          <w:lang w:val="en-GB"/>
        </w:rPr>
        <w:t>.</w:t>
      </w:r>
    </w:p>
    <w:p w14:paraId="51F44E00" w14:textId="77777777" w:rsidR="00883438" w:rsidRDefault="00883438" w:rsidP="00883438">
      <w:pPr>
        <w:rPr>
          <w:rStyle w:val="normaltextrun"/>
          <w:lang w:val="en-GB"/>
        </w:rPr>
      </w:pPr>
    </w:p>
    <w:p w14:paraId="246146FE" w14:textId="36A37187" w:rsidR="00883438" w:rsidRDefault="00883438" w:rsidP="00883438">
      <w:pPr>
        <w:rPr>
          <w:rFonts w:cstheme="minorHAnsi"/>
        </w:rPr>
      </w:pPr>
      <w:r>
        <w:rPr>
          <w:rFonts w:cstheme="minorHAnsi"/>
        </w:rPr>
        <w:t xml:space="preserve">This recommendation is being considered by the Fair Work Commission as part of the Modern Awards Review requested by the Minister for Employment and Workplace Relations. </w:t>
      </w:r>
      <w:r w:rsidRPr="00DC524D">
        <w:rPr>
          <w:rStyle w:val="normaltextrun"/>
          <w:lang w:val="en-GB"/>
        </w:rPr>
        <w:t xml:space="preserve">Both the </w:t>
      </w:r>
      <w:r>
        <w:rPr>
          <w:rStyle w:val="normaltextrun"/>
          <w:lang w:val="en-GB"/>
        </w:rPr>
        <w:t>w</w:t>
      </w:r>
      <w:r w:rsidRPr="00DC524D">
        <w:rPr>
          <w:rStyle w:val="normaltextrun"/>
          <w:lang w:val="en-GB"/>
        </w:rPr>
        <w:t xml:space="preserve">ork and </w:t>
      </w:r>
      <w:r>
        <w:rPr>
          <w:rStyle w:val="normaltextrun"/>
          <w:lang w:val="en-GB"/>
        </w:rPr>
        <w:t>c</w:t>
      </w:r>
      <w:r w:rsidRPr="00DC524D">
        <w:rPr>
          <w:rStyle w:val="normaltextrun"/>
          <w:lang w:val="en-GB"/>
        </w:rPr>
        <w:t xml:space="preserve">are and </w:t>
      </w:r>
      <w:r>
        <w:rPr>
          <w:rStyle w:val="normaltextrun"/>
          <w:lang w:val="en-GB"/>
        </w:rPr>
        <w:t>j</w:t>
      </w:r>
      <w:r w:rsidRPr="00DC524D">
        <w:rPr>
          <w:rStyle w:val="normaltextrun"/>
          <w:lang w:val="en-GB"/>
        </w:rPr>
        <w:t xml:space="preserve">ob </w:t>
      </w:r>
      <w:r>
        <w:rPr>
          <w:rStyle w:val="normaltextrun"/>
          <w:lang w:val="en-GB"/>
        </w:rPr>
        <w:t>s</w:t>
      </w:r>
      <w:r w:rsidRPr="00DC524D">
        <w:rPr>
          <w:rStyle w:val="normaltextrun"/>
          <w:lang w:val="en-GB"/>
        </w:rPr>
        <w:t xml:space="preserve">ecurity </w:t>
      </w:r>
      <w:r>
        <w:rPr>
          <w:rStyle w:val="normaltextrun"/>
          <w:lang w:val="en-GB"/>
        </w:rPr>
        <w:t>s</w:t>
      </w:r>
      <w:r w:rsidRPr="00DC524D">
        <w:rPr>
          <w:rStyle w:val="normaltextrun"/>
          <w:lang w:val="en-GB"/>
        </w:rPr>
        <w:t xml:space="preserve">tream </w:t>
      </w:r>
      <w:r>
        <w:rPr>
          <w:rStyle w:val="normaltextrun"/>
          <w:lang w:val="en-GB"/>
        </w:rPr>
        <w:t>discussion papers</w:t>
      </w:r>
      <w:r w:rsidRPr="00DC524D">
        <w:rPr>
          <w:rStyle w:val="normaltextrun"/>
          <w:lang w:val="en-GB"/>
        </w:rPr>
        <w:t xml:space="preserve"> identified recommendation</w:t>
      </w:r>
      <w:r>
        <w:rPr>
          <w:rStyle w:val="normaltextrun"/>
          <w:lang w:val="en-GB"/>
        </w:rPr>
        <w:t xml:space="preserve"> 25 </w:t>
      </w:r>
      <w:r w:rsidR="00D30083">
        <w:rPr>
          <w:rStyle w:val="normaltextrun"/>
          <w:lang w:val="en-GB"/>
        </w:rPr>
        <w:t xml:space="preserve">as a </w:t>
      </w:r>
      <w:r>
        <w:rPr>
          <w:rStyle w:val="normaltextrun"/>
          <w:lang w:val="en-GB"/>
        </w:rPr>
        <w:t>recommendation</w:t>
      </w:r>
      <w:r w:rsidRPr="00DC524D">
        <w:rPr>
          <w:rStyle w:val="normaltextrun"/>
          <w:lang w:val="en-GB"/>
        </w:rPr>
        <w:t xml:space="preserve"> </w:t>
      </w:r>
      <w:r>
        <w:rPr>
          <w:rStyle w:val="normaltextrun"/>
          <w:lang w:val="en-GB"/>
        </w:rPr>
        <w:t>for consideration</w:t>
      </w:r>
      <w:r w:rsidRPr="00DC524D">
        <w:rPr>
          <w:rStyle w:val="normaltextrun"/>
          <w:lang w:val="en-GB"/>
        </w:rPr>
        <w:t xml:space="preserve">. </w:t>
      </w:r>
      <w:r>
        <w:rPr>
          <w:rFonts w:cstheme="minorHAnsi"/>
        </w:rPr>
        <w:t>The Government will consider the outcomes of the Modern Awards Review once the Fair Work Commission’s Final Report is published.</w:t>
      </w:r>
    </w:p>
    <w:p w14:paraId="19F92597" w14:textId="77777777" w:rsidR="00DC524D" w:rsidRPr="00DC524D" w:rsidRDefault="00DC524D" w:rsidP="00DC524D">
      <w:pPr>
        <w:rPr>
          <w:rStyle w:val="normaltextrun"/>
          <w:lang w:val="en-GB"/>
        </w:rPr>
      </w:pPr>
    </w:p>
    <w:p w14:paraId="0623C509" w14:textId="77777777" w:rsidR="00DC524D" w:rsidRPr="00892FCF" w:rsidRDefault="00DC524D" w:rsidP="00DC524D">
      <w:pPr>
        <w:rPr>
          <w:rStyle w:val="normaltextrun"/>
          <w:b/>
          <w:bCs/>
          <w:lang w:val="en-GB"/>
        </w:rPr>
      </w:pPr>
      <w:r w:rsidRPr="00892FCF">
        <w:rPr>
          <w:rStyle w:val="normaltextrun"/>
          <w:b/>
          <w:bCs/>
          <w:lang w:val="en-GB"/>
        </w:rPr>
        <w:t>Job Security Select Committee</w:t>
      </w:r>
    </w:p>
    <w:p w14:paraId="254AA012" w14:textId="615CFA13" w:rsidR="00DC524D" w:rsidRPr="00DC524D" w:rsidRDefault="00892FCF" w:rsidP="00DC524D">
      <w:pPr>
        <w:rPr>
          <w:rStyle w:val="normaltextrun"/>
          <w:lang w:val="en-GB"/>
        </w:rPr>
      </w:pPr>
      <w:r>
        <w:rPr>
          <w:rStyle w:val="normaltextrun"/>
          <w:lang w:val="en-GB"/>
        </w:rPr>
        <w:t>The</w:t>
      </w:r>
      <w:r w:rsidR="00DC524D" w:rsidRPr="00DC524D">
        <w:rPr>
          <w:rStyle w:val="normaltextrun"/>
          <w:lang w:val="en-GB"/>
        </w:rPr>
        <w:t xml:space="preserve"> Government</w:t>
      </w:r>
      <w:r w:rsidR="00B36AC9">
        <w:rPr>
          <w:rStyle w:val="normaltextrun"/>
          <w:lang w:val="en-GB"/>
        </w:rPr>
        <w:t xml:space="preserve"> is progressing its formal</w:t>
      </w:r>
      <w:r w:rsidR="00DC524D" w:rsidRPr="00DC524D">
        <w:rPr>
          <w:rStyle w:val="normaltextrun"/>
          <w:lang w:val="en-GB"/>
        </w:rPr>
        <w:t xml:space="preserve"> response to the Senate Select Committee on Job Security’s reports. The Government further notes that the Job Security Committee’s findings and recommendations played a substantial role in the development of legislative reforms already undertaken in this term of Government.</w:t>
      </w:r>
    </w:p>
    <w:p w14:paraId="3AEB960D" w14:textId="77777777" w:rsidR="00DC524D" w:rsidRPr="00DC524D" w:rsidRDefault="00DC524D" w:rsidP="00DC524D">
      <w:pPr>
        <w:rPr>
          <w:rStyle w:val="normaltextrun"/>
          <w:lang w:val="en-GB"/>
        </w:rPr>
      </w:pPr>
    </w:p>
    <w:p w14:paraId="7AE83D72" w14:textId="46F29D9E" w:rsidR="00DC524D" w:rsidRPr="00892FCF" w:rsidRDefault="00DC524D" w:rsidP="00DC524D">
      <w:pPr>
        <w:rPr>
          <w:rStyle w:val="normaltextrun"/>
          <w:b/>
          <w:bCs/>
          <w:lang w:val="en-GB"/>
        </w:rPr>
      </w:pPr>
      <w:r w:rsidRPr="00892FCF">
        <w:rPr>
          <w:rStyle w:val="normaltextrun"/>
          <w:b/>
          <w:bCs/>
          <w:lang w:val="en-GB"/>
        </w:rPr>
        <w:t>Secure Jobs, Better Pay and Closing Loopholes</w:t>
      </w:r>
    </w:p>
    <w:p w14:paraId="1F039EB7" w14:textId="77777777" w:rsidR="0018038C" w:rsidRPr="00DC524D" w:rsidRDefault="0018038C" w:rsidP="0018038C">
      <w:pPr>
        <w:rPr>
          <w:rStyle w:val="normaltextrun"/>
          <w:lang w:val="en-GB"/>
        </w:rPr>
      </w:pPr>
      <w:r w:rsidRPr="00DC524D">
        <w:rPr>
          <w:rStyle w:val="normaltextrun"/>
          <w:lang w:val="en-GB"/>
        </w:rPr>
        <w:t xml:space="preserve">The Secure Jobs, Better Pay reforms added secure work and gender equality to the modern awards objective and the object of the Fair Work Act. The Fair Work Commission, as part of the Modern Awards Review, is considering how these changes to the purpose of the legislation bear upon the </w:t>
      </w:r>
      <w:r>
        <w:rPr>
          <w:rStyle w:val="normaltextrun"/>
          <w:lang w:val="en-GB"/>
        </w:rPr>
        <w:t xml:space="preserve">modern </w:t>
      </w:r>
      <w:r w:rsidRPr="00DC524D">
        <w:rPr>
          <w:rStyle w:val="normaltextrun"/>
          <w:lang w:val="en-GB"/>
        </w:rPr>
        <w:t xml:space="preserve">award system. </w:t>
      </w:r>
    </w:p>
    <w:p w14:paraId="64910525" w14:textId="77777777" w:rsidR="00DC524D" w:rsidRPr="00DC524D" w:rsidRDefault="00DC524D" w:rsidP="00DC524D">
      <w:pPr>
        <w:rPr>
          <w:rStyle w:val="normaltextrun"/>
          <w:lang w:val="en-GB"/>
        </w:rPr>
      </w:pPr>
    </w:p>
    <w:p w14:paraId="2A7F3CCD" w14:textId="77777777" w:rsidR="00DC524D" w:rsidRPr="00DC524D" w:rsidRDefault="00DC524D" w:rsidP="00DC524D">
      <w:pPr>
        <w:rPr>
          <w:rStyle w:val="normaltextrun"/>
          <w:lang w:val="en-GB"/>
        </w:rPr>
      </w:pPr>
      <w:r w:rsidRPr="00DC524D">
        <w:rPr>
          <w:rStyle w:val="normaltextrun"/>
          <w:lang w:val="en-GB"/>
        </w:rPr>
        <w:t xml:space="preserve">The Closing Loopholes reforms implemented the Government’s commitment to legislating a fair, objective test to determine when a worker can be classified as casual, and the new definition will take effect from 26 August 2024. For employees who are effectively working like a permanent employee, they will have a clear and simple way to choose to change to permanent work. These reforms are in addition to other measures to address legal loopholes that undercut conditions of work, including a fair definition of employment and the establishment of the new framework for the </w:t>
      </w:r>
      <w:r w:rsidR="003F2AC9">
        <w:rPr>
          <w:rStyle w:val="normaltextrun"/>
          <w:lang w:val="en-GB"/>
        </w:rPr>
        <w:t xml:space="preserve">Fair Work </w:t>
      </w:r>
      <w:r w:rsidRPr="00DC524D">
        <w:rPr>
          <w:rStyle w:val="normaltextrun"/>
          <w:lang w:val="en-GB"/>
        </w:rPr>
        <w:t>Commission to set minimum standards for employee-like workers and in the road transport industry.</w:t>
      </w:r>
    </w:p>
    <w:p w14:paraId="64944B97" w14:textId="77777777" w:rsidR="00DC524D" w:rsidRDefault="00DC524D" w:rsidP="0E4CF4D2">
      <w:pPr>
        <w:rPr>
          <w:rStyle w:val="normaltextrun"/>
          <w:lang w:val="en-GB"/>
        </w:rPr>
      </w:pPr>
    </w:p>
    <w:p w14:paraId="4F2D308B" w14:textId="77777777" w:rsidR="00DC524D" w:rsidRPr="00DF6490" w:rsidRDefault="00DC524D" w:rsidP="007D3EE0">
      <w:pPr>
        <w:pStyle w:val="Heading6"/>
        <w:pBdr>
          <w:top w:val="single" w:sz="4" w:space="1" w:color="auto"/>
          <w:left w:val="single" w:sz="4" w:space="4" w:color="auto"/>
          <w:bottom w:val="single" w:sz="4" w:space="1" w:color="auto"/>
          <w:right w:val="single" w:sz="4" w:space="4" w:color="auto"/>
        </w:pBdr>
      </w:pPr>
      <w:r w:rsidRPr="00DF6490">
        <w:t>Recommendation 26</w:t>
      </w:r>
    </w:p>
    <w:p w14:paraId="13AC2BE6" w14:textId="77777777" w:rsidR="00DC524D" w:rsidRPr="00DF6490" w:rsidRDefault="00DC524D" w:rsidP="007D3EE0">
      <w:pPr>
        <w:pBdr>
          <w:top w:val="single" w:sz="4" w:space="1" w:color="auto"/>
          <w:left w:val="single" w:sz="4" w:space="4" w:color="auto"/>
          <w:bottom w:val="single" w:sz="4" w:space="1" w:color="auto"/>
          <w:right w:val="single" w:sz="4" w:space="4" w:color="auto"/>
        </w:pBdr>
        <w:rPr>
          <w:rFonts w:cstheme="minorHAnsi"/>
        </w:rPr>
      </w:pPr>
      <w:r w:rsidRPr="00DF6490">
        <w:rPr>
          <w:rFonts w:cstheme="minorHAnsi"/>
        </w:rPr>
        <w:t>The committee recommends that the principle of equal pay for equal work should be applied to gig workers, who currently do not have the same conditions and entitlements as other workers. Gig workers should have the same rights regarding predictability of work, liveable income, decent health and safety standards, and paid sick and holiday leave.</w:t>
      </w:r>
    </w:p>
    <w:p w14:paraId="4F1CE381" w14:textId="77777777" w:rsidR="00DC524D" w:rsidRPr="00DF6490" w:rsidRDefault="00DC524D" w:rsidP="007D3EE0">
      <w:pPr>
        <w:pBdr>
          <w:top w:val="single" w:sz="4" w:space="1" w:color="auto"/>
          <w:left w:val="single" w:sz="4" w:space="4" w:color="auto"/>
          <w:bottom w:val="single" w:sz="4" w:space="1" w:color="auto"/>
          <w:right w:val="single" w:sz="4" w:space="4" w:color="auto"/>
        </w:pBdr>
        <w:rPr>
          <w:rFonts w:cstheme="minorHAnsi"/>
        </w:rPr>
      </w:pPr>
    </w:p>
    <w:p w14:paraId="58D03184" w14:textId="2CF6A1AD" w:rsidR="00DC524D" w:rsidRPr="007D3EE0" w:rsidRDefault="00DC524D" w:rsidP="007D3EE0">
      <w:pPr>
        <w:pBdr>
          <w:top w:val="single" w:sz="4" w:space="1" w:color="auto"/>
          <w:left w:val="single" w:sz="4" w:space="4" w:color="auto"/>
          <w:bottom w:val="single" w:sz="4" w:space="1" w:color="auto"/>
          <w:right w:val="single" w:sz="4" w:space="4" w:color="auto"/>
        </w:pBdr>
        <w:rPr>
          <w:rFonts w:cstheme="minorHAnsi"/>
        </w:rPr>
      </w:pPr>
      <w:r w:rsidRPr="00DF6490">
        <w:rPr>
          <w:rFonts w:cstheme="minorHAnsi"/>
        </w:rPr>
        <w:t>The committee further recommends the Australian Government remove incentives for gig platforms to avoid workplace regulations.</w:t>
      </w:r>
    </w:p>
    <w:p w14:paraId="46088D37" w14:textId="77777777" w:rsidR="00DC524D" w:rsidRPr="00766ED4" w:rsidRDefault="00DC524D" w:rsidP="00DC524D">
      <w:pPr>
        <w:rPr>
          <w:rFonts w:cstheme="minorHAnsi"/>
          <w:b/>
          <w:bCs/>
        </w:rPr>
      </w:pPr>
    </w:p>
    <w:p w14:paraId="5636C4AC" w14:textId="2BB11703" w:rsidR="000F1A6B" w:rsidRDefault="00DC524D" w:rsidP="000F1A6B">
      <w:r>
        <w:t xml:space="preserve">The Government </w:t>
      </w:r>
      <w:r w:rsidR="007D3EE0">
        <w:rPr>
          <w:b/>
          <w:bCs/>
        </w:rPr>
        <w:t xml:space="preserve">agrees in part </w:t>
      </w:r>
      <w:r w:rsidR="007D3EE0">
        <w:t>to this recommendation.</w:t>
      </w:r>
      <w:r w:rsidR="000F1A6B">
        <w:br w:type="page"/>
      </w:r>
    </w:p>
    <w:p w14:paraId="511E3EE9" w14:textId="2C9D1E28" w:rsidR="00DC524D" w:rsidRDefault="004C0F08" w:rsidP="00DC524D">
      <w:r w:rsidRPr="002B7072">
        <w:rPr>
          <w:color w:val="000000" w:themeColor="text1"/>
        </w:rPr>
        <w:lastRenderedPageBreak/>
        <w:t xml:space="preserve">The Government is strongly committed to delivering minimum workplace standards to protect gig workers. </w:t>
      </w:r>
      <w:r w:rsidR="00DC524D">
        <w:t>The Government has legislated to empower the Fair Work Commission to set minimum standards for employee-like workers in the gig economy. This change closes the loophole that has left these workers without access to any minimum standards at all. These changes commence on 26 August 2024, or earlier by proclamation.</w:t>
      </w:r>
    </w:p>
    <w:p w14:paraId="106058DF" w14:textId="77777777" w:rsidR="00DC524D" w:rsidRDefault="00DC524D" w:rsidP="00DC524D"/>
    <w:p w14:paraId="5B3E2FE3" w14:textId="77777777" w:rsidR="00DC524D" w:rsidRDefault="00DC524D" w:rsidP="00DC524D">
      <w:r>
        <w:t xml:space="preserve">Australia has ratified the International Labour Organization’s </w:t>
      </w:r>
      <w:r w:rsidRPr="273A57E7">
        <w:rPr>
          <w:i/>
          <w:iCs/>
        </w:rPr>
        <w:t>Equal Remuneration Convention, 1951</w:t>
      </w:r>
      <w:r>
        <w:t xml:space="preserve">, and is committed to the implementation of equal pay for equal work across all forms of work. In this respect, the Government’s Secure Jobs, Better Pay reforms added gender equality as an express object of the Fair Work Act. </w:t>
      </w:r>
    </w:p>
    <w:p w14:paraId="7BBFFF3D" w14:textId="77777777" w:rsidR="00DC524D" w:rsidRDefault="00DC524D" w:rsidP="00DC524D"/>
    <w:p w14:paraId="630A88C7" w14:textId="229AAD70" w:rsidR="00DC524D" w:rsidRDefault="00DC524D" w:rsidP="00DC524D">
      <w:r>
        <w:t>The employee-like framework is designed to ensure that employee-like workers receive fair minimum standards that reflect the unique nature of digital platform work. It will be a matter for the independent Fair Work Commission to determine which terms and conditions will be set as minimum standards, having regard to the applications before it and the requirements set out in legislation. This includes taking into account the objects of the Fair Work Act, which include the need to promote gender equality.</w:t>
      </w:r>
    </w:p>
    <w:p w14:paraId="262E27D7" w14:textId="77777777" w:rsidR="00DC524D" w:rsidRDefault="00DC524D" w:rsidP="00DC524D"/>
    <w:p w14:paraId="53BB2C03" w14:textId="23B6E61A" w:rsidR="00DC524D" w:rsidRDefault="00AF1687" w:rsidP="00DC524D">
      <w:r>
        <w:t xml:space="preserve">This approach closes the loophole which has enabled digital labour platforms to avoid workplace </w:t>
      </w:r>
      <w:r w:rsidR="00465EFA">
        <w:t>regulations</w:t>
      </w:r>
      <w:r w:rsidR="00BC09B1">
        <w:t>. It</w:t>
      </w:r>
      <w:r>
        <w:t xml:space="preserve"> creates a new framework which will ensure minimum standards are fit-for-purpose for workers, consumers and platforms. In addition, the Government has legislated to update the sham </w:t>
      </w:r>
      <w:r w:rsidR="00DC524D">
        <w:t>contracting provisions (and increase penalties) and insert an objective definition of employment, to prevent misclassification of workers designed to limit access to entitlements.</w:t>
      </w:r>
    </w:p>
    <w:p w14:paraId="4E943ED0" w14:textId="77777777" w:rsidR="00DC524D" w:rsidRDefault="00DC524D" w:rsidP="00DC524D"/>
    <w:p w14:paraId="283A9598" w14:textId="77777777" w:rsidR="00DC524D" w:rsidRDefault="00DC524D" w:rsidP="00DC524D">
      <w:r>
        <w:t>Employee-like workers will also be able to apply to the Fair Work Commission for dispute resolution if they consider they have been unfairly deactivated by a digital labour platform.</w:t>
      </w:r>
    </w:p>
    <w:p w14:paraId="6A89AE80" w14:textId="77777777" w:rsidR="00DC524D" w:rsidRDefault="00DC524D" w:rsidP="00DC524D"/>
    <w:p w14:paraId="5A4CA602" w14:textId="6FB284C3" w:rsidR="00444059" w:rsidRDefault="007D3EE0" w:rsidP="00444059">
      <w:pPr>
        <w:rPr>
          <w:color w:val="FF0000"/>
        </w:rPr>
      </w:pPr>
      <w:r>
        <w:t>T</w:t>
      </w:r>
      <w:r w:rsidR="00DC524D">
        <w:t xml:space="preserve">he Government is strongly committed to ensuring all workers, including those in the gig economy, have equal access to decent health and safety standards. The </w:t>
      </w:r>
      <w:r w:rsidR="006A409D">
        <w:t>m</w:t>
      </w:r>
      <w:r w:rsidR="00DC524D">
        <w:t xml:space="preserve">odel Work Health and Safety </w:t>
      </w:r>
      <w:r w:rsidR="00444059">
        <w:t>laws</w:t>
      </w:r>
      <w:r w:rsidR="00DC524D">
        <w:t xml:space="preserve">, adopted in the Commonwealth jurisdiction, extends to work performed in non-standard work arrangements, as duties relate to ‘persons conducting a business or undertaking’ and ‘workers’ (rather than ‘employers’ and ‘employees’). </w:t>
      </w:r>
      <w:r w:rsidR="00444059">
        <w:t xml:space="preserve">The national </w:t>
      </w:r>
      <w:r>
        <w:t>work health and safety</w:t>
      </w:r>
      <w:r w:rsidR="00444059">
        <w:t xml:space="preserve"> policy body, Safe Work Australia, monitors the implementation and effectiveness of the model laws. This includes ensuring these duties are being applied effectively in practice across modern work arrangements, such as the gig economy.</w:t>
      </w:r>
    </w:p>
    <w:p w14:paraId="3B62DD58" w14:textId="77777777" w:rsidR="00A41836" w:rsidRDefault="00A41836">
      <w:pPr>
        <w:spacing w:after="200" w:line="276" w:lineRule="auto"/>
        <w:rPr>
          <w:rFonts w:cstheme="minorHAnsi"/>
          <w:b/>
          <w:bCs/>
          <w:i/>
          <w:iCs/>
        </w:rPr>
      </w:pPr>
      <w:r>
        <w:br w:type="page"/>
      </w:r>
    </w:p>
    <w:p w14:paraId="7AFA2281" w14:textId="6C3A7349" w:rsidR="003A62DD" w:rsidRPr="00DF6490" w:rsidRDefault="003910F7" w:rsidP="00801598">
      <w:pPr>
        <w:pStyle w:val="Heading3"/>
      </w:pPr>
      <w:bookmarkStart w:id="23" w:name="_Toc170224176"/>
      <w:r>
        <w:lastRenderedPageBreak/>
        <w:t>2.</w:t>
      </w:r>
      <w:r w:rsidR="001C1F8D">
        <w:t>3</w:t>
      </w:r>
      <w:r>
        <w:t xml:space="preserve"> </w:t>
      </w:r>
      <w:r w:rsidR="184BDEED" w:rsidRPr="00DF6490">
        <w:t xml:space="preserve">Working </w:t>
      </w:r>
      <w:r w:rsidR="00B859BF">
        <w:t>h</w:t>
      </w:r>
      <w:r w:rsidR="184BDEED" w:rsidRPr="00DF6490">
        <w:t>ours</w:t>
      </w:r>
      <w:bookmarkEnd w:id="23"/>
    </w:p>
    <w:p w14:paraId="12BD6CF3" w14:textId="7818E2DA" w:rsidR="005E4FB8" w:rsidRPr="00DF6490" w:rsidRDefault="00B85571" w:rsidP="005E4FB8">
      <w:r w:rsidRPr="00DF6490">
        <w:t xml:space="preserve">Five </w:t>
      </w:r>
      <w:r w:rsidR="2AB88999" w:rsidRPr="00DF6490">
        <w:t>Committee recommendations relate to working hours</w:t>
      </w:r>
      <w:r w:rsidR="001F4FDF">
        <w:t>, rostering</w:t>
      </w:r>
      <w:r w:rsidR="00ED6867">
        <w:t>,</w:t>
      </w:r>
      <w:r w:rsidR="00F7791E" w:rsidRPr="00DF6490">
        <w:t xml:space="preserve"> and</w:t>
      </w:r>
      <w:r w:rsidR="2AB88999" w:rsidRPr="00DF6490">
        <w:t xml:space="preserve"> the standard working week.</w:t>
      </w:r>
    </w:p>
    <w:p w14:paraId="5DB7A66E" w14:textId="77777777" w:rsidR="005E4FB8" w:rsidRPr="00DF6490" w:rsidRDefault="005E4FB8" w:rsidP="005E4FB8">
      <w:pPr>
        <w:rPr>
          <w:rFonts w:cstheme="minorHAnsi"/>
        </w:rPr>
      </w:pPr>
    </w:p>
    <w:p w14:paraId="6978BD46" w14:textId="6DC3CB77" w:rsidR="005E4FB8" w:rsidRPr="00980982" w:rsidRDefault="005E4FB8" w:rsidP="273A57E7">
      <w:r w:rsidRPr="273A57E7">
        <w:t>Under the National Employment Standards, an employer cannot request or require an employee to work more than 38 hours of work in a week, unless the additional hours are reasonable. In determining whether additional hours are reasonable or unreasonable, a number of factors must be taken into account, such as any risk to employee health and safety and the employee’s personal circumstances, including family responsibilities.</w:t>
      </w:r>
      <w:r w:rsidR="00707709" w:rsidRPr="273A57E7">
        <w:t xml:space="preserve"> </w:t>
      </w:r>
      <w:r w:rsidRPr="273A57E7">
        <w:t>Employees also have the right to refuse to work any additional hours that are unreasonable.</w:t>
      </w:r>
    </w:p>
    <w:p w14:paraId="5802152C" w14:textId="77777777" w:rsidR="005E4FB8" w:rsidRPr="00980982" w:rsidRDefault="005E4FB8" w:rsidP="005E4FB8">
      <w:pPr>
        <w:rPr>
          <w:rFonts w:eastAsia="Calibri" w:cstheme="minorHAnsi"/>
          <w:lang w:val="en-GB"/>
        </w:rPr>
      </w:pPr>
    </w:p>
    <w:p w14:paraId="6AA09E13" w14:textId="3122FB1C" w:rsidR="00AC0540" w:rsidRPr="00AC0540" w:rsidRDefault="009F256D" w:rsidP="00707709">
      <w:pPr>
        <w:pStyle w:val="Heading4"/>
        <w:rPr>
          <w:rFonts w:eastAsia="Calibri"/>
          <w:lang w:val="en-GB"/>
        </w:rPr>
      </w:pPr>
      <w:r w:rsidRPr="00707709">
        <w:rPr>
          <w:rFonts w:eastAsia="Calibri"/>
          <w:lang w:val="en-GB"/>
        </w:rPr>
        <w:t>2.</w:t>
      </w:r>
      <w:r w:rsidR="001C1F8D">
        <w:rPr>
          <w:rFonts w:eastAsia="Calibri"/>
          <w:lang w:val="en-GB"/>
        </w:rPr>
        <w:t>3</w:t>
      </w:r>
      <w:r w:rsidRPr="00707709">
        <w:rPr>
          <w:rFonts w:eastAsia="Calibri"/>
          <w:lang w:val="en-GB"/>
        </w:rPr>
        <w:t>.1 Employee right to disconnect</w:t>
      </w:r>
    </w:p>
    <w:p w14:paraId="324E06F3" w14:textId="3F71FDBB" w:rsidR="00AC0540" w:rsidRDefault="00AC0540" w:rsidP="00AC0540">
      <w:pPr>
        <w:rPr>
          <w:rFonts w:eastAsia="Calibri"/>
          <w:lang w:val="en-GB"/>
        </w:rPr>
      </w:pPr>
    </w:p>
    <w:p w14:paraId="769E10FB" w14:textId="0B618141" w:rsidR="009F256D" w:rsidRPr="009F256D" w:rsidRDefault="009F256D" w:rsidP="009F256D">
      <w:pPr>
        <w:rPr>
          <w:rFonts w:eastAsia="Calibri"/>
          <w:lang w:val="en-GB"/>
        </w:rPr>
      </w:pPr>
      <w:r>
        <w:rPr>
          <w:rFonts w:eastAsia="Calibri"/>
          <w:lang w:val="en-GB"/>
        </w:rPr>
        <w:t xml:space="preserve">The Closing Loopholes reforms included </w:t>
      </w:r>
      <w:r w:rsidRPr="009F256D">
        <w:rPr>
          <w:rFonts w:eastAsia="Calibri"/>
          <w:lang w:val="en-GB"/>
        </w:rPr>
        <w:t xml:space="preserve">a </w:t>
      </w:r>
      <w:r w:rsidR="00707709">
        <w:rPr>
          <w:rFonts w:eastAsia="Calibri"/>
          <w:lang w:val="en-GB"/>
        </w:rPr>
        <w:t xml:space="preserve">new </w:t>
      </w:r>
      <w:r w:rsidRPr="009F256D">
        <w:rPr>
          <w:rFonts w:eastAsia="Calibri"/>
          <w:lang w:val="en-GB"/>
        </w:rPr>
        <w:t xml:space="preserve">employee right to disconnect in the </w:t>
      </w:r>
      <w:r w:rsidRPr="00707709">
        <w:rPr>
          <w:rFonts w:eastAsia="Calibri"/>
          <w:lang w:val="en-GB"/>
        </w:rPr>
        <w:t>Fair</w:t>
      </w:r>
      <w:r w:rsidR="0055699A">
        <w:rPr>
          <w:rFonts w:eastAsia="Calibri"/>
          <w:lang w:val="en-GB"/>
        </w:rPr>
        <w:t> </w:t>
      </w:r>
      <w:r w:rsidRPr="00707709">
        <w:rPr>
          <w:rFonts w:eastAsia="Calibri"/>
          <w:lang w:val="en-GB"/>
        </w:rPr>
        <w:t xml:space="preserve">Work Act </w:t>
      </w:r>
      <w:r w:rsidRPr="009F256D">
        <w:rPr>
          <w:rFonts w:eastAsia="Calibri"/>
          <w:lang w:val="en-GB"/>
        </w:rPr>
        <w:t>which makes clear that employees are not required to monitor, read, or respond to employer or work-related contact out of hours, unless refusing to do so is unreasonable.</w:t>
      </w:r>
    </w:p>
    <w:p w14:paraId="28FE7195" w14:textId="77777777" w:rsidR="009F256D" w:rsidRPr="009F256D" w:rsidRDefault="009F256D" w:rsidP="009F256D">
      <w:pPr>
        <w:rPr>
          <w:rFonts w:eastAsia="Calibri"/>
          <w:lang w:val="en-GB"/>
        </w:rPr>
      </w:pPr>
    </w:p>
    <w:p w14:paraId="028567CA" w14:textId="787F0FBF" w:rsidR="009F256D" w:rsidRDefault="00687553" w:rsidP="009F256D">
      <w:pPr>
        <w:rPr>
          <w:rFonts w:eastAsia="Calibri"/>
          <w:lang w:val="en-GB"/>
        </w:rPr>
      </w:pPr>
      <w:r w:rsidRPr="009F256D">
        <w:rPr>
          <w:rFonts w:eastAsia="Calibri"/>
          <w:lang w:val="en-GB"/>
        </w:rPr>
        <w:t>Th</w:t>
      </w:r>
      <w:r>
        <w:rPr>
          <w:rFonts w:eastAsia="Calibri"/>
          <w:lang w:val="en-GB"/>
        </w:rPr>
        <w:t>e right to disconnect</w:t>
      </w:r>
      <w:r w:rsidRPr="009F256D">
        <w:rPr>
          <w:rFonts w:eastAsia="Calibri"/>
          <w:lang w:val="en-GB"/>
        </w:rPr>
        <w:t xml:space="preserve"> </w:t>
      </w:r>
      <w:r w:rsidR="00422B28">
        <w:rPr>
          <w:rFonts w:eastAsia="Calibri"/>
          <w:lang w:val="en-GB"/>
        </w:rPr>
        <w:t>is</w:t>
      </w:r>
      <w:r w:rsidR="009F256D" w:rsidRPr="009F256D">
        <w:rPr>
          <w:rFonts w:eastAsia="Calibri"/>
          <w:lang w:val="en-GB"/>
        </w:rPr>
        <w:t xml:space="preserve"> a high</w:t>
      </w:r>
      <w:r w:rsidR="009F256D">
        <w:rPr>
          <w:rFonts w:eastAsia="Calibri"/>
          <w:lang w:val="en-GB"/>
        </w:rPr>
        <w:t xml:space="preserve"> </w:t>
      </w:r>
      <w:r w:rsidR="009F256D" w:rsidRPr="009F256D">
        <w:rPr>
          <w:rFonts w:eastAsia="Calibri"/>
          <w:lang w:val="en-GB"/>
        </w:rPr>
        <w:t>level right</w:t>
      </w:r>
      <w:r>
        <w:rPr>
          <w:rFonts w:eastAsia="Calibri"/>
          <w:lang w:val="en-GB"/>
        </w:rPr>
        <w:t>,</w:t>
      </w:r>
      <w:r w:rsidR="009F256D" w:rsidRPr="009F256D">
        <w:rPr>
          <w:rFonts w:eastAsia="Calibri"/>
          <w:lang w:val="en-GB"/>
        </w:rPr>
        <w:t xml:space="preserve"> with factors to help employers determine whether an employee’s refusal to monitor, read or respond to contact is unreasonable. There are no obligations that limit employers or others from contacting or attempting to contact employees – just protections for employees who reasonably switch off.</w:t>
      </w:r>
      <w:r w:rsidR="00707709">
        <w:rPr>
          <w:rFonts w:eastAsia="Calibri"/>
          <w:lang w:val="en-GB"/>
        </w:rPr>
        <w:t xml:space="preserve"> </w:t>
      </w:r>
      <w:r w:rsidR="009F256D" w:rsidRPr="009F256D">
        <w:rPr>
          <w:rFonts w:eastAsia="Calibri"/>
          <w:lang w:val="en-GB"/>
        </w:rPr>
        <w:t xml:space="preserve">Employees’ right to refuse employer or work-related contact (or attempted contact) out of hours will be a workplace right, so the general protections in the Fair Work Act will apply. </w:t>
      </w:r>
      <w:r w:rsidR="00707709">
        <w:rPr>
          <w:rFonts w:eastAsia="Calibri"/>
          <w:lang w:val="en-GB"/>
        </w:rPr>
        <w:t>T</w:t>
      </w:r>
      <w:r w:rsidR="00707709" w:rsidRPr="009F256D">
        <w:rPr>
          <w:rFonts w:eastAsia="Calibri"/>
          <w:lang w:val="en-GB"/>
        </w:rPr>
        <w:t>he Fair Work Commission will be able to deal with disputes promptly, including by issuing stop orders.</w:t>
      </w:r>
    </w:p>
    <w:p w14:paraId="06B3C1AA" w14:textId="77777777" w:rsidR="00707709" w:rsidRDefault="00707709" w:rsidP="009F256D">
      <w:pPr>
        <w:rPr>
          <w:rFonts w:eastAsia="Calibri"/>
          <w:lang w:val="en-GB"/>
        </w:rPr>
      </w:pPr>
    </w:p>
    <w:p w14:paraId="3A73A127" w14:textId="3D8C1822" w:rsidR="00707709" w:rsidRDefault="00707709" w:rsidP="00707709">
      <w:pPr>
        <w:rPr>
          <w:rFonts w:eastAsia="Calibri"/>
          <w:lang w:val="en-GB"/>
        </w:rPr>
      </w:pPr>
      <w:r w:rsidRPr="00707709">
        <w:rPr>
          <w:rFonts w:eastAsia="Calibri"/>
          <w:lang w:val="en-GB"/>
        </w:rPr>
        <w:t>The right to disconnect will apply to national system employees and employers, other than small business employers</w:t>
      </w:r>
      <w:r w:rsidR="002467F7">
        <w:rPr>
          <w:rFonts w:eastAsia="Calibri"/>
          <w:lang w:val="en-GB"/>
        </w:rPr>
        <w:t xml:space="preserve"> and their employees</w:t>
      </w:r>
      <w:r w:rsidRPr="00707709">
        <w:rPr>
          <w:rFonts w:eastAsia="Calibri"/>
          <w:lang w:val="en-GB"/>
        </w:rPr>
        <w:t>, from 26 August 2024. Modern awards will include a right to disconnect term from this date.</w:t>
      </w:r>
      <w:r>
        <w:rPr>
          <w:rFonts w:eastAsia="Calibri"/>
          <w:lang w:val="en-GB"/>
        </w:rPr>
        <w:t xml:space="preserve"> </w:t>
      </w:r>
      <w:r w:rsidRPr="00707709">
        <w:rPr>
          <w:rFonts w:eastAsia="Calibri"/>
          <w:lang w:val="en-GB"/>
        </w:rPr>
        <w:t xml:space="preserve">For small business employers and employees, </w:t>
      </w:r>
      <w:r>
        <w:rPr>
          <w:rFonts w:eastAsia="Calibri"/>
          <w:lang w:val="en-GB"/>
        </w:rPr>
        <w:t xml:space="preserve">the right to disconnect </w:t>
      </w:r>
      <w:r w:rsidRPr="00707709">
        <w:rPr>
          <w:rFonts w:eastAsia="Calibri"/>
          <w:lang w:val="en-GB"/>
        </w:rPr>
        <w:t>will not commence until 26 August 2025, providing additional time for these employers and employees to make arrangements that suit their workplace.</w:t>
      </w:r>
    </w:p>
    <w:p w14:paraId="0D632914" w14:textId="77777777" w:rsidR="009F256D" w:rsidRPr="00AC0540" w:rsidRDefault="009F256D" w:rsidP="00AC0540">
      <w:pPr>
        <w:rPr>
          <w:rFonts w:eastAsia="Calibri"/>
          <w:lang w:val="en-GB"/>
        </w:rPr>
      </w:pPr>
    </w:p>
    <w:p w14:paraId="2C5D05AA" w14:textId="23068832" w:rsidR="00F07D9D" w:rsidRPr="0047067C" w:rsidRDefault="003910F7" w:rsidP="003910F7">
      <w:pPr>
        <w:pStyle w:val="Heading4"/>
        <w:rPr>
          <w:rFonts w:eastAsia="Calibri"/>
          <w:lang w:val="en-GB"/>
        </w:rPr>
      </w:pPr>
      <w:r>
        <w:rPr>
          <w:rFonts w:eastAsia="Calibri"/>
          <w:lang w:val="en-GB"/>
        </w:rPr>
        <w:t>2.</w:t>
      </w:r>
      <w:r w:rsidR="001C1F8D">
        <w:rPr>
          <w:rFonts w:eastAsia="Calibri"/>
          <w:lang w:val="en-GB"/>
        </w:rPr>
        <w:t>3</w:t>
      </w:r>
      <w:r>
        <w:rPr>
          <w:rFonts w:eastAsia="Calibri"/>
          <w:lang w:val="en-GB"/>
        </w:rPr>
        <w:t>.</w:t>
      </w:r>
      <w:r w:rsidR="009F256D">
        <w:rPr>
          <w:rFonts w:eastAsia="Calibri"/>
          <w:lang w:val="en-GB"/>
        </w:rPr>
        <w:t xml:space="preserve">2 </w:t>
      </w:r>
      <w:r w:rsidR="00F07D9D">
        <w:rPr>
          <w:rFonts w:eastAsia="Calibri"/>
          <w:lang w:val="en-GB"/>
        </w:rPr>
        <w:t>Modern awards and enterprise agreements</w:t>
      </w:r>
    </w:p>
    <w:p w14:paraId="34DF91D3" w14:textId="77777777" w:rsidR="00F07D9D" w:rsidRDefault="00F07D9D" w:rsidP="00965FF2">
      <w:pPr>
        <w:rPr>
          <w:rFonts w:cstheme="minorHAnsi"/>
        </w:rPr>
      </w:pPr>
    </w:p>
    <w:p w14:paraId="6C5A7053" w14:textId="34D04478" w:rsidR="00965FF2" w:rsidRPr="00980982" w:rsidRDefault="00965FF2" w:rsidP="00965FF2">
      <w:r w:rsidRPr="00980982">
        <w:rPr>
          <w:rFonts w:cstheme="minorHAnsi"/>
        </w:rPr>
        <w:t>Modern awards and enterprise agreement</w:t>
      </w:r>
      <w:r w:rsidR="009B33D4">
        <w:rPr>
          <w:rFonts w:cstheme="minorHAnsi"/>
        </w:rPr>
        <w:t>s</w:t>
      </w:r>
      <w:r w:rsidRPr="00980982">
        <w:rPr>
          <w:rFonts w:cstheme="minorHAnsi"/>
        </w:rPr>
        <w:t xml:space="preserve"> can include terms dealing with </w:t>
      </w:r>
      <w:r w:rsidRPr="00980982">
        <w:t>maximum weekly ordinary hours</w:t>
      </w:r>
      <w:r w:rsidR="00B26EA9" w:rsidRPr="00980982">
        <w:t xml:space="preserve"> (which can be fewer than 38 ordinary hours per week)</w:t>
      </w:r>
      <w:r w:rsidRPr="00980982">
        <w:t>, parameters around working additional hours such as payment of overtime, and necessary breaks between work applicable for overtime periods.</w:t>
      </w:r>
    </w:p>
    <w:p w14:paraId="789E7F77" w14:textId="77777777" w:rsidR="00B26EA9" w:rsidRPr="00980982" w:rsidRDefault="00B26EA9" w:rsidP="00965FF2"/>
    <w:p w14:paraId="15BD68C9" w14:textId="0FABB55C" w:rsidR="00FF1EA0" w:rsidRDefault="00BD4648" w:rsidP="005E4FB8">
      <w:pPr>
        <w:rPr>
          <w:rFonts w:cstheme="minorHAnsi"/>
        </w:rPr>
      </w:pPr>
      <w:r w:rsidRPr="00980982">
        <w:rPr>
          <w:rFonts w:cstheme="minorHAnsi"/>
        </w:rPr>
        <w:t>Modern awards and enterprise agreements must also include a term requiring the employer to consult employees about a change to their regular roster or ordinary hours of work. Employers must invite the employees to give their views about the impact of the change, including any impact in relation to their family or caring responsibilities.</w:t>
      </w:r>
    </w:p>
    <w:p w14:paraId="07AB68AA" w14:textId="7D21FC69" w:rsidR="000D50C6" w:rsidRDefault="000D50C6">
      <w:pPr>
        <w:spacing w:after="200" w:line="276" w:lineRule="auto"/>
        <w:rPr>
          <w:rFonts w:cstheme="minorHAnsi"/>
        </w:rPr>
      </w:pPr>
      <w:r>
        <w:rPr>
          <w:rFonts w:cstheme="minorHAnsi"/>
        </w:rPr>
        <w:br w:type="page"/>
      </w:r>
    </w:p>
    <w:p w14:paraId="76617208" w14:textId="40D03A9F" w:rsidR="00F07D9D" w:rsidRPr="00F07D9D" w:rsidRDefault="003910F7" w:rsidP="003910F7">
      <w:pPr>
        <w:pStyle w:val="Heading4"/>
      </w:pPr>
      <w:r>
        <w:lastRenderedPageBreak/>
        <w:t>2.</w:t>
      </w:r>
      <w:r w:rsidR="001C1F8D">
        <w:t>3</w:t>
      </w:r>
      <w:r>
        <w:t>.</w:t>
      </w:r>
      <w:r w:rsidR="009F256D">
        <w:t xml:space="preserve">3 </w:t>
      </w:r>
      <w:r w:rsidR="00F07D9D" w:rsidRPr="00F07D9D">
        <w:t>Work health and safety</w:t>
      </w:r>
    </w:p>
    <w:p w14:paraId="425A1478" w14:textId="5F75DF07" w:rsidR="00FF1EA0" w:rsidRPr="00980982" w:rsidRDefault="00FF1EA0" w:rsidP="005E4FB8">
      <w:pPr>
        <w:rPr>
          <w:rFonts w:eastAsia="Calibri" w:cstheme="minorHAnsi"/>
          <w:lang w:val="en-GB"/>
        </w:rPr>
      </w:pPr>
    </w:p>
    <w:p w14:paraId="6B3B3272" w14:textId="0A55DA00" w:rsidR="00C400D1" w:rsidRPr="00980982" w:rsidRDefault="005E4FB8" w:rsidP="005E4FB8">
      <w:pPr>
        <w:rPr>
          <w:lang w:val="en-GB" w:eastAsia="en-AU"/>
        </w:rPr>
      </w:pPr>
      <w:r w:rsidRPr="00980982">
        <w:rPr>
          <w:lang w:val="en-GB" w:eastAsia="en-AU"/>
        </w:rPr>
        <w:t>The Government recognises</w:t>
      </w:r>
      <w:r w:rsidR="00653661" w:rsidRPr="00980982">
        <w:rPr>
          <w:lang w:val="en-GB" w:eastAsia="en-AU"/>
        </w:rPr>
        <w:t xml:space="preserve"> the</w:t>
      </w:r>
      <w:r w:rsidRPr="00980982">
        <w:rPr>
          <w:lang w:val="en-GB" w:eastAsia="en-AU"/>
        </w:rPr>
        <w:t xml:space="preserve"> </w:t>
      </w:r>
      <w:r w:rsidR="00653661" w:rsidRPr="00980982">
        <w:rPr>
          <w:lang w:val="en-GB" w:eastAsia="en-AU"/>
        </w:rPr>
        <w:t xml:space="preserve">potential </w:t>
      </w:r>
      <w:r w:rsidRPr="00980982">
        <w:rPr>
          <w:lang w:val="en-GB" w:eastAsia="en-AU"/>
        </w:rPr>
        <w:t>impact excessive working hours</w:t>
      </w:r>
      <w:r w:rsidR="00653661" w:rsidRPr="00980982">
        <w:rPr>
          <w:lang w:val="en-GB" w:eastAsia="en-AU"/>
        </w:rPr>
        <w:t xml:space="preserve"> or unreasonable expectations around presenteeism </w:t>
      </w:r>
      <w:r w:rsidR="0044641A" w:rsidRPr="00980982">
        <w:rPr>
          <w:lang w:val="en-GB" w:eastAsia="en-AU"/>
        </w:rPr>
        <w:t xml:space="preserve">could have </w:t>
      </w:r>
      <w:r w:rsidRPr="00980982">
        <w:rPr>
          <w:lang w:val="en-GB" w:eastAsia="en-AU"/>
        </w:rPr>
        <w:t>on</w:t>
      </w:r>
      <w:r w:rsidR="00653661" w:rsidRPr="00980982">
        <w:rPr>
          <w:lang w:val="en-GB" w:eastAsia="en-AU"/>
        </w:rPr>
        <w:t xml:space="preserve"> the</w:t>
      </w:r>
      <w:r w:rsidRPr="00980982">
        <w:rPr>
          <w:lang w:val="en-GB" w:eastAsia="en-AU"/>
        </w:rPr>
        <w:t xml:space="preserve"> </w:t>
      </w:r>
      <w:r w:rsidR="1B366BE9" w:rsidRPr="00980982">
        <w:rPr>
          <w:lang w:val="en-GB" w:eastAsia="en-AU"/>
        </w:rPr>
        <w:t>psychological health</w:t>
      </w:r>
      <w:r w:rsidR="00653661" w:rsidRPr="00980982">
        <w:rPr>
          <w:lang w:val="en-GB" w:eastAsia="en-AU"/>
        </w:rPr>
        <w:t xml:space="preserve"> of workers</w:t>
      </w:r>
      <w:r w:rsidR="0535DFC1" w:rsidRPr="00980982">
        <w:rPr>
          <w:lang w:val="en-GB" w:eastAsia="en-AU"/>
        </w:rPr>
        <w:t>.</w:t>
      </w:r>
      <w:r w:rsidRPr="00980982">
        <w:rPr>
          <w:lang w:val="en-GB" w:eastAsia="en-AU"/>
        </w:rPr>
        <w:t xml:space="preserve"> Improving the understanding and management of such psychosocial hazards in Australian workplaces is a</w:t>
      </w:r>
      <w:r w:rsidR="000F31D2" w:rsidRPr="00980982">
        <w:rPr>
          <w:lang w:val="en-GB" w:eastAsia="en-AU"/>
        </w:rPr>
        <w:t>n ongoing</w:t>
      </w:r>
      <w:r w:rsidRPr="00980982">
        <w:rPr>
          <w:lang w:val="en-GB" w:eastAsia="en-AU"/>
        </w:rPr>
        <w:t xml:space="preserve"> priority for</w:t>
      </w:r>
      <w:r w:rsidR="004A2663">
        <w:rPr>
          <w:lang w:val="en-GB" w:eastAsia="en-AU"/>
        </w:rPr>
        <w:t xml:space="preserve"> the</w:t>
      </w:r>
      <w:r w:rsidRPr="00980982">
        <w:rPr>
          <w:lang w:val="en-GB" w:eastAsia="en-AU"/>
        </w:rPr>
        <w:t xml:space="preserve"> Government.</w:t>
      </w:r>
    </w:p>
    <w:p w14:paraId="69C29D22" w14:textId="2CAAD961" w:rsidR="00F4085E" w:rsidRPr="00E604E9" w:rsidRDefault="00F4085E" w:rsidP="00F4085E"/>
    <w:p w14:paraId="337ABE69" w14:textId="53E3A4D8" w:rsidR="009063A2" w:rsidRPr="00E604E9" w:rsidRDefault="009063A2">
      <w:r>
        <w:t xml:space="preserve">On 1 April 2023, new Work Health and Safety Regulations on managing psychosocial hazards at work came into effect in the Commonwealth jurisdiction. </w:t>
      </w:r>
      <w:r w:rsidRPr="273A57E7">
        <w:rPr>
          <w:rStyle w:val="normaltextrun"/>
          <w:color w:val="000000" w:themeColor="text1"/>
        </w:rPr>
        <w:t>To support implementation of the psychosocial regulations, a Code of Practice on managing psychosocial hazards in the workplace for the Commonwealth jurisdiction is being finalised.</w:t>
      </w:r>
      <w:r>
        <w:t xml:space="preserve"> The Government has also committed $2 million over </w:t>
      </w:r>
      <w:r w:rsidR="00F65F60">
        <w:t xml:space="preserve">2 </w:t>
      </w:r>
      <w:r>
        <w:t>years, from 2023 to 2025, to fund the development and delivery of a ‘train-the-trainer’ program on workplace psychosocial hazards for Health and Safety Representatives in the Commonwealth jurisdiction. The training will improve Health and Safety Representatives’ psychosocial hazard literacy, and support implementation of regulations on managing psychosocial risks.</w:t>
      </w:r>
    </w:p>
    <w:p w14:paraId="51F19CC0" w14:textId="77777777" w:rsidR="009A40DC" w:rsidRDefault="009A40DC" w:rsidP="0065464B">
      <w:pPr>
        <w:rPr>
          <w:rFonts w:cstheme="minorHAnsi"/>
        </w:rPr>
      </w:pPr>
    </w:p>
    <w:p w14:paraId="60D7E4EB" w14:textId="77777777" w:rsidR="00DC524D" w:rsidRPr="00980982" w:rsidRDefault="00DC524D" w:rsidP="007D3EE0">
      <w:pPr>
        <w:pStyle w:val="Heading6"/>
        <w:pBdr>
          <w:top w:val="single" w:sz="4" w:space="1" w:color="auto"/>
          <w:left w:val="single" w:sz="4" w:space="4" w:color="auto"/>
          <w:bottom w:val="single" w:sz="4" w:space="1" w:color="auto"/>
          <w:right w:val="single" w:sz="4" w:space="4" w:color="auto"/>
        </w:pBdr>
      </w:pPr>
      <w:r w:rsidRPr="00980982">
        <w:t>Recommendation 21</w:t>
      </w:r>
    </w:p>
    <w:p w14:paraId="5575E702" w14:textId="77777777" w:rsidR="00DC524D" w:rsidRPr="00980982" w:rsidRDefault="00DC524D" w:rsidP="007D3EE0">
      <w:pPr>
        <w:pBdr>
          <w:top w:val="single" w:sz="4" w:space="1" w:color="auto"/>
          <w:left w:val="single" w:sz="4" w:space="4" w:color="auto"/>
          <w:bottom w:val="single" w:sz="4" w:space="1" w:color="auto"/>
          <w:right w:val="single" w:sz="4" w:space="4" w:color="auto"/>
        </w:pBdr>
        <w:rPr>
          <w:rFonts w:cstheme="minorHAnsi"/>
        </w:rPr>
      </w:pPr>
      <w:r w:rsidRPr="00980982">
        <w:rPr>
          <w:rFonts w:cstheme="minorHAnsi"/>
        </w:rPr>
        <w:t xml:space="preserve">The committee recommends, alongside its Interim Report recommendations to ensure employees have predicable, stable rosters, the Australian Government supports a review by the Fair Work Commission of current industrial awards, to require employers to give advance notice of at least two weeks of rosters and roster changes (except in exceptional circumstances) and genuinely consider employee views about the impact of proposed roster changes and to accommodate the needs of the employee. </w:t>
      </w:r>
    </w:p>
    <w:p w14:paraId="272C1730" w14:textId="77777777" w:rsidR="00DC524D" w:rsidRPr="00980982" w:rsidRDefault="00DC524D" w:rsidP="007D3EE0">
      <w:pPr>
        <w:pBdr>
          <w:top w:val="single" w:sz="4" w:space="1" w:color="auto"/>
          <w:left w:val="single" w:sz="4" w:space="4" w:color="auto"/>
          <w:bottom w:val="single" w:sz="4" w:space="1" w:color="auto"/>
          <w:right w:val="single" w:sz="4" w:space="4" w:color="auto"/>
        </w:pBdr>
        <w:rPr>
          <w:rFonts w:cstheme="minorHAnsi"/>
        </w:rPr>
      </w:pPr>
    </w:p>
    <w:p w14:paraId="61824FA5" w14:textId="77777777" w:rsidR="00DC524D" w:rsidRPr="00980982" w:rsidRDefault="00DC524D" w:rsidP="007D3EE0">
      <w:pPr>
        <w:pBdr>
          <w:top w:val="single" w:sz="4" w:space="1" w:color="auto"/>
          <w:left w:val="single" w:sz="4" w:space="4" w:color="auto"/>
          <w:bottom w:val="single" w:sz="4" w:space="1" w:color="auto"/>
          <w:right w:val="single" w:sz="4" w:space="4" w:color="auto"/>
        </w:pBdr>
        <w:rPr>
          <w:rFonts w:cstheme="minorHAnsi"/>
        </w:rPr>
      </w:pPr>
      <w:r w:rsidRPr="00980982">
        <w:rPr>
          <w:rFonts w:cstheme="minorHAnsi"/>
        </w:rPr>
        <w:t>The committee further recommends the Australian Government support a review by the FWC into current industrial awards, to ensure employees have a ‘right to say no’ to extra hours with protection from negative consequences.</w:t>
      </w:r>
    </w:p>
    <w:p w14:paraId="5F366A85" w14:textId="77777777" w:rsidR="00DC524D" w:rsidRPr="00980982" w:rsidRDefault="00DC524D" w:rsidP="00DC524D">
      <w:pPr>
        <w:rPr>
          <w:rFonts w:cstheme="minorHAnsi"/>
        </w:rPr>
      </w:pPr>
    </w:p>
    <w:p w14:paraId="45A15AA4" w14:textId="58C550A3" w:rsidR="00DC524D" w:rsidRPr="00980982" w:rsidRDefault="00DC524D" w:rsidP="007D3EE0">
      <w:pPr>
        <w:pBdr>
          <w:top w:val="single" w:sz="4" w:space="1" w:color="auto"/>
          <w:left w:val="single" w:sz="4" w:space="4" w:color="auto"/>
          <w:bottom w:val="single" w:sz="4" w:space="1" w:color="auto"/>
          <w:right w:val="single" w:sz="4" w:space="4" w:color="auto"/>
        </w:pBdr>
        <w:textAlignment w:val="baseline"/>
        <w:rPr>
          <w:rFonts w:ascii="Segoe UI" w:hAnsi="Segoe UI" w:cs="Segoe UI"/>
          <w:b/>
          <w:bCs/>
          <w:i/>
          <w:iCs/>
          <w:sz w:val="18"/>
          <w:szCs w:val="18"/>
          <w:lang w:eastAsia="en-AU"/>
        </w:rPr>
      </w:pPr>
      <w:r w:rsidRPr="00980982">
        <w:rPr>
          <w:rFonts w:ascii="Calibri" w:hAnsi="Calibri" w:cs="Calibri"/>
          <w:b/>
          <w:bCs/>
          <w:i/>
          <w:iCs/>
          <w:lang w:eastAsia="en-AU"/>
        </w:rPr>
        <w:t>Interim Report Recommendation 5 </w:t>
      </w:r>
    </w:p>
    <w:p w14:paraId="5A1F15C0" w14:textId="77777777" w:rsidR="00DC524D" w:rsidRPr="00980982" w:rsidRDefault="00DC524D" w:rsidP="007D3EE0">
      <w:pPr>
        <w:pBdr>
          <w:top w:val="single" w:sz="4" w:space="1" w:color="auto"/>
          <w:left w:val="single" w:sz="4" w:space="4" w:color="auto"/>
          <w:bottom w:val="single" w:sz="4" w:space="1" w:color="auto"/>
          <w:right w:val="single" w:sz="4" w:space="4" w:color="auto"/>
        </w:pBdr>
        <w:textAlignment w:val="baseline"/>
        <w:rPr>
          <w:rFonts w:ascii="Segoe UI" w:hAnsi="Segoe UI" w:cs="Segoe UI"/>
          <w:i/>
          <w:iCs/>
          <w:sz w:val="18"/>
          <w:szCs w:val="18"/>
          <w:lang w:eastAsia="en-AU"/>
        </w:rPr>
      </w:pPr>
      <w:r w:rsidRPr="00980982">
        <w:rPr>
          <w:rFonts w:ascii="Calibri" w:hAnsi="Calibri" w:cs="Calibri"/>
          <w:i/>
          <w:iCs/>
          <w:lang w:eastAsia="en-AU"/>
        </w:rPr>
        <w:t>The committee recommends that the Australian Government amend the</w:t>
      </w:r>
      <w:r w:rsidRPr="007D3EE0">
        <w:rPr>
          <w:rFonts w:ascii="Calibri" w:hAnsi="Calibri" w:cs="Calibri"/>
          <w:i/>
          <w:iCs/>
          <w:lang w:eastAsia="en-AU"/>
        </w:rPr>
        <w:t xml:space="preserve"> </w:t>
      </w:r>
      <w:r w:rsidRPr="0020373A">
        <w:rPr>
          <w:rFonts w:ascii="Calibri" w:hAnsi="Calibri" w:cs="Calibri"/>
          <w:lang w:eastAsia="en-AU"/>
        </w:rPr>
        <w:t>Fair Work Act 2009</w:t>
      </w:r>
      <w:r w:rsidRPr="007D3EE0">
        <w:rPr>
          <w:rFonts w:ascii="Calibri" w:hAnsi="Calibri" w:cs="Calibri"/>
          <w:i/>
          <w:iCs/>
          <w:lang w:eastAsia="en-AU"/>
        </w:rPr>
        <w:t xml:space="preserve"> to provide improved rostering rights for employees, and in particular working carers, by: </w:t>
      </w:r>
    </w:p>
    <w:p w14:paraId="75924E39" w14:textId="77777777" w:rsidR="00DC524D" w:rsidRPr="007D3062" w:rsidRDefault="00DC524D" w:rsidP="007D3EE0">
      <w:pPr>
        <w:pStyle w:val="ListParagraph"/>
        <w:numPr>
          <w:ilvl w:val="0"/>
          <w:numId w:val="21"/>
        </w:numPr>
        <w:pBdr>
          <w:top w:val="single" w:sz="4" w:space="1" w:color="auto"/>
          <w:left w:val="single" w:sz="4" w:space="4" w:color="auto"/>
          <w:bottom w:val="single" w:sz="4" w:space="1" w:color="auto"/>
          <w:right w:val="single" w:sz="4" w:space="4" w:color="auto"/>
        </w:pBdr>
        <w:textAlignment w:val="baseline"/>
        <w:rPr>
          <w:rFonts w:ascii="Calibri" w:hAnsi="Calibri" w:cs="Calibri"/>
          <w:i/>
          <w:sz w:val="24"/>
          <w:szCs w:val="24"/>
          <w:lang w:eastAsia="en-AU"/>
        </w:rPr>
      </w:pPr>
      <w:r w:rsidRPr="007D3062">
        <w:rPr>
          <w:rFonts w:ascii="Calibri" w:hAnsi="Calibri" w:cs="Calibri"/>
          <w:i/>
          <w:sz w:val="24"/>
          <w:szCs w:val="24"/>
          <w:lang w:eastAsia="en-AU"/>
        </w:rPr>
        <w:t>ensuring employers implement rostering practices that are predictable, stable and focused on fixed shift scheduling (for example, fixed times and days); and </w:t>
      </w:r>
    </w:p>
    <w:p w14:paraId="08CFDAFE" w14:textId="77777777" w:rsidR="00DC524D" w:rsidRPr="00980982" w:rsidRDefault="00DC524D" w:rsidP="007D3EE0">
      <w:pPr>
        <w:pStyle w:val="ListParagraph"/>
        <w:numPr>
          <w:ilvl w:val="0"/>
          <w:numId w:val="21"/>
        </w:numPr>
        <w:pBdr>
          <w:top w:val="single" w:sz="4" w:space="1" w:color="auto"/>
          <w:left w:val="single" w:sz="4" w:space="4" w:color="auto"/>
          <w:bottom w:val="single" w:sz="4" w:space="1" w:color="auto"/>
          <w:right w:val="single" w:sz="4" w:space="4" w:color="auto"/>
        </w:pBdr>
        <w:textAlignment w:val="baseline"/>
        <w:rPr>
          <w:rFonts w:ascii="Calibri" w:hAnsi="Calibri" w:cs="Calibri"/>
          <w:lang w:eastAsia="en-AU"/>
        </w:rPr>
      </w:pPr>
      <w:r w:rsidRPr="007D3062">
        <w:rPr>
          <w:rFonts w:ascii="Calibri" w:hAnsi="Calibri" w:cs="Calibri"/>
          <w:i/>
          <w:sz w:val="24"/>
          <w:szCs w:val="24"/>
          <w:lang w:eastAsia="en-AU"/>
        </w:rPr>
        <w:t>amending section 145A of the Act to require employers genuinely consider employee views about the impact of proposed roster changes, and take the views of the employee, including working carers, into consideration when changing rosters and other work arrangements.</w:t>
      </w:r>
      <w:r w:rsidRPr="007D3062">
        <w:rPr>
          <w:rFonts w:ascii="Calibri" w:hAnsi="Calibri" w:cs="Calibri"/>
          <w:sz w:val="24"/>
          <w:szCs w:val="24"/>
          <w:lang w:eastAsia="en-AU"/>
        </w:rPr>
        <w:t> </w:t>
      </w:r>
    </w:p>
    <w:p w14:paraId="0E06AB93" w14:textId="77777777" w:rsidR="00DC524D" w:rsidRDefault="00DC524D" w:rsidP="0065464B">
      <w:pPr>
        <w:rPr>
          <w:rFonts w:cstheme="minorHAnsi"/>
        </w:rPr>
      </w:pPr>
    </w:p>
    <w:p w14:paraId="596F2D79" w14:textId="75D940D7" w:rsidR="00106027" w:rsidRDefault="00106027" w:rsidP="00106027">
      <w:pPr>
        <w:rPr>
          <w:rFonts w:cstheme="minorHAnsi"/>
        </w:rPr>
      </w:pPr>
      <w:r>
        <w:rPr>
          <w:rFonts w:cstheme="minorHAnsi"/>
        </w:rPr>
        <w:t xml:space="preserve">The Government </w:t>
      </w:r>
      <w:r>
        <w:rPr>
          <w:rFonts w:cstheme="minorHAnsi"/>
          <w:b/>
          <w:bCs/>
        </w:rPr>
        <w:t xml:space="preserve">notes </w:t>
      </w:r>
      <w:r>
        <w:rPr>
          <w:rFonts w:cstheme="minorHAnsi"/>
        </w:rPr>
        <w:t xml:space="preserve">this recommendation and the Interim Report </w:t>
      </w:r>
      <w:r w:rsidR="00A9469E">
        <w:rPr>
          <w:rFonts w:cstheme="minorHAnsi"/>
        </w:rPr>
        <w:t>r</w:t>
      </w:r>
      <w:r>
        <w:rPr>
          <w:rFonts w:cstheme="minorHAnsi"/>
        </w:rPr>
        <w:t>ecommendation.</w:t>
      </w:r>
    </w:p>
    <w:p w14:paraId="0C92A3BE" w14:textId="70A067B1" w:rsidR="00524CB3" w:rsidRDefault="00524CB3">
      <w:pPr>
        <w:spacing w:after="200" w:line="276" w:lineRule="auto"/>
        <w:rPr>
          <w:rFonts w:cstheme="minorHAnsi"/>
        </w:rPr>
      </w:pPr>
      <w:r>
        <w:rPr>
          <w:rFonts w:cstheme="minorHAnsi"/>
        </w:rPr>
        <w:br w:type="page"/>
      </w:r>
    </w:p>
    <w:p w14:paraId="6E9C42FE" w14:textId="26DEE3CE" w:rsidR="00106027" w:rsidRPr="00DC524D" w:rsidRDefault="00106027" w:rsidP="00106027">
      <w:pPr>
        <w:rPr>
          <w:rFonts w:cstheme="minorHAnsi"/>
        </w:rPr>
      </w:pPr>
      <w:r>
        <w:rPr>
          <w:rFonts w:cstheme="minorHAnsi"/>
        </w:rPr>
        <w:lastRenderedPageBreak/>
        <w:t>Rostering is being considered by the Fair Work Commission as part of the Modern Awards Review requested by the Minister for Employment and Workplace Relations. In particular, Question 8 of t</w:t>
      </w:r>
      <w:r w:rsidRPr="00DC524D">
        <w:rPr>
          <w:rFonts w:cstheme="minorHAnsi"/>
        </w:rPr>
        <w:t xml:space="preserve">he </w:t>
      </w:r>
      <w:r>
        <w:rPr>
          <w:rFonts w:cstheme="minorHAnsi"/>
        </w:rPr>
        <w:t xml:space="preserve">Fair Work Commission’s </w:t>
      </w:r>
      <w:r w:rsidRPr="00DC524D">
        <w:rPr>
          <w:rFonts w:cstheme="minorHAnsi"/>
        </w:rPr>
        <w:t xml:space="preserve">discussion paper on </w:t>
      </w:r>
      <w:r>
        <w:rPr>
          <w:rFonts w:cstheme="minorHAnsi"/>
        </w:rPr>
        <w:t>w</w:t>
      </w:r>
      <w:r w:rsidRPr="00DC524D">
        <w:rPr>
          <w:rFonts w:cstheme="minorHAnsi"/>
        </w:rPr>
        <w:t xml:space="preserve">ork and </w:t>
      </w:r>
      <w:r>
        <w:rPr>
          <w:rFonts w:cstheme="minorHAnsi"/>
        </w:rPr>
        <w:t>c</w:t>
      </w:r>
      <w:r w:rsidRPr="00DC524D">
        <w:rPr>
          <w:rFonts w:cstheme="minorHAnsi"/>
        </w:rPr>
        <w:t>are asks:</w:t>
      </w:r>
    </w:p>
    <w:p w14:paraId="759164E1" w14:textId="12FE7A70" w:rsidR="00FF33B4" w:rsidRPr="00FF33B4" w:rsidRDefault="00106027" w:rsidP="00FF33B4">
      <w:pPr>
        <w:ind w:left="720"/>
        <w:rPr>
          <w:rFonts w:cstheme="minorHAnsi"/>
          <w:i/>
          <w:iCs/>
        </w:rPr>
      </w:pPr>
      <w:r w:rsidRPr="00FF33B4">
        <w:rPr>
          <w:rFonts w:cstheme="minorHAnsi"/>
          <w:i/>
          <w:iCs/>
        </w:rPr>
        <w:t>Noting the Work and Care Senate Committee Recommendation 21 that all employees should have at least 2 weeks’ notice of their roster except in exceptional circumstances, are there any specific variations to rostering provisions in modern awards that are necessary to ensure they continue to meet the modern awards objective?</w:t>
      </w:r>
      <w:r w:rsidR="004F06DE" w:rsidRPr="00201CD1">
        <w:rPr>
          <w:rStyle w:val="FootnoteReference"/>
          <w:rFonts w:cstheme="minorHAnsi"/>
        </w:rPr>
        <w:footnoteReference w:id="10"/>
      </w:r>
      <w:r w:rsidRPr="00FF33B4" w:rsidDel="00FF33B4">
        <w:rPr>
          <w:rFonts w:cstheme="minorHAnsi"/>
          <w:i/>
          <w:iCs/>
        </w:rPr>
        <w:t xml:space="preserve"> </w:t>
      </w:r>
    </w:p>
    <w:p w14:paraId="242621BD" w14:textId="77777777" w:rsidR="00FF33B4" w:rsidRDefault="00FF33B4" w:rsidP="00106027">
      <w:pPr>
        <w:rPr>
          <w:rFonts w:cstheme="minorHAnsi"/>
        </w:rPr>
      </w:pPr>
    </w:p>
    <w:p w14:paraId="0489DB3E" w14:textId="4FD6294E" w:rsidR="00106027" w:rsidRDefault="00106027" w:rsidP="00106027">
      <w:pPr>
        <w:rPr>
          <w:rFonts w:cstheme="minorHAnsi"/>
        </w:rPr>
      </w:pPr>
      <w:r>
        <w:rPr>
          <w:rFonts w:cstheme="minorHAnsi"/>
        </w:rPr>
        <w:t>The Government will consider the outcomes of the Modern Awards Review once the Fair Work Commission’s Final Report is published.</w:t>
      </w:r>
    </w:p>
    <w:p w14:paraId="37AC7DB7" w14:textId="4F06455B" w:rsidR="00106027" w:rsidRPr="00DC524D" w:rsidRDefault="00106027" w:rsidP="265DDB50"/>
    <w:p w14:paraId="6F5FA50D" w14:textId="77777777" w:rsidR="00106027" w:rsidRPr="00DC524D" w:rsidRDefault="00106027" w:rsidP="00106027">
      <w:pPr>
        <w:rPr>
          <w:rFonts w:cstheme="minorHAnsi"/>
        </w:rPr>
      </w:pPr>
      <w:r w:rsidRPr="00DC524D">
        <w:rPr>
          <w:rFonts w:cstheme="minorHAnsi"/>
        </w:rPr>
        <w:t>The Government’s Secure Jobs, Better Pay reforms introduc</w:t>
      </w:r>
      <w:r>
        <w:rPr>
          <w:rFonts w:cstheme="minorHAnsi"/>
        </w:rPr>
        <w:t xml:space="preserve">ed </w:t>
      </w:r>
      <w:r w:rsidRPr="00DC524D">
        <w:rPr>
          <w:rFonts w:cstheme="minorHAnsi"/>
        </w:rPr>
        <w:t xml:space="preserve">new secure work and gender equality elements to the modern awards objective, which are under consideration, including in relation to rostering arrangements as part of the </w:t>
      </w:r>
      <w:r>
        <w:rPr>
          <w:rFonts w:cstheme="minorHAnsi"/>
        </w:rPr>
        <w:t xml:space="preserve">Modern Awards </w:t>
      </w:r>
      <w:r w:rsidRPr="00DC524D">
        <w:rPr>
          <w:rFonts w:cstheme="minorHAnsi"/>
        </w:rPr>
        <w:t>Review.</w:t>
      </w:r>
    </w:p>
    <w:p w14:paraId="5BE1235E" w14:textId="77777777" w:rsidR="00DC524D" w:rsidRDefault="00DC524D" w:rsidP="00DC524D">
      <w:pPr>
        <w:rPr>
          <w:rFonts w:cstheme="minorHAnsi"/>
        </w:rPr>
      </w:pPr>
    </w:p>
    <w:p w14:paraId="3FB98E12" w14:textId="77777777" w:rsidR="00DC524D" w:rsidRPr="00980982" w:rsidRDefault="00DC524D" w:rsidP="007D3EE0">
      <w:pPr>
        <w:pStyle w:val="Heading6"/>
        <w:pBdr>
          <w:top w:val="single" w:sz="4" w:space="1" w:color="auto"/>
          <w:left w:val="single" w:sz="4" w:space="4" w:color="auto"/>
          <w:bottom w:val="single" w:sz="4" w:space="1" w:color="auto"/>
          <w:right w:val="single" w:sz="4" w:space="4" w:color="auto"/>
        </w:pBdr>
      </w:pPr>
      <w:r w:rsidRPr="00980982">
        <w:t>Recommendation 22</w:t>
      </w:r>
    </w:p>
    <w:p w14:paraId="22EE7F40" w14:textId="4C8C19B0" w:rsidR="00DC524D" w:rsidRDefault="00DC524D" w:rsidP="007D3EE0">
      <w:pPr>
        <w:pBdr>
          <w:top w:val="single" w:sz="4" w:space="1" w:color="auto"/>
          <w:left w:val="single" w:sz="4" w:space="4" w:color="auto"/>
          <w:bottom w:val="single" w:sz="4" w:space="1" w:color="auto"/>
          <w:right w:val="single" w:sz="4" w:space="4" w:color="auto"/>
        </w:pBdr>
        <w:rPr>
          <w:rFonts w:cstheme="minorHAnsi"/>
        </w:rPr>
      </w:pPr>
      <w:r w:rsidRPr="00980982">
        <w:rPr>
          <w:rFonts w:cstheme="minorHAnsi"/>
        </w:rPr>
        <w:t>The committee recommends the Australian Government write to the Fair Work Commission suggesting a review of the operation of the 38-hour working week set in the National Employment Standards, the extent and consequences of longer hours of work. The review should also consider stronger penalties for long hours and other possible ways to reduce them, including through the work, health and safety system which requires employers to ensure safe working hours as a part of providing a safe workplace.</w:t>
      </w:r>
    </w:p>
    <w:p w14:paraId="7216CF13" w14:textId="77777777" w:rsidR="00DC524D" w:rsidRDefault="00DC524D" w:rsidP="00DC524D">
      <w:pPr>
        <w:rPr>
          <w:rFonts w:cstheme="minorHAnsi"/>
        </w:rPr>
      </w:pPr>
    </w:p>
    <w:p w14:paraId="2628987C" w14:textId="47524E58" w:rsidR="00DC524D" w:rsidRPr="007D3EE0" w:rsidRDefault="007D3EE0" w:rsidP="00DC524D">
      <w:r>
        <w:t xml:space="preserve">The Government </w:t>
      </w:r>
      <w:r>
        <w:rPr>
          <w:b/>
          <w:bCs/>
        </w:rPr>
        <w:t xml:space="preserve">notes </w:t>
      </w:r>
      <w:r>
        <w:t xml:space="preserve">this recommendation. </w:t>
      </w:r>
    </w:p>
    <w:p w14:paraId="7E6E9D97" w14:textId="77777777" w:rsidR="00DC524D" w:rsidRPr="00980982" w:rsidRDefault="00DC524D" w:rsidP="00DC524D"/>
    <w:p w14:paraId="648C9875" w14:textId="25E7C22D" w:rsidR="00432908" w:rsidRDefault="00432908" w:rsidP="7A852E31">
      <w:pPr>
        <w:rPr>
          <w:rFonts w:cstheme="minorHAnsi"/>
        </w:rPr>
      </w:pPr>
      <w:r>
        <w:rPr>
          <w:rFonts w:cstheme="minorHAnsi"/>
        </w:rPr>
        <w:t>Working hours and overtime, time off in lieu, and make-up time provisions are being broadly considered by the Fair Work Commission as part of the Modern Awards Review requested by the Minister for Employment and Workplace Relations. The discussion paper on work and care identified recommendation 22 a</w:t>
      </w:r>
      <w:r w:rsidR="0069759A">
        <w:rPr>
          <w:rFonts w:cstheme="minorHAnsi"/>
        </w:rPr>
        <w:t xml:space="preserve">s a </w:t>
      </w:r>
      <w:r>
        <w:rPr>
          <w:rFonts w:cstheme="minorHAnsi"/>
        </w:rPr>
        <w:t xml:space="preserve">recommendation for consideration. The Government will consider the outcomes of the Modern Awards Review once the Fair Work Commission’s Final Report is published. </w:t>
      </w:r>
    </w:p>
    <w:p w14:paraId="1A5744EC" w14:textId="77777777" w:rsidR="00DC524D" w:rsidRPr="00980982" w:rsidRDefault="00DC524D" w:rsidP="00DC524D"/>
    <w:p w14:paraId="20FBCB0F" w14:textId="77777777" w:rsidR="00DC524D" w:rsidRDefault="00DC524D" w:rsidP="00DC524D">
      <w:r w:rsidRPr="00980982">
        <w:t xml:space="preserve">The Government also acknowledges that psychosocial hazards such as excessive job demands or low control can materialise in long working hours. These must be managed under work health and safety laws. Regulatory reform has recently taken place in the </w:t>
      </w:r>
      <w:r w:rsidRPr="00314AB4">
        <w:t>Commonwealth work health and safety jurisdiction and is underway in other states and territories to improve psychosocial risk management</w:t>
      </w:r>
      <w:r w:rsidRPr="00980982">
        <w:t xml:space="preserve"> in workplaces.</w:t>
      </w:r>
    </w:p>
    <w:p w14:paraId="36FA5973" w14:textId="7629C144" w:rsidR="00E36DD3" w:rsidRDefault="00E36DD3">
      <w:pPr>
        <w:spacing w:after="200" w:line="276" w:lineRule="auto"/>
        <w:rPr>
          <w:rFonts w:cstheme="minorHAnsi"/>
        </w:rPr>
      </w:pPr>
      <w:r>
        <w:rPr>
          <w:rFonts w:cstheme="minorHAnsi"/>
        </w:rPr>
        <w:br w:type="page"/>
      </w:r>
    </w:p>
    <w:p w14:paraId="0E0750A2" w14:textId="77777777" w:rsidR="00DC524D" w:rsidRPr="00980982" w:rsidRDefault="00DC524D" w:rsidP="007D3EE0">
      <w:pPr>
        <w:pStyle w:val="Heading6"/>
        <w:pBdr>
          <w:top w:val="single" w:sz="4" w:space="1" w:color="auto"/>
          <w:left w:val="single" w:sz="4" w:space="4" w:color="auto"/>
          <w:bottom w:val="single" w:sz="4" w:space="1" w:color="auto"/>
          <w:right w:val="single" w:sz="4" w:space="4" w:color="auto"/>
        </w:pBdr>
      </w:pPr>
      <w:r w:rsidRPr="00980982">
        <w:lastRenderedPageBreak/>
        <w:t>Recommendation 23</w:t>
      </w:r>
    </w:p>
    <w:p w14:paraId="49AD030F" w14:textId="77777777" w:rsidR="00DC524D" w:rsidRPr="00980982" w:rsidRDefault="00DC524D" w:rsidP="007D3EE0">
      <w:pPr>
        <w:pBdr>
          <w:top w:val="single" w:sz="4" w:space="1" w:color="auto"/>
          <w:left w:val="single" w:sz="4" w:space="4" w:color="auto"/>
          <w:bottom w:val="single" w:sz="4" w:space="1" w:color="auto"/>
          <w:right w:val="single" w:sz="4" w:space="4" w:color="auto"/>
        </w:pBdr>
      </w:pPr>
      <w:r w:rsidRPr="00980982">
        <w:t xml:space="preserve">The committee recommends the Australian Government consider amending the </w:t>
      </w:r>
      <w:r w:rsidRPr="00980982">
        <w:rPr>
          <w:i/>
        </w:rPr>
        <w:t>Fair</w:t>
      </w:r>
      <w:r>
        <w:rPr>
          <w:i/>
        </w:rPr>
        <w:t> </w:t>
      </w:r>
      <w:r w:rsidRPr="00980982">
        <w:rPr>
          <w:i/>
        </w:rPr>
        <w:t>Work Act 2009</w:t>
      </w:r>
      <w:r w:rsidRPr="00980982">
        <w:t xml:space="preserve"> to include an enforceable ‘right to disconnect’ under the National Employment Standards, giving all workers a right to disconnect</w:t>
      </w:r>
      <w:r>
        <w:t xml:space="preserve"> </w:t>
      </w:r>
      <w:r w:rsidRPr="00980982">
        <w:t xml:space="preserve">once their contracted working hours have finished and restricting employers from communicating with workers outside of work hours, except in the event of an emergency or for welfare reasons. </w:t>
      </w:r>
    </w:p>
    <w:p w14:paraId="0D5B36BC" w14:textId="77777777" w:rsidR="00DC524D" w:rsidRPr="00980982" w:rsidRDefault="00DC524D" w:rsidP="007D3EE0">
      <w:pPr>
        <w:pBdr>
          <w:top w:val="single" w:sz="4" w:space="1" w:color="auto"/>
          <w:left w:val="single" w:sz="4" w:space="4" w:color="auto"/>
          <w:bottom w:val="single" w:sz="4" w:space="1" w:color="auto"/>
          <w:right w:val="single" w:sz="4" w:space="4" w:color="auto"/>
        </w:pBdr>
        <w:rPr>
          <w:rFonts w:cstheme="minorHAnsi"/>
        </w:rPr>
      </w:pPr>
    </w:p>
    <w:p w14:paraId="7F4F8D6E" w14:textId="77777777" w:rsidR="00DC524D" w:rsidRPr="00980982" w:rsidRDefault="00DC524D" w:rsidP="007D3EE0">
      <w:pPr>
        <w:pBdr>
          <w:top w:val="single" w:sz="4" w:space="1" w:color="auto"/>
          <w:left w:val="single" w:sz="4" w:space="4" w:color="auto"/>
          <w:bottom w:val="single" w:sz="4" w:space="1" w:color="auto"/>
          <w:right w:val="single" w:sz="4" w:space="4" w:color="auto"/>
        </w:pBdr>
        <w:rPr>
          <w:rFonts w:cstheme="minorHAnsi"/>
        </w:rPr>
      </w:pPr>
      <w:r w:rsidRPr="00980982">
        <w:rPr>
          <w:rFonts w:cstheme="minorHAnsi"/>
        </w:rPr>
        <w:t>The committee further recommends the Australian Government increase penalties for employers who commit wage theft through, for example, unpaid additional hours of work and consider changes to law that make these cases subject to criminal charges.</w:t>
      </w:r>
    </w:p>
    <w:p w14:paraId="231518C1" w14:textId="7098F4F8" w:rsidR="378122C1" w:rsidRDefault="378122C1" w:rsidP="378122C1"/>
    <w:p w14:paraId="374FEE8F" w14:textId="77777777" w:rsidR="00DC524D" w:rsidRPr="00DF6490" w:rsidRDefault="00DC524D" w:rsidP="007D3EE0">
      <w:pPr>
        <w:pBdr>
          <w:top w:val="single" w:sz="4" w:space="1" w:color="auto"/>
          <w:left w:val="single" w:sz="4" w:space="4" w:color="auto"/>
          <w:bottom w:val="single" w:sz="4" w:space="1" w:color="auto"/>
          <w:right w:val="single" w:sz="4" w:space="4" w:color="auto"/>
        </w:pBdr>
        <w:textAlignment w:val="baseline"/>
        <w:rPr>
          <w:rFonts w:ascii="Segoe UI" w:hAnsi="Segoe UI" w:cs="Segoe UI"/>
          <w:b/>
          <w:bCs/>
          <w:i/>
          <w:iCs/>
          <w:sz w:val="18"/>
          <w:szCs w:val="18"/>
          <w:lang w:eastAsia="en-AU"/>
        </w:rPr>
      </w:pPr>
      <w:r w:rsidRPr="00DF6490">
        <w:rPr>
          <w:rFonts w:ascii="Calibri" w:hAnsi="Calibri" w:cs="Calibri"/>
          <w:b/>
          <w:bCs/>
          <w:i/>
          <w:iCs/>
          <w:lang w:eastAsia="en-AU"/>
        </w:rPr>
        <w:t>Interim Report Recommendation 3 </w:t>
      </w:r>
    </w:p>
    <w:p w14:paraId="107FBAB8" w14:textId="77777777" w:rsidR="00DC524D" w:rsidRPr="00DF6490" w:rsidRDefault="00DC524D" w:rsidP="007D3EE0">
      <w:pPr>
        <w:pBdr>
          <w:top w:val="single" w:sz="4" w:space="1" w:color="auto"/>
          <w:left w:val="single" w:sz="4" w:space="4" w:color="auto"/>
          <w:bottom w:val="single" w:sz="4" w:space="1" w:color="auto"/>
          <w:right w:val="single" w:sz="4" w:space="4" w:color="auto"/>
        </w:pBdr>
        <w:textAlignment w:val="baseline"/>
        <w:rPr>
          <w:rFonts w:ascii="Segoe UI" w:hAnsi="Segoe UI" w:cs="Segoe UI"/>
          <w:i/>
          <w:iCs/>
          <w:sz w:val="18"/>
          <w:szCs w:val="18"/>
          <w:lang w:eastAsia="en-AU"/>
        </w:rPr>
      </w:pPr>
      <w:r w:rsidRPr="00DF6490">
        <w:rPr>
          <w:rFonts w:ascii="Calibri" w:hAnsi="Calibri" w:cs="Calibri"/>
          <w:i/>
          <w:iCs/>
          <w:lang w:eastAsia="en-AU"/>
        </w:rPr>
        <w:t xml:space="preserve">The committee recommends that the Australian Government amend </w:t>
      </w:r>
      <w:r w:rsidRPr="007D3EE0">
        <w:rPr>
          <w:rFonts w:ascii="Calibri" w:hAnsi="Calibri" w:cs="Calibri"/>
          <w:i/>
          <w:iCs/>
          <w:lang w:eastAsia="en-AU"/>
        </w:rPr>
        <w:t xml:space="preserve">the </w:t>
      </w:r>
      <w:r w:rsidRPr="0020373A">
        <w:rPr>
          <w:rFonts w:ascii="Calibri" w:hAnsi="Calibri" w:cs="Calibri"/>
          <w:lang w:eastAsia="en-AU"/>
        </w:rPr>
        <w:t>Fair Work Act 2009</w:t>
      </w:r>
      <w:r w:rsidRPr="00DF6490">
        <w:rPr>
          <w:rFonts w:ascii="Calibri" w:hAnsi="Calibri" w:cs="Calibri"/>
          <w:i/>
          <w:iCs/>
          <w:lang w:eastAsia="en-AU"/>
        </w:rPr>
        <w:t>, including section 65 of that Act, to: </w:t>
      </w:r>
    </w:p>
    <w:p w14:paraId="0F2AE55C" w14:textId="77777777" w:rsidR="00DC524D" w:rsidRPr="003F7D85" w:rsidRDefault="00DC524D" w:rsidP="007D3EE0">
      <w:pPr>
        <w:pStyle w:val="ListParagraph"/>
        <w:numPr>
          <w:ilvl w:val="0"/>
          <w:numId w:val="17"/>
        </w:numPr>
        <w:pBdr>
          <w:top w:val="single" w:sz="4" w:space="1" w:color="auto"/>
          <w:left w:val="single" w:sz="4" w:space="4" w:color="auto"/>
          <w:bottom w:val="single" w:sz="4" w:space="1" w:color="auto"/>
          <w:right w:val="single" w:sz="4" w:space="4" w:color="auto"/>
        </w:pBdr>
        <w:textAlignment w:val="baseline"/>
        <w:rPr>
          <w:rFonts w:ascii="Calibri" w:hAnsi="Calibri" w:cs="Calibri"/>
          <w:i/>
          <w:sz w:val="24"/>
          <w:szCs w:val="24"/>
          <w:lang w:eastAsia="en-AU"/>
        </w:rPr>
      </w:pPr>
      <w:r w:rsidRPr="003F7D85">
        <w:rPr>
          <w:rFonts w:ascii="Calibri" w:hAnsi="Calibri" w:cs="Calibri"/>
          <w:i/>
          <w:sz w:val="24"/>
          <w:szCs w:val="24"/>
          <w:lang w:eastAsia="en-AU"/>
        </w:rPr>
        <w:t>make the right to request flexible work available to all workers and to remove the stigma attached to its use when confined to carers; </w:t>
      </w:r>
    </w:p>
    <w:p w14:paraId="7BADBCF4" w14:textId="77777777" w:rsidR="00DC524D" w:rsidRPr="003F7D85" w:rsidRDefault="00DC524D" w:rsidP="007D3EE0">
      <w:pPr>
        <w:pStyle w:val="ListParagraph"/>
        <w:numPr>
          <w:ilvl w:val="0"/>
          <w:numId w:val="17"/>
        </w:numPr>
        <w:pBdr>
          <w:top w:val="single" w:sz="4" w:space="1" w:color="auto"/>
          <w:left w:val="single" w:sz="4" w:space="4" w:color="auto"/>
          <w:bottom w:val="single" w:sz="4" w:space="1" w:color="auto"/>
          <w:right w:val="single" w:sz="4" w:space="4" w:color="auto"/>
        </w:pBdr>
        <w:textAlignment w:val="baseline"/>
        <w:rPr>
          <w:rFonts w:ascii="Calibri" w:hAnsi="Calibri" w:cs="Calibri"/>
          <w:i/>
          <w:sz w:val="24"/>
          <w:szCs w:val="24"/>
          <w:lang w:eastAsia="en-AU"/>
        </w:rPr>
      </w:pPr>
      <w:r w:rsidRPr="003F7D85">
        <w:rPr>
          <w:rFonts w:ascii="Calibri" w:hAnsi="Calibri" w:cs="Calibri"/>
          <w:i/>
          <w:sz w:val="24"/>
          <w:szCs w:val="24"/>
          <w:lang w:eastAsia="en-AU"/>
        </w:rPr>
        <w:t>replace the ‘reasonable business grounds’ provision at section 65(5) under which employers can refuse a flexible working arrangement, with refusal only on the grounds of ‘unjustifiable hardship’; </w:t>
      </w:r>
    </w:p>
    <w:p w14:paraId="5336E83B" w14:textId="77777777" w:rsidR="00DC524D" w:rsidRPr="003F7D85" w:rsidRDefault="00DC524D" w:rsidP="007D3EE0">
      <w:pPr>
        <w:pStyle w:val="ListParagraph"/>
        <w:numPr>
          <w:ilvl w:val="0"/>
          <w:numId w:val="17"/>
        </w:numPr>
        <w:pBdr>
          <w:top w:val="single" w:sz="4" w:space="1" w:color="auto"/>
          <w:left w:val="single" w:sz="4" w:space="4" w:color="auto"/>
          <w:bottom w:val="single" w:sz="4" w:space="1" w:color="auto"/>
          <w:right w:val="single" w:sz="4" w:space="4" w:color="auto"/>
        </w:pBdr>
        <w:textAlignment w:val="baseline"/>
        <w:rPr>
          <w:rFonts w:ascii="Calibri" w:hAnsi="Calibri" w:cs="Calibri"/>
          <w:i/>
          <w:sz w:val="24"/>
          <w:szCs w:val="24"/>
          <w:lang w:eastAsia="en-AU"/>
        </w:rPr>
      </w:pPr>
      <w:r w:rsidRPr="003F7D85">
        <w:rPr>
          <w:rFonts w:ascii="Calibri" w:hAnsi="Calibri" w:cs="Calibri"/>
          <w:i/>
          <w:sz w:val="24"/>
          <w:szCs w:val="24"/>
          <w:lang w:eastAsia="en-AU"/>
        </w:rPr>
        <w:t>introduce a positive duty on employers to reasonably accommodate flexible working arrangements; </w:t>
      </w:r>
    </w:p>
    <w:p w14:paraId="7C78088E" w14:textId="77777777" w:rsidR="00DC524D" w:rsidRDefault="00DC524D" w:rsidP="007D3EE0">
      <w:pPr>
        <w:pStyle w:val="ListParagraph"/>
        <w:numPr>
          <w:ilvl w:val="0"/>
          <w:numId w:val="17"/>
        </w:numPr>
        <w:pBdr>
          <w:top w:val="single" w:sz="4" w:space="1" w:color="auto"/>
          <w:left w:val="single" w:sz="4" w:space="4" w:color="auto"/>
          <w:bottom w:val="single" w:sz="4" w:space="1" w:color="auto"/>
          <w:right w:val="single" w:sz="4" w:space="4" w:color="auto"/>
        </w:pBdr>
        <w:textAlignment w:val="baseline"/>
        <w:rPr>
          <w:rFonts w:ascii="Calibri" w:hAnsi="Calibri" w:cs="Calibri"/>
          <w:i/>
          <w:sz w:val="24"/>
          <w:szCs w:val="24"/>
          <w:lang w:eastAsia="en-AU"/>
        </w:rPr>
      </w:pPr>
      <w:r w:rsidRPr="003F7D85">
        <w:rPr>
          <w:rFonts w:ascii="Calibri" w:hAnsi="Calibri" w:cs="Calibri"/>
          <w:i/>
          <w:sz w:val="24"/>
          <w:szCs w:val="24"/>
          <w:lang w:eastAsia="en-AU"/>
        </w:rPr>
        <w:t>require consultation with workers about flexibility requests; and </w:t>
      </w:r>
    </w:p>
    <w:p w14:paraId="23ED29B9" w14:textId="77777777" w:rsidR="00DC524D" w:rsidRPr="00927C55" w:rsidRDefault="00DC524D" w:rsidP="007D3EE0">
      <w:pPr>
        <w:pStyle w:val="ListParagraph"/>
        <w:numPr>
          <w:ilvl w:val="0"/>
          <w:numId w:val="17"/>
        </w:numPr>
        <w:pBdr>
          <w:top w:val="single" w:sz="4" w:space="1" w:color="auto"/>
          <w:left w:val="single" w:sz="4" w:space="4" w:color="auto"/>
          <w:bottom w:val="single" w:sz="4" w:space="1" w:color="auto"/>
          <w:right w:val="single" w:sz="4" w:space="4" w:color="auto"/>
        </w:pBdr>
        <w:textAlignment w:val="baseline"/>
        <w:rPr>
          <w:rFonts w:ascii="Calibri" w:hAnsi="Calibri" w:cs="Calibri"/>
          <w:i/>
          <w:sz w:val="24"/>
          <w:szCs w:val="24"/>
          <w:lang w:eastAsia="en-AU"/>
        </w:rPr>
      </w:pPr>
      <w:r w:rsidRPr="00927C55">
        <w:rPr>
          <w:rFonts w:ascii="Calibri" w:hAnsi="Calibri" w:cs="Calibri"/>
          <w:i/>
          <w:sz w:val="24"/>
          <w:szCs w:val="24"/>
          <w:lang w:eastAsia="en-AU"/>
        </w:rPr>
        <w:t>revise sections 738 and 739 of the Act to introduce a process of appeal to the Fair Work Commission, for decisions made by employers under section 65 refusing to allow flexible work arrangements on the grounds of unjustifiable hardship, or on ‘reasonable business grounds’. </w:t>
      </w:r>
    </w:p>
    <w:p w14:paraId="5C6654AE" w14:textId="77777777" w:rsidR="00DC524D" w:rsidRDefault="00DC524D" w:rsidP="00DC524D">
      <w:pPr>
        <w:textAlignment w:val="baseline"/>
        <w:rPr>
          <w:rFonts w:ascii="Calibri" w:hAnsi="Calibri" w:cs="Calibri"/>
          <w:b/>
          <w:bCs/>
          <w:i/>
          <w:iCs/>
          <w:lang w:eastAsia="en-AU"/>
        </w:rPr>
      </w:pPr>
    </w:p>
    <w:p w14:paraId="5CCB7312" w14:textId="62F3A315" w:rsidR="00DC524D" w:rsidRPr="00980982" w:rsidRDefault="00DC524D" w:rsidP="007D3EE0">
      <w:pPr>
        <w:pBdr>
          <w:top w:val="single" w:sz="4" w:space="1" w:color="auto"/>
          <w:left w:val="single" w:sz="4" w:space="4" w:color="auto"/>
          <w:bottom w:val="single" w:sz="4" w:space="1" w:color="auto"/>
          <w:right w:val="single" w:sz="4" w:space="4" w:color="auto"/>
        </w:pBdr>
        <w:textAlignment w:val="baseline"/>
        <w:rPr>
          <w:rFonts w:ascii="Calibri" w:hAnsi="Calibri" w:cs="Calibri"/>
          <w:b/>
          <w:bCs/>
          <w:i/>
          <w:iCs/>
          <w:lang w:eastAsia="en-AU"/>
        </w:rPr>
      </w:pPr>
      <w:r w:rsidRPr="00980982">
        <w:rPr>
          <w:rFonts w:ascii="Calibri" w:hAnsi="Calibri" w:cs="Calibri"/>
          <w:b/>
          <w:bCs/>
          <w:i/>
          <w:iCs/>
          <w:lang w:eastAsia="en-AU"/>
        </w:rPr>
        <w:t>Interim Report Recommendation 4 </w:t>
      </w:r>
    </w:p>
    <w:p w14:paraId="040A6DE8" w14:textId="77777777" w:rsidR="00DC524D" w:rsidRPr="00980982" w:rsidRDefault="00DC524D" w:rsidP="007D3EE0">
      <w:pPr>
        <w:pBdr>
          <w:top w:val="single" w:sz="4" w:space="1" w:color="auto"/>
          <w:left w:val="single" w:sz="4" w:space="4" w:color="auto"/>
          <w:bottom w:val="single" w:sz="4" w:space="1" w:color="auto"/>
          <w:right w:val="single" w:sz="4" w:space="4" w:color="auto"/>
        </w:pBdr>
        <w:textAlignment w:val="baseline"/>
        <w:rPr>
          <w:rFonts w:ascii="Calibri" w:hAnsi="Calibri" w:cs="Calibri"/>
          <w:i/>
          <w:iCs/>
          <w:lang w:eastAsia="en-AU"/>
        </w:rPr>
      </w:pPr>
      <w:r w:rsidRPr="00980982">
        <w:rPr>
          <w:rFonts w:ascii="Calibri" w:hAnsi="Calibri" w:cs="Calibri"/>
          <w:i/>
          <w:iCs/>
          <w:lang w:eastAsia="en-AU"/>
        </w:rPr>
        <w:t xml:space="preserve">The committee recommends that the Department of Employment and Workplace Relations investigate legislative reforms to the </w:t>
      </w:r>
      <w:r w:rsidRPr="00C44AE8">
        <w:rPr>
          <w:rFonts w:ascii="Calibri" w:hAnsi="Calibri" w:cs="Calibri"/>
          <w:lang w:eastAsia="en-AU"/>
        </w:rPr>
        <w:t>Fair Work Act 2009</w:t>
      </w:r>
      <w:r w:rsidRPr="00980982">
        <w:rPr>
          <w:rFonts w:ascii="Calibri" w:hAnsi="Calibri" w:cs="Calibri"/>
          <w:i/>
          <w:iCs/>
          <w:lang w:eastAsia="en-AU"/>
        </w:rPr>
        <w:t xml:space="preserve"> and any other associated workplace laws, to enact a ‘right to disconnect’ from work. This right should: </w:t>
      </w:r>
    </w:p>
    <w:p w14:paraId="1F271422" w14:textId="77777777" w:rsidR="00DC524D" w:rsidRPr="007D3062" w:rsidRDefault="00DC524D" w:rsidP="007D3EE0">
      <w:pPr>
        <w:pStyle w:val="ListParagraph"/>
        <w:numPr>
          <w:ilvl w:val="0"/>
          <w:numId w:val="22"/>
        </w:numPr>
        <w:pBdr>
          <w:top w:val="single" w:sz="4" w:space="1" w:color="auto"/>
          <w:left w:val="single" w:sz="4" w:space="4" w:color="auto"/>
          <w:bottom w:val="single" w:sz="4" w:space="1" w:color="auto"/>
          <w:right w:val="single" w:sz="4" w:space="4" w:color="auto"/>
        </w:pBdr>
        <w:textAlignment w:val="baseline"/>
        <w:rPr>
          <w:rFonts w:ascii="Calibri" w:hAnsi="Calibri" w:cs="Calibri"/>
          <w:i/>
          <w:sz w:val="24"/>
          <w:szCs w:val="24"/>
          <w:lang w:eastAsia="en-AU"/>
        </w:rPr>
      </w:pPr>
      <w:r w:rsidRPr="007D3062">
        <w:rPr>
          <w:rFonts w:ascii="Calibri" w:hAnsi="Calibri" w:cs="Calibri"/>
          <w:i/>
          <w:sz w:val="24"/>
          <w:szCs w:val="24"/>
          <w:lang w:eastAsia="en-AU"/>
        </w:rPr>
        <w:t>enable and support productive work from home and flexibility of work; </w:t>
      </w:r>
    </w:p>
    <w:p w14:paraId="393C0E54" w14:textId="77777777" w:rsidR="00DC524D" w:rsidRPr="007D3062" w:rsidRDefault="00DC524D" w:rsidP="007D3EE0">
      <w:pPr>
        <w:pStyle w:val="ListParagraph"/>
        <w:numPr>
          <w:ilvl w:val="0"/>
          <w:numId w:val="22"/>
        </w:numPr>
        <w:pBdr>
          <w:top w:val="single" w:sz="4" w:space="1" w:color="auto"/>
          <w:left w:val="single" w:sz="4" w:space="4" w:color="auto"/>
          <w:bottom w:val="single" w:sz="4" w:space="1" w:color="auto"/>
          <w:right w:val="single" w:sz="4" w:space="4" w:color="auto"/>
        </w:pBdr>
        <w:textAlignment w:val="baseline"/>
        <w:rPr>
          <w:rFonts w:ascii="Calibri" w:hAnsi="Calibri" w:cs="Calibri"/>
          <w:i/>
          <w:sz w:val="24"/>
          <w:szCs w:val="24"/>
          <w:lang w:eastAsia="en-AU"/>
        </w:rPr>
      </w:pPr>
      <w:r w:rsidRPr="007D3062">
        <w:rPr>
          <w:rFonts w:ascii="Calibri" w:hAnsi="Calibri" w:cs="Calibri"/>
          <w:i/>
          <w:sz w:val="24"/>
          <w:szCs w:val="24"/>
          <w:lang w:eastAsia="en-AU"/>
        </w:rPr>
        <w:t>protect the right of workers to disconnect from their job outside of contracted hours and to enforce this right with their employer; </w:t>
      </w:r>
    </w:p>
    <w:p w14:paraId="4FFE8C46" w14:textId="77777777" w:rsidR="00DC524D" w:rsidRPr="007D3062" w:rsidRDefault="00DC524D" w:rsidP="007D3EE0">
      <w:pPr>
        <w:pStyle w:val="ListParagraph"/>
        <w:numPr>
          <w:ilvl w:val="0"/>
          <w:numId w:val="22"/>
        </w:numPr>
        <w:pBdr>
          <w:top w:val="single" w:sz="4" w:space="1" w:color="auto"/>
          <w:left w:val="single" w:sz="4" w:space="4" w:color="auto"/>
          <w:bottom w:val="single" w:sz="4" w:space="1" w:color="auto"/>
          <w:right w:val="single" w:sz="4" w:space="4" w:color="auto"/>
        </w:pBdr>
        <w:textAlignment w:val="baseline"/>
        <w:rPr>
          <w:rFonts w:ascii="Calibri" w:hAnsi="Calibri" w:cs="Calibri"/>
          <w:i/>
          <w:sz w:val="24"/>
          <w:szCs w:val="24"/>
          <w:lang w:eastAsia="en-AU"/>
        </w:rPr>
      </w:pPr>
      <w:r w:rsidRPr="007D3062">
        <w:rPr>
          <w:rFonts w:ascii="Calibri" w:hAnsi="Calibri" w:cs="Calibri"/>
          <w:i/>
          <w:sz w:val="24"/>
          <w:szCs w:val="24"/>
          <w:lang w:eastAsia="en-AU"/>
        </w:rPr>
        <w:t>place a positive duty on employers to reasonably accommodate the right wherever possible; and </w:t>
      </w:r>
    </w:p>
    <w:p w14:paraId="73583883" w14:textId="77777777" w:rsidR="00DC524D" w:rsidRPr="007D3062" w:rsidRDefault="00DC524D" w:rsidP="007D3EE0">
      <w:pPr>
        <w:pStyle w:val="ListParagraph"/>
        <w:numPr>
          <w:ilvl w:val="0"/>
          <w:numId w:val="22"/>
        </w:numPr>
        <w:pBdr>
          <w:top w:val="single" w:sz="4" w:space="1" w:color="auto"/>
          <w:left w:val="single" w:sz="4" w:space="4" w:color="auto"/>
          <w:bottom w:val="single" w:sz="4" w:space="1" w:color="auto"/>
          <w:right w:val="single" w:sz="4" w:space="4" w:color="auto"/>
        </w:pBdr>
        <w:textAlignment w:val="baseline"/>
        <w:rPr>
          <w:rFonts w:ascii="Calibri" w:hAnsi="Calibri" w:cs="Calibri"/>
          <w:i/>
          <w:sz w:val="24"/>
          <w:szCs w:val="24"/>
          <w:lang w:eastAsia="en-AU"/>
        </w:rPr>
      </w:pPr>
      <w:r w:rsidRPr="007D3062">
        <w:rPr>
          <w:rFonts w:ascii="Calibri" w:hAnsi="Calibri" w:cs="Calibri"/>
          <w:i/>
          <w:sz w:val="24"/>
          <w:szCs w:val="24"/>
          <w:lang w:eastAsia="en-AU"/>
        </w:rPr>
        <w:t>allow employees to appeal to the Fair Work Commission where the right is not being enacted by employers.</w:t>
      </w:r>
    </w:p>
    <w:p w14:paraId="1A7CE6B0" w14:textId="77777777" w:rsidR="00DC524D" w:rsidRPr="00980982" w:rsidRDefault="00DC524D" w:rsidP="00DC524D">
      <w:pPr>
        <w:rPr>
          <w:rFonts w:ascii="Calibri" w:hAnsi="Calibri" w:cs="Calibri"/>
          <w:i/>
          <w:iCs/>
          <w:lang w:eastAsia="en-AU"/>
        </w:rPr>
      </w:pPr>
    </w:p>
    <w:p w14:paraId="44AAB365" w14:textId="3CDFAA53" w:rsidR="00DC524D" w:rsidRPr="00980982" w:rsidRDefault="00DC524D" w:rsidP="007D3EE0">
      <w:pPr>
        <w:pBdr>
          <w:top w:val="single" w:sz="4" w:space="1" w:color="auto"/>
          <w:left w:val="single" w:sz="4" w:space="4" w:color="auto"/>
          <w:bottom w:val="single" w:sz="4" w:space="1" w:color="auto"/>
          <w:right w:val="single" w:sz="4" w:space="4" w:color="auto"/>
        </w:pBdr>
        <w:rPr>
          <w:b/>
          <w:i/>
          <w:iCs/>
        </w:rPr>
      </w:pPr>
      <w:r w:rsidRPr="00980982">
        <w:rPr>
          <w:b/>
          <w:i/>
          <w:iCs/>
        </w:rPr>
        <w:t>Australian Greens’ Additional Recommendation 1</w:t>
      </w:r>
    </w:p>
    <w:p w14:paraId="340792EF" w14:textId="63B11224" w:rsidR="00DC524D" w:rsidRDefault="00DC524D" w:rsidP="007D3EE0">
      <w:pPr>
        <w:pBdr>
          <w:top w:val="single" w:sz="4" w:space="1" w:color="auto"/>
          <w:left w:val="single" w:sz="4" w:space="4" w:color="auto"/>
          <w:bottom w:val="single" w:sz="4" w:space="1" w:color="auto"/>
          <w:right w:val="single" w:sz="4" w:space="4" w:color="auto"/>
        </w:pBdr>
        <w:rPr>
          <w:i/>
          <w:iCs/>
        </w:rPr>
      </w:pPr>
      <w:r w:rsidRPr="00980982">
        <w:rPr>
          <w:i/>
          <w:iCs/>
        </w:rPr>
        <w:t xml:space="preserve">The Australian Greens recommend the Australian Government prioritise amendments to the </w:t>
      </w:r>
      <w:r w:rsidRPr="007D3062">
        <w:t>Fair Work Act 2009</w:t>
      </w:r>
      <w:r w:rsidRPr="00980982">
        <w:rPr>
          <w:i/>
          <w:iCs/>
        </w:rPr>
        <w:t xml:space="preserve"> to include an enforceable ‘right to disconnect’ under the National Employment Standards</w:t>
      </w:r>
    </w:p>
    <w:p w14:paraId="6D4B9F21" w14:textId="77777777" w:rsidR="00DC524D" w:rsidRDefault="00DC524D" w:rsidP="00DC524D">
      <w:pPr>
        <w:rPr>
          <w:i/>
          <w:iCs/>
        </w:rPr>
      </w:pPr>
    </w:p>
    <w:p w14:paraId="6E858B7A" w14:textId="65AFFD92" w:rsidR="00016C9E" w:rsidRDefault="007D3EE0" w:rsidP="00016C9E">
      <w:pPr>
        <w:rPr>
          <w:rFonts w:cstheme="minorHAnsi"/>
        </w:rPr>
      </w:pPr>
      <w:r>
        <w:rPr>
          <w:rFonts w:cstheme="minorHAnsi"/>
        </w:rPr>
        <w:t xml:space="preserve">The Government </w:t>
      </w:r>
      <w:r>
        <w:rPr>
          <w:rFonts w:cstheme="minorHAnsi"/>
          <w:b/>
          <w:bCs/>
        </w:rPr>
        <w:t xml:space="preserve">agrees </w:t>
      </w:r>
      <w:r>
        <w:rPr>
          <w:rFonts w:cstheme="minorHAnsi"/>
        </w:rPr>
        <w:t xml:space="preserve">to this recommendation and </w:t>
      </w:r>
      <w:r>
        <w:rPr>
          <w:rFonts w:cstheme="minorHAnsi"/>
          <w:b/>
          <w:bCs/>
        </w:rPr>
        <w:t xml:space="preserve">agrees in part </w:t>
      </w:r>
      <w:r>
        <w:rPr>
          <w:rFonts w:cstheme="minorHAnsi"/>
        </w:rPr>
        <w:t xml:space="preserve">to the Interim Report </w:t>
      </w:r>
      <w:r w:rsidR="00A9469E">
        <w:rPr>
          <w:rFonts w:cstheme="minorHAnsi"/>
        </w:rPr>
        <w:t>r</w:t>
      </w:r>
      <w:r>
        <w:rPr>
          <w:rFonts w:cstheme="minorHAnsi"/>
        </w:rPr>
        <w:t xml:space="preserve">ecommendations and the Australian Greens’ </w:t>
      </w:r>
      <w:r w:rsidR="00A9469E">
        <w:rPr>
          <w:rFonts w:cstheme="minorHAnsi"/>
        </w:rPr>
        <w:t>a</w:t>
      </w:r>
      <w:r>
        <w:rPr>
          <w:rFonts w:cstheme="minorHAnsi"/>
        </w:rPr>
        <w:t xml:space="preserve">dditional </w:t>
      </w:r>
      <w:r w:rsidR="00A9469E">
        <w:rPr>
          <w:rFonts w:cstheme="minorHAnsi"/>
        </w:rPr>
        <w:t>r</w:t>
      </w:r>
      <w:r>
        <w:rPr>
          <w:rFonts w:cstheme="minorHAnsi"/>
        </w:rPr>
        <w:t>ecommendation.</w:t>
      </w:r>
      <w:r w:rsidR="00016C9E">
        <w:rPr>
          <w:rFonts w:cstheme="minorHAnsi"/>
        </w:rPr>
        <w:br w:type="page"/>
      </w:r>
    </w:p>
    <w:p w14:paraId="4630E710" w14:textId="1157E1ED" w:rsidR="00DC524D" w:rsidRDefault="00DC524D" w:rsidP="00DC524D">
      <w:pPr>
        <w:rPr>
          <w:rFonts w:cstheme="minorHAnsi"/>
        </w:rPr>
      </w:pPr>
      <w:r>
        <w:rPr>
          <w:rFonts w:cstheme="minorHAnsi"/>
        </w:rPr>
        <w:t xml:space="preserve">The Government </w:t>
      </w:r>
      <w:r w:rsidR="00F94FBB">
        <w:rPr>
          <w:rFonts w:cstheme="minorHAnsi"/>
        </w:rPr>
        <w:t>supported a</w:t>
      </w:r>
      <w:r>
        <w:rPr>
          <w:rFonts w:cstheme="minorHAnsi"/>
        </w:rPr>
        <w:t xml:space="preserve"> legislated a right to disconnect in the Fair Work Act through the Closing Loophole reforms.</w:t>
      </w:r>
      <w:r w:rsidR="007D3EE0">
        <w:rPr>
          <w:rFonts w:cstheme="minorHAnsi"/>
        </w:rPr>
        <w:t xml:space="preserve"> </w:t>
      </w:r>
      <w:r w:rsidR="007D3EE0" w:rsidRPr="00685945">
        <w:rPr>
          <w:rFonts w:cstheme="minorHAnsi"/>
        </w:rPr>
        <w:t>The</w:t>
      </w:r>
      <w:r w:rsidR="007D3EE0">
        <w:rPr>
          <w:rFonts w:cstheme="minorHAnsi"/>
        </w:rPr>
        <w:t xml:space="preserve">se </w:t>
      </w:r>
      <w:r w:rsidR="007D3EE0" w:rsidRPr="00685945">
        <w:rPr>
          <w:rFonts w:cstheme="minorHAnsi"/>
        </w:rPr>
        <w:t>reforms</w:t>
      </w:r>
      <w:r w:rsidR="007D3EE0">
        <w:rPr>
          <w:rFonts w:cstheme="minorHAnsi"/>
        </w:rPr>
        <w:t xml:space="preserve"> also c</w:t>
      </w:r>
      <w:r w:rsidR="007D3EE0" w:rsidRPr="004D7E55">
        <w:rPr>
          <w:rFonts w:cstheme="minorHAnsi"/>
        </w:rPr>
        <w:t>riminalise wage theft by introducing criminal offences for intentional underpayment of employees’ wages and certain entitlements</w:t>
      </w:r>
      <w:r w:rsidR="007D3EE0">
        <w:rPr>
          <w:rFonts w:cstheme="minorHAnsi"/>
        </w:rPr>
        <w:t xml:space="preserve"> and increase the civil penalties for wage underpayment in certain circumstances.</w:t>
      </w:r>
    </w:p>
    <w:p w14:paraId="5D1D1E49" w14:textId="77777777" w:rsidR="00DC524D" w:rsidRDefault="00DC524D" w:rsidP="00DC524D">
      <w:pPr>
        <w:rPr>
          <w:rFonts w:cstheme="minorHAnsi"/>
        </w:rPr>
      </w:pPr>
    </w:p>
    <w:p w14:paraId="411FCFAE" w14:textId="0F38EAF7" w:rsidR="00DC524D" w:rsidRDefault="00DC524D" w:rsidP="273A57E7">
      <w:r w:rsidRPr="273A57E7">
        <w:t xml:space="preserve">The </w:t>
      </w:r>
      <w:r w:rsidR="007D3EE0" w:rsidRPr="273A57E7">
        <w:t xml:space="preserve">new right to disconnect provisions within </w:t>
      </w:r>
      <w:r w:rsidRPr="273A57E7">
        <w:t>the Fair Work Act makes clear that employees are not required to monitor, read, or respond to employer or work-related contact out of hours, unless refusing to do so is unreasonable. These changes start on 26 August 2024 for non-small business employers and their employees</w:t>
      </w:r>
      <w:r w:rsidR="2E8EB587" w:rsidRPr="273A57E7">
        <w:t>,</w:t>
      </w:r>
      <w:r w:rsidRPr="273A57E7">
        <w:t xml:space="preserve"> and on 26 August 2025 for small business employers and employees.</w:t>
      </w:r>
    </w:p>
    <w:p w14:paraId="7C6F1508" w14:textId="77777777" w:rsidR="00DC524D" w:rsidRDefault="00DC524D" w:rsidP="00DC524D">
      <w:pPr>
        <w:rPr>
          <w:rFonts w:cstheme="minorHAnsi"/>
        </w:rPr>
      </w:pPr>
    </w:p>
    <w:p w14:paraId="374AD5EB" w14:textId="0C9FDABD" w:rsidR="00DC524D" w:rsidRDefault="00DC524D" w:rsidP="00DC524D">
      <w:r w:rsidRPr="004F7179">
        <w:rPr>
          <w:rFonts w:cstheme="minorHAnsi"/>
        </w:rPr>
        <w:t xml:space="preserve">The Fair Work Commission is </w:t>
      </w:r>
      <w:r>
        <w:rPr>
          <w:rFonts w:cstheme="minorHAnsi"/>
        </w:rPr>
        <w:t xml:space="preserve">also </w:t>
      </w:r>
      <w:r w:rsidRPr="004F7179">
        <w:rPr>
          <w:rFonts w:cstheme="minorHAnsi"/>
        </w:rPr>
        <w:t>required to insert a right to disconnect term into all modern awards</w:t>
      </w:r>
      <w:r>
        <w:rPr>
          <w:rFonts w:cstheme="minorHAnsi"/>
        </w:rPr>
        <w:t xml:space="preserve"> and </w:t>
      </w:r>
      <w:r w:rsidRPr="004F7179">
        <w:rPr>
          <w:rFonts w:cstheme="minorHAnsi"/>
        </w:rPr>
        <w:t>make written guidelines about how the right to disconnect will operate</w:t>
      </w:r>
      <w:r>
        <w:rPr>
          <w:rFonts w:cstheme="minorHAnsi"/>
        </w:rPr>
        <w:t xml:space="preserve"> </w:t>
      </w:r>
      <w:r w:rsidRPr="004F7179">
        <w:rPr>
          <w:rFonts w:cstheme="minorHAnsi"/>
        </w:rPr>
        <w:t>by 26 August 2024.</w:t>
      </w:r>
      <w:r>
        <w:rPr>
          <w:rFonts w:cstheme="minorHAnsi"/>
        </w:rPr>
        <w:t xml:space="preserve"> To do so, the Fair Work Commission is undertaking </w:t>
      </w:r>
      <w:r w:rsidRPr="004F7179">
        <w:rPr>
          <w:rFonts w:cstheme="minorHAnsi"/>
        </w:rPr>
        <w:t>consultation and engag</w:t>
      </w:r>
      <w:r>
        <w:rPr>
          <w:rFonts w:cstheme="minorHAnsi"/>
        </w:rPr>
        <w:t xml:space="preserve">ing </w:t>
      </w:r>
      <w:r w:rsidRPr="004F7179">
        <w:rPr>
          <w:rFonts w:cstheme="minorHAnsi"/>
        </w:rPr>
        <w:t>with interested parties.</w:t>
      </w:r>
      <w:r w:rsidR="007D3EE0">
        <w:rPr>
          <w:rFonts w:cstheme="minorHAnsi"/>
        </w:rPr>
        <w:t xml:space="preserve"> </w:t>
      </w:r>
      <w:r>
        <w:t xml:space="preserve">Parties can also negotiate </w:t>
      </w:r>
      <w:r w:rsidRPr="008E0F08">
        <w:rPr>
          <w:rFonts w:eastAsia="Calibri"/>
          <w:lang w:val="en-GB"/>
        </w:rPr>
        <w:t>rights to disconnect</w:t>
      </w:r>
      <w:r>
        <w:rPr>
          <w:rFonts w:eastAsia="Calibri"/>
          <w:lang w:val="en-GB"/>
        </w:rPr>
        <w:t xml:space="preserve"> in their </w:t>
      </w:r>
      <w:r w:rsidRPr="008E0F08">
        <w:t xml:space="preserve">enterprise agreements </w:t>
      </w:r>
      <w:r>
        <w:t>to</w:t>
      </w:r>
      <w:r w:rsidRPr="008E0F08">
        <w:rPr>
          <w:rFonts w:eastAsia="Calibri"/>
          <w:lang w:val="en-GB"/>
        </w:rPr>
        <w:t xml:space="preserve"> reflect the needs of workers and their workplaces</w:t>
      </w:r>
      <w:r>
        <w:rPr>
          <w:rFonts w:eastAsia="Calibri"/>
          <w:lang w:val="en-GB"/>
        </w:rPr>
        <w:t xml:space="preserve"> and some workplaces already </w:t>
      </w:r>
      <w:r>
        <w:t xml:space="preserve">have a </w:t>
      </w:r>
      <w:r w:rsidRPr="008E0F08">
        <w:t>right to disconnect</w:t>
      </w:r>
      <w:r>
        <w:t>, or similar, in their agreement.</w:t>
      </w:r>
    </w:p>
    <w:p w14:paraId="55BC0DF6" w14:textId="77777777" w:rsidR="00DC524D" w:rsidRDefault="00DC524D" w:rsidP="00DC524D">
      <w:pPr>
        <w:rPr>
          <w:rFonts w:cstheme="minorHAnsi"/>
        </w:rPr>
      </w:pPr>
    </w:p>
    <w:p w14:paraId="2A706917" w14:textId="4915716F" w:rsidR="00DC524D" w:rsidRDefault="00DC524D" w:rsidP="00DC524D">
      <w:r>
        <w:t>These build on the</w:t>
      </w:r>
      <w:r w:rsidRPr="00DF6490">
        <w:t xml:space="preserve"> </w:t>
      </w:r>
      <w:r>
        <w:t xml:space="preserve">Secure Jobs, Better Pay reforms to </w:t>
      </w:r>
      <w:r w:rsidRPr="00DF6490">
        <w:t>strengthen the right to request flexible working arrangements by making it an enforceable right</w:t>
      </w:r>
      <w:r>
        <w:t xml:space="preserve">, which reflect the Government’s </w:t>
      </w:r>
      <w:r w:rsidR="007D3EE0">
        <w:t>agreement in part to</w:t>
      </w:r>
      <w:r>
        <w:t xml:space="preserve"> Interim Report Recommendation 3</w:t>
      </w:r>
      <w:r w:rsidRPr="00DF6490">
        <w:t xml:space="preserve">. The Fair Work Commission </w:t>
      </w:r>
      <w:r>
        <w:t>can</w:t>
      </w:r>
      <w:r w:rsidRPr="00DF6490">
        <w:t xml:space="preserve"> deal with disputes about requests for flexible working arrangement</w:t>
      </w:r>
      <w:r w:rsidR="007D3EE0">
        <w:t>s</w:t>
      </w:r>
      <w:r w:rsidRPr="00DF6490">
        <w:t>, including by arbitration.</w:t>
      </w:r>
    </w:p>
    <w:p w14:paraId="5E9E7DB0" w14:textId="77777777" w:rsidR="00DC524D" w:rsidRDefault="00DC524D" w:rsidP="00DC524D">
      <w:pPr>
        <w:rPr>
          <w:rFonts w:cstheme="minorHAnsi"/>
        </w:rPr>
      </w:pPr>
    </w:p>
    <w:p w14:paraId="1C00476B" w14:textId="77777777" w:rsidR="00DC524D" w:rsidRPr="00980982" w:rsidRDefault="00DC524D" w:rsidP="007D3EE0">
      <w:pPr>
        <w:pStyle w:val="Heading6"/>
        <w:pBdr>
          <w:top w:val="single" w:sz="4" w:space="1" w:color="auto"/>
          <w:left w:val="single" w:sz="4" w:space="4" w:color="auto"/>
          <w:bottom w:val="single" w:sz="4" w:space="1" w:color="auto"/>
          <w:right w:val="single" w:sz="4" w:space="4" w:color="auto"/>
        </w:pBdr>
      </w:pPr>
      <w:r w:rsidRPr="00980982">
        <w:t>Recommendation 27</w:t>
      </w:r>
    </w:p>
    <w:p w14:paraId="352F218E" w14:textId="4D259C2C" w:rsidR="00DC524D" w:rsidRDefault="00DC524D" w:rsidP="007D3EE0">
      <w:pPr>
        <w:pBdr>
          <w:top w:val="single" w:sz="4" w:space="1" w:color="auto"/>
          <w:left w:val="single" w:sz="4" w:space="4" w:color="auto"/>
          <w:bottom w:val="single" w:sz="4" w:space="1" w:color="auto"/>
          <w:right w:val="single" w:sz="4" w:space="4" w:color="auto"/>
        </w:pBdr>
        <w:rPr>
          <w:rFonts w:cstheme="minorHAnsi"/>
        </w:rPr>
      </w:pPr>
      <w:r w:rsidRPr="00980982">
        <w:rPr>
          <w:rFonts w:cstheme="minorHAnsi"/>
        </w:rPr>
        <w:t>The committee recommends the Australian Government request the Fair Work Commission undertake a review of standard working hours with a view to reducing the standard working week.</w:t>
      </w:r>
    </w:p>
    <w:p w14:paraId="1353CCF7" w14:textId="77777777" w:rsidR="00DC524D" w:rsidRDefault="00DC524D" w:rsidP="00DC524D">
      <w:pPr>
        <w:rPr>
          <w:rFonts w:cstheme="minorHAnsi"/>
        </w:rPr>
      </w:pPr>
    </w:p>
    <w:p w14:paraId="6BA630AA" w14:textId="33123C1F" w:rsidR="00DC524D" w:rsidRPr="007D3EE0" w:rsidRDefault="007D3EE0" w:rsidP="00DC524D">
      <w:pPr>
        <w:rPr>
          <w:rFonts w:cstheme="minorHAnsi"/>
        </w:rPr>
      </w:pPr>
      <w:r>
        <w:rPr>
          <w:rFonts w:cstheme="minorHAnsi"/>
        </w:rPr>
        <w:t xml:space="preserve">The Government </w:t>
      </w:r>
      <w:r>
        <w:rPr>
          <w:rFonts w:cstheme="minorHAnsi"/>
          <w:b/>
          <w:bCs/>
        </w:rPr>
        <w:t xml:space="preserve">notes </w:t>
      </w:r>
      <w:r>
        <w:rPr>
          <w:rFonts w:cstheme="minorHAnsi"/>
        </w:rPr>
        <w:t xml:space="preserve">this recommendation. </w:t>
      </w:r>
    </w:p>
    <w:p w14:paraId="61A5E83C" w14:textId="77777777" w:rsidR="00DC524D" w:rsidRPr="00980982" w:rsidRDefault="00DC524D" w:rsidP="00DC524D">
      <w:pPr>
        <w:rPr>
          <w:rFonts w:cstheme="minorHAnsi"/>
        </w:rPr>
      </w:pPr>
    </w:p>
    <w:p w14:paraId="0390E8C8" w14:textId="21781858" w:rsidR="0072160E" w:rsidRDefault="0072160E" w:rsidP="0072160E">
      <w:pPr>
        <w:rPr>
          <w:rFonts w:cstheme="minorHAnsi"/>
        </w:rPr>
      </w:pPr>
      <w:r>
        <w:rPr>
          <w:rFonts w:cstheme="minorHAnsi"/>
        </w:rPr>
        <w:t>Working hours are being broadly considered by the Fair Work Commission as part of the Modern Awards Review requested by the Minister for Employment and Workplace Relations. The discussion paper on work and care identified recommendation 27 a</w:t>
      </w:r>
      <w:r w:rsidR="002A35D8">
        <w:rPr>
          <w:rFonts w:cstheme="minorHAnsi"/>
        </w:rPr>
        <w:t xml:space="preserve">s a </w:t>
      </w:r>
      <w:r>
        <w:rPr>
          <w:rFonts w:cstheme="minorHAnsi"/>
        </w:rPr>
        <w:t xml:space="preserve">recommendation for consideration. The Government will consider the outcomes of the Modern Awards Review once the Fair Work Commission’s Final Report is published. </w:t>
      </w:r>
    </w:p>
    <w:p w14:paraId="2DA6C3B9" w14:textId="2B9FC659" w:rsidR="00016C9E" w:rsidRDefault="00016C9E">
      <w:pPr>
        <w:spacing w:after="200" w:line="276" w:lineRule="auto"/>
        <w:rPr>
          <w:rFonts w:cstheme="minorHAnsi"/>
        </w:rPr>
      </w:pPr>
      <w:r>
        <w:rPr>
          <w:rFonts w:cstheme="minorHAnsi"/>
        </w:rPr>
        <w:br w:type="page"/>
      </w:r>
    </w:p>
    <w:p w14:paraId="08A21A65" w14:textId="77777777" w:rsidR="00DC524D" w:rsidRPr="00DF6490" w:rsidRDefault="00DC524D" w:rsidP="007D3EE0">
      <w:pPr>
        <w:pStyle w:val="Heading6"/>
        <w:pBdr>
          <w:top w:val="single" w:sz="4" w:space="1" w:color="auto"/>
          <w:left w:val="single" w:sz="4" w:space="4" w:color="auto"/>
          <w:bottom w:val="single" w:sz="4" w:space="1" w:color="auto"/>
          <w:right w:val="single" w:sz="4" w:space="4" w:color="auto"/>
        </w:pBdr>
      </w:pPr>
      <w:r w:rsidRPr="00DF6490">
        <w:t>Recommendation 28</w:t>
      </w:r>
    </w:p>
    <w:p w14:paraId="4DDB5175" w14:textId="77777777" w:rsidR="00DC524D" w:rsidRPr="00DF6490" w:rsidRDefault="00DC524D" w:rsidP="007D3EE0">
      <w:pPr>
        <w:pBdr>
          <w:top w:val="single" w:sz="4" w:space="1" w:color="auto"/>
          <w:left w:val="single" w:sz="4" w:space="4" w:color="auto"/>
          <w:bottom w:val="single" w:sz="4" w:space="1" w:color="auto"/>
          <w:right w:val="single" w:sz="4" w:space="4" w:color="auto"/>
        </w:pBdr>
        <w:rPr>
          <w:rFonts w:cstheme="minorHAnsi"/>
        </w:rPr>
      </w:pPr>
      <w:r w:rsidRPr="00DF6490">
        <w:rPr>
          <w:rFonts w:cstheme="minorHAnsi"/>
        </w:rPr>
        <w:t xml:space="preserve">The committee recommends the Australian Government undertake a four-day week trial based on the 100:80:100 model whereby employees retain 100 per cent of the salary while reducing their hours to 80 per cent while maintaining 100 per cent productivity. The trial should be implemented in diverse sectors and geographical locations. </w:t>
      </w:r>
    </w:p>
    <w:p w14:paraId="71D0DB41" w14:textId="77777777" w:rsidR="00DC524D" w:rsidRPr="00DF6490" w:rsidRDefault="00DC524D" w:rsidP="007D3EE0">
      <w:pPr>
        <w:pBdr>
          <w:top w:val="single" w:sz="4" w:space="1" w:color="auto"/>
          <w:left w:val="single" w:sz="4" w:space="4" w:color="auto"/>
          <w:bottom w:val="single" w:sz="4" w:space="1" w:color="auto"/>
          <w:right w:val="single" w:sz="4" w:space="4" w:color="auto"/>
        </w:pBdr>
        <w:rPr>
          <w:rFonts w:cstheme="minorHAnsi"/>
        </w:rPr>
      </w:pPr>
    </w:p>
    <w:p w14:paraId="30BA0E33" w14:textId="72690AF8" w:rsidR="00DC524D" w:rsidRDefault="00DC524D" w:rsidP="007D3EE0">
      <w:pPr>
        <w:pBdr>
          <w:top w:val="single" w:sz="4" w:space="1" w:color="auto"/>
          <w:left w:val="single" w:sz="4" w:space="4" w:color="auto"/>
          <w:bottom w:val="single" w:sz="4" w:space="1" w:color="auto"/>
          <w:right w:val="single" w:sz="4" w:space="4" w:color="auto"/>
        </w:pBdr>
        <w:rPr>
          <w:rFonts w:cstheme="minorHAnsi"/>
        </w:rPr>
      </w:pPr>
      <w:r w:rsidRPr="00DF6490">
        <w:rPr>
          <w:rFonts w:cstheme="minorHAnsi"/>
        </w:rPr>
        <w:t>The Australian Government should partner with an Australian university throughout the trial to measure the impact of a four-day week on productivity, health and wellbeing, workplace cultural change, gender equality in the workplace as well as the impact on the distribution of unpaid care across genders.</w:t>
      </w:r>
    </w:p>
    <w:p w14:paraId="6EC8C6EF" w14:textId="77777777" w:rsidR="00DC524D" w:rsidRDefault="00DC524D" w:rsidP="00DC524D">
      <w:pPr>
        <w:rPr>
          <w:rFonts w:cstheme="minorHAnsi"/>
        </w:rPr>
      </w:pPr>
    </w:p>
    <w:p w14:paraId="3AAA841C" w14:textId="3DEFF90E" w:rsidR="00DC524D" w:rsidRPr="007D3EE0" w:rsidRDefault="007D3EE0" w:rsidP="00DC524D">
      <w:pPr>
        <w:rPr>
          <w:rFonts w:cstheme="minorHAnsi"/>
        </w:rPr>
      </w:pPr>
      <w:r>
        <w:rPr>
          <w:rFonts w:cstheme="minorHAnsi"/>
        </w:rPr>
        <w:t xml:space="preserve">The Government </w:t>
      </w:r>
      <w:r>
        <w:rPr>
          <w:rFonts w:cstheme="minorHAnsi"/>
          <w:b/>
          <w:bCs/>
        </w:rPr>
        <w:t xml:space="preserve">notes </w:t>
      </w:r>
      <w:r>
        <w:rPr>
          <w:rFonts w:cstheme="minorHAnsi"/>
        </w:rPr>
        <w:t xml:space="preserve">this recommendation. </w:t>
      </w:r>
    </w:p>
    <w:p w14:paraId="3A9AF3F3" w14:textId="77777777" w:rsidR="00DC524D" w:rsidRPr="00DF6490" w:rsidRDefault="00DC524D" w:rsidP="00DC524D">
      <w:pPr>
        <w:rPr>
          <w:rFonts w:cstheme="minorHAnsi"/>
        </w:rPr>
      </w:pPr>
    </w:p>
    <w:p w14:paraId="2F99F7B8" w14:textId="41C8E90E" w:rsidR="00DC524D" w:rsidRDefault="00DC524D" w:rsidP="00DC524D">
      <w:pPr>
        <w:rPr>
          <w:sz w:val="22"/>
          <w:szCs w:val="22"/>
        </w:rPr>
      </w:pPr>
      <w:r w:rsidRPr="00766ED4">
        <w:rPr>
          <w:rFonts w:cstheme="minorHAnsi"/>
        </w:rPr>
        <w:t>The Government</w:t>
      </w:r>
      <w:r w:rsidRPr="00DF6490">
        <w:rPr>
          <w:rFonts w:cstheme="minorHAnsi"/>
        </w:rPr>
        <w:t xml:space="preserve"> is committed to improving access to flexible work and to operating as a model employer. </w:t>
      </w:r>
      <w:r>
        <w:t>As an outcome of Australian Public Service enterprise bargaining, the Commonwealth published a forward-leaning common clause on Flexible Working Arrangements.</w:t>
      </w:r>
    </w:p>
    <w:p w14:paraId="40C109B6" w14:textId="77777777" w:rsidR="00DC524D" w:rsidRDefault="00DC524D" w:rsidP="00DC524D"/>
    <w:p w14:paraId="71278EA4" w14:textId="722D1A29" w:rsidR="00772A50" w:rsidRDefault="00DC524D" w:rsidP="00DC524D">
      <w:r>
        <w:t xml:space="preserve">The common clause supports employees to request a range of flexibilities, such as compressed working arrangements, part-time arrangements, altering the hours in which work can be performed, and altering the location of work including work from home. </w:t>
      </w:r>
    </w:p>
    <w:p w14:paraId="00547404" w14:textId="77777777" w:rsidR="00DC524D" w:rsidRDefault="00DC524D" w:rsidP="00DC524D"/>
    <w:p w14:paraId="42F368E9" w14:textId="77777777" w:rsidR="00DC524D" w:rsidRDefault="00DC524D" w:rsidP="00DC524D">
      <w:r>
        <w:t>Requests are to be considered on their individual merits, with a bias to approval. The common clause recognises that flexibility applies to all roles, and different types of flexible working arrangements may be suitable for different types of roles or circumstances.</w:t>
      </w:r>
    </w:p>
    <w:p w14:paraId="0F0C99FA" w14:textId="77777777" w:rsidR="00DC524D" w:rsidRDefault="00DC524D" w:rsidP="00DC524D"/>
    <w:p w14:paraId="227857B0" w14:textId="67CE3874" w:rsidR="00DC524D" w:rsidRDefault="00DC524D" w:rsidP="00DC524D">
      <w:r>
        <w:t xml:space="preserve">This entitlement is </w:t>
      </w:r>
      <w:r w:rsidR="0037499D" w:rsidRPr="0037499D">
        <w:t>now in effect in</w:t>
      </w:r>
      <w:r>
        <w:t xml:space="preserve"> Australian Public Service enterprise </w:t>
      </w:r>
      <w:r w:rsidR="00A077C3">
        <w:t>agreements and</w:t>
      </w:r>
      <w:r w:rsidR="00814102" w:rsidRPr="00814102">
        <w:t xml:space="preserve"> is progressively coming into effect in other Commonwealth enterprise agreements as they</w:t>
      </w:r>
      <w:r>
        <w:t xml:space="preserve"> are voted up by employees and approved by the Fair Work Commission.</w:t>
      </w:r>
    </w:p>
    <w:p w14:paraId="07513DE2" w14:textId="77777777" w:rsidR="001B6843" w:rsidRDefault="001B6843" w:rsidP="00DC524D"/>
    <w:p w14:paraId="21B73F4D" w14:textId="3A0E9757" w:rsidR="001B6843" w:rsidRDefault="001B6843" w:rsidP="00DC524D">
      <w:r>
        <w:t>Claims for a four-day work week trial were not agreed in the recent round of APS-wide enterprise bargaining.</w:t>
      </w:r>
    </w:p>
    <w:p w14:paraId="5A56310C" w14:textId="77777777" w:rsidR="007D3EE0" w:rsidRDefault="007D3EE0" w:rsidP="007D3EE0">
      <w:pPr>
        <w:rPr>
          <w:rFonts w:cstheme="minorHAnsi"/>
        </w:rPr>
      </w:pPr>
    </w:p>
    <w:p w14:paraId="5E5219F6" w14:textId="110312BF" w:rsidR="00E02611" w:rsidRDefault="00E02611" w:rsidP="00E02611">
      <w:pPr>
        <w:rPr>
          <w:rFonts w:cstheme="minorHAnsi"/>
        </w:rPr>
      </w:pPr>
      <w:r>
        <w:rPr>
          <w:rFonts w:cstheme="minorHAnsi"/>
        </w:rPr>
        <w:t xml:space="preserve">Workplace flexibility is being considered as part of the </w:t>
      </w:r>
      <w:r w:rsidRPr="00C67ADA">
        <w:rPr>
          <w:rFonts w:cstheme="minorHAnsi"/>
        </w:rPr>
        <w:t xml:space="preserve">Modern Awards Review </w:t>
      </w:r>
      <w:r>
        <w:rPr>
          <w:rFonts w:cstheme="minorHAnsi"/>
        </w:rPr>
        <w:t xml:space="preserve">requested by the Minister for Employment and Workplace Relations. The </w:t>
      </w:r>
      <w:r w:rsidRPr="00C67ADA">
        <w:rPr>
          <w:rFonts w:cstheme="minorHAnsi"/>
        </w:rPr>
        <w:t xml:space="preserve">discussion paper on </w:t>
      </w:r>
      <w:r>
        <w:rPr>
          <w:rFonts w:cstheme="minorHAnsi"/>
        </w:rPr>
        <w:t>w</w:t>
      </w:r>
      <w:r w:rsidRPr="00C67ADA">
        <w:rPr>
          <w:rFonts w:cstheme="minorHAnsi"/>
        </w:rPr>
        <w:t xml:space="preserve">ork and </w:t>
      </w:r>
      <w:r>
        <w:rPr>
          <w:rFonts w:cstheme="minorHAnsi"/>
        </w:rPr>
        <w:t>c</w:t>
      </w:r>
      <w:r w:rsidRPr="00C67ADA">
        <w:rPr>
          <w:rFonts w:cstheme="minorHAnsi"/>
        </w:rPr>
        <w:t xml:space="preserve">are identified </w:t>
      </w:r>
      <w:r>
        <w:rPr>
          <w:rFonts w:cstheme="minorHAnsi"/>
        </w:rPr>
        <w:t>Recommendation 28 a</w:t>
      </w:r>
      <w:r w:rsidR="005E4B2D">
        <w:rPr>
          <w:rFonts w:cstheme="minorHAnsi"/>
        </w:rPr>
        <w:t>s a</w:t>
      </w:r>
      <w:r>
        <w:rPr>
          <w:rFonts w:cstheme="minorHAnsi"/>
        </w:rPr>
        <w:t xml:space="preserve"> recommendation for consideration.</w:t>
      </w:r>
      <w:r w:rsidRPr="00C67ADA">
        <w:rPr>
          <w:rFonts w:cstheme="minorHAnsi"/>
        </w:rPr>
        <w:t xml:space="preserve"> </w:t>
      </w:r>
      <w:r>
        <w:rPr>
          <w:rFonts w:cstheme="minorHAnsi"/>
        </w:rPr>
        <w:t>The Government will consider the outcomes of the Modern Awards Review once the Fair Work Commission’s Final Report is published.</w:t>
      </w:r>
    </w:p>
    <w:p w14:paraId="08A36AEA" w14:textId="77777777" w:rsidR="00D837CC" w:rsidRDefault="00D837CC">
      <w:pPr>
        <w:spacing w:after="200" w:line="276" w:lineRule="auto"/>
        <w:rPr>
          <w:rFonts w:cstheme="minorHAnsi"/>
          <w:b/>
          <w:bCs/>
          <w:lang w:eastAsia="en-AU"/>
        </w:rPr>
      </w:pPr>
      <w:r>
        <w:rPr>
          <w:lang w:eastAsia="en-AU"/>
        </w:rPr>
        <w:br w:type="page"/>
      </w:r>
    </w:p>
    <w:p w14:paraId="33AB99B3" w14:textId="45E41DDF" w:rsidR="00B05437" w:rsidRPr="00DF6490" w:rsidRDefault="00B05437" w:rsidP="00B05437">
      <w:pPr>
        <w:pStyle w:val="Heading2"/>
        <w:rPr>
          <w:lang w:eastAsia="en-AU"/>
        </w:rPr>
      </w:pPr>
      <w:bookmarkStart w:id="24" w:name="_Toc170224177"/>
      <w:r w:rsidRPr="273A57E7">
        <w:rPr>
          <w:lang w:eastAsia="en-AU"/>
        </w:rPr>
        <w:t>3 Early Childhood Education and Care</w:t>
      </w:r>
      <w:bookmarkEnd w:id="24"/>
      <w:r w:rsidR="00B515BA" w:rsidRPr="273A57E7">
        <w:rPr>
          <w:lang w:eastAsia="en-AU"/>
        </w:rPr>
        <w:t xml:space="preserve"> </w:t>
      </w:r>
    </w:p>
    <w:p w14:paraId="593427DD" w14:textId="7F0FE4AA" w:rsidR="00B05437" w:rsidRPr="00DF6490" w:rsidRDefault="00B05437" w:rsidP="00B05437"/>
    <w:p w14:paraId="40EA4032" w14:textId="4E978D70" w:rsidR="00B05437" w:rsidRPr="00DF6490" w:rsidRDefault="00B05437" w:rsidP="00B05437">
      <w:r>
        <w:t xml:space="preserve">The </w:t>
      </w:r>
      <w:r w:rsidRPr="273A57E7">
        <w:rPr>
          <w:rStyle w:val="normaltextrun"/>
          <w:rFonts w:ascii="Calibri" w:hAnsi="Calibri" w:cs="Calibri"/>
        </w:rPr>
        <w:t xml:space="preserve">Committee </w:t>
      </w:r>
      <w:r>
        <w:t xml:space="preserve">identified </w:t>
      </w:r>
      <w:r w:rsidR="002E2FE3">
        <w:t>ECEC</w:t>
      </w:r>
      <w:r>
        <w:t xml:space="preserve"> as essential social infrastructure for carers to balance working with caring for children and noted the interactions with other themes including working hours, parental leave entitlements and impacts on First Nations peoples. The importance of quality ECEC in narrowing inequality, and intergenerational inequity was recognised by the Committee, as well as its impact on gender equality and wage equity. The Committee called for a reinvigorated ECEC system to provide universally accessible, child-focused, culturally appropriate care of high quality, and be supported by a properly paid and equipped workforce. The Committee found these changes would increase access to ECEC, further benefitting children, their </w:t>
      </w:r>
      <w:proofErr w:type="spellStart"/>
      <w:r>
        <w:t>carers</w:t>
      </w:r>
      <w:proofErr w:type="spellEnd"/>
      <w:r>
        <w:t xml:space="preserve"> and society. </w:t>
      </w:r>
    </w:p>
    <w:p w14:paraId="75ADA21E" w14:textId="77777777" w:rsidR="00B05437" w:rsidRPr="00DF6490" w:rsidRDefault="00B05437" w:rsidP="00B05437"/>
    <w:p w14:paraId="21313E94" w14:textId="7406E68B" w:rsidR="00B05437" w:rsidRPr="00DF6490" w:rsidRDefault="00B05437" w:rsidP="00B05437">
      <w:r>
        <w:t>The Government recognises the integral role that ECEC plays as the foundation for lifelong learning and development. Investment in the sector and its workforce leads to a range of benefits, including more equitable outcomes for children, increased social mobility, and higher women's workforce participation. The ECEC sector is highly feminised</w:t>
      </w:r>
      <w:r w:rsidR="0091562B">
        <w:t xml:space="preserve">; </w:t>
      </w:r>
      <w:r>
        <w:t>over 92 per cent of the workforce are women. A highly skilled and professionally recognised workforce improves outcomes for children, while affordable care ensures the benefits of quality ECEC are available to families across Australia.</w:t>
      </w:r>
      <w:r w:rsidR="00A772DF">
        <w:t xml:space="preserve"> As part of the 2024</w:t>
      </w:r>
      <w:r w:rsidR="00872229">
        <w:t>–</w:t>
      </w:r>
      <w:r w:rsidR="00AD373F">
        <w:t xml:space="preserve">25 Budget, the Government </w:t>
      </w:r>
      <w:r w:rsidR="009F3252">
        <w:t xml:space="preserve">committed to </w:t>
      </w:r>
      <w:r w:rsidR="00F15F3C">
        <w:t xml:space="preserve">providing </w:t>
      </w:r>
      <w:r w:rsidR="00AE23E8">
        <w:t xml:space="preserve">funding towards a wage increase for the </w:t>
      </w:r>
      <w:r w:rsidR="00761057">
        <w:t>ECEC</w:t>
      </w:r>
      <w:r w:rsidR="00AE23E8">
        <w:t xml:space="preserve"> workforce</w:t>
      </w:r>
      <w:r w:rsidR="009F3252">
        <w:t>.</w:t>
      </w:r>
      <w:r w:rsidR="00AE23E8">
        <w:t xml:space="preserve"> </w:t>
      </w:r>
    </w:p>
    <w:p w14:paraId="793A79F8" w14:textId="77777777" w:rsidR="00B05437" w:rsidRPr="00DF6490" w:rsidRDefault="00B05437" w:rsidP="00B05437"/>
    <w:p w14:paraId="536626DD" w14:textId="3F46AF6B" w:rsidR="00B05437" w:rsidRPr="00DF6490" w:rsidRDefault="00B05437" w:rsidP="00B05437">
      <w:pPr>
        <w:rPr>
          <w:lang w:eastAsia="en-AU"/>
        </w:rPr>
      </w:pPr>
      <w:r w:rsidRPr="00DF6490">
        <w:t xml:space="preserve">The Government has </w:t>
      </w:r>
      <w:r>
        <w:t xml:space="preserve">implemented </w:t>
      </w:r>
      <w:r w:rsidRPr="008074A9">
        <w:rPr>
          <w:i/>
          <w:iCs/>
        </w:rPr>
        <w:t>Cheaper Child Care</w:t>
      </w:r>
      <w:r w:rsidRPr="00DF6490">
        <w:t xml:space="preserve">, </w:t>
      </w:r>
      <w:r>
        <w:t>directed</w:t>
      </w:r>
      <w:r w:rsidRPr="00DF6490">
        <w:t xml:space="preserve"> the Productivity Commission </w:t>
      </w:r>
      <w:r>
        <w:t xml:space="preserve">to undertake an </w:t>
      </w:r>
      <w:r w:rsidRPr="00DF6490">
        <w:t xml:space="preserve">inquiry into Australia’s ECEC system, </w:t>
      </w:r>
      <w:r>
        <w:t xml:space="preserve">commissioned </w:t>
      </w:r>
      <w:r w:rsidRPr="00DF6490">
        <w:t xml:space="preserve">the </w:t>
      </w:r>
      <w:r w:rsidRPr="00DF6490">
        <w:rPr>
          <w:lang w:eastAsia="en-AU"/>
        </w:rPr>
        <w:t xml:space="preserve">Australian Competition and Consumer Commission inquiry into </w:t>
      </w:r>
      <w:r>
        <w:rPr>
          <w:lang w:eastAsia="en-AU"/>
        </w:rPr>
        <w:t xml:space="preserve">the </w:t>
      </w:r>
      <w:r w:rsidRPr="00DF6490">
        <w:rPr>
          <w:lang w:eastAsia="en-AU"/>
        </w:rPr>
        <w:t>ECEC</w:t>
      </w:r>
      <w:r>
        <w:rPr>
          <w:lang w:eastAsia="en-AU"/>
        </w:rPr>
        <w:t xml:space="preserve"> market</w:t>
      </w:r>
      <w:r w:rsidRPr="00DF6490">
        <w:rPr>
          <w:lang w:eastAsia="en-AU"/>
        </w:rPr>
        <w:t xml:space="preserve"> and </w:t>
      </w:r>
      <w:r>
        <w:rPr>
          <w:lang w:eastAsia="en-AU"/>
        </w:rPr>
        <w:t xml:space="preserve">developed the </w:t>
      </w:r>
      <w:r w:rsidRPr="00DF6490">
        <w:rPr>
          <w:lang w:eastAsia="en-AU"/>
        </w:rPr>
        <w:t xml:space="preserve">whole-of-Commonwealth Early Years Strategy. </w:t>
      </w:r>
      <w:r w:rsidR="007F667D" w:rsidRPr="684DAD57">
        <w:rPr>
          <w:lang w:eastAsia="en-AU"/>
        </w:rPr>
        <w:t xml:space="preserve">The Government also made a </w:t>
      </w:r>
      <w:r w:rsidR="007F667D">
        <w:rPr>
          <w:lang w:eastAsia="en-AU"/>
        </w:rPr>
        <w:t>provision</w:t>
      </w:r>
      <w:r w:rsidR="007F667D" w:rsidRPr="684DAD57">
        <w:rPr>
          <w:lang w:eastAsia="en-AU"/>
        </w:rPr>
        <w:t xml:space="preserve"> in the 2024</w:t>
      </w:r>
      <w:r w:rsidR="007F667D" w:rsidRPr="006B1FDB">
        <w:rPr>
          <w:lang w:eastAsia="en-AU"/>
        </w:rPr>
        <w:t>–</w:t>
      </w:r>
      <w:r w:rsidR="007F667D" w:rsidRPr="684DAD57">
        <w:rPr>
          <w:lang w:eastAsia="en-AU"/>
        </w:rPr>
        <w:t>25 Budget</w:t>
      </w:r>
      <w:r w:rsidR="007F667D">
        <w:rPr>
          <w:lang w:eastAsia="en-AU"/>
        </w:rPr>
        <w:t xml:space="preserve"> </w:t>
      </w:r>
      <w:r w:rsidR="007F667D" w:rsidRPr="684DAD57">
        <w:rPr>
          <w:lang w:eastAsia="en-AU"/>
        </w:rPr>
        <w:t xml:space="preserve">to </w:t>
      </w:r>
      <w:r w:rsidR="007F667D">
        <w:t xml:space="preserve">deliver on its commitment to provide funding towards a wage increase for </w:t>
      </w:r>
      <w:r w:rsidR="002E2FE3">
        <w:t>ECEC</w:t>
      </w:r>
      <w:r w:rsidR="007F667D">
        <w:t xml:space="preserve"> workers, with details to be finalised following Fair Work Commission processes.</w:t>
      </w:r>
      <w:r w:rsidR="007F667D" w:rsidRPr="684DAD57">
        <w:rPr>
          <w:lang w:eastAsia="en-AU"/>
        </w:rPr>
        <w:t xml:space="preserve"> </w:t>
      </w:r>
      <w:r w:rsidR="007F667D">
        <w:rPr>
          <w:lang w:eastAsia="en-AU"/>
        </w:rPr>
        <w:t>The 2024</w:t>
      </w:r>
      <w:r w:rsidR="00C86F50">
        <w:rPr>
          <w:lang w:eastAsia="en-AU"/>
        </w:rPr>
        <w:t>–</w:t>
      </w:r>
      <w:r w:rsidR="007F667D">
        <w:rPr>
          <w:lang w:eastAsia="en-AU"/>
        </w:rPr>
        <w:t xml:space="preserve">25 Budget also </w:t>
      </w:r>
      <w:r w:rsidR="007F667D" w:rsidRPr="684DAD57">
        <w:rPr>
          <w:lang w:eastAsia="en-AU"/>
        </w:rPr>
        <w:t xml:space="preserve">invested $30 million over </w:t>
      </w:r>
      <w:r w:rsidR="00F65F60">
        <w:rPr>
          <w:lang w:eastAsia="en-AU"/>
        </w:rPr>
        <w:t>2</w:t>
      </w:r>
      <w:r w:rsidR="00F65F60" w:rsidRPr="684DAD57">
        <w:rPr>
          <w:lang w:eastAsia="en-AU"/>
        </w:rPr>
        <w:t xml:space="preserve"> </w:t>
      </w:r>
      <w:r w:rsidR="007F667D" w:rsidRPr="684DAD57">
        <w:rPr>
          <w:lang w:eastAsia="en-AU"/>
        </w:rPr>
        <w:t>years from 2024</w:t>
      </w:r>
      <w:r w:rsidR="007F667D" w:rsidRPr="006B1FDB">
        <w:rPr>
          <w:lang w:eastAsia="en-AU"/>
        </w:rPr>
        <w:t>–</w:t>
      </w:r>
      <w:r w:rsidR="007F667D" w:rsidRPr="684DAD57">
        <w:rPr>
          <w:lang w:eastAsia="en-AU"/>
        </w:rPr>
        <w:t xml:space="preserve">25 in IT and payment services to deliver on this commitment. </w:t>
      </w:r>
      <w:r w:rsidRPr="00DF6490">
        <w:rPr>
          <w:lang w:eastAsia="en-AU"/>
        </w:rPr>
        <w:t xml:space="preserve">These </w:t>
      </w:r>
      <w:r>
        <w:rPr>
          <w:lang w:eastAsia="en-AU"/>
        </w:rPr>
        <w:t>initiatives</w:t>
      </w:r>
      <w:r w:rsidRPr="00DF6490">
        <w:rPr>
          <w:lang w:eastAsia="en-AU"/>
        </w:rPr>
        <w:t>, and other improvements to the sector help address the Committee’s recommendations for the ECEC system.</w:t>
      </w:r>
    </w:p>
    <w:p w14:paraId="10EDCB39" w14:textId="77777777" w:rsidR="00B05437" w:rsidRPr="00DF6490" w:rsidRDefault="00B05437" w:rsidP="00B05437">
      <w:pPr>
        <w:rPr>
          <w:lang w:eastAsia="en-AU"/>
        </w:rPr>
      </w:pPr>
    </w:p>
    <w:p w14:paraId="0D9A0282" w14:textId="6FCDEC5F" w:rsidR="00B05437" w:rsidRDefault="00B05437" w:rsidP="00B05437">
      <w:pPr>
        <w:pStyle w:val="Heading3"/>
        <w:rPr>
          <w:lang w:eastAsia="en-AU"/>
        </w:rPr>
      </w:pPr>
      <w:bookmarkStart w:id="25" w:name="_Toc170224178"/>
      <w:r>
        <w:rPr>
          <w:lang w:eastAsia="en-AU"/>
        </w:rPr>
        <w:t xml:space="preserve">3.1 </w:t>
      </w:r>
      <w:r w:rsidRPr="00DF6490">
        <w:rPr>
          <w:lang w:eastAsia="en-AU"/>
        </w:rPr>
        <w:t>Australia’s ECEC system</w:t>
      </w:r>
      <w:bookmarkEnd w:id="25"/>
    </w:p>
    <w:p w14:paraId="685EDC90" w14:textId="12C5B2A1" w:rsidR="00B05437" w:rsidRPr="00DF6490" w:rsidRDefault="00B05437" w:rsidP="00B05437">
      <w:pPr>
        <w:rPr>
          <w:lang w:eastAsia="en-AU"/>
        </w:rPr>
      </w:pPr>
      <w:r w:rsidRPr="00DF6490">
        <w:rPr>
          <w:lang w:eastAsia="en-AU"/>
        </w:rPr>
        <w:t xml:space="preserve">Australia has a national system to assist families with the cost of ECEC, as well as national standards for </w:t>
      </w:r>
      <w:r>
        <w:rPr>
          <w:lang w:eastAsia="en-AU"/>
        </w:rPr>
        <w:t xml:space="preserve">ECEC services. In addition to implementing </w:t>
      </w:r>
      <w:r w:rsidRPr="00BB0956">
        <w:rPr>
          <w:i/>
          <w:iCs/>
          <w:lang w:eastAsia="en-AU"/>
        </w:rPr>
        <w:t>Cheaper Child Care</w:t>
      </w:r>
      <w:r>
        <w:rPr>
          <w:lang w:eastAsia="en-AU"/>
        </w:rPr>
        <w:t>, t</w:t>
      </w:r>
      <w:r w:rsidRPr="00DF6490">
        <w:rPr>
          <w:lang w:eastAsia="en-AU"/>
        </w:rPr>
        <w:t xml:space="preserve">he Government has multiple initiatives </w:t>
      </w:r>
      <w:r>
        <w:rPr>
          <w:lang w:eastAsia="en-AU"/>
        </w:rPr>
        <w:t xml:space="preserve">underway </w:t>
      </w:r>
      <w:r w:rsidRPr="00DF6490">
        <w:rPr>
          <w:lang w:eastAsia="en-AU"/>
        </w:rPr>
        <w:t xml:space="preserve">to </w:t>
      </w:r>
      <w:r>
        <w:rPr>
          <w:lang w:eastAsia="en-AU"/>
        </w:rPr>
        <w:t>improve the</w:t>
      </w:r>
      <w:r w:rsidRPr="00DF6490">
        <w:rPr>
          <w:lang w:eastAsia="en-AU"/>
        </w:rPr>
        <w:t xml:space="preserve"> ECEC system.</w:t>
      </w:r>
    </w:p>
    <w:p w14:paraId="1A406804" w14:textId="77777777" w:rsidR="00B05437" w:rsidRPr="00DF6490" w:rsidRDefault="00B05437" w:rsidP="00B05437">
      <w:pPr>
        <w:rPr>
          <w:lang w:eastAsia="en-AU"/>
        </w:rPr>
      </w:pPr>
    </w:p>
    <w:p w14:paraId="33E323EA" w14:textId="3363408A" w:rsidR="00B05437" w:rsidRPr="00EF1921" w:rsidRDefault="00B05437" w:rsidP="00B05437">
      <w:pPr>
        <w:pStyle w:val="Heading4"/>
        <w:rPr>
          <w:lang w:eastAsia="en-AU"/>
        </w:rPr>
      </w:pPr>
      <w:r>
        <w:rPr>
          <w:lang w:eastAsia="en-AU"/>
        </w:rPr>
        <w:t xml:space="preserve">3.1.1 </w:t>
      </w:r>
      <w:r w:rsidRPr="00EF1921">
        <w:rPr>
          <w:lang w:eastAsia="en-AU"/>
        </w:rPr>
        <w:t>Productivity Commission Inquiry</w:t>
      </w:r>
    </w:p>
    <w:p w14:paraId="2BE5A645" w14:textId="50252757" w:rsidR="00B05437" w:rsidRDefault="00B05437" w:rsidP="00B05437">
      <w:pPr>
        <w:rPr>
          <w:lang w:eastAsia="en-AU"/>
        </w:rPr>
      </w:pPr>
    </w:p>
    <w:p w14:paraId="24286BE0" w14:textId="54C27832" w:rsidR="00B05437" w:rsidRPr="00EF2ACF" w:rsidRDefault="00B05437" w:rsidP="00B05437">
      <w:pPr>
        <w:rPr>
          <w:lang w:eastAsia="en-AU"/>
        </w:rPr>
      </w:pPr>
      <w:r w:rsidRPr="00EF2ACF">
        <w:rPr>
          <w:lang w:eastAsia="en-AU"/>
        </w:rPr>
        <w:t xml:space="preserve">The Government has tasked the Productivity Commission with undertaking a comprehensive inquiry into Australia’s ECEC system to help chart a course for universal, affordable ECEC. The Productivity Commission released its draft report on </w:t>
      </w:r>
      <w:r w:rsidR="00A26B7A" w:rsidRPr="00EF2ACF">
        <w:rPr>
          <w:lang w:eastAsia="en-AU"/>
        </w:rPr>
        <w:t>23</w:t>
      </w:r>
      <w:r w:rsidR="00A26B7A">
        <w:rPr>
          <w:lang w:eastAsia="en-AU"/>
        </w:rPr>
        <w:t> </w:t>
      </w:r>
      <w:r w:rsidR="00617244" w:rsidRPr="00EF2ACF">
        <w:rPr>
          <w:lang w:eastAsia="en-AU"/>
        </w:rPr>
        <w:t>November</w:t>
      </w:r>
      <w:r w:rsidR="00617244">
        <w:rPr>
          <w:lang w:eastAsia="en-AU"/>
        </w:rPr>
        <w:t> </w:t>
      </w:r>
      <w:r w:rsidRPr="00EF2ACF">
        <w:rPr>
          <w:lang w:eastAsia="en-AU"/>
        </w:rPr>
        <w:t xml:space="preserve">2023 and will provide its final report to the Government by 30 June 2024. </w:t>
      </w:r>
    </w:p>
    <w:p w14:paraId="3DBF3CCD" w14:textId="328619DA" w:rsidR="00813AFB" w:rsidRDefault="00813AFB">
      <w:pPr>
        <w:spacing w:after="200" w:line="276" w:lineRule="auto"/>
        <w:rPr>
          <w:lang w:eastAsia="en-AU"/>
        </w:rPr>
      </w:pPr>
      <w:r>
        <w:rPr>
          <w:lang w:eastAsia="en-AU"/>
        </w:rPr>
        <w:br w:type="page"/>
      </w:r>
    </w:p>
    <w:p w14:paraId="6C8C68CD" w14:textId="77777777" w:rsidR="00B05437" w:rsidRDefault="00B05437" w:rsidP="00B05437">
      <w:pPr>
        <w:rPr>
          <w:lang w:eastAsia="en-AU"/>
        </w:rPr>
      </w:pPr>
      <w:r w:rsidRPr="00EF2ACF">
        <w:rPr>
          <w:lang w:eastAsia="en-AU"/>
        </w:rPr>
        <w:t xml:space="preserve">As part of the Government’s reform agenda, the Australian Competition and Consumer Commission was directed to hold an inquiry into ECEC prices. </w:t>
      </w:r>
      <w:r>
        <w:rPr>
          <w:lang w:val="en-US" w:eastAsia="en-AU"/>
        </w:rPr>
        <w:t>T</w:t>
      </w:r>
      <w:r w:rsidRPr="00EF2ACF">
        <w:rPr>
          <w:lang w:val="en-US" w:eastAsia="en-AU"/>
        </w:rPr>
        <w:t xml:space="preserve">he </w:t>
      </w:r>
      <w:r w:rsidRPr="00EF2ACF">
        <w:rPr>
          <w:lang w:eastAsia="en-AU"/>
        </w:rPr>
        <w:t>Australian Competition and Consumer Commission</w:t>
      </w:r>
      <w:r w:rsidRPr="00EF2ACF">
        <w:rPr>
          <w:lang w:val="en-US" w:eastAsia="en-AU"/>
        </w:rPr>
        <w:t xml:space="preserve"> released its final report on 29 January 2024</w:t>
      </w:r>
      <w:r>
        <w:rPr>
          <w:lang w:eastAsia="en-AU"/>
        </w:rPr>
        <w:t>.</w:t>
      </w:r>
      <w:r w:rsidRPr="00EF2ACF">
        <w:rPr>
          <w:lang w:eastAsia="en-AU"/>
        </w:rPr>
        <w:t xml:space="preserve"> </w:t>
      </w:r>
      <w:r>
        <w:rPr>
          <w:lang w:eastAsia="en-AU"/>
        </w:rPr>
        <w:t>This</w:t>
      </w:r>
      <w:r w:rsidRPr="00EF2ACF">
        <w:rPr>
          <w:lang w:eastAsia="en-AU"/>
        </w:rPr>
        <w:t xml:space="preserve"> will </w:t>
      </w:r>
      <w:r>
        <w:rPr>
          <w:lang w:eastAsia="en-AU"/>
        </w:rPr>
        <w:t>be considered alongside the</w:t>
      </w:r>
      <w:r w:rsidRPr="00EF2ACF">
        <w:rPr>
          <w:lang w:eastAsia="en-AU"/>
        </w:rPr>
        <w:t xml:space="preserve"> Productivity Commission’s inquiry into ECEC.</w:t>
      </w:r>
    </w:p>
    <w:p w14:paraId="619D62A1" w14:textId="77777777" w:rsidR="00B05437" w:rsidRDefault="00B05437" w:rsidP="00B05437">
      <w:pPr>
        <w:rPr>
          <w:lang w:eastAsia="en-AU"/>
        </w:rPr>
      </w:pPr>
    </w:p>
    <w:p w14:paraId="6DDD9287" w14:textId="77777777" w:rsidR="00B05437" w:rsidRPr="001A346D" w:rsidRDefault="00B05437" w:rsidP="00B05437">
      <w:pPr>
        <w:pStyle w:val="Heading4"/>
        <w:rPr>
          <w:lang w:eastAsia="en-AU"/>
        </w:rPr>
      </w:pPr>
      <w:r>
        <w:rPr>
          <w:lang w:eastAsia="en-AU"/>
        </w:rPr>
        <w:t xml:space="preserve">3.1.2 </w:t>
      </w:r>
      <w:r w:rsidRPr="001A346D">
        <w:rPr>
          <w:lang w:eastAsia="en-AU"/>
        </w:rPr>
        <w:t>Early Years Strategy</w:t>
      </w:r>
      <w:r>
        <w:rPr>
          <w:lang w:eastAsia="en-AU"/>
        </w:rPr>
        <w:t xml:space="preserve"> and National Vision for ECEC</w:t>
      </w:r>
    </w:p>
    <w:p w14:paraId="684B2F4A" w14:textId="14B6CAF4" w:rsidR="00B05437" w:rsidRPr="00EF2ACF" w:rsidRDefault="00B05437" w:rsidP="00B05437">
      <w:pPr>
        <w:rPr>
          <w:lang w:eastAsia="en-AU"/>
        </w:rPr>
      </w:pPr>
    </w:p>
    <w:p w14:paraId="0828A23C" w14:textId="0ECD1895" w:rsidR="00530750" w:rsidRPr="00EF2ACF" w:rsidRDefault="00530750" w:rsidP="00530750">
      <w:pPr>
        <w:rPr>
          <w:lang w:eastAsia="en-AU"/>
        </w:rPr>
      </w:pPr>
      <w:r w:rsidRPr="44700369">
        <w:rPr>
          <w:lang w:eastAsia="en-AU"/>
        </w:rPr>
        <w:t>These inquiries are complemented by the whole-of-Commonwealth Early Years Strategy 2024</w:t>
      </w:r>
      <w:r w:rsidR="002424C3">
        <w:rPr>
          <w:lang w:eastAsia="en-AU"/>
        </w:rPr>
        <w:t>–</w:t>
      </w:r>
      <w:r w:rsidRPr="44700369">
        <w:rPr>
          <w:lang w:eastAsia="en-AU"/>
        </w:rPr>
        <w:t>2034 (the Strategy).</w:t>
      </w:r>
      <w:r w:rsidR="00F82E62">
        <w:rPr>
          <w:lang w:eastAsia="en-AU"/>
        </w:rPr>
        <w:t xml:space="preserve"> </w:t>
      </w:r>
      <w:r w:rsidRPr="44700369">
        <w:rPr>
          <w:lang w:eastAsia="en-AU"/>
        </w:rPr>
        <w:t>The Strategy:</w:t>
      </w:r>
    </w:p>
    <w:p w14:paraId="19E4952A" w14:textId="1EEC8894" w:rsidR="00530750" w:rsidRPr="00EF2ACF" w:rsidRDefault="00530750" w:rsidP="00530750">
      <w:pPr>
        <w:pStyle w:val="ListParagraph"/>
        <w:numPr>
          <w:ilvl w:val="0"/>
          <w:numId w:val="23"/>
        </w:numPr>
        <w:rPr>
          <w:sz w:val="24"/>
          <w:szCs w:val="24"/>
          <w:lang w:eastAsia="en-AU"/>
        </w:rPr>
      </w:pPr>
      <w:r w:rsidRPr="44700369">
        <w:rPr>
          <w:sz w:val="24"/>
          <w:szCs w:val="24"/>
          <w:lang w:eastAsia="en-AU"/>
        </w:rPr>
        <w:t xml:space="preserve">articulates how the Australian Government will prioritise and support child-centred policy development, and target investment in early years supports and services over the next </w:t>
      </w:r>
      <w:r w:rsidR="004E5E07">
        <w:rPr>
          <w:sz w:val="24"/>
          <w:szCs w:val="24"/>
          <w:lang w:eastAsia="en-AU"/>
        </w:rPr>
        <w:t>10</w:t>
      </w:r>
      <w:r w:rsidR="004E5E07" w:rsidRPr="44700369">
        <w:rPr>
          <w:sz w:val="24"/>
          <w:szCs w:val="24"/>
          <w:lang w:eastAsia="en-AU"/>
        </w:rPr>
        <w:t xml:space="preserve"> </w:t>
      </w:r>
      <w:r w:rsidRPr="44700369">
        <w:rPr>
          <w:sz w:val="24"/>
          <w:szCs w:val="24"/>
          <w:lang w:eastAsia="en-AU"/>
        </w:rPr>
        <w:t>years, and</w:t>
      </w:r>
    </w:p>
    <w:p w14:paraId="713B3D07" w14:textId="2FE26090" w:rsidR="00530750" w:rsidRPr="00EF2ACF" w:rsidRDefault="00530750" w:rsidP="00530750">
      <w:pPr>
        <w:pStyle w:val="ListParagraph"/>
        <w:numPr>
          <w:ilvl w:val="0"/>
          <w:numId w:val="23"/>
        </w:numPr>
        <w:rPr>
          <w:sz w:val="24"/>
          <w:szCs w:val="24"/>
          <w:lang w:eastAsia="en-AU"/>
        </w:rPr>
      </w:pPr>
      <w:r w:rsidRPr="3D9D78D5">
        <w:rPr>
          <w:sz w:val="24"/>
          <w:szCs w:val="24"/>
          <w:lang w:eastAsia="en-AU"/>
        </w:rPr>
        <w:t xml:space="preserve">seeks to support improved coordination between Commonwealth programs </w:t>
      </w:r>
      <w:r w:rsidR="007115F0" w:rsidRPr="3D9D78D5">
        <w:rPr>
          <w:sz w:val="24"/>
          <w:szCs w:val="24"/>
          <w:lang w:eastAsia="en-AU"/>
        </w:rPr>
        <w:t>and funding</w:t>
      </w:r>
      <w:r w:rsidRPr="3D9D78D5">
        <w:rPr>
          <w:sz w:val="24"/>
          <w:szCs w:val="24"/>
          <w:lang w:eastAsia="en-AU"/>
        </w:rPr>
        <w:t xml:space="preserve"> impacting early childhood development.</w:t>
      </w:r>
    </w:p>
    <w:p w14:paraId="2E86517F" w14:textId="77777777" w:rsidR="00B05437" w:rsidRPr="00EF2ACF" w:rsidRDefault="00B05437" w:rsidP="00B05437">
      <w:pPr>
        <w:rPr>
          <w:lang w:eastAsia="en-AU"/>
        </w:rPr>
      </w:pPr>
    </w:p>
    <w:p w14:paraId="71F14F59" w14:textId="66148BA7" w:rsidR="00B05437" w:rsidRPr="00EF2ACF" w:rsidRDefault="00B05437" w:rsidP="00B05437">
      <w:pPr>
        <w:rPr>
          <w:lang w:eastAsia="en-AU"/>
        </w:rPr>
      </w:pPr>
      <w:r w:rsidRPr="00EF2ACF">
        <w:rPr>
          <w:lang w:eastAsia="en-AU"/>
        </w:rPr>
        <w:t xml:space="preserve">In addition, National Cabinet tasked education and early years ministers with developing </w:t>
      </w:r>
      <w:r w:rsidR="00530750">
        <w:rPr>
          <w:lang w:eastAsia="en-AU"/>
        </w:rPr>
        <w:t>a</w:t>
      </w:r>
      <w:r w:rsidRPr="00EF2ACF">
        <w:rPr>
          <w:lang w:eastAsia="en-AU"/>
        </w:rPr>
        <w:t xml:space="preserve"> National long-term vision for the ECEC sector to </w:t>
      </w:r>
      <w:r w:rsidR="00530750">
        <w:rPr>
          <w:lang w:eastAsia="en-AU"/>
        </w:rPr>
        <w:t>guide</w:t>
      </w:r>
      <w:r w:rsidRPr="00EF2ACF">
        <w:rPr>
          <w:lang w:eastAsia="en-AU"/>
        </w:rPr>
        <w:t xml:space="preserve"> future reform. The draft National ECEC vision covers all forms of ECEC, including preschool and all forms of education and care. It recognises</w:t>
      </w:r>
      <w:r w:rsidR="008C787A">
        <w:rPr>
          <w:lang w:eastAsia="en-AU"/>
        </w:rPr>
        <w:t xml:space="preserve"> that</w:t>
      </w:r>
      <w:r w:rsidRPr="00EF2ACF">
        <w:rPr>
          <w:lang w:eastAsia="en-AU"/>
        </w:rPr>
        <w:t>:</w:t>
      </w:r>
    </w:p>
    <w:p w14:paraId="517DFDD8" w14:textId="31F3B790" w:rsidR="00B05437" w:rsidRPr="00EF2ACF" w:rsidRDefault="00FA14DF" w:rsidP="00B05437">
      <w:pPr>
        <w:pStyle w:val="ListParagraph"/>
        <w:numPr>
          <w:ilvl w:val="0"/>
          <w:numId w:val="23"/>
        </w:numPr>
        <w:rPr>
          <w:rFonts w:ascii="Calibri" w:hAnsi="Calibri"/>
          <w:sz w:val="24"/>
          <w:szCs w:val="24"/>
          <w:lang w:eastAsia="en-AU"/>
        </w:rPr>
      </w:pPr>
      <w:r>
        <w:rPr>
          <w:sz w:val="24"/>
          <w:szCs w:val="24"/>
          <w:lang w:eastAsia="en-AU"/>
        </w:rPr>
        <w:t>q</w:t>
      </w:r>
      <w:r w:rsidRPr="00EF2ACF">
        <w:rPr>
          <w:sz w:val="24"/>
          <w:szCs w:val="24"/>
          <w:lang w:eastAsia="en-AU"/>
        </w:rPr>
        <w:t xml:space="preserve">uality </w:t>
      </w:r>
      <w:r w:rsidR="00B05437" w:rsidRPr="00EF2ACF">
        <w:rPr>
          <w:sz w:val="24"/>
          <w:szCs w:val="24"/>
          <w:lang w:eastAsia="en-AU"/>
        </w:rPr>
        <w:t>ECEC has learning and development benefits for children in the most formative period of their lives. This can be especially significant for children from vulnerable and disadvantaged communities</w:t>
      </w:r>
      <w:r>
        <w:rPr>
          <w:sz w:val="24"/>
          <w:szCs w:val="24"/>
          <w:lang w:eastAsia="en-AU"/>
        </w:rPr>
        <w:t>; and</w:t>
      </w:r>
    </w:p>
    <w:p w14:paraId="698032B0" w14:textId="6DD5D8F7" w:rsidR="00B05437" w:rsidRPr="00EF2ACF" w:rsidRDefault="00FA14DF" w:rsidP="00B05437">
      <w:pPr>
        <w:pStyle w:val="ListParagraph"/>
        <w:numPr>
          <w:ilvl w:val="0"/>
          <w:numId w:val="23"/>
        </w:numPr>
        <w:rPr>
          <w:rFonts w:ascii="Calibri" w:hAnsi="Calibri"/>
          <w:sz w:val="24"/>
          <w:szCs w:val="24"/>
          <w:lang w:eastAsia="en-AU"/>
        </w:rPr>
      </w:pPr>
      <w:r>
        <w:rPr>
          <w:sz w:val="24"/>
          <w:szCs w:val="24"/>
          <w:lang w:eastAsia="en-AU"/>
        </w:rPr>
        <w:t>a</w:t>
      </w:r>
      <w:r w:rsidRPr="00EF2ACF">
        <w:rPr>
          <w:sz w:val="24"/>
          <w:szCs w:val="24"/>
          <w:lang w:eastAsia="en-AU"/>
        </w:rPr>
        <w:t xml:space="preserve">n </w:t>
      </w:r>
      <w:r w:rsidR="00B05437" w:rsidRPr="00EF2ACF">
        <w:rPr>
          <w:sz w:val="24"/>
          <w:szCs w:val="24"/>
          <w:lang w:eastAsia="en-AU"/>
        </w:rPr>
        <w:t>affordable and accessible ECEC system supports parents to work and study, especially women. This in turn supports the Australian economy to grow and prosper.</w:t>
      </w:r>
    </w:p>
    <w:p w14:paraId="7625875D" w14:textId="77777777" w:rsidR="00B05437" w:rsidRPr="00DF6490" w:rsidRDefault="00B05437" w:rsidP="00B05437">
      <w:pPr>
        <w:rPr>
          <w:lang w:eastAsia="en-AU"/>
        </w:rPr>
      </w:pPr>
    </w:p>
    <w:p w14:paraId="18C6FD8A" w14:textId="77777777" w:rsidR="00B05437" w:rsidRDefault="00B05437" w:rsidP="00B05437">
      <w:pPr>
        <w:pStyle w:val="Heading4"/>
        <w:rPr>
          <w:lang w:eastAsia="en-AU"/>
        </w:rPr>
      </w:pPr>
      <w:r>
        <w:rPr>
          <w:lang w:eastAsia="en-AU"/>
        </w:rPr>
        <w:t xml:space="preserve">3.1.3 </w:t>
      </w:r>
      <w:r w:rsidRPr="007C021D">
        <w:rPr>
          <w:lang w:eastAsia="en-AU"/>
        </w:rPr>
        <w:t xml:space="preserve">Community Child Care Fund </w:t>
      </w:r>
    </w:p>
    <w:p w14:paraId="5F15DB53" w14:textId="45CD4D67" w:rsidR="00B05437" w:rsidRPr="00DF6490" w:rsidRDefault="00B05437" w:rsidP="00B05437">
      <w:pPr>
        <w:rPr>
          <w:lang w:eastAsia="en-AU"/>
        </w:rPr>
      </w:pPr>
    </w:p>
    <w:p w14:paraId="648BECFF" w14:textId="20F1F207" w:rsidR="00B05437" w:rsidRPr="009304F4" w:rsidRDefault="00B05437" w:rsidP="00B05437">
      <w:r>
        <w:t xml:space="preserve">The Community Child Care Fund Open program helps services address barriers to ECEC participation. The </w:t>
      </w:r>
      <w:r w:rsidRPr="273A57E7">
        <w:rPr>
          <w:lang w:eastAsia="en-AU"/>
        </w:rPr>
        <w:t xml:space="preserve">Community Child Care Fund </w:t>
      </w:r>
      <w:r>
        <w:t xml:space="preserve">Establishing Child Care in Limited Supply Areas round was designed to establish new early childhood services in the most disadvantaged regional or remote communities, where there is a gap in the supply of approved services. In October 2023, the Government announced that 47 services, across 38 communities, would receive funding to establish new Centre Based Day Care services and Family Day Care premises in areas of limited supply. </w:t>
      </w:r>
      <w:r w:rsidRPr="273A57E7">
        <w:rPr>
          <w:lang w:eastAsia="en-AU"/>
        </w:rPr>
        <w:t xml:space="preserve">The Community Child Care Fund Limited Supply grant opportunity will provide a total of $16 million over 2 years, in establishment and capital support funding to successful grant recipients. </w:t>
      </w:r>
      <w:r>
        <w:t xml:space="preserve">Further, funding of around $84 million will be available for </w:t>
      </w:r>
      <w:r w:rsidRPr="273A57E7">
        <w:rPr>
          <w:lang w:eastAsia="en-AU"/>
        </w:rPr>
        <w:t xml:space="preserve">Community Child Care Fund </w:t>
      </w:r>
      <w:r>
        <w:t xml:space="preserve">Round Four from </w:t>
      </w:r>
      <w:r>
        <w:br/>
        <w:t>1 July 2024 to 30 June 2026 to help support ECEC services address barriers to participation, particularly targeting disadvantaged and vulnerable families and communities, and services in regional, remote</w:t>
      </w:r>
      <w:r w:rsidR="000226FE">
        <w:t>,</w:t>
      </w:r>
      <w:r>
        <w:t xml:space="preserve"> and very remote areas. </w:t>
      </w:r>
    </w:p>
    <w:p w14:paraId="670FD76A" w14:textId="77777777" w:rsidR="00B05437" w:rsidRPr="00DF6490" w:rsidRDefault="00B05437" w:rsidP="00B05437">
      <w:pPr>
        <w:rPr>
          <w:lang w:eastAsia="en-AU"/>
        </w:rPr>
      </w:pPr>
    </w:p>
    <w:p w14:paraId="65C7E31C" w14:textId="77777777" w:rsidR="00B05437" w:rsidRPr="00117730" w:rsidRDefault="00B05437" w:rsidP="00B05437">
      <w:pPr>
        <w:pStyle w:val="Heading4"/>
        <w:rPr>
          <w:lang w:eastAsia="en-AU"/>
        </w:rPr>
      </w:pPr>
      <w:r w:rsidRPr="00117730">
        <w:rPr>
          <w:lang w:eastAsia="en-AU"/>
        </w:rPr>
        <w:tab/>
      </w:r>
      <w:r>
        <w:rPr>
          <w:lang w:eastAsia="en-AU"/>
        </w:rPr>
        <w:t xml:space="preserve">3.1.4 National Agreement on </w:t>
      </w:r>
      <w:r w:rsidRPr="00117730">
        <w:rPr>
          <w:lang w:eastAsia="en-AU"/>
        </w:rPr>
        <w:t>Closing the Gap</w:t>
      </w:r>
    </w:p>
    <w:p w14:paraId="40608EB3" w14:textId="19BE0BC9" w:rsidR="00B05437" w:rsidRDefault="00B05437" w:rsidP="00B05437">
      <w:pPr>
        <w:rPr>
          <w:lang w:eastAsia="en-AU"/>
        </w:rPr>
      </w:pPr>
    </w:p>
    <w:p w14:paraId="534F4796" w14:textId="095B4170" w:rsidR="00B05437" w:rsidRPr="00DF6490" w:rsidRDefault="00B05437" w:rsidP="00B05437">
      <w:pPr>
        <w:rPr>
          <w:lang w:eastAsia="en-AU"/>
        </w:rPr>
      </w:pPr>
      <w:r w:rsidRPr="273A57E7">
        <w:rPr>
          <w:lang w:eastAsia="en-AU"/>
        </w:rPr>
        <w:t>The Government is also committed to embedding the Priority Reforms under the National Agreement on Closing the Gap (National Agreement), including Priority Reform Two (Building the Community-Controlled Sector) and through the Early Childhood Care and Development Policy Partnership under Priority Reform One (Formal Partnerships and Shared Decision Making). Through the National Agreement, Government Parties have agreed to implement measures to increase the proportion of services delivered by First Nations organisations, particularly community-controlled organisations.</w:t>
      </w:r>
    </w:p>
    <w:p w14:paraId="237A282D" w14:textId="77777777" w:rsidR="00B05437" w:rsidRPr="00DF6490" w:rsidRDefault="00B05437" w:rsidP="00B05437">
      <w:pPr>
        <w:rPr>
          <w:lang w:eastAsia="en-AU"/>
        </w:rPr>
      </w:pPr>
    </w:p>
    <w:p w14:paraId="2064024B" w14:textId="715A1177" w:rsidR="00B05437" w:rsidRPr="00DF6490" w:rsidRDefault="00B05437" w:rsidP="00B05437">
      <w:pPr>
        <w:rPr>
          <w:lang w:eastAsia="en-AU"/>
        </w:rPr>
      </w:pPr>
      <w:r w:rsidRPr="00DF6490">
        <w:rPr>
          <w:lang w:eastAsia="en-AU"/>
        </w:rPr>
        <w:t>The Government is also investing in targeted</w:t>
      </w:r>
      <w:r>
        <w:rPr>
          <w:lang w:eastAsia="en-AU"/>
        </w:rPr>
        <w:t xml:space="preserve"> initiativ</w:t>
      </w:r>
      <w:r w:rsidRPr="00DF6490">
        <w:rPr>
          <w:lang w:eastAsia="en-AU"/>
        </w:rPr>
        <w:t xml:space="preserve">es to support First Nations children to participate in and access high-quality services. This includes continuing to expand the Connected Beginnings program to 50 sites nationally by 2025. Connected Beginnings aims to support First Nations children to be school ready through the integration of early childhood education, health and family support services support services and programs in each community. </w:t>
      </w:r>
      <w:r w:rsidR="00AB64D4" w:rsidRPr="7523AAFD">
        <w:rPr>
          <w:lang w:eastAsia="en-AU"/>
        </w:rPr>
        <w:t xml:space="preserve">In addition, the Government is working to expand the Community Child Care Fund Restricted program, establishing new, high quality and mostly community controlled </w:t>
      </w:r>
      <w:r w:rsidR="002E2FE3">
        <w:rPr>
          <w:lang w:eastAsia="en-AU"/>
        </w:rPr>
        <w:t>ECEC</w:t>
      </w:r>
      <w:r w:rsidR="00AB64D4" w:rsidRPr="7523AAFD">
        <w:rPr>
          <w:lang w:eastAsia="en-AU"/>
        </w:rPr>
        <w:t xml:space="preserve"> services in mainly remote and very remote areas to support First Nations children and families.</w:t>
      </w:r>
    </w:p>
    <w:p w14:paraId="37B8B6B6" w14:textId="77777777" w:rsidR="00B05437" w:rsidRDefault="00B05437" w:rsidP="00B05437">
      <w:pPr>
        <w:rPr>
          <w:lang w:eastAsia="en-AU"/>
        </w:rPr>
      </w:pPr>
    </w:p>
    <w:p w14:paraId="221FEB35" w14:textId="77777777" w:rsidR="00DC524D" w:rsidRPr="00DF6490" w:rsidRDefault="00DC524D" w:rsidP="007D3EE0">
      <w:pPr>
        <w:pStyle w:val="Heading6"/>
        <w:pBdr>
          <w:top w:val="single" w:sz="4" w:space="1" w:color="auto"/>
          <w:left w:val="single" w:sz="4" w:space="4" w:color="auto"/>
          <w:bottom w:val="single" w:sz="4" w:space="1" w:color="auto"/>
          <w:right w:val="single" w:sz="4" w:space="4" w:color="auto"/>
        </w:pBdr>
      </w:pPr>
      <w:r w:rsidRPr="00DF6490">
        <w:t>Recommendation 3</w:t>
      </w:r>
    </w:p>
    <w:p w14:paraId="3D8F0B13" w14:textId="77777777" w:rsidR="00DC524D" w:rsidRPr="00DF6490" w:rsidRDefault="00DC524D" w:rsidP="007D3EE0">
      <w:pPr>
        <w:pBdr>
          <w:top w:val="single" w:sz="4" w:space="1" w:color="auto"/>
          <w:left w:val="single" w:sz="4" w:space="4" w:color="auto"/>
          <w:bottom w:val="single" w:sz="4" w:space="1" w:color="auto"/>
          <w:right w:val="single" w:sz="4" w:space="4" w:color="auto"/>
        </w:pBdr>
      </w:pPr>
      <w:r w:rsidRPr="00DF6490">
        <w:t>The committee recommends the National Cabinet develop a framework for and progress the implementation of a universal, quality, place-based and child-centred early childhood education and care (ECEC) system. The new ECEC framework should be developed within 12 months and:</w:t>
      </w:r>
    </w:p>
    <w:p w14:paraId="33A8A1EF" w14:textId="77777777" w:rsidR="00DC524D" w:rsidRPr="00DF6490" w:rsidRDefault="00DC524D" w:rsidP="007D3EE0">
      <w:pPr>
        <w:pStyle w:val="ListParagraph"/>
        <w:numPr>
          <w:ilvl w:val="0"/>
          <w:numId w:val="24"/>
        </w:numPr>
        <w:pBdr>
          <w:top w:val="single" w:sz="4" w:space="1" w:color="auto"/>
          <w:left w:val="single" w:sz="4" w:space="4" w:color="auto"/>
          <w:bottom w:val="single" w:sz="4" w:space="1" w:color="auto"/>
          <w:right w:val="single" w:sz="4" w:space="4" w:color="auto"/>
        </w:pBdr>
        <w:rPr>
          <w:sz w:val="24"/>
          <w:szCs w:val="24"/>
        </w:rPr>
      </w:pPr>
      <w:r w:rsidRPr="00DF6490">
        <w:rPr>
          <w:sz w:val="24"/>
          <w:szCs w:val="24"/>
        </w:rPr>
        <w:t xml:space="preserve">be supported by a clear policy framework which seeks to strengthen outcomes for children, their </w:t>
      </w:r>
      <w:proofErr w:type="spellStart"/>
      <w:r w:rsidRPr="00DF6490">
        <w:rPr>
          <w:sz w:val="24"/>
          <w:szCs w:val="24"/>
        </w:rPr>
        <w:t>carers</w:t>
      </w:r>
      <w:proofErr w:type="spellEnd"/>
      <w:r w:rsidRPr="00DF6490">
        <w:rPr>
          <w:sz w:val="24"/>
          <w:szCs w:val="24"/>
        </w:rPr>
        <w:t xml:space="preserve">, childhood educators and childcare providers; </w:t>
      </w:r>
    </w:p>
    <w:p w14:paraId="675912FB" w14:textId="77777777" w:rsidR="00DC524D" w:rsidRPr="00DF6490" w:rsidRDefault="00DC524D" w:rsidP="007D3EE0">
      <w:pPr>
        <w:pStyle w:val="ListParagraph"/>
        <w:numPr>
          <w:ilvl w:val="0"/>
          <w:numId w:val="24"/>
        </w:numPr>
        <w:pBdr>
          <w:top w:val="single" w:sz="4" w:space="1" w:color="auto"/>
          <w:left w:val="single" w:sz="4" w:space="4" w:color="auto"/>
          <w:bottom w:val="single" w:sz="4" w:space="1" w:color="auto"/>
          <w:right w:val="single" w:sz="4" w:space="4" w:color="auto"/>
        </w:pBdr>
        <w:rPr>
          <w:sz w:val="24"/>
          <w:szCs w:val="24"/>
        </w:rPr>
      </w:pPr>
      <w:r w:rsidRPr="00DF6490">
        <w:rPr>
          <w:sz w:val="24"/>
          <w:szCs w:val="24"/>
        </w:rPr>
        <w:t xml:space="preserve">be developed with active consideration of working carers, and especially women, to support better access to paid employment (including outside of core hours) while balancing work and care responsibilities; and/or set rosters that include caring responsibilities; and </w:t>
      </w:r>
    </w:p>
    <w:p w14:paraId="5F3A1A1F" w14:textId="77777777" w:rsidR="00DC524D" w:rsidRPr="00DF6490" w:rsidRDefault="00DC524D" w:rsidP="273A57E7">
      <w:pPr>
        <w:pStyle w:val="ListParagraph"/>
        <w:numPr>
          <w:ilvl w:val="0"/>
          <w:numId w:val="24"/>
        </w:numPr>
        <w:pBdr>
          <w:top w:val="single" w:sz="4" w:space="1" w:color="auto"/>
          <w:left w:val="single" w:sz="4" w:space="4" w:color="auto"/>
          <w:bottom w:val="single" w:sz="4" w:space="1" w:color="auto"/>
          <w:right w:val="single" w:sz="4" w:space="4" w:color="auto"/>
        </w:pBdr>
        <w:rPr>
          <w:sz w:val="24"/>
          <w:szCs w:val="24"/>
        </w:rPr>
      </w:pPr>
      <w:r w:rsidRPr="273A57E7">
        <w:rPr>
          <w:sz w:val="24"/>
          <w:szCs w:val="24"/>
        </w:rPr>
        <w:t>address ‘childcare deserts’ by providing ECEC facilities in rural, remote and some regional areas, and ensure culturally-appropriate, community managed and trauma-informed ECEC is made available where needed, especially in First Nations communities.</w:t>
      </w:r>
    </w:p>
    <w:p w14:paraId="53090987" w14:textId="77777777" w:rsidR="00DC524D" w:rsidRDefault="00DC524D" w:rsidP="007D3EE0">
      <w:pPr>
        <w:pBdr>
          <w:top w:val="single" w:sz="4" w:space="1" w:color="auto"/>
          <w:left w:val="single" w:sz="4" w:space="4" w:color="auto"/>
          <w:bottom w:val="single" w:sz="4" w:space="1" w:color="auto"/>
          <w:right w:val="single" w:sz="4" w:space="4" w:color="auto"/>
        </w:pBdr>
      </w:pPr>
    </w:p>
    <w:p w14:paraId="1CBF59F6" w14:textId="77777777" w:rsidR="00DC524D" w:rsidRDefault="00DC524D" w:rsidP="007D3EE0">
      <w:pPr>
        <w:pBdr>
          <w:top w:val="single" w:sz="4" w:space="1" w:color="auto"/>
          <w:left w:val="single" w:sz="4" w:space="4" w:color="auto"/>
          <w:bottom w:val="single" w:sz="4" w:space="1" w:color="auto"/>
          <w:right w:val="single" w:sz="4" w:space="4" w:color="auto"/>
        </w:pBdr>
      </w:pPr>
      <w:r w:rsidRPr="00DF6490">
        <w:t>The committee further recommends that the Australian Government continue to regularly review ECEC systems for adequacy, and undertake appropriate changes, with a view to universal, early childhood education and care.</w:t>
      </w:r>
    </w:p>
    <w:p w14:paraId="73EAE4A4" w14:textId="77777777" w:rsidR="00DC524D" w:rsidRDefault="00DC524D" w:rsidP="00DC524D"/>
    <w:p w14:paraId="7AA838EE" w14:textId="20018BFB" w:rsidR="00DC524D" w:rsidRDefault="007D3EE0" w:rsidP="00DC524D">
      <w:pPr>
        <w:rPr>
          <w:lang w:eastAsia="en-AU"/>
        </w:rPr>
      </w:pPr>
      <w:r>
        <w:rPr>
          <w:lang w:eastAsia="en-AU"/>
        </w:rPr>
        <w:t xml:space="preserve">The Government </w:t>
      </w:r>
      <w:r w:rsidR="00B370D4">
        <w:rPr>
          <w:b/>
          <w:bCs/>
          <w:lang w:eastAsia="en-AU"/>
        </w:rPr>
        <w:t>notes</w:t>
      </w:r>
      <w:r w:rsidR="009C3E58">
        <w:rPr>
          <w:b/>
          <w:bCs/>
          <w:lang w:eastAsia="en-AU"/>
        </w:rPr>
        <w:t xml:space="preserve"> </w:t>
      </w:r>
      <w:r>
        <w:rPr>
          <w:lang w:eastAsia="en-AU"/>
        </w:rPr>
        <w:t xml:space="preserve">this recommendation. </w:t>
      </w:r>
    </w:p>
    <w:p w14:paraId="35409BA7" w14:textId="77777777" w:rsidR="007D3EE0" w:rsidRPr="007D3EE0" w:rsidRDefault="007D3EE0" w:rsidP="00DC524D">
      <w:pPr>
        <w:rPr>
          <w:lang w:eastAsia="en-AU"/>
        </w:rPr>
      </w:pPr>
    </w:p>
    <w:p w14:paraId="229CF793" w14:textId="1CB39152" w:rsidR="00DC524D" w:rsidRDefault="00DC524D" w:rsidP="00DC524D">
      <w:pPr>
        <w:rPr>
          <w:lang w:eastAsia="en-AU"/>
        </w:rPr>
      </w:pPr>
      <w:r w:rsidRPr="00DF6490">
        <w:rPr>
          <w:lang w:eastAsia="en-AU"/>
        </w:rPr>
        <w:t xml:space="preserve">The Government </w:t>
      </w:r>
      <w:r>
        <w:rPr>
          <w:lang w:eastAsia="en-AU"/>
        </w:rPr>
        <w:t xml:space="preserve">implemented </w:t>
      </w:r>
      <w:r w:rsidRPr="002C6116">
        <w:rPr>
          <w:i/>
          <w:iCs/>
          <w:lang w:eastAsia="en-AU"/>
        </w:rPr>
        <w:t>Cheaper Child Care</w:t>
      </w:r>
      <w:r>
        <w:rPr>
          <w:lang w:eastAsia="en-AU"/>
        </w:rPr>
        <w:t xml:space="preserve"> and</w:t>
      </w:r>
      <w:r w:rsidRPr="00DF6490">
        <w:rPr>
          <w:lang w:eastAsia="en-AU"/>
        </w:rPr>
        <w:t xml:space="preserve"> </w:t>
      </w:r>
      <w:r>
        <w:rPr>
          <w:lang w:eastAsia="en-AU"/>
        </w:rPr>
        <w:t>commissioned</w:t>
      </w:r>
      <w:r w:rsidRPr="00DF6490">
        <w:rPr>
          <w:lang w:eastAsia="en-AU"/>
        </w:rPr>
        <w:t xml:space="preserve"> the Productivity </w:t>
      </w:r>
      <w:r w:rsidRPr="00314AB4">
        <w:rPr>
          <w:lang w:eastAsia="en-AU"/>
        </w:rPr>
        <w:t>Commission with conducting a comprehensive inquiry into Australia’s ECEC system</w:t>
      </w:r>
      <w:r>
        <w:rPr>
          <w:lang w:eastAsia="en-AU"/>
        </w:rPr>
        <w:t xml:space="preserve">. The Productivity Commission will </w:t>
      </w:r>
      <w:r w:rsidRPr="00314AB4">
        <w:rPr>
          <w:lang w:eastAsia="en-AU"/>
        </w:rPr>
        <w:t>mak</w:t>
      </w:r>
      <w:r>
        <w:rPr>
          <w:lang w:eastAsia="en-AU"/>
        </w:rPr>
        <w:t>e</w:t>
      </w:r>
      <w:r w:rsidRPr="00314AB4">
        <w:rPr>
          <w:lang w:eastAsia="en-AU"/>
        </w:rPr>
        <w:t xml:space="preserve"> recommendations to support affordable</w:t>
      </w:r>
      <w:r w:rsidRPr="00DF6490">
        <w:rPr>
          <w:lang w:eastAsia="en-AU"/>
        </w:rPr>
        <w:t>, accessible, equitable and high-quality ECEC that reduces barriers to workforce participation and supports children’s learning.</w:t>
      </w:r>
    </w:p>
    <w:p w14:paraId="5D9924F3" w14:textId="77777777" w:rsidR="00DC524D" w:rsidRPr="00DF6490" w:rsidRDefault="00DC524D" w:rsidP="00DC524D">
      <w:pPr>
        <w:rPr>
          <w:lang w:eastAsia="en-AU"/>
        </w:rPr>
      </w:pPr>
    </w:p>
    <w:p w14:paraId="46677805" w14:textId="6B3565F1" w:rsidR="006260AF" w:rsidRPr="006260AF" w:rsidRDefault="006260AF" w:rsidP="005A39E9">
      <w:pPr>
        <w:shd w:val="clear" w:color="auto" w:fill="FFFFFF" w:themeFill="background1"/>
        <w:rPr>
          <w:rFonts w:cstheme="minorHAnsi"/>
          <w:lang w:eastAsia="en-AU"/>
        </w:rPr>
      </w:pPr>
      <w:r w:rsidRPr="006260AF">
        <w:rPr>
          <w:rFonts w:cstheme="minorHAnsi"/>
          <w:lang w:eastAsia="en-AU"/>
        </w:rPr>
        <w:t>The Government has also launched the Early Years Strategy 2024</w:t>
      </w:r>
      <w:r w:rsidR="002424C3">
        <w:rPr>
          <w:rFonts w:cstheme="minorHAnsi"/>
          <w:lang w:eastAsia="en-AU"/>
        </w:rPr>
        <w:t>–</w:t>
      </w:r>
      <w:r w:rsidRPr="006260AF">
        <w:rPr>
          <w:rFonts w:cstheme="minorHAnsi"/>
          <w:lang w:eastAsia="en-AU"/>
        </w:rPr>
        <w:t xml:space="preserve">2034, </w:t>
      </w:r>
      <w:r w:rsidRPr="006260AF">
        <w:rPr>
          <w:rFonts w:eastAsia="Arial" w:cstheme="minorHAnsi"/>
          <w:color w:val="2C2A29"/>
        </w:rPr>
        <w:t>which sets out the Government’s vision to best support Australia’s children and their families.</w:t>
      </w:r>
      <w:r w:rsidR="005A39E9">
        <w:rPr>
          <w:rFonts w:eastAsia="Arial" w:cstheme="minorHAnsi"/>
          <w:color w:val="2C2A29"/>
        </w:rPr>
        <w:t xml:space="preserve"> </w:t>
      </w:r>
      <w:r w:rsidRPr="006260AF">
        <w:rPr>
          <w:rFonts w:eastAsiaTheme="minorEastAsia" w:cstheme="minorHAnsi"/>
          <w:lang w:eastAsia="en-AU"/>
        </w:rPr>
        <w:t xml:space="preserve">Practical steps to achieve the vision in the Strategy will be outlined in </w:t>
      </w:r>
      <w:r w:rsidR="00CF5A0F">
        <w:rPr>
          <w:rFonts w:eastAsiaTheme="minorEastAsia" w:cstheme="minorHAnsi"/>
          <w:lang w:eastAsia="en-AU"/>
        </w:rPr>
        <w:t>3</w:t>
      </w:r>
      <w:r w:rsidR="00CF5A0F" w:rsidRPr="006260AF">
        <w:rPr>
          <w:rFonts w:eastAsiaTheme="minorEastAsia" w:cstheme="minorHAnsi"/>
          <w:lang w:eastAsia="en-AU"/>
        </w:rPr>
        <w:t xml:space="preserve"> </w:t>
      </w:r>
      <w:r w:rsidRPr="006260AF">
        <w:rPr>
          <w:rFonts w:eastAsiaTheme="minorEastAsia" w:cstheme="minorHAnsi"/>
          <w:lang w:eastAsia="en-AU"/>
        </w:rPr>
        <w:t>Action Plans to be released over the ten-year lifetime of the document. The first will be released later this year, along with an Outcomes Framework.</w:t>
      </w:r>
    </w:p>
    <w:p w14:paraId="263D303B" w14:textId="77777777" w:rsidR="006260AF" w:rsidRPr="00DF6490" w:rsidRDefault="006260AF" w:rsidP="006260AF">
      <w:pPr>
        <w:rPr>
          <w:lang w:eastAsia="en-AU"/>
        </w:rPr>
      </w:pPr>
    </w:p>
    <w:p w14:paraId="6A16AD52" w14:textId="1470179C" w:rsidR="00DC524D" w:rsidRDefault="006260AF" w:rsidP="006260AF">
      <w:pPr>
        <w:rPr>
          <w:lang w:eastAsia="en-AU"/>
        </w:rPr>
      </w:pPr>
      <w:r w:rsidRPr="7523AAFD">
        <w:rPr>
          <w:lang w:eastAsia="en-AU"/>
        </w:rPr>
        <w:t>The Government is also committed to embedding the Priority Reforms under the National Agreement, including Priority Reform Two (Building the Community-controlled Sector) and Priority Reform One (Formal Partnerships and Shared Decision Making), through the Early Childhood Care and Development Policy Partnership.</w:t>
      </w:r>
    </w:p>
    <w:p w14:paraId="34291B5B" w14:textId="77777777" w:rsidR="0027637D" w:rsidRDefault="0027637D" w:rsidP="006260AF">
      <w:pPr>
        <w:rPr>
          <w:lang w:eastAsia="en-AU"/>
        </w:rPr>
      </w:pPr>
    </w:p>
    <w:p w14:paraId="7D88595A" w14:textId="77777777" w:rsidR="00DC524D" w:rsidRPr="00DF6490" w:rsidRDefault="00DC524D" w:rsidP="007D3EE0">
      <w:pPr>
        <w:pStyle w:val="Heading6"/>
        <w:pBdr>
          <w:top w:val="single" w:sz="4" w:space="1" w:color="auto"/>
          <w:left w:val="single" w:sz="4" w:space="4" w:color="auto"/>
          <w:bottom w:val="single" w:sz="4" w:space="1" w:color="auto"/>
          <w:right w:val="single" w:sz="4" w:space="4" w:color="auto"/>
        </w:pBdr>
      </w:pPr>
      <w:r w:rsidRPr="00DF6490">
        <w:t>Recommendation 4</w:t>
      </w:r>
    </w:p>
    <w:p w14:paraId="72D8DEC8" w14:textId="77777777" w:rsidR="00DC524D" w:rsidRPr="00DF6490" w:rsidRDefault="00DC524D" w:rsidP="007D3EE0">
      <w:pPr>
        <w:pBdr>
          <w:top w:val="single" w:sz="4" w:space="1" w:color="auto"/>
          <w:left w:val="single" w:sz="4" w:space="4" w:color="auto"/>
          <w:bottom w:val="single" w:sz="4" w:space="1" w:color="auto"/>
          <w:right w:val="single" w:sz="4" w:space="4" w:color="auto"/>
        </w:pBdr>
      </w:pPr>
      <w:r w:rsidRPr="00DF6490">
        <w:t>The committee recommends that the Australian Government work through National Cabinet to develop a framework for a universal early childhood education and care (ECEC) system that is consistent across Australia. This framework should be implemented with a view to increase access to quality ECEC and lower its costs.</w:t>
      </w:r>
    </w:p>
    <w:p w14:paraId="04E7A010" w14:textId="77777777" w:rsidR="00DC524D" w:rsidRPr="00DF6490" w:rsidRDefault="00DC524D" w:rsidP="00DC524D"/>
    <w:p w14:paraId="44F42D99" w14:textId="56E7CC6A" w:rsidR="00DC524D" w:rsidRPr="00DF6490" w:rsidRDefault="00DC524D" w:rsidP="00C6053F">
      <w:pPr>
        <w:pBdr>
          <w:top w:val="single" w:sz="4" w:space="1" w:color="auto"/>
          <w:left w:val="single" w:sz="4" w:space="4" w:color="auto"/>
          <w:bottom w:val="single" w:sz="4" w:space="1" w:color="auto"/>
          <w:right w:val="single" w:sz="4" w:space="4" w:color="auto"/>
        </w:pBdr>
        <w:textAlignment w:val="baseline"/>
        <w:rPr>
          <w:rFonts w:ascii="Segoe UI" w:hAnsi="Segoe UI" w:cs="Segoe UI"/>
          <w:b/>
          <w:bCs/>
          <w:i/>
          <w:iCs/>
          <w:sz w:val="18"/>
          <w:szCs w:val="18"/>
          <w:lang w:eastAsia="en-AU"/>
        </w:rPr>
      </w:pPr>
      <w:r w:rsidRPr="00DF6490">
        <w:rPr>
          <w:rFonts w:ascii="Calibri" w:hAnsi="Calibri" w:cs="Calibri"/>
          <w:b/>
          <w:bCs/>
          <w:i/>
          <w:iCs/>
          <w:lang w:eastAsia="en-AU"/>
        </w:rPr>
        <w:t>Interim Report Recommendation 7 </w:t>
      </w:r>
    </w:p>
    <w:p w14:paraId="668631BA" w14:textId="1FCBB0E3" w:rsidR="00DC524D" w:rsidRPr="00DF6490" w:rsidRDefault="00DC524D" w:rsidP="00C6053F">
      <w:pPr>
        <w:pBdr>
          <w:top w:val="single" w:sz="4" w:space="1" w:color="auto"/>
          <w:left w:val="single" w:sz="4" w:space="4" w:color="auto"/>
          <w:bottom w:val="single" w:sz="4" w:space="1" w:color="auto"/>
          <w:right w:val="single" w:sz="4" w:space="4" w:color="auto"/>
        </w:pBdr>
        <w:rPr>
          <w:rFonts w:ascii="Calibri" w:hAnsi="Calibri" w:cs="Calibri"/>
          <w:i/>
          <w:iCs/>
          <w:lang w:eastAsia="en-AU"/>
        </w:rPr>
      </w:pPr>
      <w:r w:rsidRPr="00DF6490">
        <w:rPr>
          <w:rFonts w:ascii="Calibri" w:hAnsi="Calibri" w:cs="Calibri"/>
          <w:i/>
          <w:iCs/>
          <w:lang w:eastAsia="en-AU"/>
        </w:rPr>
        <w:t>The committee recommends that in the upcoming 2022</w:t>
      </w:r>
      <w:r w:rsidR="00D96A95" w:rsidRPr="00D96A95">
        <w:rPr>
          <w:rFonts w:ascii="Calibri" w:hAnsi="Calibri" w:cs="Calibri"/>
          <w:i/>
          <w:iCs/>
          <w:lang w:eastAsia="en-AU"/>
        </w:rPr>
        <w:t>–</w:t>
      </w:r>
      <w:r w:rsidRPr="00DF6490">
        <w:rPr>
          <w:rFonts w:ascii="Calibri" w:hAnsi="Calibri" w:cs="Calibri"/>
          <w:i/>
          <w:iCs/>
          <w:lang w:eastAsia="en-AU"/>
        </w:rPr>
        <w:t>23 Budget, the Australian Government commits to long-term increases in funding to First Nations community-controlled Early Childhood Education and Care, with a particular focus on regional, remote and some urban areas.</w:t>
      </w:r>
    </w:p>
    <w:p w14:paraId="452EA308" w14:textId="77777777" w:rsidR="00DC524D" w:rsidRPr="00DF6490" w:rsidRDefault="00DC524D" w:rsidP="00DC524D">
      <w:pPr>
        <w:rPr>
          <w:rFonts w:ascii="Calibri" w:hAnsi="Calibri" w:cs="Calibri"/>
          <w:i/>
          <w:iCs/>
          <w:lang w:eastAsia="en-AU"/>
        </w:rPr>
      </w:pPr>
    </w:p>
    <w:p w14:paraId="29314A6A" w14:textId="4A10B129" w:rsidR="00DC524D" w:rsidRPr="00DF6490" w:rsidRDefault="00DC524D" w:rsidP="00C6053F">
      <w:pPr>
        <w:pBdr>
          <w:top w:val="single" w:sz="4" w:space="1" w:color="auto"/>
          <w:left w:val="single" w:sz="4" w:space="4" w:color="auto"/>
          <w:bottom w:val="single" w:sz="4" w:space="1" w:color="auto"/>
          <w:right w:val="single" w:sz="4" w:space="4" w:color="auto"/>
        </w:pBdr>
        <w:textAlignment w:val="baseline"/>
        <w:rPr>
          <w:rFonts w:ascii="Calibri" w:hAnsi="Calibri" w:cs="Calibri"/>
          <w:b/>
          <w:bCs/>
          <w:i/>
          <w:iCs/>
          <w:lang w:eastAsia="en-AU"/>
        </w:rPr>
      </w:pPr>
      <w:r w:rsidRPr="00DF6490">
        <w:rPr>
          <w:rFonts w:ascii="Calibri" w:hAnsi="Calibri" w:cs="Calibri"/>
          <w:b/>
          <w:bCs/>
          <w:i/>
          <w:iCs/>
          <w:lang w:eastAsia="en-AU"/>
        </w:rPr>
        <w:t>Australian Greens’ Additional Recommendation 2</w:t>
      </w:r>
    </w:p>
    <w:p w14:paraId="19B6DD69" w14:textId="21195679" w:rsidR="00DC524D" w:rsidRDefault="00DC524D" w:rsidP="00C6053F">
      <w:pPr>
        <w:pBdr>
          <w:top w:val="single" w:sz="4" w:space="1" w:color="auto"/>
          <w:left w:val="single" w:sz="4" w:space="4" w:color="auto"/>
          <w:bottom w:val="single" w:sz="4" w:space="1" w:color="auto"/>
          <w:right w:val="single" w:sz="4" w:space="4" w:color="auto"/>
        </w:pBdr>
        <w:rPr>
          <w:rFonts w:ascii="Calibri" w:hAnsi="Calibri" w:cs="Calibri"/>
          <w:i/>
          <w:iCs/>
          <w:lang w:eastAsia="en-AU"/>
        </w:rPr>
      </w:pPr>
      <w:r w:rsidRPr="00DF6490">
        <w:rPr>
          <w:rFonts w:ascii="Calibri" w:hAnsi="Calibri" w:cs="Calibri"/>
          <w:i/>
          <w:iCs/>
          <w:lang w:eastAsia="en-AU"/>
        </w:rPr>
        <w:t>The Australian Greens recommend the provision of free early childhood education and care to families</w:t>
      </w:r>
      <w:r>
        <w:rPr>
          <w:rFonts w:ascii="Calibri" w:hAnsi="Calibri" w:cs="Calibri"/>
          <w:i/>
          <w:iCs/>
          <w:lang w:eastAsia="en-AU"/>
        </w:rPr>
        <w:t>.</w:t>
      </w:r>
    </w:p>
    <w:p w14:paraId="10D47EF0" w14:textId="77777777" w:rsidR="00DC524D" w:rsidRDefault="00DC524D" w:rsidP="00DC524D"/>
    <w:p w14:paraId="1D617F6A" w14:textId="72BEDAA1" w:rsidR="00DC524D" w:rsidRPr="00C6053F" w:rsidRDefault="00C6053F" w:rsidP="00DC524D">
      <w:pPr>
        <w:rPr>
          <w:lang w:eastAsia="en-AU"/>
        </w:rPr>
      </w:pPr>
      <w:r>
        <w:rPr>
          <w:lang w:eastAsia="en-AU"/>
        </w:rPr>
        <w:t xml:space="preserve">The Government </w:t>
      </w:r>
      <w:r>
        <w:rPr>
          <w:b/>
          <w:bCs/>
          <w:lang w:eastAsia="en-AU"/>
        </w:rPr>
        <w:t xml:space="preserve">notes </w:t>
      </w:r>
      <w:r>
        <w:rPr>
          <w:lang w:eastAsia="en-AU"/>
        </w:rPr>
        <w:t xml:space="preserve">this recommendation, the Interim Report </w:t>
      </w:r>
      <w:r w:rsidR="00A9469E">
        <w:rPr>
          <w:lang w:eastAsia="en-AU"/>
        </w:rPr>
        <w:t>r</w:t>
      </w:r>
      <w:r>
        <w:rPr>
          <w:lang w:eastAsia="en-AU"/>
        </w:rPr>
        <w:t xml:space="preserve">ecommendation and the Australian Greens’ </w:t>
      </w:r>
      <w:r w:rsidR="00A9469E">
        <w:rPr>
          <w:lang w:eastAsia="en-AU"/>
        </w:rPr>
        <w:t>a</w:t>
      </w:r>
      <w:r>
        <w:rPr>
          <w:lang w:eastAsia="en-AU"/>
        </w:rPr>
        <w:t xml:space="preserve">dditional </w:t>
      </w:r>
      <w:r w:rsidR="00A9469E">
        <w:rPr>
          <w:lang w:eastAsia="en-AU"/>
        </w:rPr>
        <w:t>r</w:t>
      </w:r>
      <w:r>
        <w:rPr>
          <w:lang w:eastAsia="en-AU"/>
        </w:rPr>
        <w:t>ecommendation.</w:t>
      </w:r>
    </w:p>
    <w:p w14:paraId="3A639B4C" w14:textId="77777777" w:rsidR="00DC524D" w:rsidRPr="00DF6490" w:rsidRDefault="00DC524D" w:rsidP="00DC524D">
      <w:pPr>
        <w:rPr>
          <w:lang w:eastAsia="en-AU"/>
        </w:rPr>
      </w:pPr>
    </w:p>
    <w:p w14:paraId="1A497560" w14:textId="77777777" w:rsidR="00DC524D" w:rsidRDefault="00DC524D" w:rsidP="00DC524D">
      <w:pPr>
        <w:rPr>
          <w:lang w:eastAsia="en-AU"/>
        </w:rPr>
      </w:pPr>
      <w:r w:rsidRPr="00DF6490">
        <w:rPr>
          <w:lang w:eastAsia="en-AU"/>
        </w:rPr>
        <w:t xml:space="preserve">The Government </w:t>
      </w:r>
      <w:r>
        <w:rPr>
          <w:lang w:eastAsia="en-AU"/>
        </w:rPr>
        <w:t xml:space="preserve">implemented </w:t>
      </w:r>
      <w:r w:rsidRPr="002C6116">
        <w:rPr>
          <w:i/>
          <w:iCs/>
          <w:lang w:eastAsia="en-AU"/>
        </w:rPr>
        <w:t>Cheaper Child Care</w:t>
      </w:r>
      <w:r>
        <w:rPr>
          <w:lang w:eastAsia="en-AU"/>
        </w:rPr>
        <w:t xml:space="preserve"> as well as</w:t>
      </w:r>
      <w:r w:rsidRPr="00DF6490">
        <w:rPr>
          <w:lang w:eastAsia="en-AU"/>
        </w:rPr>
        <w:t xml:space="preserve"> </w:t>
      </w:r>
      <w:r>
        <w:rPr>
          <w:lang w:eastAsia="en-AU"/>
        </w:rPr>
        <w:t>commissioned</w:t>
      </w:r>
      <w:r w:rsidRPr="00DF6490">
        <w:rPr>
          <w:lang w:eastAsia="en-AU"/>
        </w:rPr>
        <w:t xml:space="preserve"> the Productivity </w:t>
      </w:r>
      <w:r w:rsidRPr="00314AB4">
        <w:rPr>
          <w:lang w:eastAsia="en-AU"/>
        </w:rPr>
        <w:t xml:space="preserve">Commission with conducting a comprehensive inquiry into Australia’s ECEC system </w:t>
      </w:r>
      <w:r>
        <w:rPr>
          <w:lang w:eastAsia="en-AU"/>
        </w:rPr>
        <w:t>to make</w:t>
      </w:r>
      <w:r w:rsidRPr="00314AB4">
        <w:rPr>
          <w:lang w:eastAsia="en-AU"/>
        </w:rPr>
        <w:t xml:space="preserve"> recommendations to support affordable</w:t>
      </w:r>
      <w:r w:rsidRPr="00DF6490">
        <w:rPr>
          <w:lang w:eastAsia="en-AU"/>
        </w:rPr>
        <w:t>, accessible, equitable and high-quality ECEC that reduces barriers to workforce participation and supports children’s learning.</w:t>
      </w:r>
    </w:p>
    <w:p w14:paraId="2F4612BC" w14:textId="77777777" w:rsidR="00DC524D" w:rsidRDefault="00DC524D" w:rsidP="00DC524D"/>
    <w:p w14:paraId="5EE288FD" w14:textId="77777777" w:rsidR="00DC524D" w:rsidRPr="00DF6490" w:rsidRDefault="00DC524D" w:rsidP="00C6053F">
      <w:pPr>
        <w:pStyle w:val="Heading6"/>
        <w:pBdr>
          <w:top w:val="single" w:sz="4" w:space="1" w:color="auto"/>
          <w:left w:val="single" w:sz="4" w:space="4" w:color="auto"/>
          <w:bottom w:val="single" w:sz="4" w:space="1" w:color="auto"/>
          <w:right w:val="single" w:sz="4" w:space="4" w:color="auto"/>
        </w:pBdr>
      </w:pPr>
      <w:r w:rsidRPr="00DF6490">
        <w:t>Recommendation 5</w:t>
      </w:r>
    </w:p>
    <w:p w14:paraId="5710C44C" w14:textId="05C7AEB0" w:rsidR="00DC524D" w:rsidRDefault="00DC524D" w:rsidP="00C6053F">
      <w:pPr>
        <w:pBdr>
          <w:top w:val="single" w:sz="4" w:space="1" w:color="auto"/>
          <w:left w:val="single" w:sz="4" w:space="4" w:color="auto"/>
          <w:bottom w:val="single" w:sz="4" w:space="1" w:color="auto"/>
          <w:right w:val="single" w:sz="4" w:space="4" w:color="auto"/>
        </w:pBdr>
      </w:pPr>
      <w:r w:rsidRPr="00DF6490">
        <w:t>The committee recommends the Australian Government consider the provision of a further 100 publicly owned early childhood education and care centres (including centres operated by local government), in areas identified as ‘childcare deserts’ and/or as having unmet demand. The centres should provide holistic, culturally appropriate, and trauma-informed services to children.</w:t>
      </w:r>
    </w:p>
    <w:p w14:paraId="39DD5545" w14:textId="77777777" w:rsidR="00DC524D" w:rsidRDefault="00DC524D" w:rsidP="00DC524D"/>
    <w:p w14:paraId="2968DF9E" w14:textId="2B7AFCA3" w:rsidR="00DC524D" w:rsidRDefault="00C6053F" w:rsidP="00DC524D">
      <w:pPr>
        <w:rPr>
          <w:lang w:eastAsia="en-AU"/>
        </w:rPr>
      </w:pPr>
      <w:r>
        <w:rPr>
          <w:lang w:eastAsia="en-AU"/>
        </w:rPr>
        <w:t xml:space="preserve">The Government </w:t>
      </w:r>
      <w:r>
        <w:rPr>
          <w:b/>
          <w:bCs/>
          <w:lang w:eastAsia="en-AU"/>
        </w:rPr>
        <w:t xml:space="preserve">notes </w:t>
      </w:r>
      <w:r>
        <w:rPr>
          <w:lang w:eastAsia="en-AU"/>
        </w:rPr>
        <w:t xml:space="preserve">this recommendation. </w:t>
      </w:r>
    </w:p>
    <w:p w14:paraId="751F7E4C" w14:textId="77777777" w:rsidR="00C6053F" w:rsidRPr="00C6053F" w:rsidRDefault="00C6053F" w:rsidP="00DC524D">
      <w:pPr>
        <w:rPr>
          <w:lang w:eastAsia="en-AU"/>
        </w:rPr>
      </w:pPr>
    </w:p>
    <w:p w14:paraId="37577E79" w14:textId="3BFC070A" w:rsidR="00DC524D" w:rsidRPr="00DF6490" w:rsidRDefault="00DC524D" w:rsidP="00DC524D">
      <w:pPr>
        <w:rPr>
          <w:lang w:eastAsia="en-AU"/>
        </w:rPr>
      </w:pPr>
      <w:r w:rsidRPr="00DF6490">
        <w:rPr>
          <w:lang w:eastAsia="en-AU"/>
        </w:rPr>
        <w:t xml:space="preserve">The Government supports ECEC sector services through the Community Child Care Fund to further address barriers to participation in </w:t>
      </w:r>
      <w:r w:rsidR="002E2FE3">
        <w:rPr>
          <w:lang w:eastAsia="en-AU"/>
        </w:rPr>
        <w:t>ECEC</w:t>
      </w:r>
      <w:r w:rsidRPr="00DF6490">
        <w:rPr>
          <w:lang w:eastAsia="en-AU"/>
        </w:rPr>
        <w:t xml:space="preserve"> in disadvantaged, regional and remote communities. The Community Child Care Fund is funding approximately $</w:t>
      </w:r>
      <w:r w:rsidR="007E1D98">
        <w:rPr>
          <w:lang w:eastAsia="en-AU"/>
        </w:rPr>
        <w:t>614 </w:t>
      </w:r>
      <w:r w:rsidRPr="00DF6490">
        <w:rPr>
          <w:lang w:eastAsia="en-AU"/>
        </w:rPr>
        <w:t xml:space="preserve">million over </w:t>
      </w:r>
      <w:r w:rsidRPr="00E604E9">
        <w:rPr>
          <w:lang w:eastAsia="en-AU"/>
        </w:rPr>
        <w:t>4</w:t>
      </w:r>
      <w:r w:rsidRPr="00DF6490">
        <w:rPr>
          <w:lang w:eastAsia="en-AU"/>
        </w:rPr>
        <w:t xml:space="preserve"> years (202</w:t>
      </w:r>
      <w:r>
        <w:rPr>
          <w:lang w:eastAsia="en-AU"/>
        </w:rPr>
        <w:t>3</w:t>
      </w:r>
      <w:r>
        <w:rPr>
          <w:rFonts w:cstheme="minorHAnsi"/>
        </w:rPr>
        <w:t>–</w:t>
      </w:r>
      <w:r w:rsidRPr="00DF6490">
        <w:rPr>
          <w:lang w:eastAsia="en-AU"/>
        </w:rPr>
        <w:t>2</w:t>
      </w:r>
      <w:r>
        <w:rPr>
          <w:lang w:eastAsia="en-AU"/>
        </w:rPr>
        <w:t>4</w:t>
      </w:r>
      <w:r w:rsidRPr="00DF6490">
        <w:rPr>
          <w:lang w:eastAsia="en-AU"/>
        </w:rPr>
        <w:t xml:space="preserve"> to 202</w:t>
      </w:r>
      <w:r>
        <w:rPr>
          <w:lang w:eastAsia="en-AU"/>
        </w:rPr>
        <w:t>6</w:t>
      </w:r>
      <w:r>
        <w:rPr>
          <w:rFonts w:cstheme="minorHAnsi"/>
        </w:rPr>
        <w:t>–</w:t>
      </w:r>
      <w:r w:rsidRPr="00DF6490">
        <w:rPr>
          <w:lang w:eastAsia="en-AU"/>
        </w:rPr>
        <w:t>2</w:t>
      </w:r>
      <w:r>
        <w:rPr>
          <w:lang w:eastAsia="en-AU"/>
        </w:rPr>
        <w:t>7</w:t>
      </w:r>
      <w:r w:rsidRPr="00DF6490">
        <w:rPr>
          <w:lang w:eastAsia="en-AU"/>
        </w:rPr>
        <w:t>) and currently funds 900 services</w:t>
      </w:r>
      <w:r w:rsidRPr="00E604E9">
        <w:rPr>
          <w:lang w:eastAsia="en-AU"/>
        </w:rPr>
        <w:t>, including Connected Beginnings sites</w:t>
      </w:r>
      <w:r w:rsidRPr="00DF6490">
        <w:rPr>
          <w:lang w:eastAsia="en-AU"/>
        </w:rPr>
        <w:t>.</w:t>
      </w:r>
    </w:p>
    <w:p w14:paraId="329BCC23" w14:textId="77777777" w:rsidR="00DC524D" w:rsidRPr="00DF6490" w:rsidRDefault="00DC524D" w:rsidP="00DC524D">
      <w:pPr>
        <w:rPr>
          <w:lang w:eastAsia="en-AU"/>
        </w:rPr>
      </w:pPr>
    </w:p>
    <w:p w14:paraId="1DF32EF0" w14:textId="377E3719" w:rsidR="00DC524D" w:rsidRPr="00DF6490" w:rsidRDefault="00DC524D">
      <w:pPr>
        <w:rPr>
          <w:lang w:eastAsia="en-AU"/>
        </w:rPr>
      </w:pPr>
      <w:r w:rsidRPr="273A57E7">
        <w:rPr>
          <w:lang w:eastAsia="en-AU"/>
        </w:rPr>
        <w:t xml:space="preserve">In August 2021, the Government announced an additional $29.9 million over </w:t>
      </w:r>
      <w:r w:rsidR="090D35B2" w:rsidRPr="273A57E7">
        <w:rPr>
          <w:lang w:eastAsia="en-AU"/>
        </w:rPr>
        <w:t xml:space="preserve">4 </w:t>
      </w:r>
      <w:r w:rsidRPr="273A57E7">
        <w:rPr>
          <w:lang w:eastAsia="en-AU"/>
        </w:rPr>
        <w:t xml:space="preserve">years to establish new Community Child Care Fund (Restricted) services in mainly remote locations. The funding is part of the Government’s commitment to achieving the Closing the Gap targets. The Department of Education is working with First Nations peak bodies, communities and organisations to establish these new services. </w:t>
      </w:r>
      <w:r w:rsidR="00751366" w:rsidRPr="273A57E7">
        <w:rPr>
          <w:lang w:eastAsia="en-AU"/>
        </w:rPr>
        <w:t xml:space="preserve">In 2023, the first </w:t>
      </w:r>
      <w:r w:rsidR="004E5E07">
        <w:rPr>
          <w:lang w:eastAsia="en-AU"/>
        </w:rPr>
        <w:t>8</w:t>
      </w:r>
      <w:r w:rsidR="004E5E07" w:rsidRPr="273A57E7">
        <w:rPr>
          <w:lang w:eastAsia="en-AU"/>
        </w:rPr>
        <w:t xml:space="preserve"> </w:t>
      </w:r>
      <w:r w:rsidR="00751366" w:rsidRPr="273A57E7">
        <w:rPr>
          <w:lang w:eastAsia="en-AU"/>
        </w:rPr>
        <w:t>sites were announced.</w:t>
      </w:r>
    </w:p>
    <w:p w14:paraId="155C66F6" w14:textId="77777777" w:rsidR="00DC524D" w:rsidRPr="00DF6490" w:rsidRDefault="00DC524D" w:rsidP="00DC524D">
      <w:pPr>
        <w:rPr>
          <w:lang w:eastAsia="en-AU"/>
        </w:rPr>
      </w:pPr>
    </w:p>
    <w:p w14:paraId="468EECD9" w14:textId="42AA4A7C" w:rsidR="00DC524D" w:rsidRDefault="00DC524D" w:rsidP="00DC524D">
      <w:r>
        <w:rPr>
          <w:lang w:eastAsia="en-AU"/>
        </w:rPr>
        <w:t>The</w:t>
      </w:r>
      <w:r>
        <w:t xml:space="preserve"> </w:t>
      </w:r>
      <w:r w:rsidRPr="00DF6490">
        <w:rPr>
          <w:lang w:eastAsia="en-AU"/>
        </w:rPr>
        <w:t xml:space="preserve">Productivity Commission inquiry </w:t>
      </w:r>
      <w:r>
        <w:rPr>
          <w:lang w:eastAsia="en-AU"/>
        </w:rPr>
        <w:t xml:space="preserve">into Australia’s ECEC system </w:t>
      </w:r>
      <w:r w:rsidRPr="00DF6490">
        <w:rPr>
          <w:lang w:eastAsia="en-AU"/>
        </w:rPr>
        <w:t>will</w:t>
      </w:r>
      <w:r>
        <w:rPr>
          <w:lang w:eastAsia="en-AU"/>
        </w:rPr>
        <w:t xml:space="preserve"> identify solutions to help chart a course to universal ECEC</w:t>
      </w:r>
      <w:r w:rsidRPr="00DF6490">
        <w:rPr>
          <w:lang w:eastAsia="en-AU"/>
        </w:rPr>
        <w:t>.</w:t>
      </w:r>
    </w:p>
    <w:p w14:paraId="7DD5F4D1" w14:textId="77777777" w:rsidR="00DC524D" w:rsidRDefault="00DC524D" w:rsidP="00DC524D"/>
    <w:p w14:paraId="7490BA81" w14:textId="77777777" w:rsidR="00B05437" w:rsidRPr="00DF6490" w:rsidRDefault="00B05437" w:rsidP="00B05437">
      <w:pPr>
        <w:pStyle w:val="Heading3"/>
      </w:pPr>
      <w:bookmarkStart w:id="26" w:name="_Toc170224179"/>
      <w:r>
        <w:t xml:space="preserve">3.2 </w:t>
      </w:r>
      <w:r w:rsidRPr="00DF6490">
        <w:t>Subsidised care for children</w:t>
      </w:r>
      <w:bookmarkEnd w:id="26"/>
    </w:p>
    <w:p w14:paraId="6F4FD6E1" w14:textId="77777777" w:rsidR="00B05437" w:rsidRPr="00DF6490" w:rsidRDefault="00B05437" w:rsidP="00B05437">
      <w:pPr>
        <w:rPr>
          <w:lang w:eastAsia="en-AU"/>
        </w:rPr>
      </w:pPr>
      <w:r w:rsidRPr="00DF6490">
        <w:rPr>
          <w:lang w:eastAsia="en-AU"/>
        </w:rPr>
        <w:t xml:space="preserve">The Child Care Subsidy is the primary way the Government helps families with </w:t>
      </w:r>
      <w:r>
        <w:rPr>
          <w:lang w:eastAsia="en-AU"/>
        </w:rPr>
        <w:t>ECEC</w:t>
      </w:r>
      <w:r w:rsidRPr="00DF6490">
        <w:rPr>
          <w:lang w:eastAsia="en-AU"/>
        </w:rPr>
        <w:t xml:space="preserve"> fees. The Government </w:t>
      </w:r>
      <w:r>
        <w:rPr>
          <w:lang w:eastAsia="en-AU"/>
        </w:rPr>
        <w:t>introduced</w:t>
      </w:r>
      <w:r w:rsidRPr="00DF6490">
        <w:rPr>
          <w:lang w:eastAsia="en-AU"/>
        </w:rPr>
        <w:t xml:space="preserve"> changes to the Child Care Subsidy from July 2023 that </w:t>
      </w:r>
      <w:r>
        <w:rPr>
          <w:lang w:eastAsia="en-AU"/>
        </w:rPr>
        <w:t xml:space="preserve">have </w:t>
      </w:r>
      <w:r w:rsidRPr="00DF6490">
        <w:rPr>
          <w:lang w:eastAsia="en-AU"/>
        </w:rPr>
        <w:t>reduce</w:t>
      </w:r>
      <w:r>
        <w:rPr>
          <w:lang w:eastAsia="en-AU"/>
        </w:rPr>
        <w:t>d</w:t>
      </w:r>
      <w:r w:rsidRPr="00DF6490">
        <w:rPr>
          <w:lang w:eastAsia="en-AU"/>
        </w:rPr>
        <w:t xml:space="preserve"> the cost of ECEC and ma</w:t>
      </w:r>
      <w:r>
        <w:rPr>
          <w:lang w:eastAsia="en-AU"/>
        </w:rPr>
        <w:t>de</w:t>
      </w:r>
      <w:r w:rsidRPr="00DF6490">
        <w:rPr>
          <w:lang w:eastAsia="en-AU"/>
        </w:rPr>
        <w:t xml:space="preserve"> it easier for parents and working carers to participate in paid work. This is particularly the case for women, who are more likely than men to be the primary carer of children, and more likely to have the cost of ECEC factored against their earnings. </w:t>
      </w:r>
    </w:p>
    <w:p w14:paraId="64F364DB" w14:textId="77777777" w:rsidR="00B05437" w:rsidRPr="00DF6490" w:rsidRDefault="00B05437" w:rsidP="00B05437">
      <w:pPr>
        <w:rPr>
          <w:lang w:eastAsia="en-AU"/>
        </w:rPr>
      </w:pPr>
    </w:p>
    <w:p w14:paraId="68710DC8" w14:textId="77777777" w:rsidR="00B05437" w:rsidRPr="00DF6490" w:rsidRDefault="00B05437" w:rsidP="00B05437">
      <w:pPr>
        <w:rPr>
          <w:lang w:eastAsia="en-AU"/>
        </w:rPr>
      </w:pPr>
      <w:r w:rsidRPr="273A57E7">
        <w:rPr>
          <w:lang w:eastAsia="en-AU"/>
        </w:rPr>
        <w:t>From July 2023, Child Care Subsidy rates lifted to 90 per cent for families with a combined annual income of $80,000 or less and increase for eligible families with a combined annual income less than $530,000. Supporting women to increase their participation, if they choose to, by reducing ECEC costs, will boost the economy and help close the gap between women’s and men’s long-term economic security.</w:t>
      </w:r>
    </w:p>
    <w:p w14:paraId="542AA4E5" w14:textId="77777777" w:rsidR="00B05437" w:rsidRDefault="00B05437" w:rsidP="00B05437">
      <w:pPr>
        <w:rPr>
          <w:lang w:eastAsia="en-AU"/>
        </w:rPr>
      </w:pPr>
    </w:p>
    <w:p w14:paraId="0304CCF9" w14:textId="77777777" w:rsidR="00B05437" w:rsidRPr="00932217" w:rsidRDefault="00B05437" w:rsidP="00B05437">
      <w:pPr>
        <w:pStyle w:val="Heading4"/>
        <w:rPr>
          <w:lang w:eastAsia="en-AU"/>
        </w:rPr>
      </w:pPr>
      <w:r>
        <w:t xml:space="preserve">3.2.1 </w:t>
      </w:r>
      <w:r w:rsidRPr="00932217">
        <w:t>Preschool Reform Agreement</w:t>
      </w:r>
    </w:p>
    <w:p w14:paraId="6A380F85" w14:textId="2174A202" w:rsidR="00B05437" w:rsidRPr="00DF6490" w:rsidRDefault="00B05437" w:rsidP="00B05437">
      <w:pPr>
        <w:rPr>
          <w:lang w:eastAsia="en-AU"/>
        </w:rPr>
      </w:pPr>
    </w:p>
    <w:p w14:paraId="03B861D3" w14:textId="4708E045" w:rsidR="00B05437" w:rsidRPr="00DF6490" w:rsidRDefault="00B05437" w:rsidP="00B05437">
      <w:pPr>
        <w:rPr>
          <w:lang w:eastAsia="en-AU"/>
        </w:rPr>
      </w:pPr>
      <w:r w:rsidRPr="00DF6490">
        <w:rPr>
          <w:lang w:eastAsia="en-AU"/>
        </w:rPr>
        <w:t xml:space="preserve">Preschool in Australia is a shared responsibility between the Commonwealth and state and territory governments, with state and territory governments primarily responsible for delivery. The Government’s current focus for preschool under the </w:t>
      </w:r>
      <w:r w:rsidRPr="00DF6490">
        <w:t xml:space="preserve">Preschool Reform Agreement </w:t>
      </w:r>
      <w:r w:rsidRPr="00DF6490">
        <w:rPr>
          <w:lang w:eastAsia="en-AU"/>
        </w:rPr>
        <w:t>is on children in the year before fulltime school</w:t>
      </w:r>
      <w:r w:rsidR="00DC7899">
        <w:rPr>
          <w:lang w:eastAsia="en-AU"/>
        </w:rPr>
        <w:t xml:space="preserve"> e</w:t>
      </w:r>
      <w:r w:rsidR="00751366">
        <w:rPr>
          <w:lang w:eastAsia="en-AU"/>
        </w:rPr>
        <w:t>ns</w:t>
      </w:r>
      <w:r w:rsidR="00DC7899">
        <w:rPr>
          <w:lang w:eastAsia="en-AU"/>
        </w:rPr>
        <w:t xml:space="preserve">uring </w:t>
      </w:r>
      <w:r w:rsidRPr="00DF6490">
        <w:rPr>
          <w:lang w:eastAsia="en-AU"/>
        </w:rPr>
        <w:t xml:space="preserve">all children are receiving the full benefit of at least one year of preschool participation (for 600 hours). To see the full benefits of a quality preschool program, children need to be attending for the full 600 hours – not just be enrolled. That is why the </w:t>
      </w:r>
      <w:r w:rsidRPr="00DF6490">
        <w:t xml:space="preserve">Preschool Reform Agreement </w:t>
      </w:r>
      <w:r w:rsidRPr="00DF6490">
        <w:rPr>
          <w:lang w:eastAsia="en-AU"/>
        </w:rPr>
        <w:t>seeks to drive improvements in preschool attendance in the year before fulltime school, particularly for disadvantaged and First Nations cohorts.</w:t>
      </w:r>
    </w:p>
    <w:p w14:paraId="538D9379" w14:textId="77777777" w:rsidR="00B05437" w:rsidRPr="00DF6490" w:rsidRDefault="00B05437" w:rsidP="00B05437">
      <w:pPr>
        <w:rPr>
          <w:lang w:eastAsia="en-AU"/>
        </w:rPr>
      </w:pPr>
    </w:p>
    <w:p w14:paraId="795F6F28" w14:textId="77777777" w:rsidR="00B05437" w:rsidRPr="00726403" w:rsidRDefault="00B05437" w:rsidP="00B05437">
      <w:pPr>
        <w:rPr>
          <w:lang w:eastAsia="en-AU"/>
        </w:rPr>
      </w:pPr>
      <w:r w:rsidRPr="00DF6490">
        <w:rPr>
          <w:lang w:eastAsia="en-AU"/>
        </w:rPr>
        <w:t xml:space="preserve">In relation to the </w:t>
      </w:r>
      <w:r>
        <w:rPr>
          <w:lang w:eastAsia="en-AU"/>
        </w:rPr>
        <w:t>C</w:t>
      </w:r>
      <w:r w:rsidRPr="00DF6490">
        <w:rPr>
          <w:lang w:eastAsia="en-AU"/>
        </w:rPr>
        <w:t xml:space="preserve">ommittee’s use of the term ‘subsidised care’, the Preschool Reform Agreement </w:t>
      </w:r>
      <w:r w:rsidRPr="00726403">
        <w:rPr>
          <w:lang w:eastAsia="en-AU"/>
        </w:rPr>
        <w:t xml:space="preserve">does not directly provide for subsidised care for children attending a preschool program. The Government provides a contribution to states and territories based on the number of children in the year before fulltime school ($1377.83 per child in 2023). States and territories can choose to pass this on </w:t>
      </w:r>
      <w:r w:rsidRPr="00865E36">
        <w:rPr>
          <w:lang w:eastAsia="en-AU"/>
        </w:rPr>
        <w:t>to reduce fees for families or to improve preschool quality</w:t>
      </w:r>
      <w:r w:rsidRPr="00726403">
        <w:rPr>
          <w:lang w:eastAsia="en-AU"/>
        </w:rPr>
        <w:t>, in</w:t>
      </w:r>
      <w:r>
        <w:rPr>
          <w:lang w:eastAsia="en-AU"/>
        </w:rPr>
        <w:t xml:space="preserve"> </w:t>
      </w:r>
      <w:r w:rsidRPr="00726403">
        <w:rPr>
          <w:lang w:eastAsia="en-AU"/>
        </w:rPr>
        <w:t xml:space="preserve">line with Preschool Reform Agreement funding follows the child requirements. </w:t>
      </w:r>
    </w:p>
    <w:p w14:paraId="5D384871" w14:textId="77777777" w:rsidR="00B05437" w:rsidRPr="00726403" w:rsidRDefault="00B05437" w:rsidP="00B05437">
      <w:pPr>
        <w:rPr>
          <w:lang w:eastAsia="en-AU"/>
        </w:rPr>
      </w:pPr>
    </w:p>
    <w:p w14:paraId="3874265E" w14:textId="3D8B37DF" w:rsidR="00813AFB" w:rsidRDefault="00B05437" w:rsidP="00813AFB">
      <w:pPr>
        <w:rPr>
          <w:lang w:eastAsia="en-AU"/>
        </w:rPr>
      </w:pPr>
      <w:r w:rsidRPr="00726403">
        <w:rPr>
          <w:lang w:eastAsia="en-AU"/>
        </w:rPr>
        <w:t>Most families who access a preschool program in a</w:t>
      </w:r>
      <w:r w:rsidR="00DC7899">
        <w:rPr>
          <w:lang w:eastAsia="en-AU"/>
        </w:rPr>
        <w:t>n approved</w:t>
      </w:r>
      <w:r w:rsidRPr="00726403">
        <w:rPr>
          <w:lang w:eastAsia="en-AU"/>
        </w:rPr>
        <w:t xml:space="preserve"> Centre Based Day Care setting are eligible for subsidised care through the Child Care Subsidy.</w:t>
      </w:r>
      <w:r>
        <w:rPr>
          <w:lang w:eastAsia="en-AU"/>
        </w:rPr>
        <w:t xml:space="preserve"> T</w:t>
      </w:r>
      <w:r w:rsidRPr="00865E36">
        <w:rPr>
          <w:lang w:eastAsia="en-AU"/>
        </w:rPr>
        <w:t xml:space="preserve">he Government also provides significant funding support nationally for 3-year-olds in ECEC settings. In </w:t>
      </w:r>
      <w:r>
        <w:rPr>
          <w:lang w:eastAsia="en-AU"/>
        </w:rPr>
        <w:t xml:space="preserve">the 2023 </w:t>
      </w:r>
      <w:r w:rsidRPr="00865E36">
        <w:rPr>
          <w:lang w:eastAsia="en-AU"/>
        </w:rPr>
        <w:t>December quarter, 66.6</w:t>
      </w:r>
      <w:r w:rsidRPr="00477AE6">
        <w:t xml:space="preserve"> </w:t>
      </w:r>
      <w:r>
        <w:t>per cent</w:t>
      </w:r>
      <w:r w:rsidRPr="00865E36">
        <w:rPr>
          <w:lang w:eastAsia="en-AU"/>
        </w:rPr>
        <w:t xml:space="preserve"> of all 3-year-olds in ECEC settings, around 200,000 children, were eligible for the Child Care Subsidy</w:t>
      </w:r>
      <w:r w:rsidRPr="00726403">
        <w:rPr>
          <w:lang w:eastAsia="en-AU"/>
        </w:rPr>
        <w:t>.</w:t>
      </w:r>
      <w:r w:rsidR="00813AFB">
        <w:rPr>
          <w:lang w:eastAsia="en-AU"/>
        </w:rPr>
        <w:br w:type="page"/>
      </w:r>
    </w:p>
    <w:p w14:paraId="2B654505" w14:textId="77777777" w:rsidR="00B05437" w:rsidRPr="00A210E0" w:rsidRDefault="00B05437" w:rsidP="00B05437">
      <w:pPr>
        <w:pStyle w:val="Heading4"/>
        <w:rPr>
          <w:lang w:eastAsia="en-AU"/>
        </w:rPr>
      </w:pPr>
      <w:r>
        <w:rPr>
          <w:lang w:eastAsia="en-AU"/>
        </w:rPr>
        <w:t xml:space="preserve">3.2.2 </w:t>
      </w:r>
      <w:r w:rsidRPr="00A210E0">
        <w:rPr>
          <w:lang w:eastAsia="en-AU"/>
        </w:rPr>
        <w:t>Inclusion Support Program</w:t>
      </w:r>
    </w:p>
    <w:p w14:paraId="6715ABA1" w14:textId="0100F70F" w:rsidR="00B05437" w:rsidRDefault="00B05437" w:rsidP="00B05437">
      <w:pPr>
        <w:rPr>
          <w:lang w:eastAsia="en-AU"/>
        </w:rPr>
      </w:pPr>
    </w:p>
    <w:p w14:paraId="45661F06" w14:textId="77777777" w:rsidR="00B05437" w:rsidRPr="00726403" w:rsidRDefault="00B05437" w:rsidP="00B05437">
      <w:pPr>
        <w:rPr>
          <w:lang w:eastAsia="en-AU"/>
        </w:rPr>
      </w:pPr>
      <w:r w:rsidRPr="00726403">
        <w:rPr>
          <w:lang w:eastAsia="en-AU"/>
        </w:rPr>
        <w:t>The Inclusion Support Program was reviewed in 2023, with a report released in November 2023. The report made 21 findings, identified 21 short and medium-term opportunities to strengthen the program and recommended 5 longer-term opportunities to embed inclusion in the sector</w:t>
      </w:r>
      <w:r>
        <w:rPr>
          <w:lang w:eastAsia="en-AU"/>
        </w:rPr>
        <w:t>.</w:t>
      </w:r>
      <w:r w:rsidRPr="00726403">
        <w:rPr>
          <w:lang w:eastAsia="en-AU"/>
        </w:rPr>
        <w:t xml:space="preserve"> The review aimed to assess the efficiency and effectiveness of the current Inclusion Support Program delivery model across the ECEC sector and explore alternative policy settings. </w:t>
      </w:r>
      <w:r>
        <w:rPr>
          <w:lang w:eastAsia="en-AU"/>
        </w:rPr>
        <w:t>The r</w:t>
      </w:r>
      <w:r w:rsidRPr="00726403">
        <w:rPr>
          <w:lang w:eastAsia="en-AU"/>
        </w:rPr>
        <w:t>eview consider</w:t>
      </w:r>
      <w:r>
        <w:rPr>
          <w:lang w:eastAsia="en-AU"/>
        </w:rPr>
        <w:t>ed</w:t>
      </w:r>
      <w:r w:rsidRPr="00726403">
        <w:rPr>
          <w:lang w:eastAsia="en-AU"/>
        </w:rPr>
        <w:t xml:space="preserve"> interactions with other programs, like the National Disability Insurance Scheme.</w:t>
      </w:r>
    </w:p>
    <w:p w14:paraId="79C0F35B" w14:textId="77777777" w:rsidR="00B05437" w:rsidRPr="00726403" w:rsidRDefault="00B05437" w:rsidP="00B05437">
      <w:pPr>
        <w:rPr>
          <w:lang w:eastAsia="en-AU"/>
        </w:rPr>
      </w:pPr>
    </w:p>
    <w:p w14:paraId="792BB6B0" w14:textId="15F89096" w:rsidR="00DC7899" w:rsidRDefault="00B05437" w:rsidP="00B05437">
      <w:pPr>
        <w:rPr>
          <w:lang w:eastAsia="en-AU"/>
        </w:rPr>
      </w:pPr>
      <w:r w:rsidRPr="00865E36">
        <w:rPr>
          <w:lang w:eastAsia="en-AU"/>
        </w:rPr>
        <w:t xml:space="preserve">The review found that program resources are not being directed towards the activities which will have the greatest impact, such as workforce inclusion capability uplift. The current emphasis on providing </w:t>
      </w:r>
      <w:r>
        <w:rPr>
          <w:lang w:eastAsia="en-AU"/>
        </w:rPr>
        <w:t xml:space="preserve">Inclusion Development Fund </w:t>
      </w:r>
      <w:r w:rsidRPr="00865E36">
        <w:rPr>
          <w:lang w:eastAsia="en-AU"/>
        </w:rPr>
        <w:t xml:space="preserve">subsidies for additional educators does not lead to increased capability, as these educators </w:t>
      </w:r>
      <w:r w:rsidR="00DC7899">
        <w:rPr>
          <w:lang w:eastAsia="en-AU"/>
        </w:rPr>
        <w:t>are</w:t>
      </w:r>
      <w:r w:rsidRPr="00865E36">
        <w:rPr>
          <w:lang w:eastAsia="en-AU"/>
        </w:rPr>
        <w:t xml:space="preserve"> used to supplement staffing ratios rather than embed inclusive practice.</w:t>
      </w:r>
    </w:p>
    <w:p w14:paraId="01841185" w14:textId="77777777" w:rsidR="00DC7899" w:rsidRDefault="00DC7899" w:rsidP="00B05437">
      <w:pPr>
        <w:rPr>
          <w:lang w:eastAsia="en-AU"/>
        </w:rPr>
      </w:pPr>
    </w:p>
    <w:p w14:paraId="7A44E384" w14:textId="1EA75F1D" w:rsidR="00B05437" w:rsidRPr="00DF6490" w:rsidRDefault="00B05437" w:rsidP="00B05437">
      <w:pPr>
        <w:rPr>
          <w:lang w:eastAsia="en-AU"/>
        </w:rPr>
      </w:pPr>
      <w:r w:rsidRPr="00865E36">
        <w:rPr>
          <w:lang w:eastAsia="en-AU"/>
        </w:rPr>
        <w:t>The</w:t>
      </w:r>
      <w:r>
        <w:rPr>
          <w:lang w:eastAsia="en-AU"/>
        </w:rPr>
        <w:t xml:space="preserve"> review has informed the </w:t>
      </w:r>
      <w:r w:rsidRPr="00DF6490">
        <w:rPr>
          <w:lang w:eastAsia="en-AU"/>
        </w:rPr>
        <w:t>Australian Competition and Consumer Commission price</w:t>
      </w:r>
      <w:r>
        <w:rPr>
          <w:lang w:eastAsia="en-AU"/>
        </w:rPr>
        <w:t xml:space="preserve"> inquiry and will feed into the Productivity Commission inquiry into the ECEC system.</w:t>
      </w:r>
    </w:p>
    <w:p w14:paraId="3FD929BA" w14:textId="77777777" w:rsidR="00B05437" w:rsidRDefault="00B05437" w:rsidP="00B05437"/>
    <w:p w14:paraId="49A64668" w14:textId="77777777" w:rsidR="00DC524D" w:rsidRPr="00DF6490" w:rsidRDefault="00DC524D" w:rsidP="00C6053F">
      <w:pPr>
        <w:pStyle w:val="Heading6"/>
        <w:pBdr>
          <w:top w:val="single" w:sz="4" w:space="1" w:color="auto"/>
          <w:left w:val="single" w:sz="4" w:space="4" w:color="auto"/>
          <w:bottom w:val="single" w:sz="4" w:space="1" w:color="auto"/>
          <w:right w:val="single" w:sz="4" w:space="4" w:color="auto"/>
        </w:pBdr>
      </w:pPr>
      <w:r w:rsidRPr="00DF6490">
        <w:t>Recommendation 6</w:t>
      </w:r>
    </w:p>
    <w:p w14:paraId="0AE7EE7C" w14:textId="7777777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t xml:space="preserve">The committee recommends the Australian Government request the Productivity Commission to identify ways to extend the Preschool Reform Agreement (PRA) to both three- and four-year old children, to ensure that all children can access early childhood education and care in the two years prior to commencing school. </w:t>
      </w:r>
      <w:r w:rsidRPr="00DF6490">
        <w:br/>
      </w:r>
    </w:p>
    <w:p w14:paraId="15BCF575" w14:textId="7EB4B155" w:rsidR="00DC524D" w:rsidRDefault="00DC524D" w:rsidP="00C6053F">
      <w:pPr>
        <w:pBdr>
          <w:top w:val="single" w:sz="4" w:space="1" w:color="auto"/>
          <w:left w:val="single" w:sz="4" w:space="4" w:color="auto"/>
          <w:bottom w:val="single" w:sz="4" w:space="1" w:color="auto"/>
          <w:right w:val="single" w:sz="4" w:space="4" w:color="auto"/>
        </w:pBdr>
      </w:pPr>
      <w:r w:rsidRPr="00DF6490">
        <w:t xml:space="preserve">The committee further recommends that the hours of subsidised care provided for by the PRA be increased, to a minimum of 15 hours a week (600 hours a year) and a maximum of 30 hours a week (1200 hours a year), based on the needs of the child and their </w:t>
      </w:r>
      <w:proofErr w:type="spellStart"/>
      <w:r w:rsidRPr="00DF6490">
        <w:t>carers</w:t>
      </w:r>
      <w:proofErr w:type="spellEnd"/>
      <w:r>
        <w:t>.</w:t>
      </w:r>
    </w:p>
    <w:p w14:paraId="354B5C2A" w14:textId="77777777" w:rsidR="00DC524D" w:rsidRDefault="00DC524D" w:rsidP="00DC524D"/>
    <w:p w14:paraId="371928BA" w14:textId="2A7BF6AE" w:rsidR="00DC524D" w:rsidRPr="00C6053F" w:rsidRDefault="00C6053F" w:rsidP="00DC524D">
      <w:pPr>
        <w:rPr>
          <w:lang w:eastAsia="en-AU"/>
        </w:rPr>
      </w:pPr>
      <w:r>
        <w:rPr>
          <w:lang w:eastAsia="en-AU"/>
        </w:rPr>
        <w:t xml:space="preserve">The Government </w:t>
      </w:r>
      <w:r>
        <w:rPr>
          <w:b/>
          <w:bCs/>
          <w:lang w:eastAsia="en-AU"/>
        </w:rPr>
        <w:t xml:space="preserve">notes </w:t>
      </w:r>
      <w:r>
        <w:rPr>
          <w:lang w:eastAsia="en-AU"/>
        </w:rPr>
        <w:t>this recommendation.</w:t>
      </w:r>
    </w:p>
    <w:p w14:paraId="5B3C41B5" w14:textId="77777777" w:rsidR="00DC524D" w:rsidRPr="00DF6490" w:rsidRDefault="00DC524D" w:rsidP="00DC524D">
      <w:pPr>
        <w:rPr>
          <w:lang w:eastAsia="en-AU"/>
        </w:rPr>
      </w:pPr>
    </w:p>
    <w:p w14:paraId="31B1AA4D" w14:textId="77777777" w:rsidR="00DC524D" w:rsidRPr="00F90009" w:rsidRDefault="00DC524D" w:rsidP="00DC524D">
      <w:pPr>
        <w:rPr>
          <w:lang w:eastAsia="en-AU"/>
        </w:rPr>
      </w:pPr>
      <w:r w:rsidRPr="00F90009">
        <w:rPr>
          <w:lang w:eastAsia="en-AU"/>
        </w:rPr>
        <w:t xml:space="preserve">The new preschool outcomes measure under the </w:t>
      </w:r>
      <w:r w:rsidRPr="00F90009">
        <w:t>Preschool Reform Agreement</w:t>
      </w:r>
      <w:r w:rsidRPr="00F90009">
        <w:rPr>
          <w:lang w:eastAsia="en-AU"/>
        </w:rPr>
        <w:t xml:space="preserve"> will enable measurement of, build domestic evidence for, and understand the ‘value add’ of the year before fulltime school. </w:t>
      </w:r>
      <w:r w:rsidRPr="00F90009">
        <w:rPr>
          <w:rStyle w:val="normaltextrun"/>
          <w:rFonts w:ascii="Calibri" w:hAnsi="Calibri" w:cs="Calibri"/>
          <w:bdr w:val="none" w:sz="0" w:space="0" w:color="auto" w:frame="1"/>
        </w:rPr>
        <w:t>Subject to a successful trial and implementation</w:t>
      </w:r>
      <w:r w:rsidRPr="00F90009">
        <w:rPr>
          <w:lang w:eastAsia="en-AU"/>
        </w:rPr>
        <w:t xml:space="preserve">, data and evidence will be available to inform future policy considerations and government investment, to maximise the outcomes for children in the year before fulltime school in the Australian context. </w:t>
      </w:r>
      <w:r w:rsidRPr="00F90009">
        <w:rPr>
          <w:rStyle w:val="normaltextrun"/>
          <w:rFonts w:ascii="Calibri" w:hAnsi="Calibri" w:cs="Calibri"/>
          <w:bdr w:val="none" w:sz="0" w:space="0" w:color="auto" w:frame="1"/>
        </w:rPr>
        <w:t xml:space="preserve">Should governments agree to utilise this data the new preschool outcomes measure has the potential to </w:t>
      </w:r>
      <w:r w:rsidRPr="00F90009">
        <w:rPr>
          <w:lang w:eastAsia="en-AU"/>
        </w:rPr>
        <w:t>assist all levels of government to identify the effectiveness of national and state and territory-led initiatives.</w:t>
      </w:r>
    </w:p>
    <w:p w14:paraId="07DF14E2" w14:textId="77777777" w:rsidR="00DC524D" w:rsidRPr="00DF6490" w:rsidRDefault="00DC524D" w:rsidP="00DC524D">
      <w:pPr>
        <w:rPr>
          <w:lang w:eastAsia="en-AU"/>
        </w:rPr>
      </w:pPr>
    </w:p>
    <w:p w14:paraId="683856A4" w14:textId="1DBABC1F" w:rsidR="00DC524D" w:rsidRDefault="00DC524D" w:rsidP="00DC524D">
      <w:pPr>
        <w:rPr>
          <w:lang w:eastAsia="en-AU"/>
        </w:rPr>
      </w:pPr>
      <w:r w:rsidRPr="00DF6490">
        <w:rPr>
          <w:lang w:eastAsia="en-AU"/>
        </w:rPr>
        <w:t xml:space="preserve">Future Government policy considerations, including any expansion of preschool funding or increases to dosage supported under the </w:t>
      </w:r>
      <w:r w:rsidRPr="00DF6490">
        <w:t>Preschool Reform Agreement</w:t>
      </w:r>
      <w:r w:rsidRPr="00DF6490">
        <w:rPr>
          <w:lang w:eastAsia="en-AU"/>
        </w:rPr>
        <w:t xml:space="preserve">, will be informed by the implementation of the </w:t>
      </w:r>
      <w:r w:rsidRPr="00DF6490">
        <w:t xml:space="preserve">Preschool Reform Agreement </w:t>
      </w:r>
      <w:r w:rsidRPr="00DF6490">
        <w:rPr>
          <w:lang w:eastAsia="en-AU"/>
        </w:rPr>
        <w:t>reform agenda, the outcomes of the Productivity Commission inquiry into Australia’s ECEC system, the Australian Competition and Consumer Commission price inquiry, the Government’s Early Years Strategy</w:t>
      </w:r>
      <w:r>
        <w:rPr>
          <w:lang w:eastAsia="en-AU"/>
        </w:rPr>
        <w:t>,</w:t>
      </w:r>
      <w:r w:rsidRPr="00DF6490">
        <w:rPr>
          <w:lang w:eastAsia="en-AU"/>
        </w:rPr>
        <w:t xml:space="preserve"> and the </w:t>
      </w:r>
      <w:r>
        <w:rPr>
          <w:lang w:eastAsia="en-AU"/>
        </w:rPr>
        <w:t>National</w:t>
      </w:r>
      <w:r w:rsidRPr="00DF6490">
        <w:rPr>
          <w:lang w:eastAsia="en-AU"/>
        </w:rPr>
        <w:t xml:space="preserve"> ECEC vision</w:t>
      </w:r>
      <w:r>
        <w:rPr>
          <w:lang w:eastAsia="en-AU"/>
        </w:rPr>
        <w:t>.</w:t>
      </w:r>
    </w:p>
    <w:p w14:paraId="25AE1C8F" w14:textId="77777777" w:rsidR="00DC524D" w:rsidRDefault="00DC524D" w:rsidP="00DC524D">
      <w:pPr>
        <w:rPr>
          <w:lang w:eastAsia="en-AU"/>
        </w:rPr>
      </w:pPr>
    </w:p>
    <w:p w14:paraId="5CF28811" w14:textId="77777777" w:rsidR="00DC524D" w:rsidRPr="00DF6490" w:rsidRDefault="00DC524D" w:rsidP="00C6053F">
      <w:pPr>
        <w:pStyle w:val="Heading6"/>
        <w:pBdr>
          <w:top w:val="single" w:sz="4" w:space="1" w:color="auto"/>
          <w:left w:val="single" w:sz="4" w:space="4" w:color="auto"/>
          <w:bottom w:val="single" w:sz="4" w:space="1" w:color="auto"/>
          <w:right w:val="single" w:sz="4" w:space="4" w:color="auto"/>
        </w:pBdr>
      </w:pPr>
      <w:r w:rsidRPr="00DF6490">
        <w:t>Recommendation 7</w:t>
      </w:r>
    </w:p>
    <w:p w14:paraId="5F5AE1A5" w14:textId="7777777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t>The committee recommends the Australian Government request the Productivity Commission to immediately review the Inclusion Support Program and consider appropriate action including, but not limited to the commitment of additional funding of the program, with a view to provide extra support to children who have additional needs to participate in ECEC. Indexation of funding should also be considered.</w:t>
      </w:r>
    </w:p>
    <w:p w14:paraId="3C8F5F3E" w14:textId="77777777" w:rsidR="00DC524D" w:rsidRPr="00DF6490" w:rsidRDefault="00DC524D" w:rsidP="00DC524D"/>
    <w:p w14:paraId="6345A15E" w14:textId="02ACE3D2" w:rsidR="00DC524D" w:rsidRPr="00DF6490" w:rsidRDefault="00DC524D" w:rsidP="00C6053F">
      <w:pPr>
        <w:pBdr>
          <w:top w:val="single" w:sz="4" w:space="1" w:color="auto"/>
          <w:left w:val="single" w:sz="4" w:space="4" w:color="auto"/>
          <w:bottom w:val="single" w:sz="4" w:space="1" w:color="auto"/>
          <w:right w:val="single" w:sz="4" w:space="4" w:color="auto"/>
        </w:pBdr>
        <w:rPr>
          <w:b/>
          <w:bCs/>
          <w:i/>
          <w:iCs/>
        </w:rPr>
      </w:pPr>
      <w:r w:rsidRPr="00DF6490">
        <w:rPr>
          <w:b/>
          <w:i/>
          <w:iCs/>
        </w:rPr>
        <w:t>Australian Greens’ Additional Recommendation 3</w:t>
      </w:r>
    </w:p>
    <w:p w14:paraId="014C76CF" w14:textId="77777777" w:rsidR="00DC524D" w:rsidRPr="00DF6490" w:rsidRDefault="00DC524D" w:rsidP="00C6053F">
      <w:pPr>
        <w:pBdr>
          <w:top w:val="single" w:sz="4" w:space="1" w:color="auto"/>
          <w:left w:val="single" w:sz="4" w:space="4" w:color="auto"/>
          <w:bottom w:val="single" w:sz="4" w:space="1" w:color="auto"/>
          <w:right w:val="single" w:sz="4" w:space="4" w:color="auto"/>
        </w:pBdr>
        <w:rPr>
          <w:i/>
          <w:iCs/>
        </w:rPr>
      </w:pPr>
      <w:r w:rsidRPr="00DF6490">
        <w:rPr>
          <w:i/>
          <w:iCs/>
        </w:rPr>
        <w:t>The Australian Greens recommend the Australian Government provide additional funding to the Inclusion Support Program (ISP) and implement revised guidelines for the ISP which:</w:t>
      </w:r>
    </w:p>
    <w:p w14:paraId="6D7686A3" w14:textId="77777777" w:rsidR="00DC524D" w:rsidRPr="00DF6490" w:rsidRDefault="00DC524D" w:rsidP="00C6053F">
      <w:pPr>
        <w:pStyle w:val="ListParagraph"/>
        <w:numPr>
          <w:ilvl w:val="0"/>
          <w:numId w:val="7"/>
        </w:numPr>
        <w:pBdr>
          <w:top w:val="single" w:sz="4" w:space="1" w:color="auto"/>
          <w:left w:val="single" w:sz="4" w:space="4" w:color="auto"/>
          <w:bottom w:val="single" w:sz="4" w:space="1" w:color="auto"/>
          <w:right w:val="single" w:sz="4" w:space="4" w:color="auto"/>
        </w:pBdr>
      </w:pPr>
      <w:r w:rsidRPr="00DF6490">
        <w:rPr>
          <w:i/>
          <w:iCs/>
          <w:sz w:val="24"/>
          <w:szCs w:val="24"/>
        </w:rPr>
        <w:t>remove the cap on additional educator hours, and instead align funded additional educator hours with the needs and enrolled hours of a child; and</w:t>
      </w:r>
    </w:p>
    <w:p w14:paraId="77181832" w14:textId="77777777" w:rsidR="00DC524D" w:rsidRPr="00DF6490" w:rsidRDefault="00DC524D" w:rsidP="00C6053F">
      <w:pPr>
        <w:pStyle w:val="ListParagraph"/>
        <w:numPr>
          <w:ilvl w:val="0"/>
          <w:numId w:val="7"/>
        </w:numPr>
        <w:pBdr>
          <w:top w:val="single" w:sz="4" w:space="1" w:color="auto"/>
          <w:left w:val="single" w:sz="4" w:space="4" w:color="auto"/>
          <w:bottom w:val="single" w:sz="4" w:space="1" w:color="auto"/>
          <w:right w:val="single" w:sz="4" w:space="4" w:color="auto"/>
        </w:pBdr>
      </w:pPr>
      <w:r w:rsidRPr="00DF6490">
        <w:rPr>
          <w:i/>
          <w:iCs/>
          <w:sz w:val="24"/>
          <w:szCs w:val="24"/>
        </w:rPr>
        <w:t>ensure that the annual funding allocation to the ISP is properly indexed and aligns with the wages of early childhood educators.</w:t>
      </w:r>
    </w:p>
    <w:p w14:paraId="0C479A95" w14:textId="77777777" w:rsidR="00DC524D" w:rsidRDefault="00DC524D" w:rsidP="00DC524D"/>
    <w:p w14:paraId="6EBC6DE1" w14:textId="5BFD6CF9" w:rsidR="00DC524D" w:rsidRPr="00C6053F" w:rsidRDefault="00C6053F" w:rsidP="00DC524D">
      <w:pPr>
        <w:rPr>
          <w:i/>
          <w:iCs/>
          <w:lang w:eastAsia="en-AU"/>
        </w:rPr>
      </w:pPr>
      <w:r>
        <w:rPr>
          <w:lang w:eastAsia="en-AU"/>
        </w:rPr>
        <w:t xml:space="preserve">The Government </w:t>
      </w:r>
      <w:r>
        <w:rPr>
          <w:b/>
          <w:bCs/>
          <w:lang w:eastAsia="en-AU"/>
        </w:rPr>
        <w:t xml:space="preserve">notes </w:t>
      </w:r>
      <w:r>
        <w:rPr>
          <w:lang w:eastAsia="en-AU"/>
        </w:rPr>
        <w:t xml:space="preserve">this recommendation and the Australian Greens’ </w:t>
      </w:r>
      <w:r w:rsidR="00D10F31">
        <w:rPr>
          <w:lang w:eastAsia="en-AU"/>
        </w:rPr>
        <w:t>a</w:t>
      </w:r>
      <w:r>
        <w:rPr>
          <w:lang w:eastAsia="en-AU"/>
        </w:rPr>
        <w:t xml:space="preserve">dditional </w:t>
      </w:r>
      <w:r w:rsidR="00D10F31">
        <w:rPr>
          <w:lang w:eastAsia="en-AU"/>
        </w:rPr>
        <w:t>r</w:t>
      </w:r>
      <w:r>
        <w:rPr>
          <w:lang w:eastAsia="en-AU"/>
        </w:rPr>
        <w:t xml:space="preserve">ecommendation. </w:t>
      </w:r>
    </w:p>
    <w:p w14:paraId="4DD05297" w14:textId="77777777" w:rsidR="00DC524D" w:rsidRDefault="00DC524D" w:rsidP="00DC524D">
      <w:pPr>
        <w:rPr>
          <w:lang w:eastAsia="en-AU"/>
        </w:rPr>
      </w:pPr>
    </w:p>
    <w:p w14:paraId="754E612D" w14:textId="4BFD3C74" w:rsidR="00DC524D" w:rsidRDefault="00DC524D" w:rsidP="00DC524D">
      <w:pPr>
        <w:rPr>
          <w:lang w:eastAsia="en-AU"/>
        </w:rPr>
      </w:pPr>
      <w:r>
        <w:rPr>
          <w:lang w:eastAsia="en-AU"/>
        </w:rPr>
        <w:t>The Productivity Commission inquiry into Australia’s ECEC system has been directed to options that improve access to quality ECEC and outcomes for children with additional needs.</w:t>
      </w:r>
    </w:p>
    <w:p w14:paraId="415CECC8" w14:textId="77777777" w:rsidR="001B43A6" w:rsidRDefault="001B43A6" w:rsidP="00DC524D">
      <w:pPr>
        <w:rPr>
          <w:lang w:eastAsia="en-AU"/>
        </w:rPr>
      </w:pPr>
    </w:p>
    <w:p w14:paraId="14EF9475" w14:textId="31ECC699" w:rsidR="001B43A6" w:rsidRDefault="001B43A6" w:rsidP="001B43A6">
      <w:pPr>
        <w:rPr>
          <w:rFonts w:eastAsiaTheme="minorEastAsia"/>
          <w:lang w:eastAsia="en-AU"/>
        </w:rPr>
      </w:pPr>
      <w:r w:rsidRPr="75EFF305">
        <w:rPr>
          <w:lang w:eastAsia="en-AU"/>
        </w:rPr>
        <w:t xml:space="preserve">An additional $98.4 million was provided in the </w:t>
      </w:r>
      <w:r w:rsidR="00811145">
        <w:t xml:space="preserve">2024–25 </w:t>
      </w:r>
      <w:r w:rsidR="00767FC4">
        <w:t xml:space="preserve">Federal </w:t>
      </w:r>
      <w:r w:rsidR="00811145">
        <w:t>Budget</w:t>
      </w:r>
      <w:r w:rsidRPr="75EFF305">
        <w:rPr>
          <w:lang w:eastAsia="en-AU"/>
        </w:rPr>
        <w:t xml:space="preserve"> to the Inclusion Support Program. This funding will </w:t>
      </w:r>
      <w:r w:rsidRPr="75EFF305">
        <w:rPr>
          <w:rFonts w:eastAsiaTheme="minorEastAsia"/>
          <w:lang w:eastAsia="en-AU"/>
        </w:rPr>
        <w:t xml:space="preserve">help meet expected demand for services to </w:t>
      </w:r>
      <w:r w:rsidR="00107AE5">
        <w:rPr>
          <w:rFonts w:eastAsiaTheme="minorEastAsia"/>
          <w:lang w:eastAsia="en-AU"/>
        </w:rPr>
        <w:t xml:space="preserve">embed inclusion and </w:t>
      </w:r>
      <w:r w:rsidRPr="75EFF305">
        <w:rPr>
          <w:rFonts w:eastAsiaTheme="minorEastAsia"/>
          <w:lang w:eastAsia="en-AU"/>
        </w:rPr>
        <w:t>support children with additional needs.</w:t>
      </w:r>
    </w:p>
    <w:p w14:paraId="773E5061" w14:textId="77777777" w:rsidR="00DC524D" w:rsidRDefault="00DC524D" w:rsidP="00DC524D">
      <w:pPr>
        <w:rPr>
          <w:lang w:eastAsia="en-AU"/>
        </w:rPr>
      </w:pPr>
    </w:p>
    <w:p w14:paraId="4D04BA47" w14:textId="77777777" w:rsidR="00DC524D" w:rsidRPr="00DF6490" w:rsidRDefault="00DC524D" w:rsidP="00C6053F">
      <w:pPr>
        <w:pStyle w:val="Heading6"/>
        <w:pBdr>
          <w:top w:val="single" w:sz="4" w:space="1" w:color="auto"/>
          <w:left w:val="single" w:sz="4" w:space="4" w:color="auto"/>
          <w:bottom w:val="single" w:sz="4" w:space="1" w:color="auto"/>
          <w:right w:val="single" w:sz="4" w:space="4" w:color="auto"/>
        </w:pBdr>
      </w:pPr>
      <w:r w:rsidRPr="00DF6490">
        <w:t>Recommendation 29</w:t>
      </w:r>
    </w:p>
    <w:p w14:paraId="496B21C4" w14:textId="7777777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t xml:space="preserve">Noting that the Productivity Commission will consider and report findings on the abolition of the Child Care Subsidy activity test, the committee recommends the Australian Government consider amending the relevant social policy and family assistance laws to abolish activity tests. </w:t>
      </w:r>
    </w:p>
    <w:p w14:paraId="2DFB2C3A" w14:textId="77777777" w:rsidR="00DC524D" w:rsidRPr="00DF6490" w:rsidRDefault="00DC524D" w:rsidP="00DC524D"/>
    <w:p w14:paraId="17DC869D" w14:textId="6D2BD3E9" w:rsidR="00DC524D" w:rsidRPr="00DF6490" w:rsidRDefault="00DC524D" w:rsidP="00C6053F">
      <w:pPr>
        <w:pBdr>
          <w:top w:val="single" w:sz="4" w:space="1" w:color="auto"/>
          <w:left w:val="single" w:sz="4" w:space="4" w:color="auto"/>
          <w:bottom w:val="single" w:sz="4" w:space="1" w:color="auto"/>
          <w:right w:val="single" w:sz="4" w:space="4" w:color="auto"/>
        </w:pBdr>
        <w:textAlignment w:val="baseline"/>
        <w:rPr>
          <w:rFonts w:ascii="Segoe UI" w:hAnsi="Segoe UI" w:cs="Segoe UI"/>
          <w:b/>
          <w:bCs/>
          <w:i/>
          <w:iCs/>
          <w:sz w:val="18"/>
          <w:szCs w:val="18"/>
          <w:lang w:eastAsia="en-AU"/>
        </w:rPr>
      </w:pPr>
      <w:r w:rsidRPr="00DF6490">
        <w:rPr>
          <w:rFonts w:ascii="Calibri" w:hAnsi="Calibri" w:cs="Calibri"/>
          <w:b/>
          <w:bCs/>
          <w:i/>
          <w:iCs/>
          <w:lang w:eastAsia="en-AU"/>
        </w:rPr>
        <w:t>Interim Report Recommendation 8 </w:t>
      </w:r>
    </w:p>
    <w:p w14:paraId="0224EAD6" w14:textId="7777777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rPr>
          <w:rFonts w:ascii="Calibri" w:hAnsi="Calibri" w:cs="Calibri"/>
          <w:i/>
          <w:iCs/>
          <w:lang w:eastAsia="en-AU"/>
        </w:rPr>
        <w:t>The committee recommends that the Australian Government amend the relevant Social Policy and Family Assistance Laws to ensure that First Nations people are not required to meet the requirements of the activity test in order to receive subsidised child care.</w:t>
      </w:r>
    </w:p>
    <w:p w14:paraId="31C4A103" w14:textId="77777777" w:rsidR="00246736" w:rsidRPr="00DF6490" w:rsidRDefault="00246736" w:rsidP="00DC524D"/>
    <w:p w14:paraId="27BBA558" w14:textId="343CA78B" w:rsidR="00DC524D" w:rsidRPr="00DF6490" w:rsidRDefault="00DC524D" w:rsidP="00C6053F">
      <w:pPr>
        <w:pBdr>
          <w:top w:val="single" w:sz="4" w:space="1" w:color="auto"/>
          <w:left w:val="single" w:sz="4" w:space="4" w:color="auto"/>
          <w:bottom w:val="single" w:sz="4" w:space="1" w:color="auto"/>
          <w:right w:val="single" w:sz="4" w:space="4" w:color="auto"/>
        </w:pBdr>
        <w:rPr>
          <w:b/>
          <w:i/>
          <w:iCs/>
        </w:rPr>
      </w:pPr>
      <w:r w:rsidRPr="00DF6490">
        <w:rPr>
          <w:b/>
          <w:i/>
          <w:iCs/>
        </w:rPr>
        <w:t>Australian Greens’ Additional Recommendation 9</w:t>
      </w:r>
    </w:p>
    <w:p w14:paraId="5B7CD547" w14:textId="6A6EA013" w:rsidR="00DC524D" w:rsidRDefault="00DC524D" w:rsidP="00C6053F">
      <w:pPr>
        <w:pBdr>
          <w:top w:val="single" w:sz="4" w:space="1" w:color="auto"/>
          <w:left w:val="single" w:sz="4" w:space="4" w:color="auto"/>
          <w:bottom w:val="single" w:sz="4" w:space="1" w:color="auto"/>
          <w:right w:val="single" w:sz="4" w:space="4" w:color="auto"/>
        </w:pBdr>
        <w:rPr>
          <w:i/>
          <w:iCs/>
        </w:rPr>
      </w:pPr>
      <w:r w:rsidRPr="00DF6490">
        <w:rPr>
          <w:i/>
          <w:iCs/>
        </w:rPr>
        <w:t>The Australian Greens recommend the Australian Government amend, as a matter of urgency, the relevant social policy and family assistance laws to abolish the activity test for eligibility for the Child Care Subsidy.</w:t>
      </w:r>
    </w:p>
    <w:p w14:paraId="7D0FF2A0" w14:textId="77777777" w:rsidR="00DC524D" w:rsidRDefault="00DC524D" w:rsidP="00DC524D">
      <w:pPr>
        <w:rPr>
          <w:i/>
          <w:iCs/>
        </w:rPr>
      </w:pPr>
    </w:p>
    <w:p w14:paraId="30A743CF" w14:textId="6B51DD96" w:rsidR="00DC524D" w:rsidRPr="00DD42FC" w:rsidRDefault="00C6053F" w:rsidP="00DC524D">
      <w:pPr>
        <w:rPr>
          <w:b/>
          <w:bCs/>
          <w:i/>
          <w:iCs/>
          <w:lang w:eastAsia="en-AU"/>
        </w:rPr>
      </w:pPr>
      <w:r>
        <w:rPr>
          <w:lang w:eastAsia="en-AU"/>
        </w:rPr>
        <w:t xml:space="preserve">The Government </w:t>
      </w:r>
      <w:r>
        <w:rPr>
          <w:b/>
          <w:bCs/>
          <w:lang w:eastAsia="en-AU"/>
        </w:rPr>
        <w:t xml:space="preserve">notes </w:t>
      </w:r>
      <w:r>
        <w:rPr>
          <w:lang w:eastAsia="en-AU"/>
        </w:rPr>
        <w:t xml:space="preserve">this </w:t>
      </w:r>
      <w:r w:rsidRPr="00C6053F">
        <w:rPr>
          <w:lang w:eastAsia="en-AU"/>
        </w:rPr>
        <w:t>recommendation, the</w:t>
      </w:r>
      <w:r w:rsidR="00DC524D" w:rsidRPr="00C6053F">
        <w:t xml:space="preserve"> Interim Report </w:t>
      </w:r>
      <w:r w:rsidR="00A9469E">
        <w:t>r</w:t>
      </w:r>
      <w:r w:rsidR="00DC524D" w:rsidRPr="00C6053F">
        <w:t>ecommendatio</w:t>
      </w:r>
      <w:r w:rsidRPr="00C6053F">
        <w:t xml:space="preserve">n and </w:t>
      </w:r>
      <w:r w:rsidR="00DC524D" w:rsidRPr="00C6053F">
        <w:t xml:space="preserve">the Australian Greens’ </w:t>
      </w:r>
      <w:r w:rsidR="00A9469E">
        <w:t>a</w:t>
      </w:r>
      <w:r w:rsidR="00DC524D" w:rsidRPr="00C6053F">
        <w:t xml:space="preserve">dditional </w:t>
      </w:r>
      <w:r w:rsidR="00A9469E">
        <w:t>r</w:t>
      </w:r>
      <w:r w:rsidR="00DC524D" w:rsidRPr="00C6053F">
        <w:t>ecommendation.</w:t>
      </w:r>
    </w:p>
    <w:p w14:paraId="1BE1384A" w14:textId="77777777" w:rsidR="00DC524D" w:rsidRPr="00DD42FC" w:rsidRDefault="00DC524D" w:rsidP="00DC524D">
      <w:pPr>
        <w:rPr>
          <w:b/>
          <w:bCs/>
          <w:lang w:eastAsia="en-AU"/>
        </w:rPr>
      </w:pPr>
    </w:p>
    <w:p w14:paraId="2A392B6D" w14:textId="30B6CA82" w:rsidR="00DC524D" w:rsidRPr="00DF6490" w:rsidRDefault="00DC524D" w:rsidP="00DC524D">
      <w:pPr>
        <w:rPr>
          <w:lang w:eastAsia="en-AU"/>
        </w:rPr>
      </w:pPr>
      <w:r w:rsidRPr="00DD42FC">
        <w:rPr>
          <w:lang w:eastAsia="en-AU"/>
        </w:rPr>
        <w:t xml:space="preserve">The Productivity Commission is undertaking a comprehensive inquiry into Australia’s ECEC system. The </w:t>
      </w:r>
      <w:r w:rsidR="005C6220">
        <w:rPr>
          <w:lang w:eastAsia="en-AU"/>
        </w:rPr>
        <w:t>I</w:t>
      </w:r>
      <w:r w:rsidR="005C6220" w:rsidRPr="00DD42FC">
        <w:rPr>
          <w:lang w:eastAsia="en-AU"/>
        </w:rPr>
        <w:t xml:space="preserve">nquiry </w:t>
      </w:r>
      <w:r w:rsidRPr="00DD42FC">
        <w:rPr>
          <w:lang w:eastAsia="en-AU"/>
        </w:rPr>
        <w:t>will make recommendations to support affordable, accessible</w:t>
      </w:r>
      <w:r>
        <w:rPr>
          <w:lang w:eastAsia="en-AU"/>
        </w:rPr>
        <w:t xml:space="preserve"> and</w:t>
      </w:r>
      <w:r w:rsidRPr="00DD42FC">
        <w:rPr>
          <w:lang w:eastAsia="en-AU"/>
        </w:rPr>
        <w:t xml:space="preserve"> </w:t>
      </w:r>
      <w:r>
        <w:rPr>
          <w:lang w:eastAsia="en-AU"/>
        </w:rPr>
        <w:t xml:space="preserve">inclusive </w:t>
      </w:r>
      <w:r w:rsidRPr="00DD42FC">
        <w:rPr>
          <w:lang w:eastAsia="en-AU"/>
        </w:rPr>
        <w:t xml:space="preserve">ECEC that reduces barriers to workforce participation and supports children’s learning and development. The </w:t>
      </w:r>
      <w:r w:rsidR="005C6220">
        <w:rPr>
          <w:lang w:eastAsia="en-AU"/>
        </w:rPr>
        <w:t>I</w:t>
      </w:r>
      <w:r w:rsidR="005C6220" w:rsidRPr="00DD42FC">
        <w:rPr>
          <w:lang w:eastAsia="en-AU"/>
        </w:rPr>
        <w:t xml:space="preserve">nquiry </w:t>
      </w:r>
      <w:r w:rsidRPr="00DD42FC">
        <w:rPr>
          <w:lang w:eastAsia="en-AU"/>
        </w:rPr>
        <w:t>will consider activity requirements in this context.</w:t>
      </w:r>
      <w:r w:rsidRPr="00DF6490">
        <w:rPr>
          <w:lang w:eastAsia="en-AU"/>
        </w:rPr>
        <w:t xml:space="preserve"> </w:t>
      </w:r>
    </w:p>
    <w:p w14:paraId="6E43C571" w14:textId="77777777" w:rsidR="00DC524D" w:rsidRPr="00DF6490" w:rsidRDefault="00DC524D" w:rsidP="00DC524D">
      <w:pPr>
        <w:rPr>
          <w:lang w:eastAsia="en-AU"/>
        </w:rPr>
      </w:pPr>
    </w:p>
    <w:p w14:paraId="38629F7F" w14:textId="34E6C7CA" w:rsidR="00DC524D" w:rsidRDefault="00DC524D" w:rsidP="00DC524D">
      <w:pPr>
        <w:rPr>
          <w:i/>
          <w:iCs/>
        </w:rPr>
      </w:pPr>
      <w:r>
        <w:rPr>
          <w:lang w:eastAsia="en-AU"/>
        </w:rPr>
        <w:t>To support early childhood outcomes under the National Agreement on Closing the Gap</w:t>
      </w:r>
      <w:r w:rsidRPr="00DF6490">
        <w:rPr>
          <w:lang w:eastAsia="en-AU"/>
        </w:rPr>
        <w:t xml:space="preserve">, the Government </w:t>
      </w:r>
      <w:r>
        <w:rPr>
          <w:lang w:eastAsia="en-AU"/>
        </w:rPr>
        <w:t>has</w:t>
      </w:r>
      <w:r w:rsidRPr="00DF6490">
        <w:rPr>
          <w:lang w:eastAsia="en-AU"/>
        </w:rPr>
        <w:t xml:space="preserve"> tak</w:t>
      </w:r>
      <w:r>
        <w:rPr>
          <w:lang w:eastAsia="en-AU"/>
        </w:rPr>
        <w:t>en</w:t>
      </w:r>
      <w:r w:rsidRPr="00DF6490">
        <w:rPr>
          <w:lang w:eastAsia="en-AU"/>
        </w:rPr>
        <w:t xml:space="preserve"> early action</w:t>
      </w:r>
      <w:r>
        <w:rPr>
          <w:lang w:eastAsia="en-AU"/>
        </w:rPr>
        <w:t xml:space="preserve"> since July 2023,</w:t>
      </w:r>
      <w:r w:rsidRPr="00DF6490">
        <w:rPr>
          <w:lang w:eastAsia="en-AU"/>
        </w:rPr>
        <w:t xml:space="preserve"> </w:t>
      </w:r>
      <w:r>
        <w:rPr>
          <w:lang w:eastAsia="en-AU"/>
        </w:rPr>
        <w:t>and is providing</w:t>
      </w:r>
      <w:r w:rsidRPr="00DF6490">
        <w:rPr>
          <w:lang w:eastAsia="en-AU"/>
        </w:rPr>
        <w:t xml:space="preserve"> 36 subsidised hours per fortnight </w:t>
      </w:r>
      <w:r>
        <w:rPr>
          <w:lang w:eastAsia="en-AU"/>
        </w:rPr>
        <w:t xml:space="preserve">of ECEC </w:t>
      </w:r>
      <w:r w:rsidRPr="00DF6490">
        <w:rPr>
          <w:lang w:eastAsia="en-AU"/>
        </w:rPr>
        <w:t>base entitlement for First Nations children.</w:t>
      </w:r>
    </w:p>
    <w:p w14:paraId="314448CA" w14:textId="77777777" w:rsidR="00DC524D" w:rsidRDefault="00DC524D" w:rsidP="00DC524D">
      <w:pPr>
        <w:rPr>
          <w:i/>
          <w:iCs/>
        </w:rPr>
      </w:pPr>
    </w:p>
    <w:p w14:paraId="3CF8F763" w14:textId="77777777" w:rsidR="00D628A6" w:rsidRDefault="00D628A6">
      <w:pPr>
        <w:spacing w:after="200" w:line="276" w:lineRule="auto"/>
        <w:rPr>
          <w:rFonts w:cstheme="minorHAnsi"/>
          <w:b/>
          <w:bCs/>
        </w:rPr>
      </w:pPr>
      <w:r>
        <w:br w:type="page"/>
      </w:r>
    </w:p>
    <w:p w14:paraId="2268B6C2" w14:textId="1A798434" w:rsidR="00B15C1B" w:rsidRPr="00DF6490" w:rsidRDefault="003910F7" w:rsidP="00C25DB7">
      <w:pPr>
        <w:pStyle w:val="Heading2"/>
      </w:pPr>
      <w:bookmarkStart w:id="27" w:name="_Toc170224180"/>
      <w:r>
        <w:t xml:space="preserve">4 </w:t>
      </w:r>
      <w:r w:rsidR="00CA5402">
        <w:t xml:space="preserve">Targeted </w:t>
      </w:r>
      <w:r w:rsidR="000B6A8B">
        <w:t>Support</w:t>
      </w:r>
      <w:bookmarkEnd w:id="27"/>
    </w:p>
    <w:p w14:paraId="2637E41B" w14:textId="529481DC" w:rsidR="00B15C1B" w:rsidRPr="00DF6490" w:rsidRDefault="00B15C1B" w:rsidP="00C25DB7"/>
    <w:p w14:paraId="1AD47849" w14:textId="2E932B49" w:rsidR="00321806" w:rsidRPr="00DF6490" w:rsidRDefault="0083607E" w:rsidP="00DE36D8">
      <w:r w:rsidRPr="00DF6490">
        <w:t xml:space="preserve">The </w:t>
      </w:r>
      <w:r w:rsidR="006F3480">
        <w:rPr>
          <w:rStyle w:val="normaltextrun"/>
          <w:rFonts w:ascii="Calibri" w:hAnsi="Calibri" w:cs="Calibri"/>
        </w:rPr>
        <w:t xml:space="preserve">Committee </w:t>
      </w:r>
      <w:r w:rsidRPr="00DF6490">
        <w:t xml:space="preserve">noted </w:t>
      </w:r>
      <w:r w:rsidR="001F35DA" w:rsidRPr="00DF6490">
        <w:t>that the experience of combining work and care changes across</w:t>
      </w:r>
      <w:r w:rsidR="009167BA" w:rsidRPr="00DF6490">
        <w:t xml:space="preserve"> individuals, families, </w:t>
      </w:r>
      <w:r w:rsidR="009249AD" w:rsidRPr="00DF6490">
        <w:t>genders, abilities, and social groups</w:t>
      </w:r>
      <w:r w:rsidR="002D69D3" w:rsidRPr="00DF6490">
        <w:t>. The Committee considered evidence addressing</w:t>
      </w:r>
      <w:r w:rsidR="00883911" w:rsidRPr="00DF6490">
        <w:t xml:space="preserve"> groups with unique </w:t>
      </w:r>
      <w:r w:rsidR="00A702C4" w:rsidRPr="00DF6490">
        <w:t xml:space="preserve">work and care circumstances, </w:t>
      </w:r>
      <w:r w:rsidR="00D96990" w:rsidRPr="00DF6490">
        <w:t xml:space="preserve">including </w:t>
      </w:r>
      <w:r w:rsidR="00A702C4" w:rsidRPr="00DF6490">
        <w:t xml:space="preserve">young people, First Nations communities, </w:t>
      </w:r>
      <w:r w:rsidR="007342FC">
        <w:t>people with disability</w:t>
      </w:r>
      <w:r w:rsidR="007342FC" w:rsidRPr="00DF6490">
        <w:t xml:space="preserve">, and </w:t>
      </w:r>
      <w:r w:rsidR="00B603EA" w:rsidRPr="00DF6490">
        <w:t xml:space="preserve">culturally and linguistically diverse </w:t>
      </w:r>
      <w:r w:rsidR="00A702C4" w:rsidRPr="00DF6490">
        <w:t>communities.</w:t>
      </w:r>
      <w:r w:rsidR="0061203B" w:rsidRPr="00DF6490">
        <w:t xml:space="preserve"> </w:t>
      </w:r>
      <w:r w:rsidR="0041465D" w:rsidRPr="00DF6490">
        <w:t>C</w:t>
      </w:r>
      <w:r w:rsidR="00321806" w:rsidRPr="00DF6490">
        <w:t xml:space="preserve">oncerns regarding the </w:t>
      </w:r>
      <w:r w:rsidR="00A5152A" w:rsidRPr="00DF6490">
        <w:t>adequacy of wages, flexibility, and leave entitlements in the paid care sector were also examined by the Committee.</w:t>
      </w:r>
    </w:p>
    <w:p w14:paraId="476A5F51" w14:textId="77777777" w:rsidR="00EB2F10" w:rsidRPr="00DF6490" w:rsidRDefault="00EB2F10" w:rsidP="00DE36D8"/>
    <w:p w14:paraId="58511686" w14:textId="0AEDA896" w:rsidR="005F1389" w:rsidRPr="00DF6490" w:rsidRDefault="005F1389" w:rsidP="00DE36D8">
      <w:r w:rsidRPr="00DF6490">
        <w:t xml:space="preserve">The Committee </w:t>
      </w:r>
      <w:r w:rsidR="00523C29" w:rsidRPr="00DF6490">
        <w:t>considered mechanisms for</w:t>
      </w:r>
      <w:r w:rsidR="004A2663">
        <w:t xml:space="preserve"> the</w:t>
      </w:r>
      <w:r w:rsidR="00523C29" w:rsidRPr="00DF6490">
        <w:t xml:space="preserve"> Government to support Australians</w:t>
      </w:r>
      <w:r w:rsidR="008F1A95" w:rsidRPr="00DF6490">
        <w:t xml:space="preserve"> balancing work and care responsibilities. </w:t>
      </w:r>
      <w:r w:rsidR="00523C29" w:rsidRPr="00DF6490">
        <w:t xml:space="preserve">It </w:t>
      </w:r>
      <w:r w:rsidRPr="00DF6490">
        <w:t xml:space="preserve">acknowledged the Government has made significant improvements to encourage the workforce participation of women, including </w:t>
      </w:r>
      <w:r w:rsidR="00797426">
        <w:t xml:space="preserve">expanding the </w:t>
      </w:r>
      <w:r w:rsidR="0063711F">
        <w:t xml:space="preserve">Government’s </w:t>
      </w:r>
      <w:r w:rsidR="120EF31E" w:rsidRPr="00DF6490">
        <w:t>P</w:t>
      </w:r>
      <w:r w:rsidR="5026110A" w:rsidRPr="00DF6490">
        <w:t>aid</w:t>
      </w:r>
      <w:r w:rsidRPr="00DF6490">
        <w:t xml:space="preserve"> </w:t>
      </w:r>
      <w:r w:rsidR="3F0E2139" w:rsidRPr="00DF6490">
        <w:t>P</w:t>
      </w:r>
      <w:r w:rsidR="5026110A" w:rsidRPr="00DF6490">
        <w:t xml:space="preserve">arental </w:t>
      </w:r>
      <w:r w:rsidR="5B831CF1" w:rsidRPr="00DF6490">
        <w:t>L</w:t>
      </w:r>
      <w:r w:rsidR="5026110A" w:rsidRPr="00DF6490">
        <w:t>eave</w:t>
      </w:r>
      <w:r w:rsidRPr="00DF6490">
        <w:t xml:space="preserve"> </w:t>
      </w:r>
      <w:r w:rsidR="006A76FD">
        <w:t>s</w:t>
      </w:r>
      <w:r w:rsidRPr="00DF6490">
        <w:t>cheme, steps to enforce the right to request flexible working arrangements and child</w:t>
      </w:r>
      <w:r w:rsidR="00B81032">
        <w:t xml:space="preserve"> </w:t>
      </w:r>
      <w:r w:rsidRPr="00DF6490">
        <w:t>care support.</w:t>
      </w:r>
    </w:p>
    <w:p w14:paraId="09A1A4E3" w14:textId="77777777" w:rsidR="00DE36D8" w:rsidRPr="00DF6490" w:rsidRDefault="00DE36D8" w:rsidP="00DE36D8"/>
    <w:p w14:paraId="1EDE9F5E" w14:textId="02A0148D" w:rsidR="00963C44" w:rsidRPr="00DF6490" w:rsidRDefault="008A4447" w:rsidP="00963C44">
      <w:r>
        <w:t>Many</w:t>
      </w:r>
      <w:r w:rsidR="00963C44" w:rsidRPr="00DF6490">
        <w:t xml:space="preserve"> </w:t>
      </w:r>
      <w:r w:rsidR="004A2663">
        <w:t>g</w:t>
      </w:r>
      <w:r w:rsidR="004A2663" w:rsidRPr="00DF6490">
        <w:t xml:space="preserve">overnment </w:t>
      </w:r>
      <w:r w:rsidR="00963C44" w:rsidRPr="00DF6490">
        <w:t xml:space="preserve">policies and programs provide support for carers, workers, and those seeking employment. The Government is investing in policies and programs to provide support for these individuals. </w:t>
      </w:r>
      <w:r w:rsidR="00B06A69" w:rsidRPr="00DF6490">
        <w:t xml:space="preserve">For example, </w:t>
      </w:r>
      <w:r w:rsidR="00A504FF">
        <w:t>in October 2023</w:t>
      </w:r>
      <w:r w:rsidR="00B06A69" w:rsidRPr="00DF6490">
        <w:t xml:space="preserve"> </w:t>
      </w:r>
      <w:r w:rsidR="0063711F" w:rsidRPr="00DF6490">
        <w:t xml:space="preserve">the Government </w:t>
      </w:r>
      <w:r w:rsidR="0063711F">
        <w:t xml:space="preserve">launched </w:t>
      </w:r>
      <w:r w:rsidR="00B06A69" w:rsidRPr="00DF6490">
        <w:t xml:space="preserve">a Carer Inclusive Workplace Initiative, which </w:t>
      </w:r>
      <w:r w:rsidR="00B06A69">
        <w:t>aims to</w:t>
      </w:r>
      <w:r w:rsidR="00B06A69" w:rsidRPr="00DF6490">
        <w:t xml:space="preserve"> expand </w:t>
      </w:r>
      <w:r w:rsidR="00963C44" w:rsidRPr="00DF6490">
        <w:t xml:space="preserve">carer inclusivity in workplaces around Australia and enable businesses, in particular small businesses, to self-identify as committed to carer inclusivity without the time commitment and cost associated with a full accreditation process. This will help carers identify workplaces that understand the challenges carers may face in employment while balancing work and caring responsibilities and will accommodate flexibilities so that carers can </w:t>
      </w:r>
      <w:r w:rsidR="00963C44" w:rsidRPr="00E412B4">
        <w:t xml:space="preserve">maintain employment. </w:t>
      </w:r>
    </w:p>
    <w:p w14:paraId="61E57CBC" w14:textId="77777777" w:rsidR="0052250C" w:rsidRPr="00DF6490" w:rsidRDefault="0052250C" w:rsidP="00963C44"/>
    <w:p w14:paraId="36593A33" w14:textId="6C0B72EE" w:rsidR="00C63CF1" w:rsidRDefault="00BE069F" w:rsidP="00C63CF1">
      <w:pPr>
        <w:rPr>
          <w:lang w:eastAsia="en-AU"/>
        </w:rPr>
      </w:pPr>
      <w:r w:rsidRPr="00DF6490">
        <w:rPr>
          <w:lang w:val="en" w:eastAsia="en-AU"/>
        </w:rPr>
        <w:t xml:space="preserve">The Government </w:t>
      </w:r>
      <w:r w:rsidRPr="00DF6490">
        <w:t xml:space="preserve">has already </w:t>
      </w:r>
      <w:r w:rsidR="00A504FF">
        <w:t>started</w:t>
      </w:r>
      <w:r w:rsidRPr="00DF6490">
        <w:t xml:space="preserve"> support</w:t>
      </w:r>
      <w:r w:rsidR="00A504FF">
        <w:t>ing</w:t>
      </w:r>
      <w:r w:rsidRPr="00DF6490">
        <w:t xml:space="preserve"> Australians to combine their jobs with care for others.</w:t>
      </w:r>
      <w:r w:rsidR="00A33892" w:rsidRPr="00DF6490">
        <w:rPr>
          <w:lang w:val="en" w:eastAsia="en-AU"/>
        </w:rPr>
        <w:t xml:space="preserve"> </w:t>
      </w:r>
      <w:r w:rsidR="0052250C" w:rsidRPr="00DF6490">
        <w:t>This chapte</w:t>
      </w:r>
      <w:r w:rsidR="00FC0717" w:rsidRPr="00DF6490">
        <w:t>r</w:t>
      </w:r>
      <w:r w:rsidR="00A33892" w:rsidRPr="00DF6490">
        <w:t xml:space="preserve"> </w:t>
      </w:r>
      <w:r w:rsidR="00C63CF1" w:rsidRPr="00DF6490">
        <w:rPr>
          <w:lang w:eastAsia="en-AU"/>
        </w:rPr>
        <w:t>describes policies, programs</w:t>
      </w:r>
      <w:r w:rsidR="00A504FF">
        <w:rPr>
          <w:lang w:eastAsia="en-AU"/>
        </w:rPr>
        <w:t xml:space="preserve">, </w:t>
      </w:r>
      <w:r w:rsidR="00C63CF1" w:rsidRPr="00DF6490">
        <w:rPr>
          <w:lang w:eastAsia="en-AU"/>
        </w:rPr>
        <w:t>reviews</w:t>
      </w:r>
      <w:r w:rsidR="00A504FF">
        <w:rPr>
          <w:lang w:eastAsia="en-AU"/>
        </w:rPr>
        <w:t>,</w:t>
      </w:r>
      <w:r w:rsidR="00C63CF1" w:rsidRPr="00DF6490">
        <w:rPr>
          <w:lang w:eastAsia="en-AU"/>
        </w:rPr>
        <w:t xml:space="preserve"> </w:t>
      </w:r>
      <w:r w:rsidR="0021039B" w:rsidRPr="00DF6490">
        <w:rPr>
          <w:lang w:eastAsia="en-AU"/>
        </w:rPr>
        <w:t>and targeted initiatives t</w:t>
      </w:r>
      <w:r w:rsidR="00A504FF">
        <w:rPr>
          <w:lang w:eastAsia="en-AU"/>
        </w:rPr>
        <w:t>hat</w:t>
      </w:r>
      <w:r w:rsidR="0021039B" w:rsidRPr="00DF6490">
        <w:rPr>
          <w:lang w:eastAsia="en-AU"/>
        </w:rPr>
        <w:t xml:space="preserve"> support </w:t>
      </w:r>
      <w:r w:rsidR="00C63CF1" w:rsidRPr="00DF6490">
        <w:rPr>
          <w:lang w:eastAsia="en-AU"/>
        </w:rPr>
        <w:t xml:space="preserve">the care workforce, the supported employment sector, carers, people seeking employment and workers. </w:t>
      </w:r>
    </w:p>
    <w:p w14:paraId="70368E9B" w14:textId="77777777" w:rsidR="00027A77" w:rsidRDefault="00027A77" w:rsidP="00C63CF1">
      <w:pPr>
        <w:rPr>
          <w:lang w:eastAsia="en-AU"/>
        </w:rPr>
      </w:pPr>
    </w:p>
    <w:p w14:paraId="68660271" w14:textId="189B0385" w:rsidR="00027A77" w:rsidRPr="00DF6490" w:rsidRDefault="00027A77" w:rsidP="00027A77">
      <w:r>
        <w:t>The</w:t>
      </w:r>
      <w:r w:rsidR="00162E4B">
        <w:t xml:space="preserve"> development of a</w:t>
      </w:r>
      <w:r>
        <w:t xml:space="preserve"> new National Carer Strategy will seek to gather further information through </w:t>
      </w:r>
      <w:r w:rsidR="00212392">
        <w:t xml:space="preserve">a </w:t>
      </w:r>
      <w:r>
        <w:t>national consultation</w:t>
      </w:r>
      <w:r w:rsidR="00212392">
        <w:t xml:space="preserve"> process</w:t>
      </w:r>
      <w:r>
        <w:t xml:space="preserve"> on issues facing </w:t>
      </w:r>
      <w:r w:rsidR="00212392">
        <w:t xml:space="preserve">unpaid </w:t>
      </w:r>
      <w:r>
        <w:t>carers, including workforce participation and flexibility.</w:t>
      </w:r>
    </w:p>
    <w:p w14:paraId="3A7244BD" w14:textId="77777777" w:rsidR="008E1272" w:rsidRPr="00DF6490" w:rsidRDefault="008E1272" w:rsidP="008E1272"/>
    <w:p w14:paraId="6C94DEBA" w14:textId="46FD798F" w:rsidR="00B625A8" w:rsidRPr="00DF6490" w:rsidRDefault="00223736" w:rsidP="00B625A8">
      <w:pPr>
        <w:pStyle w:val="Heading3"/>
      </w:pPr>
      <w:bookmarkStart w:id="28" w:name="_Toc170224181"/>
      <w:r>
        <w:t xml:space="preserve">4.1 </w:t>
      </w:r>
      <w:r w:rsidR="00B625A8" w:rsidRPr="00DF6490">
        <w:t xml:space="preserve">Care </w:t>
      </w:r>
      <w:r w:rsidR="00AF7CBE">
        <w:t>w</w:t>
      </w:r>
      <w:r w:rsidR="00B625A8" w:rsidRPr="00DF6490">
        <w:t>orkforce</w:t>
      </w:r>
      <w:bookmarkEnd w:id="28"/>
    </w:p>
    <w:p w14:paraId="74742D55" w14:textId="0DE2C17D" w:rsidR="00B625A8" w:rsidRPr="00DF6490" w:rsidRDefault="00B625A8" w:rsidP="00B625A8">
      <w:r w:rsidRPr="00DF6490">
        <w:t xml:space="preserve">The care workforce is female-dominated and low paid relative to other industries, partly reflecting the undervaluation of women’s care by employers and institutions. </w:t>
      </w:r>
    </w:p>
    <w:p w14:paraId="27FBFF74" w14:textId="77777777" w:rsidR="00B625A8" w:rsidRPr="00DF6490" w:rsidRDefault="00B625A8" w:rsidP="00B625A8"/>
    <w:p w14:paraId="6B152C4F" w14:textId="0E0427D7" w:rsidR="00EA058A" w:rsidRPr="00EA058A" w:rsidRDefault="00223736" w:rsidP="00223736">
      <w:pPr>
        <w:pStyle w:val="Heading4"/>
      </w:pPr>
      <w:r>
        <w:t xml:space="preserve">4.1.1 </w:t>
      </w:r>
      <w:r w:rsidR="00EA058A">
        <w:t>Care workforce p</w:t>
      </w:r>
      <w:r w:rsidR="00EA058A" w:rsidRPr="00EA058A">
        <w:t>ay and conditions</w:t>
      </w:r>
    </w:p>
    <w:p w14:paraId="511FF0D9" w14:textId="78C614B9" w:rsidR="00EA058A" w:rsidRDefault="00EA058A" w:rsidP="00B625A8"/>
    <w:p w14:paraId="0983DC70" w14:textId="78086CE3" w:rsidR="00B625A8" w:rsidRPr="00DF6490" w:rsidRDefault="00176654" w:rsidP="00B625A8">
      <w:r>
        <w:t>As described in the “</w:t>
      </w:r>
      <w:r w:rsidR="0057670B">
        <w:t>Flexible and Supportive Workplaces</w:t>
      </w:r>
      <w:r>
        <w:t>”</w:t>
      </w:r>
      <w:r w:rsidR="0057670B">
        <w:t xml:space="preserve"> chapter, </w:t>
      </w:r>
      <w:r w:rsidR="00A504FF">
        <w:t xml:space="preserve">the Government has ensured </w:t>
      </w:r>
      <w:r w:rsidR="0057670B">
        <w:t>t</w:t>
      </w:r>
      <w:r w:rsidR="00B625A8">
        <w:t xml:space="preserve">hrough the </w:t>
      </w:r>
      <w:r w:rsidR="00B625A8" w:rsidRPr="273A57E7">
        <w:rPr>
          <w:i/>
          <w:iCs/>
        </w:rPr>
        <w:t>Fair Work Legislation Amendment (Secure Jobs, Better Pay) Act 2022</w:t>
      </w:r>
      <w:r w:rsidR="00A504FF">
        <w:t xml:space="preserve"> that</w:t>
      </w:r>
      <w:r w:rsidR="00B625A8">
        <w:t xml:space="preserve"> gender equality and job security are at the heart of the Fair Work Commission’s decision-making</w:t>
      </w:r>
      <w:r w:rsidR="00A504FF">
        <w:t>. T</w:t>
      </w:r>
      <w:r w:rsidR="00B625A8">
        <w:t>he</w:t>
      </w:r>
      <w:r w:rsidR="00517558">
        <w:t xml:space="preserve"> Fair Work </w:t>
      </w:r>
      <w:r w:rsidR="00B625A8">
        <w:t xml:space="preserve">Commission is </w:t>
      </w:r>
      <w:r w:rsidR="00A504FF">
        <w:t xml:space="preserve">now </w:t>
      </w:r>
      <w:r w:rsidR="00B625A8">
        <w:t>properly equipped to help address pay and conditions in low-paid, feminised workforces like the care sector.</w:t>
      </w:r>
    </w:p>
    <w:p w14:paraId="22AC5941" w14:textId="77777777" w:rsidR="00B625A8" w:rsidRPr="00DF6490" w:rsidRDefault="00B625A8" w:rsidP="00B625A8"/>
    <w:p w14:paraId="2645598E" w14:textId="7F02CCE4" w:rsidR="00011765" w:rsidRPr="00D64E74" w:rsidRDefault="00854FCA">
      <w:r>
        <w:t>The Government has also provided funding to support increases to award wages for many aged care workers, as per the Fair Work Commission’s interim decision of 21 February 2023. The 2023</w:t>
      </w:r>
      <w:r w:rsidRPr="273A57E7">
        <w:t>–</w:t>
      </w:r>
      <w:r>
        <w:t xml:space="preserve">24 Budget included $11.3 billion over </w:t>
      </w:r>
      <w:r w:rsidR="71712B67">
        <w:t xml:space="preserve">4 </w:t>
      </w:r>
      <w:r>
        <w:t xml:space="preserve">years to fund the Fair Work Commission’s </w:t>
      </w:r>
      <w:r w:rsidRPr="00D64E74">
        <w:t>interim 15 per cent pay rise for many aged care workers from 30 June 2023, delivering on the Government’s election commitments</w:t>
      </w:r>
      <w:r w:rsidR="00F530B3" w:rsidRPr="00D64E74">
        <w:t>.</w:t>
      </w:r>
    </w:p>
    <w:p w14:paraId="518ED24D" w14:textId="77777777" w:rsidR="00F17C86" w:rsidRPr="00D64E74" w:rsidRDefault="00F17C86" w:rsidP="000E50B7"/>
    <w:p w14:paraId="7C77126E" w14:textId="09E8CA40" w:rsidR="00F17C86" w:rsidRDefault="00A469FD" w:rsidP="00F17C86">
      <w:r w:rsidRPr="00D64E74">
        <w:t xml:space="preserve">In March 2024, the Fair Work Commission found that the work of aged care sector employees </w:t>
      </w:r>
      <w:r w:rsidRPr="00AA4005">
        <w:t>was historically undervalued because of assumptions based on gender</w:t>
      </w:r>
      <w:r>
        <w:t>. Based on this and other work value considerations, the Fair Work Commission</w:t>
      </w:r>
      <w:r w:rsidRPr="00AA4005">
        <w:t xml:space="preserve"> awarded increases </w:t>
      </w:r>
      <w:r>
        <w:t xml:space="preserve">to minimum award wages </w:t>
      </w:r>
      <w:r w:rsidRPr="00AA4005">
        <w:t>of up to 28.5 per cent</w:t>
      </w:r>
      <w:r>
        <w:t>, inclusive of the interim increase awarded in 2023</w:t>
      </w:r>
      <w:r w:rsidRPr="00AA4005">
        <w:t>.</w:t>
      </w:r>
      <w:r>
        <w:t xml:space="preserve"> The Fair Work Commission has not yet set a commencement date for these wage increases. Aged care nurses were not included in this decision, with a decision on increases to their award wages expected later in 2024. </w:t>
      </w:r>
      <w:r w:rsidDel="00FE608A">
        <w:t>The Government has made provision in the 2024</w:t>
      </w:r>
      <w:r w:rsidR="00FD641D" w:rsidRPr="00FD641D">
        <w:t>–</w:t>
      </w:r>
      <w:r w:rsidDel="00FE608A">
        <w:t>25 Budget for these wage increases.</w:t>
      </w:r>
    </w:p>
    <w:p w14:paraId="1B6604F5" w14:textId="77777777" w:rsidR="00F530B3" w:rsidRDefault="00F530B3" w:rsidP="00F17C86"/>
    <w:p w14:paraId="2DBF8946" w14:textId="21A14DC7" w:rsidR="00F530B3" w:rsidRDefault="00F530B3" w:rsidP="00F17C86">
      <w:r>
        <w:t>Furthermore, as part of the 2024–25 Budget, the Government provisioned funding to support increases to award wages for aged care workers and funding towards a wage increase for ECEC workers, with details to be finalised following Fair Work Commission processes.</w:t>
      </w:r>
    </w:p>
    <w:p w14:paraId="54B1512B" w14:textId="77777777" w:rsidR="004F1F59" w:rsidRDefault="004F1F59" w:rsidP="00F17C86"/>
    <w:p w14:paraId="49F09AE8" w14:textId="2D820DC0" w:rsidR="00990541" w:rsidRDefault="00990541" w:rsidP="00990541">
      <w:r>
        <w:t>Through the Modern Awards Review</w:t>
      </w:r>
      <w:r w:rsidR="00214927">
        <w:t> 2023–24</w:t>
      </w:r>
      <w:r>
        <w:t>, the Fair Work Commission has been undertaking research and consultation in relation to the provisions in care sector awards:</w:t>
      </w:r>
    </w:p>
    <w:p w14:paraId="2E738C3A" w14:textId="0E025CA2" w:rsidR="00990541" w:rsidRDefault="00990541">
      <w:pPr>
        <w:pStyle w:val="ListParagraph"/>
        <w:numPr>
          <w:ilvl w:val="0"/>
          <w:numId w:val="2"/>
        </w:numPr>
        <w:rPr>
          <w:sz w:val="24"/>
          <w:szCs w:val="24"/>
        </w:rPr>
      </w:pPr>
      <w:r w:rsidRPr="273A57E7">
        <w:rPr>
          <w:sz w:val="24"/>
          <w:szCs w:val="24"/>
        </w:rPr>
        <w:t xml:space="preserve">The making awards easier to use stream is considering proposals on opportunities to make the </w:t>
      </w:r>
      <w:r w:rsidR="150F8039" w:rsidRPr="273A57E7">
        <w:rPr>
          <w:sz w:val="24"/>
          <w:szCs w:val="24"/>
        </w:rPr>
        <w:t xml:space="preserve">7 </w:t>
      </w:r>
      <w:r w:rsidRPr="273A57E7">
        <w:rPr>
          <w:sz w:val="24"/>
          <w:szCs w:val="24"/>
        </w:rPr>
        <w:t xml:space="preserve">most commonly used awards easier to use, which includes the </w:t>
      </w:r>
      <w:r w:rsidRPr="273A57E7">
        <w:rPr>
          <w:i/>
          <w:iCs/>
          <w:sz w:val="24"/>
          <w:szCs w:val="24"/>
        </w:rPr>
        <w:t>Children's Services Award 2010</w:t>
      </w:r>
      <w:r w:rsidRPr="273A57E7">
        <w:rPr>
          <w:sz w:val="24"/>
          <w:szCs w:val="24"/>
        </w:rPr>
        <w:t xml:space="preserve"> and the </w:t>
      </w:r>
      <w:r w:rsidRPr="273A57E7">
        <w:rPr>
          <w:i/>
          <w:iCs/>
          <w:sz w:val="24"/>
          <w:szCs w:val="24"/>
        </w:rPr>
        <w:t>Social, Community, Home Care and Disability Services Industry Award 2010</w:t>
      </w:r>
      <w:r w:rsidRPr="273A57E7">
        <w:rPr>
          <w:sz w:val="24"/>
          <w:szCs w:val="24"/>
        </w:rPr>
        <w:t>.</w:t>
      </w:r>
    </w:p>
    <w:p w14:paraId="21D74DA9" w14:textId="763A723A" w:rsidR="00990541" w:rsidRDefault="00990541">
      <w:pPr>
        <w:pStyle w:val="ListParagraph"/>
        <w:numPr>
          <w:ilvl w:val="0"/>
          <w:numId w:val="2"/>
        </w:numPr>
        <w:rPr>
          <w:sz w:val="24"/>
          <w:szCs w:val="24"/>
        </w:rPr>
      </w:pPr>
      <w:r w:rsidRPr="273A57E7">
        <w:rPr>
          <w:sz w:val="24"/>
          <w:szCs w:val="24"/>
        </w:rPr>
        <w:t xml:space="preserve">The job </w:t>
      </w:r>
      <w:r w:rsidR="00D52266" w:rsidRPr="273A57E7">
        <w:rPr>
          <w:sz w:val="24"/>
          <w:szCs w:val="24"/>
        </w:rPr>
        <w:t>security</w:t>
      </w:r>
      <w:r w:rsidRPr="273A57E7">
        <w:rPr>
          <w:sz w:val="24"/>
          <w:szCs w:val="24"/>
        </w:rPr>
        <w:t xml:space="preserve"> stream is considering the need to improve access to secure work across the economy for all awards, and its discussion paper included a comparative analysis of provisions in these </w:t>
      </w:r>
      <w:r w:rsidR="7FB80FBA" w:rsidRPr="273A57E7">
        <w:rPr>
          <w:sz w:val="24"/>
          <w:szCs w:val="24"/>
        </w:rPr>
        <w:t xml:space="preserve">7 </w:t>
      </w:r>
      <w:r w:rsidRPr="273A57E7">
        <w:rPr>
          <w:sz w:val="24"/>
          <w:szCs w:val="24"/>
        </w:rPr>
        <w:t>most commonly used awards.</w:t>
      </w:r>
    </w:p>
    <w:p w14:paraId="5BCB15E6" w14:textId="591241BC" w:rsidR="00990541" w:rsidRDefault="00990541">
      <w:pPr>
        <w:pStyle w:val="ListParagraph"/>
        <w:numPr>
          <w:ilvl w:val="0"/>
          <w:numId w:val="2"/>
        </w:numPr>
        <w:rPr>
          <w:sz w:val="24"/>
          <w:szCs w:val="24"/>
        </w:rPr>
      </w:pPr>
      <w:r w:rsidRPr="273A57E7">
        <w:rPr>
          <w:sz w:val="24"/>
          <w:szCs w:val="24"/>
        </w:rPr>
        <w:t xml:space="preserve">The work and care stream is considering work and care provisions for all awards, and its discussion paper analyses 25 modern awards including these </w:t>
      </w:r>
      <w:r w:rsidR="39C87688" w:rsidRPr="273A57E7">
        <w:rPr>
          <w:sz w:val="24"/>
          <w:szCs w:val="24"/>
        </w:rPr>
        <w:t xml:space="preserve">7 </w:t>
      </w:r>
      <w:r w:rsidRPr="273A57E7">
        <w:rPr>
          <w:sz w:val="24"/>
          <w:szCs w:val="24"/>
        </w:rPr>
        <w:t>most commonly used awards as well as awards referred to in the Committee’s Final Report (</w:t>
      </w:r>
      <w:r w:rsidRPr="273A57E7">
        <w:rPr>
          <w:i/>
          <w:iCs/>
          <w:sz w:val="24"/>
          <w:szCs w:val="24"/>
        </w:rPr>
        <w:t>Aged Care Award 2010</w:t>
      </w:r>
      <w:r w:rsidRPr="273A57E7">
        <w:rPr>
          <w:sz w:val="24"/>
          <w:szCs w:val="24"/>
        </w:rPr>
        <w:t xml:space="preserve">, </w:t>
      </w:r>
      <w:r w:rsidRPr="273A57E7">
        <w:rPr>
          <w:i/>
          <w:iCs/>
          <w:sz w:val="24"/>
          <w:szCs w:val="24"/>
        </w:rPr>
        <w:t>Health Professionals and Support Services Award 2020</w:t>
      </w:r>
      <w:r w:rsidRPr="273A57E7">
        <w:rPr>
          <w:sz w:val="24"/>
          <w:szCs w:val="24"/>
        </w:rPr>
        <w:t xml:space="preserve">, </w:t>
      </w:r>
      <w:r w:rsidRPr="273A57E7">
        <w:rPr>
          <w:i/>
          <w:iCs/>
          <w:sz w:val="24"/>
          <w:szCs w:val="24"/>
        </w:rPr>
        <w:t>Nurses Award 2020</w:t>
      </w:r>
      <w:r w:rsidRPr="273A57E7">
        <w:rPr>
          <w:sz w:val="24"/>
          <w:szCs w:val="24"/>
        </w:rPr>
        <w:t xml:space="preserve">, </w:t>
      </w:r>
      <w:r w:rsidRPr="273A57E7">
        <w:rPr>
          <w:i/>
          <w:iCs/>
          <w:sz w:val="24"/>
          <w:szCs w:val="24"/>
        </w:rPr>
        <w:t>Educational Services (Schools) General Staff Award 2020</w:t>
      </w:r>
      <w:r w:rsidRPr="273A57E7">
        <w:rPr>
          <w:sz w:val="24"/>
          <w:szCs w:val="24"/>
        </w:rPr>
        <w:t xml:space="preserve">, </w:t>
      </w:r>
      <w:r w:rsidRPr="273A57E7">
        <w:rPr>
          <w:i/>
          <w:iCs/>
          <w:sz w:val="24"/>
          <w:szCs w:val="24"/>
        </w:rPr>
        <w:t>Higher Education Industry - General Staff - Award 2020</w:t>
      </w:r>
      <w:r w:rsidRPr="273A57E7">
        <w:rPr>
          <w:sz w:val="24"/>
          <w:szCs w:val="24"/>
        </w:rPr>
        <w:t xml:space="preserve"> and the </w:t>
      </w:r>
      <w:r w:rsidRPr="273A57E7">
        <w:rPr>
          <w:i/>
          <w:iCs/>
          <w:sz w:val="24"/>
          <w:szCs w:val="24"/>
        </w:rPr>
        <w:t>Local Government Industry Award 2020</w:t>
      </w:r>
      <w:r w:rsidRPr="273A57E7">
        <w:rPr>
          <w:sz w:val="24"/>
          <w:szCs w:val="24"/>
        </w:rPr>
        <w:t>).</w:t>
      </w:r>
    </w:p>
    <w:p w14:paraId="4ACBE04A" w14:textId="77777777" w:rsidR="00E927FC" w:rsidRDefault="00E927FC" w:rsidP="00E927FC"/>
    <w:p w14:paraId="7815A1E8" w14:textId="4161DAEC" w:rsidR="00E927FC" w:rsidRPr="00A45938" w:rsidRDefault="00E927FC" w:rsidP="00E927FC">
      <w:r>
        <w:t xml:space="preserve">The Fair Work Commission </w:t>
      </w:r>
      <w:r w:rsidR="00A45938">
        <w:t xml:space="preserve">has </w:t>
      </w:r>
      <w:r w:rsidR="001309B4">
        <w:t>also undertaken</w:t>
      </w:r>
      <w:r w:rsidR="00A45938">
        <w:t xml:space="preserve"> </w:t>
      </w:r>
      <w:r>
        <w:t xml:space="preserve">a </w:t>
      </w:r>
      <w:r w:rsidRPr="00E927FC">
        <w:t xml:space="preserve">research project </w:t>
      </w:r>
      <w:r>
        <w:t>into</w:t>
      </w:r>
      <w:r w:rsidRPr="00E927FC">
        <w:t xml:space="preserve"> </w:t>
      </w:r>
      <w:r w:rsidR="00A504FF">
        <w:t>gender pay equity</w:t>
      </w:r>
      <w:r>
        <w:t xml:space="preserve">, which </w:t>
      </w:r>
      <w:r w:rsidR="00A45938">
        <w:t xml:space="preserve">informed the Expert Panel consideration of issues arising in connection with the gender equality objectives of the </w:t>
      </w:r>
      <w:r w:rsidR="00A45938" w:rsidRPr="00C44AE8">
        <w:rPr>
          <w:i/>
          <w:iCs/>
        </w:rPr>
        <w:t>Fair Work Act</w:t>
      </w:r>
      <w:r w:rsidR="00C44AE8" w:rsidRPr="00C44AE8">
        <w:rPr>
          <w:i/>
          <w:iCs/>
        </w:rPr>
        <w:t xml:space="preserve"> 2009</w:t>
      </w:r>
      <w:r w:rsidR="00A45938" w:rsidRPr="00A45938">
        <w:rPr>
          <w:i/>
          <w:iCs/>
        </w:rPr>
        <w:t xml:space="preserve"> </w:t>
      </w:r>
      <w:r w:rsidR="001309B4">
        <w:t>in the Annual Wage Review 2023</w:t>
      </w:r>
      <w:r w:rsidR="00851075">
        <w:rPr>
          <w:rFonts w:cstheme="minorHAnsi"/>
        </w:rPr>
        <w:t>–</w:t>
      </w:r>
      <w:r w:rsidR="001309B4">
        <w:t>24</w:t>
      </w:r>
      <w:r>
        <w:t xml:space="preserve">. </w:t>
      </w:r>
    </w:p>
    <w:p w14:paraId="4BD441A8" w14:textId="65C470D9" w:rsidR="00E927FC" w:rsidRDefault="00E927FC" w:rsidP="00A45938">
      <w:pPr>
        <w:pStyle w:val="ListParagraph"/>
        <w:numPr>
          <w:ilvl w:val="0"/>
          <w:numId w:val="2"/>
        </w:numPr>
        <w:rPr>
          <w:sz w:val="24"/>
          <w:szCs w:val="24"/>
        </w:rPr>
      </w:pPr>
      <w:r>
        <w:rPr>
          <w:sz w:val="24"/>
          <w:szCs w:val="24"/>
        </w:rPr>
        <w:t xml:space="preserve">Stage 1 </w:t>
      </w:r>
      <w:r w:rsidR="00A45938">
        <w:rPr>
          <w:sz w:val="24"/>
          <w:szCs w:val="24"/>
        </w:rPr>
        <w:t>of this</w:t>
      </w:r>
      <w:r w:rsidR="001309B4">
        <w:rPr>
          <w:sz w:val="24"/>
          <w:szCs w:val="24"/>
        </w:rPr>
        <w:t xml:space="preserve"> </w:t>
      </w:r>
      <w:r>
        <w:rPr>
          <w:sz w:val="24"/>
          <w:szCs w:val="24"/>
        </w:rPr>
        <w:t>research</w:t>
      </w:r>
      <w:r w:rsidR="00A45938">
        <w:rPr>
          <w:rStyle w:val="FootnoteReference"/>
          <w:sz w:val="24"/>
          <w:szCs w:val="24"/>
        </w:rPr>
        <w:footnoteReference w:id="11"/>
      </w:r>
      <w:r>
        <w:rPr>
          <w:sz w:val="24"/>
          <w:szCs w:val="24"/>
        </w:rPr>
        <w:t xml:space="preserve"> </w:t>
      </w:r>
      <w:r w:rsidR="00940337" w:rsidRPr="00E927FC">
        <w:rPr>
          <w:sz w:val="24"/>
          <w:szCs w:val="24"/>
        </w:rPr>
        <w:t>identifie</w:t>
      </w:r>
      <w:r w:rsidR="00940337">
        <w:rPr>
          <w:sz w:val="24"/>
          <w:szCs w:val="24"/>
        </w:rPr>
        <w:t>d</w:t>
      </w:r>
      <w:r w:rsidR="00940337" w:rsidRPr="00E927FC">
        <w:rPr>
          <w:sz w:val="24"/>
          <w:szCs w:val="24"/>
        </w:rPr>
        <w:t xml:space="preserve"> </w:t>
      </w:r>
      <w:r w:rsidRPr="00E927FC">
        <w:rPr>
          <w:sz w:val="24"/>
          <w:szCs w:val="24"/>
        </w:rPr>
        <w:t>13 modern awards used to set pay in 29 large, highly feminised occupations</w:t>
      </w:r>
      <w:r>
        <w:rPr>
          <w:sz w:val="24"/>
          <w:szCs w:val="24"/>
        </w:rPr>
        <w:t xml:space="preserve">, including the </w:t>
      </w:r>
      <w:r w:rsidRPr="00A45938">
        <w:rPr>
          <w:i/>
          <w:iCs/>
          <w:sz w:val="24"/>
          <w:szCs w:val="24"/>
        </w:rPr>
        <w:t>Aged Care Award 2010</w:t>
      </w:r>
      <w:r w:rsidRPr="00E927FC">
        <w:rPr>
          <w:sz w:val="24"/>
          <w:szCs w:val="24"/>
        </w:rPr>
        <w:t xml:space="preserve">, </w:t>
      </w:r>
      <w:r w:rsidRPr="00A45938">
        <w:rPr>
          <w:i/>
          <w:iCs/>
          <w:sz w:val="24"/>
          <w:szCs w:val="24"/>
        </w:rPr>
        <w:t>Nurses Award 2020</w:t>
      </w:r>
      <w:r w:rsidRPr="00A45938">
        <w:rPr>
          <w:sz w:val="24"/>
          <w:szCs w:val="24"/>
        </w:rPr>
        <w:t xml:space="preserve">, </w:t>
      </w:r>
      <w:r w:rsidRPr="00A45938">
        <w:rPr>
          <w:i/>
          <w:iCs/>
          <w:sz w:val="24"/>
          <w:szCs w:val="24"/>
        </w:rPr>
        <w:t>Social, Community, Home Care and Disability Services Industry Award 2010</w:t>
      </w:r>
      <w:r w:rsidR="00A45938" w:rsidRPr="00A45938">
        <w:rPr>
          <w:sz w:val="24"/>
          <w:szCs w:val="24"/>
        </w:rPr>
        <w:t xml:space="preserve">, </w:t>
      </w:r>
      <w:r w:rsidRPr="00A45938">
        <w:rPr>
          <w:i/>
          <w:iCs/>
          <w:sz w:val="24"/>
          <w:szCs w:val="24"/>
        </w:rPr>
        <w:t>Children’s Services Award 2010</w:t>
      </w:r>
      <w:r w:rsidR="00A45938" w:rsidRPr="00A45938">
        <w:rPr>
          <w:sz w:val="24"/>
          <w:szCs w:val="24"/>
        </w:rPr>
        <w:t>,</w:t>
      </w:r>
      <w:r w:rsidRPr="00A45938">
        <w:rPr>
          <w:sz w:val="24"/>
          <w:szCs w:val="24"/>
        </w:rPr>
        <w:t xml:space="preserve"> </w:t>
      </w:r>
      <w:r w:rsidRPr="00A45938">
        <w:rPr>
          <w:i/>
          <w:iCs/>
          <w:sz w:val="24"/>
          <w:szCs w:val="24"/>
        </w:rPr>
        <w:t>Health Professionals and Support Services Award 2020</w:t>
      </w:r>
      <w:r w:rsidR="00A45938" w:rsidRPr="00A45938">
        <w:rPr>
          <w:sz w:val="24"/>
          <w:szCs w:val="24"/>
        </w:rPr>
        <w:t xml:space="preserve">, </w:t>
      </w:r>
      <w:r w:rsidRPr="00A45938">
        <w:rPr>
          <w:i/>
          <w:iCs/>
          <w:sz w:val="24"/>
          <w:szCs w:val="24"/>
        </w:rPr>
        <w:t>Educational Services (Schools) General Staff Award 2020</w:t>
      </w:r>
      <w:r w:rsidR="00A45938" w:rsidRPr="00A45938">
        <w:rPr>
          <w:sz w:val="24"/>
          <w:szCs w:val="24"/>
        </w:rPr>
        <w:t xml:space="preserve">, </w:t>
      </w:r>
      <w:r w:rsidRPr="00A45938">
        <w:rPr>
          <w:i/>
          <w:iCs/>
          <w:sz w:val="24"/>
          <w:szCs w:val="24"/>
        </w:rPr>
        <w:t>Educational Services (Teachers) Award 2020</w:t>
      </w:r>
      <w:r w:rsidR="00A45938" w:rsidRPr="00A45938">
        <w:rPr>
          <w:sz w:val="24"/>
          <w:szCs w:val="24"/>
        </w:rPr>
        <w:t>,</w:t>
      </w:r>
      <w:r w:rsidRPr="00A45938">
        <w:rPr>
          <w:sz w:val="24"/>
          <w:szCs w:val="24"/>
        </w:rPr>
        <w:t xml:space="preserve"> </w:t>
      </w:r>
      <w:r w:rsidR="00A45938">
        <w:rPr>
          <w:sz w:val="24"/>
          <w:szCs w:val="24"/>
        </w:rPr>
        <w:t xml:space="preserve">and the </w:t>
      </w:r>
      <w:r w:rsidRPr="00A45938">
        <w:rPr>
          <w:i/>
          <w:iCs/>
          <w:sz w:val="24"/>
          <w:szCs w:val="24"/>
        </w:rPr>
        <w:t>Aboriginal and Torres Strait Islander Health Workers and Practitioners and Aboriginal Community Controlled Health Award 2020</w:t>
      </w:r>
      <w:r w:rsidRPr="00A45938">
        <w:rPr>
          <w:sz w:val="24"/>
          <w:szCs w:val="24"/>
        </w:rPr>
        <w:t>.</w:t>
      </w:r>
    </w:p>
    <w:p w14:paraId="2A6EB486" w14:textId="35FA3D37" w:rsidR="00A45938" w:rsidRPr="00A45938" w:rsidRDefault="00A45938" w:rsidP="00A45938">
      <w:pPr>
        <w:pStyle w:val="ListParagraph"/>
        <w:numPr>
          <w:ilvl w:val="0"/>
          <w:numId w:val="2"/>
        </w:numPr>
        <w:rPr>
          <w:sz w:val="24"/>
          <w:szCs w:val="24"/>
        </w:rPr>
      </w:pPr>
      <w:r>
        <w:rPr>
          <w:sz w:val="24"/>
          <w:szCs w:val="24"/>
        </w:rPr>
        <w:t xml:space="preserve">Stage 2 of this research </w:t>
      </w:r>
      <w:r w:rsidR="00940337" w:rsidRPr="00A45938">
        <w:rPr>
          <w:sz w:val="24"/>
          <w:szCs w:val="24"/>
        </w:rPr>
        <w:t>examine</w:t>
      </w:r>
      <w:r w:rsidR="00940337">
        <w:rPr>
          <w:sz w:val="24"/>
          <w:szCs w:val="24"/>
        </w:rPr>
        <w:t>d</w:t>
      </w:r>
      <w:r w:rsidR="00940337" w:rsidRPr="00A45938">
        <w:rPr>
          <w:sz w:val="24"/>
          <w:szCs w:val="24"/>
        </w:rPr>
        <w:t xml:space="preserve"> </w:t>
      </w:r>
      <w:r w:rsidRPr="00A45938">
        <w:rPr>
          <w:sz w:val="24"/>
          <w:szCs w:val="24"/>
        </w:rPr>
        <w:t>the history of 12 of the 13 awards identified in Stage 1 to determine whether the</w:t>
      </w:r>
      <w:r w:rsidR="0090759F">
        <w:rPr>
          <w:sz w:val="24"/>
          <w:szCs w:val="24"/>
        </w:rPr>
        <w:t xml:space="preserve"> Fair Work</w:t>
      </w:r>
      <w:r w:rsidRPr="00A45938">
        <w:rPr>
          <w:sz w:val="24"/>
          <w:szCs w:val="24"/>
        </w:rPr>
        <w:t xml:space="preserve"> Commission (or its predecessors or, where relevant, State tribunals) </w:t>
      </w:r>
      <w:r w:rsidR="00940337" w:rsidRPr="00A45938">
        <w:rPr>
          <w:sz w:val="24"/>
          <w:szCs w:val="24"/>
        </w:rPr>
        <w:t>ha</w:t>
      </w:r>
      <w:r w:rsidR="00940337">
        <w:rPr>
          <w:sz w:val="24"/>
          <w:szCs w:val="24"/>
        </w:rPr>
        <w:t>d</w:t>
      </w:r>
      <w:r w:rsidR="00940337" w:rsidRPr="00A45938">
        <w:rPr>
          <w:sz w:val="24"/>
          <w:szCs w:val="24"/>
        </w:rPr>
        <w:t xml:space="preserve"> </w:t>
      </w:r>
      <w:r w:rsidRPr="00A45938">
        <w:rPr>
          <w:sz w:val="24"/>
          <w:szCs w:val="24"/>
        </w:rPr>
        <w:t>ever undertaken a comprehensive work value assessment of classifications within the awards and to identify any other indicia of historic gender-based undervaluation</w:t>
      </w:r>
      <w:r w:rsidR="00B012D5">
        <w:rPr>
          <w:sz w:val="24"/>
          <w:szCs w:val="24"/>
        </w:rPr>
        <w:t>.</w:t>
      </w:r>
    </w:p>
    <w:p w14:paraId="689D9A0C" w14:textId="77777777" w:rsidR="00227486" w:rsidRDefault="00227486" w:rsidP="000F612B"/>
    <w:p w14:paraId="77A53D82" w14:textId="658D6E71" w:rsidR="000F612B" w:rsidRPr="00046C5F" w:rsidRDefault="00AE49C5" w:rsidP="000F612B">
      <w:r w:rsidRPr="00046C5F">
        <w:t xml:space="preserve">Following </w:t>
      </w:r>
      <w:r w:rsidR="002521D9" w:rsidRPr="00046C5F">
        <w:t>its Annual Wage Review 2023</w:t>
      </w:r>
      <w:r w:rsidR="002521D9" w:rsidRPr="00046C5F">
        <w:rPr>
          <w:rFonts w:cstheme="minorHAnsi"/>
        </w:rPr>
        <w:t>–</w:t>
      </w:r>
      <w:r w:rsidR="002521D9" w:rsidRPr="00046C5F">
        <w:t xml:space="preserve">24 decision, the </w:t>
      </w:r>
      <w:r w:rsidR="006D49AA" w:rsidRPr="00046C5F">
        <w:t xml:space="preserve">Fair Work </w:t>
      </w:r>
      <w:r w:rsidR="002521D9" w:rsidRPr="00046C5F">
        <w:t xml:space="preserve">Commission has </w:t>
      </w:r>
      <w:r w:rsidR="000F612B" w:rsidRPr="00046C5F">
        <w:t>initiate</w:t>
      </w:r>
      <w:r w:rsidRPr="00046C5F">
        <w:t>d</w:t>
      </w:r>
      <w:r w:rsidR="000F612B" w:rsidRPr="00046C5F">
        <w:t xml:space="preserve"> proceedings on its own </w:t>
      </w:r>
      <w:r w:rsidR="002D2037" w:rsidRPr="00046C5F">
        <w:t xml:space="preserve">motion </w:t>
      </w:r>
      <w:r w:rsidR="000F612B" w:rsidRPr="00046C5F">
        <w:t>pursuant to s</w:t>
      </w:r>
      <w:r w:rsidRPr="00046C5F">
        <w:t>ection</w:t>
      </w:r>
      <w:r w:rsidR="000F612B" w:rsidRPr="00046C5F">
        <w:t xml:space="preserve"> 157 of the </w:t>
      </w:r>
      <w:r w:rsidR="000F612B" w:rsidRPr="00046C5F">
        <w:rPr>
          <w:i/>
          <w:iCs/>
        </w:rPr>
        <w:t>F</w:t>
      </w:r>
      <w:r w:rsidRPr="00046C5F">
        <w:rPr>
          <w:i/>
          <w:iCs/>
        </w:rPr>
        <w:t xml:space="preserve">air </w:t>
      </w:r>
      <w:r w:rsidR="000F612B" w:rsidRPr="00046C5F">
        <w:rPr>
          <w:i/>
          <w:iCs/>
        </w:rPr>
        <w:t>W</w:t>
      </w:r>
      <w:r w:rsidRPr="00046C5F">
        <w:rPr>
          <w:i/>
          <w:iCs/>
        </w:rPr>
        <w:t>ork</w:t>
      </w:r>
      <w:r w:rsidR="000F612B" w:rsidRPr="00046C5F">
        <w:rPr>
          <w:i/>
          <w:iCs/>
        </w:rPr>
        <w:t xml:space="preserve"> Act</w:t>
      </w:r>
      <w:r w:rsidRPr="00046C5F">
        <w:rPr>
          <w:i/>
          <w:iCs/>
        </w:rPr>
        <w:t xml:space="preserve"> 2009</w:t>
      </w:r>
      <w:r w:rsidR="000F612B" w:rsidRPr="00046C5F">
        <w:t xml:space="preserve"> concerning the following awards: </w:t>
      </w:r>
    </w:p>
    <w:p w14:paraId="0E295C15" w14:textId="375F6929" w:rsidR="000F612B" w:rsidRPr="00046C5F" w:rsidRDefault="000F612B" w:rsidP="273A57E7">
      <w:pPr>
        <w:pStyle w:val="ListParagraph"/>
        <w:numPr>
          <w:ilvl w:val="0"/>
          <w:numId w:val="46"/>
        </w:numPr>
        <w:rPr>
          <w:i/>
          <w:iCs/>
          <w:sz w:val="24"/>
          <w:szCs w:val="24"/>
        </w:rPr>
      </w:pPr>
      <w:r w:rsidRPr="00046C5F">
        <w:rPr>
          <w:i/>
          <w:iCs/>
          <w:sz w:val="24"/>
          <w:szCs w:val="24"/>
        </w:rPr>
        <w:t>Children’s Services Award 2010</w:t>
      </w:r>
    </w:p>
    <w:p w14:paraId="587B9D58" w14:textId="03F12EE4" w:rsidR="000F612B" w:rsidRPr="00046C5F" w:rsidRDefault="000F612B" w:rsidP="273A57E7">
      <w:pPr>
        <w:pStyle w:val="ListParagraph"/>
        <w:numPr>
          <w:ilvl w:val="0"/>
          <w:numId w:val="46"/>
        </w:numPr>
        <w:rPr>
          <w:i/>
          <w:iCs/>
          <w:sz w:val="24"/>
          <w:szCs w:val="24"/>
        </w:rPr>
      </w:pPr>
      <w:r w:rsidRPr="00046C5F">
        <w:rPr>
          <w:i/>
          <w:iCs/>
          <w:sz w:val="24"/>
          <w:szCs w:val="24"/>
        </w:rPr>
        <w:t>Social, Community, Home Care and Disability Services Industry Award 2010</w:t>
      </w:r>
    </w:p>
    <w:p w14:paraId="09516E65" w14:textId="2E8B6572" w:rsidR="000F612B" w:rsidRPr="00046C5F" w:rsidRDefault="000F612B" w:rsidP="273A57E7">
      <w:pPr>
        <w:pStyle w:val="ListParagraph"/>
        <w:numPr>
          <w:ilvl w:val="0"/>
          <w:numId w:val="46"/>
        </w:numPr>
        <w:rPr>
          <w:i/>
          <w:iCs/>
          <w:sz w:val="24"/>
          <w:szCs w:val="24"/>
        </w:rPr>
      </w:pPr>
      <w:r w:rsidRPr="00046C5F">
        <w:rPr>
          <w:i/>
          <w:iCs/>
          <w:sz w:val="24"/>
          <w:szCs w:val="24"/>
        </w:rPr>
        <w:t>Health Professionals and Support Services Award 2020</w:t>
      </w:r>
    </w:p>
    <w:p w14:paraId="27EA6FA5" w14:textId="708DAF54" w:rsidR="000F612B" w:rsidRPr="00046C5F" w:rsidRDefault="000F612B" w:rsidP="273A57E7">
      <w:pPr>
        <w:pStyle w:val="ListParagraph"/>
        <w:numPr>
          <w:ilvl w:val="0"/>
          <w:numId w:val="46"/>
        </w:numPr>
        <w:rPr>
          <w:i/>
          <w:iCs/>
          <w:sz w:val="24"/>
          <w:szCs w:val="24"/>
        </w:rPr>
      </w:pPr>
      <w:r w:rsidRPr="00046C5F">
        <w:rPr>
          <w:i/>
          <w:iCs/>
          <w:sz w:val="24"/>
          <w:szCs w:val="24"/>
        </w:rPr>
        <w:t>Aboriginal and Torres Strait Islander Health Workers and Practitioners and Aboriginal Community Controlled Health Services Award 2020</w:t>
      </w:r>
      <w:r w:rsidR="49FC6BE7" w:rsidRPr="00046C5F">
        <w:rPr>
          <w:i/>
          <w:iCs/>
          <w:sz w:val="24"/>
          <w:szCs w:val="24"/>
        </w:rPr>
        <w:t>,</w:t>
      </w:r>
      <w:r w:rsidRPr="00046C5F">
        <w:rPr>
          <w:i/>
          <w:iCs/>
          <w:sz w:val="24"/>
          <w:szCs w:val="24"/>
        </w:rPr>
        <w:t xml:space="preserve"> and </w:t>
      </w:r>
    </w:p>
    <w:p w14:paraId="62607150" w14:textId="3028CA6C" w:rsidR="005D451A" w:rsidRPr="00046C5F" w:rsidRDefault="000F612B" w:rsidP="000F612B">
      <w:pPr>
        <w:pStyle w:val="ListParagraph"/>
        <w:numPr>
          <w:ilvl w:val="0"/>
          <w:numId w:val="46"/>
        </w:numPr>
        <w:rPr>
          <w:i/>
          <w:iCs/>
          <w:sz w:val="24"/>
          <w:szCs w:val="24"/>
        </w:rPr>
      </w:pPr>
      <w:r w:rsidRPr="00046C5F">
        <w:rPr>
          <w:i/>
          <w:iCs/>
          <w:sz w:val="24"/>
          <w:szCs w:val="24"/>
        </w:rPr>
        <w:t>Pharmacy Industry Award 2020.</w:t>
      </w:r>
    </w:p>
    <w:p w14:paraId="3C9B4C53" w14:textId="3411DF24" w:rsidR="00601068" w:rsidRDefault="00601068" w:rsidP="273A57E7">
      <w:pPr>
        <w:spacing w:before="120" w:after="120" w:line="256" w:lineRule="auto"/>
      </w:pPr>
      <w:r w:rsidRPr="00046C5F">
        <w:t xml:space="preserve">The </w:t>
      </w:r>
      <w:r w:rsidR="006D49AA" w:rsidRPr="00046C5F">
        <w:t xml:space="preserve">Fair Work </w:t>
      </w:r>
      <w:r w:rsidRPr="00046C5F">
        <w:t xml:space="preserve">Commission will determine if it needs to vary minimum wages in these </w:t>
      </w:r>
      <w:r w:rsidR="002D2037" w:rsidRPr="00046C5F">
        <w:t>m</w:t>
      </w:r>
      <w:r w:rsidRPr="00046C5F">
        <w:t xml:space="preserve">odern </w:t>
      </w:r>
      <w:r w:rsidR="002D2037" w:rsidRPr="00046C5F">
        <w:t>a</w:t>
      </w:r>
      <w:r w:rsidRPr="00046C5F">
        <w:t>wards for work value reasons, including to ensure that the consideration of work value is free of assumptions based on gender.</w:t>
      </w:r>
    </w:p>
    <w:p w14:paraId="1B50EA2C" w14:textId="77777777" w:rsidR="004F1F59" w:rsidRDefault="004F1F59" w:rsidP="000E50B7"/>
    <w:p w14:paraId="7778DEC5" w14:textId="3C5187E9" w:rsidR="00EA058A" w:rsidRPr="00EA058A" w:rsidRDefault="00223736" w:rsidP="00223736">
      <w:pPr>
        <w:pStyle w:val="Heading4"/>
      </w:pPr>
      <w:r>
        <w:t xml:space="preserve">4.1.2 </w:t>
      </w:r>
      <w:r w:rsidR="00EA058A" w:rsidRPr="00EA058A">
        <w:t>First Nations care workforce</w:t>
      </w:r>
    </w:p>
    <w:p w14:paraId="70EFE052" w14:textId="743D86E3" w:rsidR="00EA058A" w:rsidRPr="00DF6490" w:rsidRDefault="00EA058A" w:rsidP="000E50B7"/>
    <w:p w14:paraId="45A7A350" w14:textId="59CE79DD" w:rsidR="0070482D" w:rsidRPr="00DF6490" w:rsidRDefault="00B625A8" w:rsidP="0070482D">
      <w:r w:rsidRPr="00DF6490">
        <w:t xml:space="preserve">The Government also recognises that a strong First Nations care workforce is key to ensuring cultural safety. Strategic Direction 3 of the National Aboriginal and Torres Strait Islander Health Workforce Strategic Framework and Implementation Plan 2021–2031 seeks to ensure </w:t>
      </w:r>
      <w:r w:rsidR="0038444E">
        <w:t>First Nations</w:t>
      </w:r>
      <w:r w:rsidRPr="00DF6490">
        <w:t xml:space="preserve"> people are employed in culturally safe and responsive workplace environments. </w:t>
      </w:r>
      <w:r w:rsidR="0070482D">
        <w:t>In April 2023, National Cabinet also agreed to work together to progress a first tranche of reforms to grow the First Nations care and support workforce.</w:t>
      </w:r>
    </w:p>
    <w:p w14:paraId="3036D48F" w14:textId="77777777" w:rsidR="00B625A8" w:rsidRPr="00DF6490" w:rsidRDefault="00B625A8" w:rsidP="00B625A8"/>
    <w:p w14:paraId="42853982" w14:textId="278169C0" w:rsidR="00B625A8" w:rsidRPr="00DF6490" w:rsidRDefault="00B625A8" w:rsidP="00B625A8">
      <w:r>
        <w:t xml:space="preserve">The National Medical Workforce Strategy 2021–2031 will guide long-term collaborative medical workforce planning across Australia. It identifies achievable, practical actions to build a sustainable, highly trained medical workforce. Cultural safety is a cross cutting theme of the National Medical Workforce Strategy and is seen as important for early implementation to grow the </w:t>
      </w:r>
      <w:r w:rsidR="00445765">
        <w:t>First Nations</w:t>
      </w:r>
      <w:r>
        <w:t xml:space="preserve"> medical workforce and provide a safe environment for </w:t>
      </w:r>
      <w:r w:rsidR="00445765">
        <w:t xml:space="preserve">First Nations </w:t>
      </w:r>
      <w:r>
        <w:t xml:space="preserve">peoples to give and receive care. The National Medical Workforce Strategy includes actions to improve cultural safety and the capacity of the medical workforce to create and maintain culturally safe environments for </w:t>
      </w:r>
      <w:r w:rsidR="000F516D">
        <w:t xml:space="preserve">First Nations </w:t>
      </w:r>
      <w:r>
        <w:t>doctors, patients, and other health professionals.</w:t>
      </w:r>
    </w:p>
    <w:p w14:paraId="757BB28E" w14:textId="77777777" w:rsidR="00270552" w:rsidRPr="00DF6490" w:rsidRDefault="00270552" w:rsidP="00270552"/>
    <w:p w14:paraId="6B216F5F" w14:textId="066ED0E1" w:rsidR="00152525" w:rsidRPr="00DF6490" w:rsidRDefault="000C6EAB">
      <w:r>
        <w:t>Better equipping First Nations organisations to implement care services is in line with the Government</w:t>
      </w:r>
      <w:r w:rsidR="001309B4">
        <w:t>’</w:t>
      </w:r>
      <w:r>
        <w:t>s commitment to Priority Reform Two of the National Agreement on Closing the Gap. This is supported by existing policies including the Closing the Gap Implementation Plan.</w:t>
      </w:r>
      <w:r w:rsidR="005C74DA">
        <w:t xml:space="preserve"> </w:t>
      </w:r>
      <w:r w:rsidR="005149E5">
        <w:t xml:space="preserve">As identified in the National Agreement on Closing the Gap, the health sector was one of the initial sectors identified for strengthening. A Health Sector Strengthening Plan was agreed-in-principle through the Joint Council on Closing the Gap in December 2021 and includes </w:t>
      </w:r>
      <w:r w:rsidR="00015607">
        <w:t xml:space="preserve">4 </w:t>
      </w:r>
      <w:r w:rsidR="005149E5">
        <w:t xml:space="preserve">streams: </w:t>
      </w:r>
      <w:r w:rsidR="00015607">
        <w:t>w</w:t>
      </w:r>
      <w:r w:rsidR="005149E5">
        <w:t xml:space="preserve">orkforce; </w:t>
      </w:r>
      <w:r w:rsidR="00015607">
        <w:t>c</w:t>
      </w:r>
      <w:r w:rsidR="005149E5">
        <w:t xml:space="preserve">apital infrastructure; </w:t>
      </w:r>
      <w:r w:rsidR="00015607">
        <w:t>s</w:t>
      </w:r>
      <w:r w:rsidR="005149E5">
        <w:t xml:space="preserve">ervice provision; and </w:t>
      </w:r>
      <w:r w:rsidR="00015607">
        <w:t>g</w:t>
      </w:r>
      <w:r w:rsidR="005149E5">
        <w:t>overnance.</w:t>
      </w:r>
    </w:p>
    <w:p w14:paraId="223FB1D8" w14:textId="77777777" w:rsidR="00B625A8" w:rsidRPr="00DF6490" w:rsidRDefault="00B625A8" w:rsidP="00B625A8"/>
    <w:p w14:paraId="2551E9BE" w14:textId="3AFBDAB8" w:rsidR="00B625A8" w:rsidRPr="00DF6490" w:rsidRDefault="00B625A8" w:rsidP="00B625A8">
      <w:r>
        <w:t>Under Clause 55</w:t>
      </w:r>
      <w:r w:rsidR="00202857">
        <w:t>(</w:t>
      </w:r>
      <w:r>
        <w:t>b</w:t>
      </w:r>
      <w:r w:rsidR="00202857">
        <w:t>)</w:t>
      </w:r>
      <w:r>
        <w:t xml:space="preserve"> of the National Agreement on Closing the Gap, the Commonwealth </w:t>
      </w:r>
      <w:r w:rsidR="00DF15E2">
        <w:t xml:space="preserve">Government </w:t>
      </w:r>
      <w:r>
        <w:t xml:space="preserve">is working with the Coalition of Peaks to identify evidence-led approaches to applying a ‘meaningful proportion’ of funding to </w:t>
      </w:r>
      <w:r w:rsidR="000F516D">
        <w:t>First Nations</w:t>
      </w:r>
      <w:r>
        <w:t xml:space="preserve"> organisations.</w:t>
      </w:r>
    </w:p>
    <w:p w14:paraId="5280D7CB" w14:textId="77777777" w:rsidR="00B625A8" w:rsidRPr="00DF6490" w:rsidRDefault="00B625A8" w:rsidP="00B625A8"/>
    <w:p w14:paraId="7B761950" w14:textId="431783E9" w:rsidR="00B625A8" w:rsidRPr="00DF6490" w:rsidRDefault="00B625A8" w:rsidP="00B625A8">
      <w:r w:rsidRPr="00DF6490">
        <w:t>The Government also recognises that First Nations registered training organisations play an important role in delivering culturally appropriate training, as well as lifting the participation of First Nations peoples in vocational education and training.</w:t>
      </w:r>
    </w:p>
    <w:p w14:paraId="36F8854D" w14:textId="77777777" w:rsidR="00B625A8" w:rsidRDefault="00B625A8" w:rsidP="00B625A8"/>
    <w:p w14:paraId="01BAB8E9" w14:textId="77777777" w:rsidR="00DC524D" w:rsidRPr="00DF6490" w:rsidRDefault="00DC524D" w:rsidP="00C6053F">
      <w:pPr>
        <w:pStyle w:val="Heading6"/>
        <w:pBdr>
          <w:top w:val="single" w:sz="4" w:space="1" w:color="auto"/>
          <w:left w:val="single" w:sz="4" w:space="4" w:color="auto"/>
          <w:bottom w:val="single" w:sz="4" w:space="1" w:color="auto"/>
          <w:right w:val="single" w:sz="4" w:space="4" w:color="auto"/>
        </w:pBdr>
      </w:pPr>
      <w:r w:rsidRPr="00DF6490">
        <w:t>Recommendation 13</w:t>
      </w:r>
    </w:p>
    <w:p w14:paraId="73547F09" w14:textId="7777777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t xml:space="preserve">The committee recommends the Department of Health and Aged Care and the National Indigenous Australians Agency develop processes to ensure that: </w:t>
      </w:r>
    </w:p>
    <w:p w14:paraId="0B9A658D" w14:textId="77777777" w:rsidR="00DC524D" w:rsidRPr="00FA2E53" w:rsidRDefault="00DC524D" w:rsidP="00C6053F">
      <w:pPr>
        <w:pStyle w:val="ListParagraph"/>
        <w:numPr>
          <w:ilvl w:val="0"/>
          <w:numId w:val="25"/>
        </w:numPr>
        <w:pBdr>
          <w:top w:val="single" w:sz="4" w:space="1" w:color="auto"/>
          <w:left w:val="single" w:sz="4" w:space="4" w:color="auto"/>
          <w:bottom w:val="single" w:sz="4" w:space="1" w:color="auto"/>
          <w:right w:val="single" w:sz="4" w:space="4" w:color="auto"/>
        </w:pBdr>
        <w:rPr>
          <w:sz w:val="24"/>
          <w:szCs w:val="24"/>
        </w:rPr>
      </w:pPr>
      <w:r w:rsidRPr="00FA2E53">
        <w:rPr>
          <w:sz w:val="24"/>
          <w:szCs w:val="24"/>
        </w:rPr>
        <w:t xml:space="preserve">care services for First Nations people transition to First Nations community-controlled organisations; and </w:t>
      </w:r>
    </w:p>
    <w:p w14:paraId="3D367E35" w14:textId="77777777" w:rsidR="00DC524D" w:rsidRPr="00FA2E53" w:rsidRDefault="00DC524D" w:rsidP="00C6053F">
      <w:pPr>
        <w:pStyle w:val="ListParagraph"/>
        <w:numPr>
          <w:ilvl w:val="0"/>
          <w:numId w:val="25"/>
        </w:numPr>
        <w:pBdr>
          <w:top w:val="single" w:sz="4" w:space="1" w:color="auto"/>
          <w:left w:val="single" w:sz="4" w:space="4" w:color="auto"/>
          <w:bottom w:val="single" w:sz="4" w:space="1" w:color="auto"/>
          <w:right w:val="single" w:sz="4" w:space="4" w:color="auto"/>
        </w:pBdr>
        <w:rPr>
          <w:sz w:val="24"/>
          <w:szCs w:val="24"/>
        </w:rPr>
      </w:pPr>
      <w:r w:rsidRPr="00FA2E53">
        <w:rPr>
          <w:sz w:val="24"/>
          <w:szCs w:val="24"/>
        </w:rPr>
        <w:t>culturally appropriate training in care service sectors is available to workers providing care to First Nations communities, especially in regional, remote and some urban areas.</w:t>
      </w:r>
    </w:p>
    <w:p w14:paraId="30747B11" w14:textId="77777777" w:rsidR="00DC524D" w:rsidRDefault="00DC524D" w:rsidP="00B625A8"/>
    <w:p w14:paraId="5CCD0C8A" w14:textId="41F1BCE1" w:rsidR="00DC524D" w:rsidRPr="00C6053F" w:rsidRDefault="00C6053F" w:rsidP="00DC524D">
      <w:r>
        <w:t xml:space="preserve">The Government </w:t>
      </w:r>
      <w:r>
        <w:rPr>
          <w:b/>
          <w:bCs/>
        </w:rPr>
        <w:t xml:space="preserve">agrees </w:t>
      </w:r>
      <w:r>
        <w:t xml:space="preserve">to this recommendation. </w:t>
      </w:r>
    </w:p>
    <w:p w14:paraId="4166E9F7" w14:textId="77777777" w:rsidR="00DC524D" w:rsidRPr="00DF6490" w:rsidRDefault="00DC524D" w:rsidP="00DC524D"/>
    <w:p w14:paraId="242A8EC9" w14:textId="77777777" w:rsidR="00DC524D" w:rsidRDefault="00DC524D" w:rsidP="00DC524D">
      <w:r>
        <w:t>The Government supports increasing the availability of capacity building programs to support the transition to community-controlled organisations, to ensure that demand can be adequately met for First Nations people to receive culturally safe, skilled and local care and support services, and that intersectional care needs are accounted for. This is complemented by the Government’s Integrated Care and Commissioning Project that is trialling collaborative, place-based and innovative approaches to improve service availability across health, aged care, disability, and veterans’ care sectors for people living in regional, rural and remote communities, and for First Nations peoples in targeted urban areas.</w:t>
      </w:r>
    </w:p>
    <w:p w14:paraId="0FB477A2" w14:textId="77777777" w:rsidR="00DC524D" w:rsidRPr="00DF6490" w:rsidRDefault="00DC524D" w:rsidP="00DC524D"/>
    <w:p w14:paraId="195E47B0" w14:textId="77777777" w:rsidR="00DC524D" w:rsidRDefault="00DC524D" w:rsidP="00DC524D">
      <w:pPr>
        <w:rPr>
          <w:sz w:val="22"/>
          <w:szCs w:val="22"/>
        </w:rPr>
      </w:pPr>
      <w:r>
        <w:t>The Government has announced a new Remote Jobs and Economic Development Program as part of its commitment to replace the Community Development Program. Developed in partnership with First Nations people, it will support people in remote communities to move into employment by funding meaningful jobs that communities want and will give more flexibility to communities to identify local job needs and projects, including in the care services sector. The design of the program is being informed by consultations with remote communities and stakeholders to understand how to create flexibility in a national program that takes into account local conditions and how the program can create career pathways for local people to gain experience in a real job.  </w:t>
      </w:r>
    </w:p>
    <w:p w14:paraId="50F0E980" w14:textId="77777777" w:rsidR="00DC524D" w:rsidRPr="00DF6490" w:rsidRDefault="00DC524D" w:rsidP="00DC524D">
      <w:r w:rsidRPr="00DF6490">
        <w:t xml:space="preserve"> </w:t>
      </w:r>
    </w:p>
    <w:p w14:paraId="453AC70A" w14:textId="47C0198F" w:rsidR="00DC524D" w:rsidRPr="00DF6490" w:rsidRDefault="00DC524D" w:rsidP="00DC524D">
      <w:r>
        <w:t xml:space="preserve">Through the Northern Territory Pathways to Community Control program, the Commonwealth </w:t>
      </w:r>
      <w:r w:rsidR="004C3A73">
        <w:t xml:space="preserve">Government </w:t>
      </w:r>
      <w:r>
        <w:t>has a longstanding commitment to working towards greater levels of Aboriginal community control in the delivery of primary health care in the Norther</w:t>
      </w:r>
      <w:r w:rsidR="63BC4CBF">
        <w:t>n</w:t>
      </w:r>
      <w:r>
        <w:t xml:space="preserve"> Territory. </w:t>
      </w:r>
    </w:p>
    <w:p w14:paraId="7AF2A7EA" w14:textId="77777777" w:rsidR="00DC524D" w:rsidRPr="00DF6490" w:rsidRDefault="00DC524D" w:rsidP="00DC524D"/>
    <w:p w14:paraId="4A20C1AE" w14:textId="77777777" w:rsidR="00DC524D" w:rsidRPr="00DF6490" w:rsidRDefault="00DC524D" w:rsidP="00DC524D">
      <w:r w:rsidRPr="00DF6490">
        <w:t>For example, the Government currently funds transition activities for the transfer of Northern Territory Health clinics in Jabiru to Red Lily Health Board in West Arnhem and Kaltukatjara to Central Australian Aboriginal Congress in Central Australia.</w:t>
      </w:r>
    </w:p>
    <w:p w14:paraId="65B30BD9" w14:textId="77777777" w:rsidR="00DC524D" w:rsidRPr="00DF6490" w:rsidRDefault="00DC524D" w:rsidP="00DC524D"/>
    <w:p w14:paraId="20DA634B" w14:textId="77777777" w:rsidR="00DC524D" w:rsidRDefault="00DC524D" w:rsidP="00DC524D">
      <w:r w:rsidRPr="00FD5380">
        <w:t xml:space="preserve">The Government supports increasing the availability of culturally appropriate training in care service sectors to workers providing care to First Nations individuals and communities.  </w:t>
      </w:r>
    </w:p>
    <w:p w14:paraId="751FF774" w14:textId="77777777" w:rsidR="00DC524D" w:rsidRPr="00DF6490" w:rsidRDefault="00DC524D" w:rsidP="00DC524D"/>
    <w:p w14:paraId="561579B5" w14:textId="28408E70" w:rsidR="00DC524D" w:rsidRDefault="00DC524D" w:rsidP="00DC524D">
      <w:r w:rsidRPr="000D136E">
        <w:t>The Government is working with the states</w:t>
      </w:r>
      <w:r w:rsidR="7C3D8454" w:rsidRPr="000D136E">
        <w:t xml:space="preserve"> and territories</w:t>
      </w:r>
      <w:r w:rsidRPr="000D136E">
        <w:t xml:space="preserve"> to support First Nations students and apprentices, working closely with First Nations people, their communities and training providers to support skill development and career opportunities, including increasing the availability of culturally appropriate training through the new National Skills Agreement which commenced on 1 January 2024.</w:t>
      </w:r>
    </w:p>
    <w:p w14:paraId="20BC5EB1" w14:textId="77777777" w:rsidR="00DC524D" w:rsidRDefault="00DC524D" w:rsidP="00DC524D"/>
    <w:p w14:paraId="03B03B80" w14:textId="77777777" w:rsidR="00DC524D" w:rsidRPr="00DF6490" w:rsidRDefault="00DC524D" w:rsidP="00C6053F">
      <w:pPr>
        <w:pStyle w:val="Heading6"/>
        <w:pBdr>
          <w:top w:val="single" w:sz="4" w:space="1" w:color="auto"/>
          <w:left w:val="single" w:sz="4" w:space="4" w:color="auto"/>
          <w:bottom w:val="single" w:sz="4" w:space="1" w:color="auto"/>
          <w:right w:val="single" w:sz="4" w:space="4" w:color="auto"/>
        </w:pBdr>
      </w:pPr>
      <w:r w:rsidRPr="00DF6490">
        <w:t>Recommendation 15</w:t>
      </w:r>
    </w:p>
    <w:p w14:paraId="1AE75998" w14:textId="7777777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t xml:space="preserve">The committee recommends the Australian Government support workers and their representatives in the care sector to use the mechanisms available to them through the </w:t>
      </w:r>
      <w:r w:rsidRPr="00DF6490">
        <w:rPr>
          <w:i/>
          <w:iCs/>
        </w:rPr>
        <w:t>Fair Work Legislation Amendment (Secure Jobs, Better Pay) Act 2022</w:t>
      </w:r>
      <w:r w:rsidRPr="00DF6490">
        <w:t xml:space="preserve"> to achieve wage increases. This could include care sector workers and their representatives accessing the supported bargaining stream, initiating an application for an equal remuneration order, or a work value claim. </w:t>
      </w:r>
    </w:p>
    <w:p w14:paraId="3864E99F" w14:textId="77777777" w:rsidR="00DC524D" w:rsidRPr="00DF6490" w:rsidRDefault="00DC524D" w:rsidP="00C6053F">
      <w:pPr>
        <w:pBdr>
          <w:top w:val="single" w:sz="4" w:space="1" w:color="auto"/>
          <w:left w:val="single" w:sz="4" w:space="4" w:color="auto"/>
          <w:bottom w:val="single" w:sz="4" w:space="1" w:color="auto"/>
          <w:right w:val="single" w:sz="4" w:space="4" w:color="auto"/>
        </w:pBdr>
      </w:pPr>
    </w:p>
    <w:p w14:paraId="12634498" w14:textId="69A0D299" w:rsidR="00DC524D" w:rsidRPr="00DF6490" w:rsidRDefault="00DC524D" w:rsidP="00C6053F">
      <w:pPr>
        <w:pBdr>
          <w:top w:val="single" w:sz="4" w:space="1" w:color="auto"/>
          <w:left w:val="single" w:sz="4" w:space="4" w:color="auto"/>
          <w:bottom w:val="single" w:sz="4" w:space="1" w:color="auto"/>
          <w:right w:val="single" w:sz="4" w:space="4" w:color="auto"/>
        </w:pBdr>
      </w:pPr>
      <w:r w:rsidRPr="00DF6490">
        <w:t xml:space="preserve">The committee further recommends the Australian Government support a priority application to the Fair Work Commission </w:t>
      </w:r>
      <w:r>
        <w:t xml:space="preserve">(FWC) </w:t>
      </w:r>
      <w:r w:rsidRPr="00DF6490">
        <w:t xml:space="preserve">through the newly established care and community sector expert panel, for award wage increases for all care sectors including </w:t>
      </w:r>
      <w:r w:rsidR="00D36113">
        <w:t xml:space="preserve">early </w:t>
      </w:r>
      <w:r w:rsidRPr="00DF6490">
        <w:t>childhood education, disability care and aged care, and all sectors covered by the relevant early childcare, and Social, Community Home Care and Disability Services Industry (SCHADS) Awards.</w:t>
      </w:r>
    </w:p>
    <w:p w14:paraId="054B27CE" w14:textId="77777777" w:rsidR="00DC524D" w:rsidRDefault="00DC524D" w:rsidP="00C6053F">
      <w:pPr>
        <w:pBdr>
          <w:top w:val="single" w:sz="4" w:space="1" w:color="auto"/>
          <w:left w:val="single" w:sz="4" w:space="4" w:color="auto"/>
          <w:bottom w:val="single" w:sz="4" w:space="1" w:color="auto"/>
          <w:right w:val="single" w:sz="4" w:space="4" w:color="auto"/>
        </w:pBdr>
      </w:pPr>
    </w:p>
    <w:p w14:paraId="2F42C03C" w14:textId="7777777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t>In order to address pay equity and to stem the flow of workers out of the care sector, such a priority application should draw the FWC</w:t>
      </w:r>
      <w:r>
        <w:t>’</w:t>
      </w:r>
      <w:r w:rsidRPr="00DF6490">
        <w:t xml:space="preserve">s attention to: </w:t>
      </w:r>
    </w:p>
    <w:p w14:paraId="2ED592B1" w14:textId="77777777" w:rsidR="00DC524D" w:rsidRPr="00DA2E95" w:rsidRDefault="00DC524D" w:rsidP="00C6053F">
      <w:pPr>
        <w:pStyle w:val="ListParagraph"/>
        <w:numPr>
          <w:ilvl w:val="0"/>
          <w:numId w:val="26"/>
        </w:numPr>
        <w:pBdr>
          <w:top w:val="single" w:sz="4" w:space="1" w:color="auto"/>
          <w:left w:val="single" w:sz="4" w:space="4" w:color="auto"/>
          <w:bottom w:val="single" w:sz="4" w:space="1" w:color="auto"/>
          <w:right w:val="single" w:sz="4" w:space="4" w:color="auto"/>
        </w:pBdr>
        <w:rPr>
          <w:sz w:val="24"/>
          <w:szCs w:val="24"/>
        </w:rPr>
      </w:pPr>
      <w:r w:rsidRPr="00DA2E95">
        <w:rPr>
          <w:sz w:val="24"/>
          <w:szCs w:val="24"/>
        </w:rPr>
        <w:t xml:space="preserve">the need to reconsider and appropriately reward classifications, wage structures, conditions and entitlements across all care sectors and awards, and under the SCHADS Award. This consideration should include appropriate relative pay across the care sector reflecting the nature of work and qualifications, skills and experience. It should also recognise the impact of gender on caring roles and the unique skills, variability and value of care work; </w:t>
      </w:r>
    </w:p>
    <w:p w14:paraId="5269626C" w14:textId="77777777" w:rsidR="00DC524D" w:rsidRPr="00DA2E95" w:rsidRDefault="00DC524D" w:rsidP="00C6053F">
      <w:pPr>
        <w:pStyle w:val="ListParagraph"/>
        <w:numPr>
          <w:ilvl w:val="0"/>
          <w:numId w:val="26"/>
        </w:numPr>
        <w:pBdr>
          <w:top w:val="single" w:sz="4" w:space="1" w:color="auto"/>
          <w:left w:val="single" w:sz="4" w:space="4" w:color="auto"/>
          <w:bottom w:val="single" w:sz="4" w:space="1" w:color="auto"/>
          <w:right w:val="single" w:sz="4" w:space="4" w:color="auto"/>
        </w:pBdr>
        <w:rPr>
          <w:sz w:val="24"/>
          <w:szCs w:val="24"/>
        </w:rPr>
      </w:pPr>
      <w:r w:rsidRPr="00DA2E95">
        <w:rPr>
          <w:sz w:val="24"/>
          <w:szCs w:val="24"/>
        </w:rPr>
        <w:t xml:space="preserve">the appropriateness of care sector employees receiving payments for work-related travel time, administrative responsibilities and engagement with essential training; and </w:t>
      </w:r>
    </w:p>
    <w:p w14:paraId="2FF1A612" w14:textId="77777777" w:rsidR="00DC524D" w:rsidRPr="00DA2E95" w:rsidRDefault="00DC524D" w:rsidP="00C6053F">
      <w:pPr>
        <w:pStyle w:val="ListParagraph"/>
        <w:numPr>
          <w:ilvl w:val="0"/>
          <w:numId w:val="26"/>
        </w:numPr>
        <w:pBdr>
          <w:top w:val="single" w:sz="4" w:space="1" w:color="auto"/>
          <w:left w:val="single" w:sz="4" w:space="4" w:color="auto"/>
          <w:bottom w:val="single" w:sz="4" w:space="1" w:color="auto"/>
          <w:right w:val="single" w:sz="4" w:space="4" w:color="auto"/>
        </w:pBdr>
        <w:rPr>
          <w:sz w:val="24"/>
          <w:szCs w:val="24"/>
        </w:rPr>
      </w:pPr>
      <w:r w:rsidRPr="00DA2E95">
        <w:rPr>
          <w:sz w:val="24"/>
          <w:szCs w:val="24"/>
        </w:rPr>
        <w:t xml:space="preserve">the appropriateness of a minimum shift call-in time across the care sector (for example, a four-hour minimum or another identified suitable minimum period). </w:t>
      </w:r>
    </w:p>
    <w:p w14:paraId="647CDC66" w14:textId="77777777" w:rsidR="00DC524D" w:rsidRPr="00DF6490" w:rsidRDefault="00DC524D" w:rsidP="00C6053F">
      <w:pPr>
        <w:pBdr>
          <w:top w:val="single" w:sz="4" w:space="1" w:color="auto"/>
          <w:left w:val="single" w:sz="4" w:space="4" w:color="auto"/>
          <w:bottom w:val="single" w:sz="4" w:space="1" w:color="auto"/>
          <w:right w:val="single" w:sz="4" w:space="4" w:color="auto"/>
        </w:pBdr>
      </w:pPr>
    </w:p>
    <w:p w14:paraId="2520296C" w14:textId="7777777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t>The Australian Government should consider mechanisms to fund and implement, in accordance with historical practice, any wage increases and improved conditions agreed to by the FWC.</w:t>
      </w:r>
    </w:p>
    <w:p w14:paraId="5DE1CB15" w14:textId="67ED1E12" w:rsidR="00FF2B38" w:rsidRDefault="00FF2B38">
      <w:pPr>
        <w:spacing w:after="200" w:line="276" w:lineRule="auto"/>
      </w:pPr>
      <w:r>
        <w:br w:type="page"/>
      </w:r>
    </w:p>
    <w:p w14:paraId="3A38BCF8" w14:textId="08DD878A" w:rsidR="00DC524D" w:rsidRPr="00DF6490" w:rsidRDefault="00DC524D" w:rsidP="00C6053F">
      <w:pPr>
        <w:pBdr>
          <w:top w:val="single" w:sz="4" w:space="1" w:color="auto"/>
          <w:left w:val="single" w:sz="4" w:space="4" w:color="auto"/>
          <w:bottom w:val="single" w:sz="4" w:space="1" w:color="auto"/>
          <w:right w:val="single" w:sz="4" w:space="4" w:color="auto"/>
        </w:pBdr>
        <w:textAlignment w:val="baseline"/>
        <w:rPr>
          <w:rFonts w:ascii="Segoe UI" w:hAnsi="Segoe UI" w:cs="Segoe UI"/>
          <w:b/>
          <w:bCs/>
          <w:i/>
          <w:iCs/>
          <w:sz w:val="18"/>
          <w:szCs w:val="18"/>
          <w:lang w:eastAsia="en-AU"/>
        </w:rPr>
      </w:pPr>
      <w:r w:rsidRPr="00DF6490">
        <w:rPr>
          <w:rFonts w:ascii="Calibri" w:hAnsi="Calibri" w:cs="Calibri"/>
          <w:b/>
          <w:bCs/>
          <w:i/>
          <w:iCs/>
          <w:lang w:eastAsia="en-AU"/>
        </w:rPr>
        <w:t>Interim Report Recommendation 2</w:t>
      </w:r>
    </w:p>
    <w:p w14:paraId="2DB655DB" w14:textId="77777777" w:rsidR="00DC524D" w:rsidRPr="00DF6490" w:rsidRDefault="00DC524D" w:rsidP="00C6053F">
      <w:pPr>
        <w:pBdr>
          <w:top w:val="single" w:sz="4" w:space="1" w:color="auto"/>
          <w:left w:val="single" w:sz="4" w:space="4" w:color="auto"/>
          <w:bottom w:val="single" w:sz="4" w:space="1" w:color="auto"/>
          <w:right w:val="single" w:sz="4" w:space="4" w:color="auto"/>
        </w:pBdr>
        <w:textAlignment w:val="baseline"/>
        <w:rPr>
          <w:rFonts w:ascii="Segoe UI" w:hAnsi="Segoe UI" w:cs="Segoe UI"/>
          <w:i/>
          <w:iCs/>
          <w:sz w:val="18"/>
          <w:szCs w:val="18"/>
          <w:lang w:eastAsia="en-AU"/>
        </w:rPr>
      </w:pPr>
      <w:r w:rsidRPr="00DF6490">
        <w:rPr>
          <w:rFonts w:ascii="Calibri" w:hAnsi="Calibri" w:cs="Calibri"/>
          <w:i/>
          <w:iCs/>
          <w:lang w:eastAsia="en-AU"/>
        </w:rPr>
        <w:t>The committee recommends that the Australian Government develop an analysis of care work classifications and wage structures to systematically address underpayments and lift wages in the care sector. Such an analysis</w:t>
      </w:r>
      <w:r>
        <w:rPr>
          <w:rFonts w:ascii="Calibri" w:hAnsi="Calibri" w:cs="Calibri"/>
          <w:i/>
          <w:iCs/>
          <w:lang w:eastAsia="en-AU"/>
        </w:rPr>
        <w:t xml:space="preserve"> </w:t>
      </w:r>
      <w:r w:rsidRPr="00DF6490">
        <w:rPr>
          <w:rFonts w:ascii="Calibri" w:hAnsi="Calibri" w:cs="Calibri"/>
          <w:i/>
          <w:iCs/>
          <w:lang w:eastAsia="en-AU"/>
        </w:rPr>
        <w:t>should:</w:t>
      </w:r>
    </w:p>
    <w:p w14:paraId="47086B47" w14:textId="77777777" w:rsidR="00DC524D" w:rsidRPr="00DA2E95" w:rsidRDefault="00DC524D" w:rsidP="00C6053F">
      <w:pPr>
        <w:pStyle w:val="ListParagraph"/>
        <w:numPr>
          <w:ilvl w:val="0"/>
          <w:numId w:val="27"/>
        </w:numPr>
        <w:pBdr>
          <w:top w:val="single" w:sz="4" w:space="1" w:color="auto"/>
          <w:left w:val="single" w:sz="4" w:space="4" w:color="auto"/>
          <w:bottom w:val="single" w:sz="4" w:space="1" w:color="auto"/>
          <w:right w:val="single" w:sz="4" w:space="4" w:color="auto"/>
        </w:pBdr>
        <w:textAlignment w:val="baseline"/>
        <w:rPr>
          <w:rFonts w:ascii="Calibri" w:hAnsi="Calibri" w:cs="Calibri"/>
          <w:i/>
          <w:sz w:val="24"/>
          <w:szCs w:val="24"/>
          <w:lang w:eastAsia="en-AU"/>
        </w:rPr>
      </w:pPr>
      <w:r w:rsidRPr="00DA2E95">
        <w:rPr>
          <w:rFonts w:ascii="Calibri" w:hAnsi="Calibri" w:cs="Calibri"/>
          <w:i/>
          <w:sz w:val="24"/>
          <w:szCs w:val="24"/>
          <w:lang w:eastAsia="en-AU"/>
        </w:rPr>
        <w:t>consider the variability and value of work across the care sector;</w:t>
      </w:r>
    </w:p>
    <w:p w14:paraId="29086FE4" w14:textId="77777777" w:rsidR="00DC524D" w:rsidRPr="00DF6490" w:rsidRDefault="00DC524D" w:rsidP="00C6053F">
      <w:pPr>
        <w:pStyle w:val="ListParagraph"/>
        <w:numPr>
          <w:ilvl w:val="0"/>
          <w:numId w:val="27"/>
        </w:numPr>
        <w:pBdr>
          <w:top w:val="single" w:sz="4" w:space="1" w:color="auto"/>
          <w:left w:val="single" w:sz="4" w:space="4" w:color="auto"/>
          <w:bottom w:val="single" w:sz="4" w:space="1" w:color="auto"/>
          <w:right w:val="single" w:sz="4" w:space="4" w:color="auto"/>
        </w:pBdr>
        <w:textAlignment w:val="baseline"/>
        <w:rPr>
          <w:rFonts w:ascii="Calibri" w:hAnsi="Calibri" w:cs="Calibri"/>
          <w:i/>
          <w:iCs/>
          <w:lang w:eastAsia="en-AU"/>
        </w:rPr>
      </w:pPr>
      <w:r w:rsidRPr="00DA2E95">
        <w:rPr>
          <w:rFonts w:ascii="Calibri" w:hAnsi="Calibri" w:cs="Calibri"/>
          <w:i/>
          <w:sz w:val="24"/>
          <w:szCs w:val="24"/>
          <w:lang w:eastAsia="en-AU"/>
        </w:rPr>
        <w:t>establish the interrelationships across care types; and</w:t>
      </w:r>
    </w:p>
    <w:p w14:paraId="43B94349" w14:textId="77777777" w:rsidR="00DC524D" w:rsidRPr="00DA2E95" w:rsidRDefault="00DC524D" w:rsidP="00C6053F">
      <w:pPr>
        <w:pStyle w:val="ListParagraph"/>
        <w:numPr>
          <w:ilvl w:val="0"/>
          <w:numId w:val="27"/>
        </w:numPr>
        <w:pBdr>
          <w:top w:val="single" w:sz="4" w:space="1" w:color="auto"/>
          <w:left w:val="single" w:sz="4" w:space="4" w:color="auto"/>
          <w:bottom w:val="single" w:sz="4" w:space="1" w:color="auto"/>
          <w:right w:val="single" w:sz="4" w:space="4" w:color="auto"/>
        </w:pBdr>
        <w:textAlignment w:val="baseline"/>
        <w:rPr>
          <w:rFonts w:ascii="Calibri" w:hAnsi="Calibri" w:cs="Calibri"/>
          <w:i/>
          <w:sz w:val="24"/>
          <w:szCs w:val="24"/>
          <w:lang w:eastAsia="en-AU"/>
        </w:rPr>
      </w:pPr>
      <w:r w:rsidRPr="00DA2E95">
        <w:rPr>
          <w:rFonts w:ascii="Calibri" w:hAnsi="Calibri" w:cs="Calibri"/>
          <w:i/>
          <w:sz w:val="24"/>
          <w:szCs w:val="24"/>
          <w:lang w:eastAsia="en-AU"/>
        </w:rPr>
        <w:t>recognise the inherent value of care work</w:t>
      </w:r>
      <w:r>
        <w:rPr>
          <w:rFonts w:ascii="Calibri" w:hAnsi="Calibri" w:cs="Calibri"/>
          <w:i/>
          <w:iCs/>
          <w:sz w:val="24"/>
          <w:szCs w:val="24"/>
          <w:lang w:eastAsia="en-AU"/>
        </w:rPr>
        <w:t>.</w:t>
      </w:r>
    </w:p>
    <w:p w14:paraId="35572FF8" w14:textId="77777777" w:rsidR="00DC524D" w:rsidRPr="00FF2B38" w:rsidRDefault="00DC524D" w:rsidP="00DC524D">
      <w:pPr>
        <w:textAlignment w:val="baseline"/>
        <w:rPr>
          <w:rFonts w:ascii="Calibri" w:hAnsi="Calibri" w:cs="Calibri"/>
          <w:lang w:eastAsia="en-AU"/>
        </w:rPr>
      </w:pPr>
    </w:p>
    <w:p w14:paraId="6CD81EDF" w14:textId="67212A9C" w:rsidR="00DC524D" w:rsidRPr="00DF6490" w:rsidRDefault="00DC524D" w:rsidP="00C6053F">
      <w:pPr>
        <w:pBdr>
          <w:top w:val="single" w:sz="4" w:space="1" w:color="auto"/>
          <w:left w:val="single" w:sz="4" w:space="4" w:color="auto"/>
          <w:bottom w:val="single" w:sz="4" w:space="1" w:color="auto"/>
          <w:right w:val="single" w:sz="4" w:space="4" w:color="auto"/>
        </w:pBdr>
        <w:rPr>
          <w:b/>
          <w:i/>
          <w:iCs/>
        </w:rPr>
      </w:pPr>
      <w:r w:rsidRPr="00DF6490">
        <w:rPr>
          <w:b/>
          <w:i/>
          <w:iCs/>
        </w:rPr>
        <w:t>Australian Greens’ Additional Recommendation 4</w:t>
      </w:r>
    </w:p>
    <w:p w14:paraId="4D3D18B6" w14:textId="69F25DEE" w:rsidR="00DC524D" w:rsidRDefault="00DC524D" w:rsidP="00C6053F">
      <w:pPr>
        <w:pBdr>
          <w:top w:val="single" w:sz="4" w:space="1" w:color="auto"/>
          <w:left w:val="single" w:sz="4" w:space="4" w:color="auto"/>
          <w:bottom w:val="single" w:sz="4" w:space="1" w:color="auto"/>
          <w:right w:val="single" w:sz="4" w:space="4" w:color="auto"/>
        </w:pBdr>
      </w:pPr>
      <w:r w:rsidRPr="00DF6490">
        <w:rPr>
          <w:i/>
          <w:iCs/>
        </w:rPr>
        <w:t>The Australian Greens recommend the Australian Government appropriately fund any pay increases and improved classifications and conditions for care workers decided by the Fair Work Commission.</w:t>
      </w:r>
    </w:p>
    <w:p w14:paraId="724E6403" w14:textId="77777777" w:rsidR="00DC524D" w:rsidRDefault="00DC524D" w:rsidP="00DC524D"/>
    <w:p w14:paraId="668666EF" w14:textId="34C4CC49" w:rsidR="00DC524D" w:rsidRPr="00C6053F" w:rsidRDefault="00C6053F" w:rsidP="00DC524D">
      <w:r>
        <w:t xml:space="preserve">The Government </w:t>
      </w:r>
      <w:r>
        <w:rPr>
          <w:b/>
          <w:bCs/>
        </w:rPr>
        <w:t xml:space="preserve">agrees in part </w:t>
      </w:r>
      <w:r>
        <w:t xml:space="preserve">to this recommendation and </w:t>
      </w:r>
      <w:r>
        <w:rPr>
          <w:b/>
          <w:bCs/>
        </w:rPr>
        <w:t xml:space="preserve">notes </w:t>
      </w:r>
      <w:r>
        <w:t xml:space="preserve">the Interim Report </w:t>
      </w:r>
      <w:r w:rsidR="00E82F46">
        <w:t>r</w:t>
      </w:r>
      <w:r>
        <w:t xml:space="preserve">ecommendation and Australian Greens’ </w:t>
      </w:r>
      <w:r w:rsidR="00E82F46">
        <w:t>a</w:t>
      </w:r>
      <w:r>
        <w:t xml:space="preserve">dditional </w:t>
      </w:r>
      <w:r w:rsidR="00E82F46">
        <w:t>r</w:t>
      </w:r>
      <w:r>
        <w:t xml:space="preserve">ecommendation. </w:t>
      </w:r>
    </w:p>
    <w:p w14:paraId="089EFB07" w14:textId="77777777" w:rsidR="00DC524D" w:rsidRPr="00DF6490" w:rsidRDefault="00DC524D" w:rsidP="00DC524D"/>
    <w:p w14:paraId="5610EF3E" w14:textId="2819534E" w:rsidR="00DC524D" w:rsidRDefault="00DC524D" w:rsidP="00DC524D">
      <w:pPr>
        <w:rPr>
          <w:rStyle w:val="normaltextrun"/>
          <w:color w:val="000000" w:themeColor="text1"/>
          <w:lang w:val="en-GB"/>
        </w:rPr>
      </w:pPr>
      <w:r w:rsidRPr="00DF6490">
        <w:rPr>
          <w:rStyle w:val="normaltextrun"/>
          <w:color w:val="000000"/>
          <w:shd w:val="clear" w:color="auto" w:fill="FFFFFF"/>
          <w:lang w:val="en-GB"/>
        </w:rPr>
        <w:t xml:space="preserve">The Fair Work Commission is responsible for setting minimum wages and conditions at an industry and occupational level </w:t>
      </w:r>
      <w:r>
        <w:rPr>
          <w:rStyle w:val="normaltextrun"/>
          <w:color w:val="000000"/>
          <w:shd w:val="clear" w:color="auto" w:fill="FFFFFF"/>
          <w:lang w:val="en-GB"/>
        </w:rPr>
        <w:t>through</w:t>
      </w:r>
      <w:r w:rsidRPr="00DF6490">
        <w:rPr>
          <w:rStyle w:val="normaltextrun"/>
          <w:color w:val="000000"/>
          <w:shd w:val="clear" w:color="auto" w:fill="FFFFFF"/>
          <w:lang w:val="en-GB"/>
        </w:rPr>
        <w:t xml:space="preserve"> modern awards. </w:t>
      </w:r>
      <w:r w:rsidRPr="00DF6490">
        <w:rPr>
          <w:rStyle w:val="normaltextrun"/>
          <w:color w:val="000000" w:themeColor="text1"/>
          <w:lang w:val="en-GB"/>
        </w:rPr>
        <w:t xml:space="preserve">Parties </w:t>
      </w:r>
      <w:r>
        <w:rPr>
          <w:rStyle w:val="normaltextrun"/>
          <w:color w:val="000000" w:themeColor="text1"/>
          <w:lang w:val="en-GB"/>
        </w:rPr>
        <w:t xml:space="preserve">with standing </w:t>
      </w:r>
      <w:r w:rsidRPr="00DF6490">
        <w:rPr>
          <w:rStyle w:val="normaltextrun"/>
          <w:color w:val="000000" w:themeColor="text1"/>
          <w:lang w:val="en-GB"/>
        </w:rPr>
        <w:t>can apply to the Fair Work Commission to vary the terms of a modern award</w:t>
      </w:r>
      <w:r>
        <w:rPr>
          <w:rStyle w:val="normaltextrun"/>
          <w:color w:val="000000" w:themeColor="text1"/>
          <w:lang w:val="en-GB"/>
        </w:rPr>
        <w:t xml:space="preserve"> at any time</w:t>
      </w:r>
      <w:r w:rsidRPr="00DF6490">
        <w:rPr>
          <w:rStyle w:val="normaltextrun"/>
          <w:color w:val="000000" w:themeColor="text1"/>
          <w:lang w:val="en-GB"/>
        </w:rPr>
        <w:t>.</w:t>
      </w:r>
    </w:p>
    <w:p w14:paraId="62B70419" w14:textId="77777777" w:rsidR="00DC524D" w:rsidRPr="00DF6490" w:rsidRDefault="00DC524D" w:rsidP="00DC524D"/>
    <w:p w14:paraId="22252679" w14:textId="77777777" w:rsidR="00DC524D" w:rsidRPr="00DF6490" w:rsidRDefault="00DC524D" w:rsidP="00DC524D">
      <w:pPr>
        <w:rPr>
          <w:rStyle w:val="normaltextrun"/>
          <w:color w:val="000000" w:themeColor="text1"/>
          <w:lang w:val="en-GB"/>
        </w:rPr>
      </w:pPr>
      <w:r w:rsidRPr="00BD3119">
        <w:t xml:space="preserve">Noting that different modern awards apply to different care workers, parties in the identified care sectors may apply </w:t>
      </w:r>
      <w:r w:rsidRPr="00BD3119">
        <w:rPr>
          <w:rStyle w:val="normaltextrun"/>
          <w:color w:val="000000" w:themeColor="text1"/>
          <w:lang w:val="en-GB"/>
        </w:rPr>
        <w:t xml:space="preserve">to the Fair Work Commission for </w:t>
      </w:r>
      <w:r w:rsidRPr="00BD3119">
        <w:t>wage increases and improved conditions</w:t>
      </w:r>
      <w:r w:rsidRPr="00DF6490">
        <w:t xml:space="preserve">, or the Fair Work Commission could consider these awards </w:t>
      </w:r>
      <w:r w:rsidRPr="00DF6490">
        <w:rPr>
          <w:rStyle w:val="normaltextrun"/>
          <w:color w:val="000000"/>
          <w:shd w:val="clear" w:color="auto" w:fill="FFFFFF"/>
          <w:lang w:val="en-GB"/>
        </w:rPr>
        <w:t>on its own motion</w:t>
      </w:r>
      <w:r w:rsidRPr="00DF6490">
        <w:rPr>
          <w:rStyle w:val="normaltextrun"/>
          <w:color w:val="000000" w:themeColor="text1"/>
          <w:lang w:val="en-GB"/>
        </w:rPr>
        <w:t xml:space="preserve">. </w:t>
      </w:r>
    </w:p>
    <w:p w14:paraId="5040280B" w14:textId="77777777" w:rsidR="00015D16" w:rsidRDefault="00015D16" w:rsidP="00015D16"/>
    <w:p w14:paraId="6DF9D39E" w14:textId="0F627C1D" w:rsidR="00015D16" w:rsidRPr="00DF6490" w:rsidRDefault="00015D16" w:rsidP="00015D16">
      <w:r w:rsidRPr="00F1210D">
        <w:t>To support such applications</w:t>
      </w:r>
      <w:r w:rsidRPr="00DF6490">
        <w:t xml:space="preserve">, the </w:t>
      </w:r>
      <w:r w:rsidRPr="00F64867">
        <w:t xml:space="preserve">Secure Jobs, Better Pay </w:t>
      </w:r>
      <w:r>
        <w:t>reforms</w:t>
      </w:r>
      <w:r w:rsidRPr="00F64867">
        <w:t xml:space="preserve"> est</w:t>
      </w:r>
      <w:r w:rsidRPr="00DF6490">
        <w:t>ablished new requirements for Expert Panels in the Fair Work Commission to hear and decide pay equity claims and relevant award variation applications.</w:t>
      </w:r>
    </w:p>
    <w:p w14:paraId="0641BF4F" w14:textId="77777777" w:rsidR="00DC524D" w:rsidRPr="00DF6490" w:rsidRDefault="00DC524D" w:rsidP="00DC524D">
      <w:pPr>
        <w:rPr>
          <w:rStyle w:val="normaltextrun"/>
          <w:color w:val="000000" w:themeColor="text1"/>
          <w:lang w:val="en-GB"/>
        </w:rPr>
      </w:pPr>
    </w:p>
    <w:p w14:paraId="7085B032" w14:textId="175B62D1" w:rsidR="00DC524D" w:rsidRPr="00F1210D" w:rsidRDefault="00DC524D" w:rsidP="00DC524D">
      <w:r w:rsidRPr="00DF6490">
        <w:t>In future Fair Work Commission proceedings, or in the event of future proceedings, the Government will consider the appropriateness of mechanisms to fund and implement wage increases.</w:t>
      </w:r>
      <w:r w:rsidR="0042764C">
        <w:t xml:space="preserve"> </w:t>
      </w:r>
      <w:r w:rsidR="00712683" w:rsidRPr="00A14AEA">
        <w:t>For example, in the 2023</w:t>
      </w:r>
      <w:r w:rsidR="00712683">
        <w:rPr>
          <w:rFonts w:cstheme="minorHAnsi"/>
        </w:rPr>
        <w:t>–</w:t>
      </w:r>
      <w:r w:rsidR="00712683" w:rsidRPr="00A14AEA">
        <w:t xml:space="preserve">24 Budget, the Government provided $11.3 billion over </w:t>
      </w:r>
      <w:r w:rsidR="00015607">
        <w:t>4</w:t>
      </w:r>
      <w:r w:rsidR="00015607" w:rsidRPr="00A14AEA">
        <w:t xml:space="preserve"> </w:t>
      </w:r>
      <w:r w:rsidR="00712683" w:rsidRPr="00A14AEA">
        <w:t xml:space="preserve">years to fund the Fair Work Commission’s </w:t>
      </w:r>
      <w:r w:rsidR="00712683">
        <w:t xml:space="preserve">interim </w:t>
      </w:r>
      <w:r w:rsidR="00712683" w:rsidRPr="00A14AEA">
        <w:t xml:space="preserve">15 per cent pay rise for </w:t>
      </w:r>
      <w:r w:rsidR="00712683">
        <w:t xml:space="preserve">many </w:t>
      </w:r>
      <w:r w:rsidR="00712683" w:rsidRPr="00A14AEA">
        <w:t>aged care workers from 30</w:t>
      </w:r>
      <w:r w:rsidR="00712683">
        <w:t> </w:t>
      </w:r>
      <w:r w:rsidR="00712683" w:rsidRPr="00A14AEA">
        <w:t>June</w:t>
      </w:r>
      <w:r w:rsidR="00712683">
        <w:t> </w:t>
      </w:r>
      <w:r w:rsidR="00712683" w:rsidRPr="00A14AEA">
        <w:t>2023.</w:t>
      </w:r>
      <w:r w:rsidR="0017695D">
        <w:t xml:space="preserve"> Additionally, the Government has committed to providing funding towards a wage increase for </w:t>
      </w:r>
      <w:r w:rsidR="007E3468">
        <w:t>ECEC</w:t>
      </w:r>
      <w:r w:rsidR="0017695D">
        <w:t xml:space="preserve"> workers, with details to be settled following Fair Work Commission processes.</w:t>
      </w:r>
    </w:p>
    <w:p w14:paraId="53C55A96" w14:textId="77777777" w:rsidR="00DC524D" w:rsidRPr="00F1210D" w:rsidRDefault="00DC524D" w:rsidP="00DC524D"/>
    <w:p w14:paraId="4FBE28E3" w14:textId="54A851CC" w:rsidR="00DC524D" w:rsidRDefault="002531C8" w:rsidP="0038544C">
      <w:r w:rsidRPr="002B0CAF">
        <w:t>Following its Annual Wage Review 2023</w:t>
      </w:r>
      <w:r w:rsidRPr="002B0CAF">
        <w:rPr>
          <w:rFonts w:cstheme="minorHAnsi"/>
        </w:rPr>
        <w:t>–</w:t>
      </w:r>
      <w:r w:rsidRPr="002B0CAF">
        <w:t xml:space="preserve">24 decision, the </w:t>
      </w:r>
      <w:r w:rsidR="006D49AA" w:rsidRPr="002B0CAF">
        <w:t xml:space="preserve">Fair Work </w:t>
      </w:r>
      <w:r w:rsidRPr="002B0CAF">
        <w:t xml:space="preserve">Commission has initiated proceedings </w:t>
      </w:r>
      <w:r w:rsidR="003C6736" w:rsidRPr="002B0CAF">
        <w:t xml:space="preserve">on its own motion </w:t>
      </w:r>
      <w:r w:rsidR="0038544C" w:rsidRPr="002B0CAF">
        <w:t xml:space="preserve">to </w:t>
      </w:r>
      <w:r w:rsidRPr="002B0CAF">
        <w:t xml:space="preserve">determine if it needs to vary minimum wages </w:t>
      </w:r>
      <w:r w:rsidR="00754C79" w:rsidRPr="002B0CAF">
        <w:t xml:space="preserve">for work value reasons </w:t>
      </w:r>
      <w:r w:rsidRPr="002B0CAF">
        <w:t xml:space="preserve">in </w:t>
      </w:r>
      <w:r w:rsidR="00B34D52" w:rsidRPr="002B0CAF">
        <w:t>a number of</w:t>
      </w:r>
      <w:r w:rsidR="0038544C" w:rsidRPr="002B0CAF">
        <w:t xml:space="preserve"> identified modern awards</w:t>
      </w:r>
      <w:r w:rsidR="00754C79" w:rsidRPr="002B0CAF">
        <w:t xml:space="preserve">, including the </w:t>
      </w:r>
      <w:r w:rsidR="00754C79" w:rsidRPr="002B0CAF">
        <w:rPr>
          <w:i/>
          <w:iCs/>
        </w:rPr>
        <w:t>Social, Community, Home Care and Disability Services Industry Award 2010</w:t>
      </w:r>
      <w:r w:rsidR="00754C79" w:rsidRPr="002B0CAF">
        <w:t>.</w:t>
      </w:r>
    </w:p>
    <w:p w14:paraId="4C620FAC" w14:textId="2F4124DC" w:rsidR="00FF2B38" w:rsidRDefault="00FF2B38">
      <w:pPr>
        <w:spacing w:after="200" w:line="276" w:lineRule="auto"/>
      </w:pPr>
      <w:r>
        <w:br w:type="page"/>
      </w:r>
    </w:p>
    <w:p w14:paraId="32722345" w14:textId="008C1CD2" w:rsidR="00AB47FC" w:rsidRPr="00DF6490" w:rsidRDefault="00223736" w:rsidP="00AB47FC">
      <w:pPr>
        <w:pStyle w:val="Heading3"/>
        <w:rPr>
          <w:rFonts w:eastAsia="Calibri"/>
        </w:rPr>
      </w:pPr>
      <w:bookmarkStart w:id="29" w:name="_Toc170224182"/>
      <w:r>
        <w:rPr>
          <w:rFonts w:eastAsia="Calibri"/>
        </w:rPr>
        <w:t xml:space="preserve">4.2 </w:t>
      </w:r>
      <w:r w:rsidR="009D3FC6" w:rsidRPr="00DF6490">
        <w:rPr>
          <w:rFonts w:eastAsia="Calibri"/>
        </w:rPr>
        <w:t xml:space="preserve">Supported </w:t>
      </w:r>
      <w:r w:rsidR="00464B2B">
        <w:rPr>
          <w:rFonts w:eastAsia="Calibri"/>
        </w:rPr>
        <w:t>e</w:t>
      </w:r>
      <w:r w:rsidR="00464B2B" w:rsidRPr="00DF6490">
        <w:rPr>
          <w:rFonts w:eastAsia="Calibri"/>
        </w:rPr>
        <w:t xml:space="preserve">mployment </w:t>
      </w:r>
      <w:r w:rsidR="00464B2B">
        <w:rPr>
          <w:rFonts w:eastAsia="Calibri"/>
        </w:rPr>
        <w:t>s</w:t>
      </w:r>
      <w:r w:rsidR="00464B2B" w:rsidRPr="00DF6490">
        <w:rPr>
          <w:rFonts w:eastAsia="Calibri"/>
        </w:rPr>
        <w:t>ector</w:t>
      </w:r>
      <w:bookmarkEnd w:id="29"/>
    </w:p>
    <w:p w14:paraId="0E70EFD5" w14:textId="77777777" w:rsidR="00AB47FC" w:rsidRDefault="00AB47FC" w:rsidP="00AB47FC">
      <w:r w:rsidRPr="00DF6490">
        <w:t xml:space="preserve">The Government is committed to working with stakeholders to evolve the supported employment sector into modern, commercially viable social enterprises that better meet community expectations and provide greater choice and control in employment for people with disability. </w:t>
      </w:r>
    </w:p>
    <w:p w14:paraId="1563CCC8" w14:textId="77777777" w:rsidR="00CA6FAF" w:rsidRDefault="00CA6FAF" w:rsidP="00AB47FC"/>
    <w:p w14:paraId="2421B58E" w14:textId="77777777" w:rsidR="00DC524D" w:rsidRPr="00DF6490" w:rsidRDefault="00DC524D" w:rsidP="00C6053F">
      <w:pPr>
        <w:pStyle w:val="Heading6"/>
        <w:pBdr>
          <w:top w:val="single" w:sz="4" w:space="1" w:color="auto"/>
          <w:left w:val="single" w:sz="4" w:space="4" w:color="auto"/>
          <w:bottom w:val="single" w:sz="4" w:space="1" w:color="auto"/>
          <w:right w:val="single" w:sz="4" w:space="4" w:color="auto"/>
        </w:pBdr>
      </w:pPr>
      <w:r w:rsidRPr="00DF6490">
        <w:t>Recommendation 14</w:t>
      </w:r>
    </w:p>
    <w:p w14:paraId="3C3EC7FA" w14:textId="7777777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t xml:space="preserve">The committee recommends the Australian Government undertake further work in relation to the supported employment sector, including Australian Disability Enterprises (ADEs), to ensure that they meet community expectations, and both improve and increase pathways for disabled people into open employment. This work should build on work already being progressed through the Disability Reform Ministerial Council. </w:t>
      </w:r>
    </w:p>
    <w:p w14:paraId="4F8A8EEC" w14:textId="77777777" w:rsidR="00DC524D" w:rsidRPr="00DF6490" w:rsidRDefault="00DC524D" w:rsidP="00DC524D"/>
    <w:p w14:paraId="1199CA0E" w14:textId="4211DCDB" w:rsidR="00DC524D" w:rsidRPr="00DF6490" w:rsidRDefault="00DC524D" w:rsidP="00C6053F">
      <w:pPr>
        <w:pBdr>
          <w:top w:val="single" w:sz="4" w:space="1" w:color="auto"/>
          <w:left w:val="single" w:sz="4" w:space="4" w:color="auto"/>
          <w:bottom w:val="single" w:sz="4" w:space="1" w:color="auto"/>
          <w:right w:val="single" w:sz="4" w:space="4" w:color="auto"/>
        </w:pBdr>
        <w:rPr>
          <w:b/>
          <w:bCs/>
          <w:i/>
          <w:iCs/>
        </w:rPr>
      </w:pPr>
      <w:r w:rsidRPr="00DF6490">
        <w:rPr>
          <w:b/>
          <w:i/>
          <w:iCs/>
        </w:rPr>
        <w:t>Australian Greens’ Additional Recommendation 14</w:t>
      </w:r>
    </w:p>
    <w:p w14:paraId="33C1075E" w14:textId="53E9382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rPr>
          <w:i/>
          <w:iCs/>
        </w:rPr>
        <w:t>The Australian Greens recommend the Department of Social Services develop and implement a plan to phase out Australian Disability Enterprises and increase pathways and supports for disabled people to gain and maintain positions in open employment.</w:t>
      </w:r>
    </w:p>
    <w:p w14:paraId="1DAD8257" w14:textId="77777777" w:rsidR="00AB47FC" w:rsidRDefault="00AB47FC" w:rsidP="00AB47FC"/>
    <w:p w14:paraId="5D3C6186" w14:textId="78CCDD2E" w:rsidR="00DC524D" w:rsidRDefault="00C6053F" w:rsidP="00C6053F">
      <w:pPr>
        <w:rPr>
          <w:i/>
          <w:iCs/>
        </w:rPr>
      </w:pPr>
      <w:r>
        <w:t xml:space="preserve">The Government </w:t>
      </w:r>
      <w:r>
        <w:rPr>
          <w:b/>
          <w:bCs/>
        </w:rPr>
        <w:t xml:space="preserve">agrees </w:t>
      </w:r>
      <w:r>
        <w:t xml:space="preserve">to this recommendation and </w:t>
      </w:r>
      <w:r>
        <w:rPr>
          <w:b/>
          <w:bCs/>
        </w:rPr>
        <w:t xml:space="preserve">notes </w:t>
      </w:r>
      <w:r>
        <w:t xml:space="preserve">the Australian Greens’ </w:t>
      </w:r>
      <w:r w:rsidR="00E82F46">
        <w:t>a</w:t>
      </w:r>
      <w:r>
        <w:t xml:space="preserve">dditional </w:t>
      </w:r>
      <w:r w:rsidR="00E82F46">
        <w:t>r</w:t>
      </w:r>
      <w:r>
        <w:t xml:space="preserve">ecommendation. </w:t>
      </w:r>
    </w:p>
    <w:p w14:paraId="74E11E8E" w14:textId="77777777" w:rsidR="00C6053F" w:rsidRPr="00F1210D" w:rsidRDefault="00C6053F" w:rsidP="00C6053F"/>
    <w:p w14:paraId="7076376E" w14:textId="2ECAAC9C" w:rsidR="00DC524D" w:rsidRPr="00F1210D" w:rsidRDefault="00DC524D">
      <w:r>
        <w:t>As part of the 2023</w:t>
      </w:r>
      <w:r w:rsidRPr="273A57E7">
        <w:t>–</w:t>
      </w:r>
      <w:r>
        <w:t xml:space="preserve">24 Budget, the Government is investing $57 million over </w:t>
      </w:r>
      <w:r w:rsidR="4B3A573B">
        <w:t xml:space="preserve">4 </w:t>
      </w:r>
      <w:r>
        <w:t>years to:</w:t>
      </w:r>
    </w:p>
    <w:p w14:paraId="02396A6E" w14:textId="77777777" w:rsidR="00DC524D" w:rsidRPr="00314AB4" w:rsidRDefault="00DC524D" w:rsidP="00DC524D">
      <w:pPr>
        <w:pStyle w:val="ListParagraph"/>
        <w:numPr>
          <w:ilvl w:val="0"/>
          <w:numId w:val="15"/>
        </w:numPr>
        <w:rPr>
          <w:sz w:val="24"/>
        </w:rPr>
      </w:pPr>
      <w:r w:rsidRPr="00F1210D">
        <w:rPr>
          <w:sz w:val="24"/>
        </w:rPr>
        <w:t>create ongoing employment opportunities for people</w:t>
      </w:r>
      <w:r w:rsidRPr="00314AB4">
        <w:rPr>
          <w:sz w:val="24"/>
        </w:rPr>
        <w:t xml:space="preserve"> with disability with high support needs</w:t>
      </w:r>
    </w:p>
    <w:p w14:paraId="6FB4ADFD" w14:textId="77777777" w:rsidR="00DC524D" w:rsidRPr="00314AB4" w:rsidRDefault="00DC524D" w:rsidP="00DC524D">
      <w:pPr>
        <w:pStyle w:val="ListParagraph"/>
        <w:numPr>
          <w:ilvl w:val="0"/>
          <w:numId w:val="15"/>
        </w:numPr>
        <w:rPr>
          <w:sz w:val="24"/>
        </w:rPr>
      </w:pPr>
      <w:r w:rsidRPr="00314AB4">
        <w:rPr>
          <w:sz w:val="24"/>
        </w:rPr>
        <w:t>assist the supported employment sector to evolve to better meet community expectations, and</w:t>
      </w:r>
    </w:p>
    <w:p w14:paraId="0183AD51" w14:textId="77777777" w:rsidR="00DC524D" w:rsidRPr="00314AB4" w:rsidRDefault="00DC524D" w:rsidP="00DC524D">
      <w:pPr>
        <w:pStyle w:val="ListParagraph"/>
        <w:numPr>
          <w:ilvl w:val="0"/>
          <w:numId w:val="15"/>
        </w:numPr>
        <w:rPr>
          <w:sz w:val="24"/>
        </w:rPr>
      </w:pPr>
      <w:r w:rsidRPr="00314AB4">
        <w:rPr>
          <w:sz w:val="24"/>
        </w:rPr>
        <w:t>provide people with disability with high support needs, their families and carers with access to advocacy support and information to build their confidence and understanding about rights and options at work.</w:t>
      </w:r>
    </w:p>
    <w:p w14:paraId="339C9DEB" w14:textId="77777777" w:rsidR="00DC524D" w:rsidRPr="007F2A33" w:rsidRDefault="00DC524D" w:rsidP="00DC524D">
      <w:pPr>
        <w:rPr>
          <w:szCs w:val="22"/>
        </w:rPr>
      </w:pPr>
    </w:p>
    <w:p w14:paraId="1A6321A2" w14:textId="4AA1A55B" w:rsidR="00DC524D" w:rsidRDefault="00DC524D" w:rsidP="00DC524D">
      <w:r>
        <w:rPr>
          <w:szCs w:val="22"/>
        </w:rPr>
        <w:t xml:space="preserve">On 11 January 2024, the Government </w:t>
      </w:r>
      <w:r w:rsidRPr="00ED07F6">
        <w:t xml:space="preserve">published the Commonwealth, State and Territory Supported Employment Plan to enact the guiding principles for the future of supported employment. </w:t>
      </w:r>
    </w:p>
    <w:p w14:paraId="680DF9FC" w14:textId="77777777" w:rsidR="00DC524D" w:rsidRPr="00353A92" w:rsidRDefault="00DC524D" w:rsidP="00DC524D"/>
    <w:p w14:paraId="7B3C2E98" w14:textId="11337DAC" w:rsidR="00DC524D" w:rsidRPr="00353A92" w:rsidRDefault="00DC524D" w:rsidP="00DC524D">
      <w:r w:rsidRPr="00353A92">
        <w:t>The first tranche of th</w:t>
      </w:r>
      <w:r>
        <w:t xml:space="preserve">e committed funding is in alignment with the guiding principles and </w:t>
      </w:r>
      <w:r w:rsidRPr="00353A92">
        <w:t>was announced on 23 April 2024</w:t>
      </w:r>
      <w:r>
        <w:t xml:space="preserve">. </w:t>
      </w:r>
      <w:r w:rsidR="000853A7">
        <w:t>The announcement</w:t>
      </w:r>
      <w:r w:rsidRPr="00353A92">
        <w:t xml:space="preserve"> include:</w:t>
      </w:r>
    </w:p>
    <w:p w14:paraId="4ED470E8" w14:textId="77777777" w:rsidR="00DC524D" w:rsidRPr="008E2E3A" w:rsidRDefault="00DC524D" w:rsidP="00DC524D">
      <w:pPr>
        <w:pStyle w:val="ListParagraph"/>
        <w:numPr>
          <w:ilvl w:val="0"/>
          <w:numId w:val="15"/>
        </w:numPr>
        <w:rPr>
          <w:sz w:val="24"/>
        </w:rPr>
      </w:pPr>
      <w:r w:rsidRPr="008E2E3A">
        <w:rPr>
          <w:sz w:val="24"/>
        </w:rPr>
        <w:t>$14.9 million to 32 organisations for the first round of the Structural Adjustment Fund</w:t>
      </w:r>
    </w:p>
    <w:p w14:paraId="46FC5F81" w14:textId="77777777" w:rsidR="00DC524D" w:rsidRPr="008E2E3A" w:rsidRDefault="00DC524D" w:rsidP="00DC524D">
      <w:pPr>
        <w:pStyle w:val="ListParagraph"/>
        <w:numPr>
          <w:ilvl w:val="0"/>
          <w:numId w:val="15"/>
        </w:numPr>
        <w:rPr>
          <w:sz w:val="24"/>
        </w:rPr>
      </w:pPr>
      <w:r w:rsidRPr="008E2E3A">
        <w:rPr>
          <w:sz w:val="24"/>
        </w:rPr>
        <w:t>$9.8 million to deliver the Disability Employment Advocacy and Information Program</w:t>
      </w:r>
      <w:r>
        <w:rPr>
          <w:sz w:val="24"/>
        </w:rPr>
        <w:t>, and</w:t>
      </w:r>
    </w:p>
    <w:p w14:paraId="5AE8AEEE" w14:textId="77777777" w:rsidR="00DC524D" w:rsidRPr="008E2E3A" w:rsidRDefault="00DC524D" w:rsidP="00DC524D">
      <w:pPr>
        <w:pStyle w:val="ListParagraph"/>
        <w:numPr>
          <w:ilvl w:val="0"/>
          <w:numId w:val="15"/>
        </w:numPr>
        <w:rPr>
          <w:sz w:val="24"/>
        </w:rPr>
      </w:pPr>
      <w:r w:rsidRPr="008E2E3A">
        <w:rPr>
          <w:sz w:val="24"/>
        </w:rPr>
        <w:t>$1.4 million to deliver Disability Employment Expos.</w:t>
      </w:r>
    </w:p>
    <w:p w14:paraId="2B8BBCD9" w14:textId="77777777" w:rsidR="00DC524D" w:rsidRPr="008E2E3A" w:rsidRDefault="00DC524D" w:rsidP="00DC524D"/>
    <w:p w14:paraId="61C00E64" w14:textId="78F75CBF" w:rsidR="00DC524D" w:rsidRDefault="00DC524D" w:rsidP="00DC524D">
      <w:r>
        <w:t>The Department of Social Services consulted with key stakeholders including people with disability with high support needs, as well as supported employment providers</w:t>
      </w:r>
      <w:r w:rsidR="00E0042C">
        <w:t>,</w:t>
      </w:r>
      <w:r>
        <w:t xml:space="preserve"> on the design of these budget measures to ensure supports are appropriately targeted.</w:t>
      </w:r>
    </w:p>
    <w:p w14:paraId="4F1F7C6B" w14:textId="77777777" w:rsidR="00750A48" w:rsidRDefault="00750A48" w:rsidP="00DC524D"/>
    <w:p w14:paraId="456A7B73" w14:textId="20DE1B9A" w:rsidR="00750A48" w:rsidRDefault="00750A48" w:rsidP="00750A48">
      <w:r>
        <w:t xml:space="preserve">The Government notes that the Final </w:t>
      </w:r>
      <w:r w:rsidR="638F8698">
        <w:t>R</w:t>
      </w:r>
      <w:r>
        <w:t>eport of the Royal Commission into Violence, Abuse, Neglect and Exploitation of Disability also made recommendations in relation to supported employment. All levels of government have committed to working together to provide an initial response to the Disability Royal Commission in mid-2024.</w:t>
      </w:r>
    </w:p>
    <w:p w14:paraId="210EB33C" w14:textId="77777777" w:rsidR="00750A48" w:rsidRDefault="00750A48" w:rsidP="00750A48"/>
    <w:p w14:paraId="4BFED113" w14:textId="7AABCC56" w:rsidR="00750A48" w:rsidRDefault="00750A48" w:rsidP="00750A48">
      <w:r>
        <w:t>In the 2024</w:t>
      </w:r>
      <w:r w:rsidR="0074289F">
        <w:t>–</w:t>
      </w:r>
      <w:r>
        <w:t>25 Budget, the Government also announced a new Specialised Disability Employment Program to replace the current Disability Employment Services Program from 1</w:t>
      </w:r>
      <w:r w:rsidR="00256FA1">
        <w:t> </w:t>
      </w:r>
      <w:r>
        <w:t xml:space="preserve">July 2025. A key feature of the new program is expanding eligibility to people with disability with a work capacity of less than 8 hours per week in order to provide more diverse pathways into open employment for people with disability. </w:t>
      </w:r>
    </w:p>
    <w:p w14:paraId="09A79C4C" w14:textId="77777777" w:rsidR="00750A48" w:rsidRDefault="00750A48" w:rsidP="00750A48"/>
    <w:p w14:paraId="7E23D3A4" w14:textId="77777777" w:rsidR="00750A48" w:rsidRDefault="00750A48" w:rsidP="00750A48">
      <w:r>
        <w:t xml:space="preserve">The new program will be complemented by establishing a Disability Employment Centre of Excellence, which will be </w:t>
      </w:r>
      <w:r w:rsidRPr="00587C3D">
        <w:t>an evidence-informed, best-practice hub that will provide resources, tools and training to help providers deliver quality employment services and supports to both participants with disability and employers.</w:t>
      </w:r>
      <w:r>
        <w:t xml:space="preserve"> </w:t>
      </w:r>
      <w:r w:rsidRPr="00587C3D">
        <w:t xml:space="preserve">It will also </w:t>
      </w:r>
      <w:r>
        <w:t xml:space="preserve">play a key role in </w:t>
      </w:r>
      <w:r w:rsidRPr="00587C3D">
        <w:t>build</w:t>
      </w:r>
      <w:r>
        <w:t>ing</w:t>
      </w:r>
      <w:r w:rsidRPr="00587C3D">
        <w:t xml:space="preserve"> the skills and capacity of providers of supported employment — including Australian Disability Enterprises.</w:t>
      </w:r>
    </w:p>
    <w:p w14:paraId="4969C398" w14:textId="77777777" w:rsidR="00DA7B89" w:rsidRDefault="00DA7B89" w:rsidP="00DC524D"/>
    <w:p w14:paraId="180FEFC6" w14:textId="53EC7734" w:rsidR="00B15C1B" w:rsidRPr="00DF6490" w:rsidRDefault="00223736" w:rsidP="00AD6889">
      <w:pPr>
        <w:pStyle w:val="Heading3"/>
      </w:pPr>
      <w:bookmarkStart w:id="30" w:name="_Toc170224183"/>
      <w:r>
        <w:t xml:space="preserve">4.3 </w:t>
      </w:r>
      <w:r w:rsidR="4534B469" w:rsidRPr="00DF6490">
        <w:t>Carers</w:t>
      </w:r>
      <w:bookmarkEnd w:id="30"/>
      <w:r w:rsidR="0009113B">
        <w:t xml:space="preserve"> </w:t>
      </w:r>
    </w:p>
    <w:p w14:paraId="5CC942AA" w14:textId="60F2D0BF" w:rsidR="00553526" w:rsidRPr="00DF6490" w:rsidRDefault="00553526" w:rsidP="00553526">
      <w:pPr>
        <w:pStyle w:val="NormalWeb"/>
        <w:spacing w:before="0" w:beforeAutospacing="0" w:after="0" w:afterAutospacing="0"/>
        <w:rPr>
          <w:rFonts w:asciiTheme="minorHAnsi" w:hAnsiTheme="minorHAnsi" w:cstheme="minorBidi"/>
          <w:lang w:eastAsia="en-US"/>
        </w:rPr>
      </w:pPr>
      <w:r w:rsidRPr="00DF6490">
        <w:rPr>
          <w:rFonts w:asciiTheme="minorHAnsi" w:hAnsiTheme="minorHAnsi" w:cstheme="minorBidi"/>
          <w:lang w:eastAsia="en-US"/>
        </w:rPr>
        <w:t xml:space="preserve">The Government </w:t>
      </w:r>
      <w:r w:rsidRPr="00314AB4">
        <w:rPr>
          <w:rFonts w:asciiTheme="minorHAnsi" w:hAnsiTheme="minorHAnsi" w:cstheme="minorBidi"/>
          <w:lang w:eastAsia="en-US"/>
        </w:rPr>
        <w:t xml:space="preserve">values the </w:t>
      </w:r>
      <w:r w:rsidR="00517368" w:rsidRPr="00314AB4">
        <w:rPr>
          <w:rFonts w:asciiTheme="minorHAnsi" w:hAnsiTheme="minorHAnsi" w:cstheme="minorBidi"/>
          <w:lang w:eastAsia="en-US"/>
        </w:rPr>
        <w:t xml:space="preserve">immense </w:t>
      </w:r>
      <w:r w:rsidRPr="00314AB4">
        <w:rPr>
          <w:rFonts w:asciiTheme="minorHAnsi" w:hAnsiTheme="minorHAnsi" w:cstheme="minorBidi"/>
          <w:lang w:eastAsia="en-US"/>
        </w:rPr>
        <w:t>contribution</w:t>
      </w:r>
      <w:r w:rsidRPr="00DF6490">
        <w:rPr>
          <w:rFonts w:asciiTheme="minorHAnsi" w:hAnsiTheme="minorHAnsi" w:cstheme="minorBidi"/>
          <w:lang w:eastAsia="en-US"/>
        </w:rPr>
        <w:t xml:space="preserve"> carers make to the lives of the people they care for and the broader community and is committed to</w:t>
      </w:r>
      <w:r w:rsidR="00147330">
        <w:rPr>
          <w:rFonts w:asciiTheme="minorHAnsi" w:hAnsiTheme="minorHAnsi" w:cstheme="minorBidi"/>
          <w:lang w:eastAsia="en-US"/>
        </w:rPr>
        <w:t xml:space="preserve"> </w:t>
      </w:r>
      <w:r w:rsidRPr="00DF6490">
        <w:rPr>
          <w:rFonts w:asciiTheme="minorHAnsi" w:hAnsiTheme="minorHAnsi" w:cstheme="minorBidi"/>
          <w:lang w:eastAsia="en-US"/>
        </w:rPr>
        <w:t>ensuring carers have access to practical, emotional and financial supports to assist them in</w:t>
      </w:r>
      <w:r w:rsidR="00147330">
        <w:rPr>
          <w:rFonts w:asciiTheme="minorHAnsi" w:hAnsiTheme="minorHAnsi" w:cstheme="minorBidi"/>
          <w:lang w:eastAsia="en-US"/>
        </w:rPr>
        <w:t xml:space="preserve"> </w:t>
      </w:r>
      <w:r w:rsidRPr="00DF6490">
        <w:rPr>
          <w:rFonts w:asciiTheme="minorHAnsi" w:hAnsiTheme="minorHAnsi" w:cstheme="minorBidi"/>
          <w:lang w:eastAsia="en-US"/>
        </w:rPr>
        <w:t xml:space="preserve">their caring role. </w:t>
      </w:r>
    </w:p>
    <w:p w14:paraId="300F5398" w14:textId="77777777" w:rsidR="00553526" w:rsidRPr="00DF6490" w:rsidRDefault="00553526" w:rsidP="00553526"/>
    <w:p w14:paraId="4D84B226" w14:textId="2194BC2D" w:rsidR="00A35987" w:rsidRPr="00DF6490" w:rsidRDefault="00553526" w:rsidP="00A35987">
      <w:r w:rsidRPr="00DF6490">
        <w:t xml:space="preserve">The Government recognises that </w:t>
      </w:r>
      <w:r w:rsidR="004E7B40">
        <w:t>balancing</w:t>
      </w:r>
      <w:r w:rsidR="004E7B40" w:rsidRPr="00DF6490">
        <w:t xml:space="preserve"> </w:t>
      </w:r>
      <w:r w:rsidRPr="00DF6490">
        <w:t xml:space="preserve">care responsibilities within the context of employment can make it challenging for </w:t>
      </w:r>
      <w:r w:rsidR="00334B83">
        <w:t>unpaid</w:t>
      </w:r>
      <w:r w:rsidR="00334B83" w:rsidRPr="00DF6490">
        <w:t xml:space="preserve"> </w:t>
      </w:r>
      <w:r w:rsidRPr="00DF6490">
        <w:t>carers to participate in employment</w:t>
      </w:r>
      <w:r w:rsidR="00F229B7">
        <w:t>,</w:t>
      </w:r>
      <w:r w:rsidRPr="00DF6490">
        <w:t xml:space="preserve"> education and when seeking social connections. The intersections of additional experiences of marginalisation and diversity, such as </w:t>
      </w:r>
      <w:r w:rsidR="00A27A96" w:rsidRPr="00DF6490">
        <w:t xml:space="preserve">culturally and linguistically diverse </w:t>
      </w:r>
      <w:r w:rsidRPr="00DF6490">
        <w:t>and First Nations peoples, can compound these challenges.</w:t>
      </w:r>
      <w:r w:rsidR="00A35987" w:rsidRPr="00A35987">
        <w:t xml:space="preserve"> </w:t>
      </w:r>
      <w:r w:rsidR="00A35987">
        <w:t xml:space="preserve">These issues will be further explored through the development of a new National Carer Strategy with the goal to provide comprehensive action plans to address these challenges. </w:t>
      </w:r>
    </w:p>
    <w:p w14:paraId="364A8642" w14:textId="77777777" w:rsidR="00553526" w:rsidRPr="00DF6490" w:rsidRDefault="00553526" w:rsidP="00553526"/>
    <w:p w14:paraId="01AB65B1" w14:textId="552D137A" w:rsidR="00EA68CD" w:rsidRPr="00EA68CD" w:rsidRDefault="00223736" w:rsidP="00223736">
      <w:pPr>
        <w:pStyle w:val="Heading4"/>
      </w:pPr>
      <w:r>
        <w:t xml:space="preserve">4.3.1 </w:t>
      </w:r>
      <w:r w:rsidR="00EA68CD" w:rsidRPr="00EA68CD">
        <w:t xml:space="preserve">Carer </w:t>
      </w:r>
      <w:r w:rsidR="001B2AFA">
        <w:t>supports</w:t>
      </w:r>
    </w:p>
    <w:p w14:paraId="699CF30C" w14:textId="345C660D" w:rsidR="00EA68CD" w:rsidRDefault="00EA68CD" w:rsidP="00553526"/>
    <w:p w14:paraId="640D57CF" w14:textId="5F158E7B" w:rsidR="00553526" w:rsidRPr="00DF6490" w:rsidRDefault="00553526" w:rsidP="00553526">
      <w:r w:rsidRPr="00DF6490">
        <w:t>The Government delivers a range of programs to support carers and their individual needs, particularly through Carer Gateway and</w:t>
      </w:r>
      <w:r w:rsidR="00EA7C39">
        <w:t xml:space="preserve"> providing</w:t>
      </w:r>
      <w:r w:rsidRPr="00DF6490">
        <w:t xml:space="preserve"> financial assistance through payments and concessions. </w:t>
      </w:r>
      <w:r w:rsidR="00D76EE1" w:rsidRPr="00DF6490">
        <w:t xml:space="preserve">This is consistent with the Government’s </w:t>
      </w:r>
      <w:r w:rsidR="00D76EE1">
        <w:t xml:space="preserve">commitment to a strong </w:t>
      </w:r>
      <w:r w:rsidR="00D76EE1" w:rsidRPr="00DF6490">
        <w:t>a social security safety net</w:t>
      </w:r>
      <w:r w:rsidR="00D76EE1">
        <w:t>.</w:t>
      </w:r>
    </w:p>
    <w:p w14:paraId="70C98F43" w14:textId="77777777" w:rsidR="00553526" w:rsidRPr="00DF6490" w:rsidRDefault="00553526" w:rsidP="00553526"/>
    <w:p w14:paraId="75B65C03" w14:textId="32535103" w:rsidR="00050ADE" w:rsidRPr="00DF6490" w:rsidRDefault="00050ADE" w:rsidP="00050ADE">
      <w:pPr>
        <w:rPr>
          <w:rFonts w:cstheme="minorHAnsi"/>
        </w:rPr>
      </w:pPr>
      <w:r w:rsidRPr="00DF6490">
        <w:rPr>
          <w:rFonts w:cstheme="minorHAnsi"/>
        </w:rPr>
        <w:t>Through Carer Gateway, the Government provides tailored support to carers to meet their individual needs and circumstances. This tailored support may include provision of assistance that directly contributes to supporting carers to continue in the workforce, their education, to undertake training courses, to enter/re-enter the workforce and/or upskill for employment opportunities. This support may include:</w:t>
      </w:r>
    </w:p>
    <w:p w14:paraId="6FF4D0E7" w14:textId="29A770BE" w:rsidR="00050ADE" w:rsidRPr="00DF6490" w:rsidRDefault="00050ADE" w:rsidP="00532184">
      <w:pPr>
        <w:numPr>
          <w:ilvl w:val="0"/>
          <w:numId w:val="11"/>
        </w:numPr>
        <w:ind w:left="714" w:hanging="357"/>
        <w:rPr>
          <w:rFonts w:cstheme="minorHAnsi"/>
        </w:rPr>
      </w:pPr>
      <w:r w:rsidRPr="00DF6490">
        <w:rPr>
          <w:rFonts w:cstheme="minorHAnsi"/>
        </w:rPr>
        <w:t>access to planned respite for care recipient/s enabling carers to attend education/training sessions either in-person or online</w:t>
      </w:r>
    </w:p>
    <w:p w14:paraId="1DFF2AD3" w14:textId="77777777" w:rsidR="00050ADE" w:rsidRPr="00DF6490" w:rsidRDefault="00050ADE" w:rsidP="00532184">
      <w:pPr>
        <w:numPr>
          <w:ilvl w:val="0"/>
          <w:numId w:val="11"/>
        </w:numPr>
        <w:ind w:left="714" w:hanging="357"/>
        <w:rPr>
          <w:rFonts w:cstheme="minorHAnsi"/>
        </w:rPr>
      </w:pPr>
      <w:r w:rsidRPr="00DF6490">
        <w:rPr>
          <w:rFonts w:cstheme="minorHAnsi"/>
        </w:rPr>
        <w:t>provision of equipment (for example purchasing a laptop and providing internet access), and</w:t>
      </w:r>
    </w:p>
    <w:p w14:paraId="611AB2B2" w14:textId="77777777" w:rsidR="00050ADE" w:rsidRPr="00DF6490" w:rsidRDefault="00050ADE" w:rsidP="00532184">
      <w:pPr>
        <w:numPr>
          <w:ilvl w:val="0"/>
          <w:numId w:val="11"/>
        </w:numPr>
        <w:ind w:left="714" w:hanging="357"/>
        <w:rPr>
          <w:rFonts w:cstheme="minorHAnsi"/>
        </w:rPr>
      </w:pPr>
      <w:r w:rsidRPr="00DF6490">
        <w:rPr>
          <w:rFonts w:cstheme="minorHAnsi"/>
        </w:rPr>
        <w:t>funding for education/training courses.</w:t>
      </w:r>
    </w:p>
    <w:p w14:paraId="400DD01C" w14:textId="77777777" w:rsidR="00415795" w:rsidRPr="00DF6490" w:rsidRDefault="00415795" w:rsidP="008E1272"/>
    <w:p w14:paraId="4A18B72F" w14:textId="2B1AAB2D" w:rsidR="00F66FC4" w:rsidRPr="00DF6490" w:rsidRDefault="00933DAB" w:rsidP="008E1272">
      <w:r w:rsidRPr="00F32750">
        <w:t>The Department of Social Services has commissioned an evaluation of carer support programs, including Carer Gateway.</w:t>
      </w:r>
    </w:p>
    <w:p w14:paraId="1FEBB795" w14:textId="30EE823C" w:rsidR="00276CED" w:rsidRPr="00DF6490" w:rsidRDefault="00276CED" w:rsidP="008E1272"/>
    <w:p w14:paraId="4906FDA1" w14:textId="6CFD53C7" w:rsidR="00276CED" w:rsidRPr="00DF6490" w:rsidRDefault="00CC24AE" w:rsidP="008E1272">
      <w:r w:rsidRPr="00DF6490">
        <w:t>P</w:t>
      </w:r>
      <w:r w:rsidR="00276CED" w:rsidRPr="00DF6490">
        <w:t xml:space="preserve">ensions, including Carer Payment, are generally paid at the highest legislated rate of income support in the Australian social security system. Base pensions are indexed twice a year in March and September to the higher of the increase in the Consumer Price Index and the increase in the Pensioner and Beneficiary Living Cost Index. The </w:t>
      </w:r>
      <w:r w:rsidR="00744A41" w:rsidRPr="00DF6490">
        <w:t>Pensioner and Beneficiary Living Cost Index</w:t>
      </w:r>
      <w:r w:rsidR="00276CED" w:rsidRPr="00DF6490">
        <w:t xml:space="preserve"> basket of goods and services is weighted to recognise that pensioners spend more of their income on essentials. Base pension rates are also benchmarked to Male Total Average Weekly Earnings.</w:t>
      </w:r>
      <w:r w:rsidR="004C25CD">
        <w:t xml:space="preserve"> </w:t>
      </w:r>
      <w:r w:rsidR="004C25CD" w:rsidRPr="002834FD">
        <w:t>These arrangements ensure pension rates are responsive to pensioners’ actual living cost increases and keep pace with community living standards as measured by wages.</w:t>
      </w:r>
    </w:p>
    <w:p w14:paraId="6C43E087" w14:textId="030997BB" w:rsidR="009F2537" w:rsidRPr="00DF6490" w:rsidRDefault="009F2537" w:rsidP="008E1272"/>
    <w:p w14:paraId="36EE8F33" w14:textId="608ED3DE" w:rsidR="009F2537" w:rsidRPr="00DF6490" w:rsidRDefault="009F2537" w:rsidP="009F2537">
      <w:r w:rsidRPr="00DF6490">
        <w:t>The Government is committed to supporting young carers. Through Carers Australia, the Government funds the Young Carers Network, as well as the Young Carer Bursary Program that assists eligible carers aged 25 years and under to continue or return to study</w:t>
      </w:r>
      <w:r w:rsidR="005C7F73" w:rsidRPr="00DF6490">
        <w:t>. On 26</w:t>
      </w:r>
      <w:r w:rsidR="00B012D5">
        <w:t> </w:t>
      </w:r>
      <w:r w:rsidR="005C7F73" w:rsidRPr="00DF6490">
        <w:t xml:space="preserve">April 2023, the Government announced </w:t>
      </w:r>
      <w:r w:rsidR="005C7F73">
        <w:t xml:space="preserve">additional </w:t>
      </w:r>
      <w:r w:rsidR="005C7F73" w:rsidRPr="00DF6490">
        <w:t>funding</w:t>
      </w:r>
      <w:r w:rsidR="005C7F73">
        <w:t xml:space="preserve"> of $3 million a year</w:t>
      </w:r>
      <w:r w:rsidR="005C7F73" w:rsidRPr="00DF6490">
        <w:t xml:space="preserve"> for the Young Carer Bursary Program,</w:t>
      </w:r>
      <w:r w:rsidRPr="00DF6490">
        <w:t xml:space="preserve"> increasing the number of bursaries offered from 1,000 to around 1,600 and bursary payments from $3,000 to $3,768 each year, in recognition of the increased cost of living and challenges faced in balancing study and caring responsibilities.</w:t>
      </w:r>
    </w:p>
    <w:p w14:paraId="48C29562" w14:textId="77777777" w:rsidR="009F2537" w:rsidRDefault="009F2537" w:rsidP="009F2537">
      <w:pPr>
        <w:rPr>
          <w:rStyle w:val="eop"/>
          <w:rFonts w:ascii="Calibri" w:hAnsi="Calibri" w:cs="Calibri"/>
          <w:color w:val="000000"/>
          <w:shd w:val="clear" w:color="auto" w:fill="FFFFFF"/>
        </w:rPr>
      </w:pPr>
    </w:p>
    <w:p w14:paraId="7A0298E3" w14:textId="67BA1185" w:rsidR="006F1A83" w:rsidRDefault="00223736" w:rsidP="00223736">
      <w:pPr>
        <w:pStyle w:val="Heading4"/>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4.3.2 </w:t>
      </w:r>
      <w:r w:rsidR="00221E0E">
        <w:rPr>
          <w:rStyle w:val="eop"/>
          <w:rFonts w:ascii="Calibri" w:hAnsi="Calibri" w:cs="Calibri"/>
          <w:color w:val="000000"/>
          <w:shd w:val="clear" w:color="auto" w:fill="FFFFFF"/>
        </w:rPr>
        <w:t>M</w:t>
      </w:r>
      <w:r w:rsidR="00221E0E" w:rsidRPr="00221E0E">
        <w:rPr>
          <w:rStyle w:val="eop"/>
          <w:rFonts w:ascii="Calibri" w:hAnsi="Calibri" w:cs="Calibri"/>
          <w:color w:val="000000"/>
          <w:shd w:val="clear" w:color="auto" w:fill="FFFFFF"/>
        </w:rPr>
        <w:t>ental health</w:t>
      </w:r>
      <w:r w:rsidR="00221E0E">
        <w:rPr>
          <w:rStyle w:val="eop"/>
          <w:rFonts w:ascii="Calibri" w:hAnsi="Calibri" w:cs="Calibri"/>
          <w:color w:val="000000"/>
          <w:shd w:val="clear" w:color="auto" w:fill="FFFFFF"/>
        </w:rPr>
        <w:t xml:space="preserve"> services an</w:t>
      </w:r>
      <w:r w:rsidR="001B2AFA">
        <w:rPr>
          <w:rStyle w:val="eop"/>
          <w:rFonts w:ascii="Calibri" w:hAnsi="Calibri" w:cs="Calibri"/>
          <w:color w:val="000000"/>
          <w:shd w:val="clear" w:color="auto" w:fill="FFFFFF"/>
        </w:rPr>
        <w:t>d resources</w:t>
      </w:r>
    </w:p>
    <w:p w14:paraId="01F0C102" w14:textId="4CC1EBFC" w:rsidR="00EB76F5" w:rsidRPr="00EB76F5" w:rsidRDefault="00EB76F5" w:rsidP="00EB76F5"/>
    <w:p w14:paraId="397955D7" w14:textId="5AAE3B8A" w:rsidR="006A46F7" w:rsidRPr="00DF6490" w:rsidRDefault="00612161" w:rsidP="00612161">
      <w:r w:rsidRPr="00DF6490">
        <w:t xml:space="preserve">The Government </w:t>
      </w:r>
      <w:r w:rsidR="00695489" w:rsidRPr="00DF6490">
        <w:t>also</w:t>
      </w:r>
      <w:r w:rsidRPr="00DF6490">
        <w:t xml:space="preserve"> currently funds a range of services and resources to assist young people experiencing mental ill health, including carers. </w:t>
      </w:r>
    </w:p>
    <w:p w14:paraId="6D48CA5E" w14:textId="77777777" w:rsidR="006A46F7" w:rsidRPr="00DF6490" w:rsidRDefault="006A46F7" w:rsidP="00612161"/>
    <w:p w14:paraId="26530884" w14:textId="010779B1" w:rsidR="003869B0" w:rsidRPr="00DF6490" w:rsidRDefault="003869B0" w:rsidP="003869B0">
      <w:r w:rsidRPr="00DF6490">
        <w:t>headspace is the Australian Government’s primary national platform for provision of services to young people aged 12</w:t>
      </w:r>
      <w:r w:rsidR="00851075">
        <w:t xml:space="preserve"> to </w:t>
      </w:r>
      <w:r w:rsidRPr="00DF6490">
        <w:t>25 experiencing, or at risk of, mild to moderate mental illness. headspace is a trusted model of care that is recognised by young people, their families, carers and communities for providing youth friendly mental health support. The Individual Placement and Support program is delivered in 50 headspace centres nationally to help young people, including young carers, achieve their education and employment goals.</w:t>
      </w:r>
    </w:p>
    <w:p w14:paraId="19FB10C8" w14:textId="77777777" w:rsidR="004F691F" w:rsidRDefault="004F691F" w:rsidP="003869B0"/>
    <w:p w14:paraId="2D4FD0DD" w14:textId="1022940D" w:rsidR="004F691F" w:rsidRDefault="004F691F" w:rsidP="004F691F">
      <w:r>
        <w:t xml:space="preserve">To complement the </w:t>
      </w:r>
      <w:r w:rsidR="0061403B" w:rsidRPr="00DF6490">
        <w:t xml:space="preserve">Individual Placement and Support </w:t>
      </w:r>
      <w:r>
        <w:t xml:space="preserve">program the Government funds the Digital Work and Study Service. </w:t>
      </w:r>
      <w:r w:rsidR="007D2F60">
        <w:t xml:space="preserve">The </w:t>
      </w:r>
      <w:r w:rsidR="00C67E63">
        <w:t xml:space="preserve">Digital Work and Study Service </w:t>
      </w:r>
      <w:r>
        <w:t>is a unique integrated clinical and vocational work and study service providing support to young people with mental ill health, via a digital platform.</w:t>
      </w:r>
    </w:p>
    <w:p w14:paraId="6A0C79D0" w14:textId="4CD11167" w:rsidR="00116C91" w:rsidRDefault="00116C91">
      <w:pPr>
        <w:spacing w:after="200" w:line="276" w:lineRule="auto"/>
      </w:pPr>
      <w:r>
        <w:br w:type="page"/>
      </w:r>
    </w:p>
    <w:p w14:paraId="43820CE2" w14:textId="56C2D322" w:rsidR="004F691F" w:rsidRPr="00C67E63" w:rsidRDefault="00C67E63" w:rsidP="004F691F">
      <w:pPr>
        <w:rPr>
          <w:rFonts w:cstheme="minorHAnsi"/>
        </w:rPr>
      </w:pPr>
      <w:r>
        <w:t xml:space="preserve">The Digital Work and Study Service </w:t>
      </w:r>
      <w:r w:rsidR="004F691F">
        <w:t xml:space="preserve">complements the </w:t>
      </w:r>
      <w:r w:rsidR="0061403B" w:rsidRPr="00DF6490">
        <w:t xml:space="preserve">Individual Placement and Support </w:t>
      </w:r>
      <w:r w:rsidR="004F691F" w:rsidRPr="00C67E63">
        <w:rPr>
          <w:rFonts w:cstheme="minorHAnsi"/>
        </w:rPr>
        <w:t xml:space="preserve">program by reducing waitlists and providing priority access to young people in regional and remote locations and First Nations people. </w:t>
      </w:r>
      <w:r w:rsidRPr="00C67E63">
        <w:rPr>
          <w:rFonts w:cstheme="minorHAnsi"/>
        </w:rPr>
        <w:t xml:space="preserve">The Digital Work and Study Service </w:t>
      </w:r>
      <w:r w:rsidR="004F691F" w:rsidRPr="00C67E63">
        <w:rPr>
          <w:rFonts w:cstheme="minorHAnsi"/>
        </w:rPr>
        <w:t>also offers participants the opportunity to link with a volunteer mentor through partnerships with employers and industry both locally and nationally.</w:t>
      </w:r>
    </w:p>
    <w:p w14:paraId="4EB20BDE" w14:textId="77777777" w:rsidR="004F691F" w:rsidRPr="00C67E63" w:rsidRDefault="004F691F" w:rsidP="004F691F">
      <w:pPr>
        <w:rPr>
          <w:rFonts w:cstheme="minorHAnsi"/>
        </w:rPr>
      </w:pPr>
    </w:p>
    <w:p w14:paraId="183CBA86" w14:textId="7FDB9256" w:rsidR="004F691F" w:rsidRPr="00C67E63" w:rsidRDefault="004F691F" w:rsidP="004F691F">
      <w:pPr>
        <w:pStyle w:val="CABParagraph"/>
        <w:spacing w:after="120"/>
        <w:rPr>
          <w:rFonts w:asciiTheme="minorHAnsi" w:hAnsiTheme="minorHAnsi" w:cstheme="minorHAnsi"/>
          <w:sz w:val="24"/>
          <w:szCs w:val="24"/>
        </w:rPr>
      </w:pPr>
      <w:r w:rsidRPr="00C67E63">
        <w:rPr>
          <w:rFonts w:asciiTheme="minorHAnsi" w:hAnsiTheme="minorHAnsi" w:cstheme="minorHAnsi"/>
          <w:sz w:val="24"/>
          <w:szCs w:val="24"/>
        </w:rPr>
        <w:t xml:space="preserve">The </w:t>
      </w:r>
      <w:r w:rsidR="0061403B" w:rsidRPr="00C67E63">
        <w:rPr>
          <w:rFonts w:asciiTheme="minorHAnsi" w:hAnsiTheme="minorHAnsi" w:cstheme="minorHAnsi"/>
          <w:sz w:val="24"/>
          <w:szCs w:val="24"/>
        </w:rPr>
        <w:t xml:space="preserve">Individual Placement and Support </w:t>
      </w:r>
      <w:r w:rsidRPr="00C67E63">
        <w:rPr>
          <w:rFonts w:asciiTheme="minorHAnsi" w:hAnsiTheme="minorHAnsi" w:cstheme="minorHAnsi"/>
          <w:sz w:val="24"/>
          <w:szCs w:val="24"/>
        </w:rPr>
        <w:t>program and</w:t>
      </w:r>
      <w:r w:rsidR="007D2F60">
        <w:rPr>
          <w:rFonts w:asciiTheme="minorHAnsi" w:hAnsiTheme="minorHAnsi" w:cstheme="minorHAnsi"/>
          <w:sz w:val="24"/>
          <w:szCs w:val="24"/>
        </w:rPr>
        <w:t xml:space="preserve"> the</w:t>
      </w:r>
      <w:r w:rsidRPr="00C67E63">
        <w:rPr>
          <w:rFonts w:asciiTheme="minorHAnsi" w:hAnsiTheme="minorHAnsi" w:cstheme="minorHAnsi"/>
          <w:sz w:val="24"/>
          <w:szCs w:val="24"/>
        </w:rPr>
        <w:t xml:space="preserve"> </w:t>
      </w:r>
      <w:r w:rsidR="00C67E63" w:rsidRPr="00C67E63">
        <w:rPr>
          <w:rFonts w:asciiTheme="minorHAnsi" w:hAnsiTheme="minorHAnsi" w:cstheme="minorHAnsi"/>
          <w:sz w:val="24"/>
          <w:szCs w:val="24"/>
        </w:rPr>
        <w:t xml:space="preserve">Digital Work and Study Service </w:t>
      </w:r>
      <w:r w:rsidRPr="00C67E63">
        <w:rPr>
          <w:rFonts w:asciiTheme="minorHAnsi" w:hAnsiTheme="minorHAnsi" w:cstheme="minorHAnsi"/>
          <w:sz w:val="24"/>
          <w:szCs w:val="24"/>
        </w:rPr>
        <w:t xml:space="preserve">are currently being evaluated. Evaluation findings will inform decisions on continued service delivery models, referral pathways, the community engagement model and inform how these programs could be integrated into future employment program reforms. </w:t>
      </w:r>
    </w:p>
    <w:p w14:paraId="01E00D5A" w14:textId="77777777" w:rsidR="004F691F" w:rsidRPr="00C67E63" w:rsidRDefault="004F691F" w:rsidP="00612161">
      <w:pPr>
        <w:rPr>
          <w:rFonts w:cstheme="minorHAnsi"/>
        </w:rPr>
      </w:pPr>
    </w:p>
    <w:p w14:paraId="1C9A36A2" w14:textId="04C482F1" w:rsidR="00612161" w:rsidRPr="00C67E63" w:rsidRDefault="00612161" w:rsidP="00612161">
      <w:pPr>
        <w:rPr>
          <w:rFonts w:cstheme="minorHAnsi"/>
        </w:rPr>
      </w:pPr>
      <w:r w:rsidRPr="00C67E63">
        <w:rPr>
          <w:rFonts w:cstheme="minorHAnsi"/>
        </w:rPr>
        <w:t xml:space="preserve">The Government also funds Primary Health Networks to plan and commission regionally appropriate mental health and suicide prevention services within a person-centred stepped care approach that matches services to local need. Each </w:t>
      </w:r>
      <w:r w:rsidR="00744A41" w:rsidRPr="00C67E63">
        <w:rPr>
          <w:rFonts w:cstheme="minorHAnsi"/>
        </w:rPr>
        <w:t>Primary Health Network</w:t>
      </w:r>
      <w:r w:rsidRPr="00C67E63">
        <w:rPr>
          <w:rFonts w:cstheme="minorHAnsi"/>
        </w:rPr>
        <w:t xml:space="preserve"> is required to ensure services respond to a range of mental health needs, from early intervention for mild and moderate conditions to more severe forms of mental illness.</w:t>
      </w:r>
    </w:p>
    <w:p w14:paraId="1D76A071" w14:textId="77777777" w:rsidR="004D1C90" w:rsidRPr="00C67E63" w:rsidRDefault="004D1C90" w:rsidP="008E1272">
      <w:pPr>
        <w:rPr>
          <w:rFonts w:cstheme="minorHAnsi"/>
        </w:rPr>
      </w:pPr>
    </w:p>
    <w:p w14:paraId="61A9CF77" w14:textId="6339D0B3" w:rsidR="00646013" w:rsidRPr="00DF6490" w:rsidRDefault="00646013" w:rsidP="000734BB">
      <w:pPr>
        <w:rPr>
          <w:rStyle w:val="normaltextrun"/>
          <w:sz w:val="22"/>
          <w:szCs w:val="22"/>
        </w:rPr>
      </w:pPr>
      <w:r w:rsidRPr="00C67E63">
        <w:rPr>
          <w:rFonts w:cstheme="minorHAnsi"/>
        </w:rPr>
        <w:t>The Government is also investing in services to increase access to mental health care in the community for all Australians, including</w:t>
      </w:r>
      <w:r w:rsidRPr="00646013">
        <w:t xml:space="preserve"> those with caring responsibilities and people from culturally and linguistically diverse backgrounds. This includes through </w:t>
      </w:r>
      <w:r w:rsidR="00C622B7">
        <w:t>enhancing the clinical capacity and reach of</w:t>
      </w:r>
      <w:r w:rsidR="00C622B7" w:rsidRPr="00646013">
        <w:t xml:space="preserve"> </w:t>
      </w:r>
      <w:r w:rsidRPr="00646013">
        <w:t xml:space="preserve">the national network of </w:t>
      </w:r>
      <w:r w:rsidR="00C622B7">
        <w:t>Medicare Mental Health Centres (formerly Head to Health)</w:t>
      </w:r>
      <w:r w:rsidRPr="00646013">
        <w:t xml:space="preserve">, piloting the Individual Placement and Support program in </w:t>
      </w:r>
      <w:r w:rsidR="00F65F60">
        <w:t>2</w:t>
      </w:r>
      <w:r w:rsidR="00F65F60" w:rsidRPr="00646013">
        <w:t xml:space="preserve"> </w:t>
      </w:r>
      <w:r w:rsidRPr="00646013">
        <w:t>centres</w:t>
      </w:r>
      <w:r w:rsidR="00F47A12">
        <w:t>. Medicare Mental Health</w:t>
      </w:r>
      <w:r w:rsidRPr="00646013">
        <w:t xml:space="preserve"> </w:t>
      </w:r>
      <w:r w:rsidR="00F47A12">
        <w:t>C</w:t>
      </w:r>
      <w:r w:rsidRPr="00646013">
        <w:t xml:space="preserve">entres provide a safe and welcoming place to access mental health information, services and supports delivered by multidisciplinary care teams, without needing a prior appointment. </w:t>
      </w:r>
      <w:r w:rsidR="00B95E7C">
        <w:t>Medicare Mental Health Centre</w:t>
      </w:r>
      <w:r w:rsidRPr="00646013">
        <w:t xml:space="preserve"> services are free</w:t>
      </w:r>
      <w:r w:rsidR="001F56BF">
        <w:t>,</w:t>
      </w:r>
      <w:r w:rsidRPr="00646013">
        <w:t xml:space="preserve"> and you do not need a GP referral </w:t>
      </w:r>
      <w:r w:rsidR="00C22DD9">
        <w:t xml:space="preserve">or Medicare card </w:t>
      </w:r>
      <w:r w:rsidRPr="00646013">
        <w:t>to access them.</w:t>
      </w:r>
    </w:p>
    <w:p w14:paraId="1304C405" w14:textId="77777777" w:rsidR="000734BB" w:rsidRPr="00DF6490" w:rsidRDefault="000734BB" w:rsidP="000734BB">
      <w:pPr>
        <w:rPr>
          <w:rStyle w:val="normaltextrun"/>
        </w:rPr>
      </w:pPr>
    </w:p>
    <w:p w14:paraId="181D22FF" w14:textId="3239D8E1" w:rsidR="004D1C90" w:rsidRPr="00DF6490" w:rsidRDefault="00B54021" w:rsidP="004D1C90">
      <w:r>
        <w:rPr>
          <w:rStyle w:val="normaltextrun"/>
          <w:color w:val="000000"/>
          <w:shd w:val="clear" w:color="auto" w:fill="FFFFFF"/>
        </w:rPr>
        <w:t>The national Head to Health Phone Service provides additional support to access</w:t>
      </w:r>
      <w:r w:rsidR="00E536B2">
        <w:rPr>
          <w:rStyle w:val="normaltextrun"/>
          <w:color w:val="000000"/>
          <w:shd w:val="clear" w:color="auto" w:fill="FFFFFF"/>
        </w:rPr>
        <w:t xml:space="preserve"> community </w:t>
      </w:r>
      <w:r w:rsidR="00B65E5E">
        <w:rPr>
          <w:rStyle w:val="normaltextrun"/>
          <w:color w:val="000000"/>
          <w:shd w:val="clear" w:color="auto" w:fill="FFFFFF"/>
        </w:rPr>
        <w:t>based mental health services.</w:t>
      </w:r>
      <w:r w:rsidR="00D07C7D">
        <w:rPr>
          <w:rStyle w:val="normaltextrun"/>
          <w:color w:val="000000"/>
          <w:shd w:val="clear" w:color="auto" w:fill="FFFFFF"/>
        </w:rPr>
        <w:t xml:space="preserve"> </w:t>
      </w:r>
      <w:r w:rsidR="00A00640" w:rsidRPr="00DF6490">
        <w:rPr>
          <w:rStyle w:val="normaltextrun"/>
          <w:color w:val="000000"/>
          <w:shd w:val="clear" w:color="auto" w:fill="FFFFFF"/>
        </w:rPr>
        <w:t xml:space="preserve">The Head to Health Phone Service is operating nationally and anyone in Australia can call 1800 595 212 </w:t>
      </w:r>
      <w:r w:rsidR="00A00640" w:rsidRPr="00DF6490">
        <w:t>(between 8.30am</w:t>
      </w:r>
      <w:r w:rsidR="0008579E">
        <w:t xml:space="preserve"> and </w:t>
      </w:r>
      <w:r w:rsidR="00A00640" w:rsidRPr="00DF6490">
        <w:t>5pm weekdays)</w:t>
      </w:r>
      <w:r w:rsidR="00A00640" w:rsidRPr="00DF6490">
        <w:rPr>
          <w:rStyle w:val="normaltextrun"/>
          <w:color w:val="000000"/>
          <w:shd w:val="clear" w:color="auto" w:fill="FFFFFF"/>
        </w:rPr>
        <w:t xml:space="preserve"> and speak with a trained professional for advice, information</w:t>
      </w:r>
      <w:r w:rsidR="00901A7C">
        <w:rPr>
          <w:rStyle w:val="normaltextrun"/>
          <w:color w:val="000000"/>
          <w:shd w:val="clear" w:color="auto" w:fill="FFFFFF"/>
        </w:rPr>
        <w:t>,</w:t>
      </w:r>
      <w:r w:rsidR="00A00640" w:rsidRPr="00DF6490">
        <w:rPr>
          <w:rStyle w:val="normaltextrun"/>
          <w:color w:val="000000"/>
          <w:shd w:val="clear" w:color="auto" w:fill="FFFFFF"/>
        </w:rPr>
        <w:t xml:space="preserve"> and referral into the most appropriate mental health support according to their needs. </w:t>
      </w:r>
      <w:r w:rsidR="00A00640" w:rsidRPr="00DF6490">
        <w:rPr>
          <w:rStyle w:val="eop"/>
          <w:color w:val="000000"/>
          <w:shd w:val="clear" w:color="auto" w:fill="FFFFFF"/>
        </w:rPr>
        <w:t xml:space="preserve">This may involve referral into a free or low-cost mental health service in the person’s local area, depending on what best meets their individual circumstances. </w:t>
      </w:r>
      <w:r w:rsidR="00A00640" w:rsidRPr="00DF6490">
        <w:rPr>
          <w:lang w:eastAsia="en-AU"/>
        </w:rPr>
        <w:t xml:space="preserve">Anyone seeking </w:t>
      </w:r>
      <w:r w:rsidR="00A00640">
        <w:rPr>
          <w:lang w:eastAsia="en-AU"/>
        </w:rPr>
        <w:t>language support</w:t>
      </w:r>
      <w:r w:rsidR="00A00640" w:rsidRPr="00DF6490">
        <w:rPr>
          <w:lang w:eastAsia="en-AU"/>
        </w:rPr>
        <w:t xml:space="preserve"> can access the Translating and Interpreting Service </w:t>
      </w:r>
      <w:r w:rsidR="00A00640">
        <w:rPr>
          <w:lang w:eastAsia="en-AU"/>
        </w:rPr>
        <w:t>(TIS National) by calling 131 450, advising the operator of their spoken language and asking the interpreter to call Head to Health on 1800 592 212</w:t>
      </w:r>
      <w:r w:rsidR="00A00640" w:rsidRPr="00DF6490">
        <w:rPr>
          <w:lang w:eastAsia="en-AU"/>
        </w:rPr>
        <w:t xml:space="preserve">. </w:t>
      </w:r>
      <w:r w:rsidR="00A00640">
        <w:rPr>
          <w:lang w:eastAsia="en-AU"/>
        </w:rPr>
        <w:t xml:space="preserve">The national </w:t>
      </w:r>
      <w:r w:rsidR="00CD6578" w:rsidRPr="00CD6578">
        <w:t>Head to Health website</w:t>
      </w:r>
      <w:r w:rsidR="00A00640" w:rsidRPr="00DF6490">
        <w:t xml:space="preserve"> is also available and provides access to digital </w:t>
      </w:r>
      <w:r w:rsidR="00A00640">
        <w:t xml:space="preserve">and low intensity </w:t>
      </w:r>
      <w:r w:rsidR="00A00640" w:rsidRPr="00DF6490">
        <w:t xml:space="preserve">mental health </w:t>
      </w:r>
      <w:r w:rsidR="00A00640">
        <w:t>support offerings</w:t>
      </w:r>
      <w:r w:rsidR="00A00640" w:rsidRPr="00DF6490">
        <w:t xml:space="preserve"> from trusted providers.</w:t>
      </w:r>
    </w:p>
    <w:p w14:paraId="12C10393" w14:textId="77777777" w:rsidR="004D1C90" w:rsidRPr="00DF6490" w:rsidRDefault="004D1C90" w:rsidP="008E1272"/>
    <w:p w14:paraId="1C6D935E" w14:textId="1D53ED08" w:rsidR="002101B8" w:rsidRPr="00DF6490" w:rsidRDefault="002101B8" w:rsidP="002101B8">
      <w:r w:rsidRPr="00DF6490">
        <w:t xml:space="preserve">The Government has also announced $7.5 million to establish and operate </w:t>
      </w:r>
      <w:r w:rsidR="00F65F60">
        <w:t>2</w:t>
      </w:r>
      <w:r w:rsidR="00F65F60" w:rsidRPr="00DF6490">
        <w:t xml:space="preserve"> </w:t>
      </w:r>
      <w:r w:rsidRPr="00DF6490">
        <w:t>independent national mental health lived experience peak bodies</w:t>
      </w:r>
      <w:r w:rsidR="00354BDF">
        <w:t>. O</w:t>
      </w:r>
      <w:r w:rsidRPr="00DF6490">
        <w:t>ne representing consumers and the other representing families, carers and kin. This is part of the Government’s overall investment of $8.5 million to support those with a lived or living experience of mental ill</w:t>
      </w:r>
      <w:r w:rsidR="00BB1CCD">
        <w:noBreakHyphen/>
      </w:r>
      <w:r w:rsidRPr="00DF6490">
        <w:t>health to shape the policies and programs affecting them.</w:t>
      </w:r>
    </w:p>
    <w:p w14:paraId="49C1CBAE" w14:textId="77777777" w:rsidR="004D1C90" w:rsidRPr="00DF6490" w:rsidRDefault="004D1C90" w:rsidP="002101B8"/>
    <w:p w14:paraId="74B3AEB3" w14:textId="4E1034D0" w:rsidR="00CC618D" w:rsidRDefault="00245655" w:rsidP="002101B8">
      <w:r w:rsidRPr="00245655">
        <w:t xml:space="preserve">The </w:t>
      </w:r>
      <w:r w:rsidR="00F65F60">
        <w:t>2</w:t>
      </w:r>
      <w:r w:rsidR="00F65F60" w:rsidRPr="00245655">
        <w:t xml:space="preserve"> </w:t>
      </w:r>
      <w:r w:rsidRPr="00245655">
        <w:t xml:space="preserve">new peak bodies are on track to be operational by mid-2024. Once established, these </w:t>
      </w:r>
      <w:r w:rsidR="00F65F60">
        <w:t>2</w:t>
      </w:r>
      <w:r w:rsidR="00F65F60" w:rsidRPr="00245655">
        <w:t xml:space="preserve"> </w:t>
      </w:r>
      <w:r w:rsidRPr="00245655">
        <w:t>independent national bodies will amplify the voices of consumers and carers to improve mental health and suicide prevention outcomes for all Australians.</w:t>
      </w:r>
      <w:r w:rsidR="002101B8" w:rsidRPr="00DF6490" w:rsidDel="00245655">
        <w:t xml:space="preserve"> </w:t>
      </w:r>
    </w:p>
    <w:p w14:paraId="530FEFE8" w14:textId="77777777" w:rsidR="007378E8" w:rsidRPr="00DF6490" w:rsidRDefault="007378E8" w:rsidP="002101B8"/>
    <w:p w14:paraId="4E75518E" w14:textId="5975C626" w:rsidR="001147DA" w:rsidRDefault="002101B8" w:rsidP="002101B8">
      <w:r w:rsidRPr="00DF6490">
        <w:t>This follows work led by the National Mental Health Commission to scope the establishment of lived</w:t>
      </w:r>
      <w:r w:rsidR="00A24318">
        <w:t xml:space="preserve"> </w:t>
      </w:r>
      <w:r w:rsidRPr="00DF6490">
        <w:t>experience peaks</w:t>
      </w:r>
      <w:r w:rsidR="00354BDF">
        <w:t>. It</w:t>
      </w:r>
      <w:r w:rsidRPr="00DF6490">
        <w:t xml:space="preserve"> also enacts Action 22.4 of the Productivity Commission Inquiry into Mental Health to fund separate peak bodies to represent the views of both consumers and carers.</w:t>
      </w:r>
    </w:p>
    <w:p w14:paraId="0E497DA4" w14:textId="77777777" w:rsidR="001147DA" w:rsidRPr="00DF6490" w:rsidRDefault="001147DA" w:rsidP="002101B8"/>
    <w:p w14:paraId="57CC01FA" w14:textId="77777777" w:rsidR="00DC524D" w:rsidRPr="00DF6490" w:rsidRDefault="00DC524D" w:rsidP="00BB1CCD">
      <w:pPr>
        <w:pStyle w:val="Heading6"/>
        <w:keepNext/>
        <w:pBdr>
          <w:top w:val="single" w:sz="4" w:space="1" w:color="auto"/>
          <w:left w:val="single" w:sz="4" w:space="4" w:color="auto"/>
          <w:bottom w:val="single" w:sz="4" w:space="1" w:color="auto"/>
          <w:right w:val="single" w:sz="4" w:space="4" w:color="auto"/>
        </w:pBdr>
      </w:pPr>
      <w:r w:rsidRPr="00DF6490">
        <w:t>Recommendation 9</w:t>
      </w:r>
    </w:p>
    <w:p w14:paraId="4874B347" w14:textId="7777777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t>The committee recommends the Department of Health and Aged Care, in consultation with key stakeholder groups and allied health professionals, develop a mental health support program tailored to carers aged 25 years and under. The program should consider:</w:t>
      </w:r>
    </w:p>
    <w:p w14:paraId="400E945E" w14:textId="77777777" w:rsidR="00DC524D" w:rsidRPr="00DF6490" w:rsidRDefault="00DC524D" w:rsidP="00C6053F">
      <w:pPr>
        <w:pStyle w:val="ListParagraph"/>
        <w:numPr>
          <w:ilvl w:val="0"/>
          <w:numId w:val="28"/>
        </w:numPr>
        <w:pBdr>
          <w:top w:val="single" w:sz="4" w:space="1" w:color="auto"/>
          <w:left w:val="single" w:sz="4" w:space="4" w:color="auto"/>
          <w:bottom w:val="single" w:sz="4" w:space="1" w:color="auto"/>
          <w:right w:val="single" w:sz="4" w:space="4" w:color="auto"/>
        </w:pBdr>
        <w:rPr>
          <w:sz w:val="24"/>
          <w:szCs w:val="24"/>
        </w:rPr>
      </w:pPr>
      <w:r w:rsidRPr="00DF6490">
        <w:rPr>
          <w:sz w:val="24"/>
          <w:szCs w:val="24"/>
        </w:rPr>
        <w:t>the unique mental and physical health impacts of caring on young people;</w:t>
      </w:r>
    </w:p>
    <w:p w14:paraId="0A5EB15E" w14:textId="77777777" w:rsidR="00DC524D" w:rsidRPr="00DF6490" w:rsidRDefault="00DC524D" w:rsidP="00C6053F">
      <w:pPr>
        <w:pStyle w:val="ListParagraph"/>
        <w:numPr>
          <w:ilvl w:val="0"/>
          <w:numId w:val="28"/>
        </w:numPr>
        <w:pBdr>
          <w:top w:val="single" w:sz="4" w:space="1" w:color="auto"/>
          <w:left w:val="single" w:sz="4" w:space="4" w:color="auto"/>
          <w:bottom w:val="single" w:sz="4" w:space="1" w:color="auto"/>
          <w:right w:val="single" w:sz="4" w:space="4" w:color="auto"/>
        </w:pBdr>
        <w:rPr>
          <w:sz w:val="24"/>
          <w:szCs w:val="24"/>
        </w:rPr>
      </w:pPr>
      <w:r w:rsidRPr="00DF6490">
        <w:rPr>
          <w:sz w:val="24"/>
          <w:szCs w:val="24"/>
        </w:rPr>
        <w:t>the intersection of mental health for young carers with their education, training and employment opportunities and outcomes; and</w:t>
      </w:r>
    </w:p>
    <w:p w14:paraId="6DC7271B" w14:textId="77777777" w:rsidR="00DC524D" w:rsidRPr="00DF6490" w:rsidRDefault="00DC524D" w:rsidP="00C6053F">
      <w:pPr>
        <w:pStyle w:val="ListParagraph"/>
        <w:numPr>
          <w:ilvl w:val="0"/>
          <w:numId w:val="28"/>
        </w:numPr>
        <w:pBdr>
          <w:top w:val="single" w:sz="4" w:space="1" w:color="auto"/>
          <w:left w:val="single" w:sz="4" w:space="4" w:color="auto"/>
          <w:bottom w:val="single" w:sz="4" w:space="1" w:color="auto"/>
          <w:right w:val="single" w:sz="4" w:space="4" w:color="auto"/>
        </w:pBdr>
        <w:rPr>
          <w:sz w:val="24"/>
          <w:szCs w:val="24"/>
        </w:rPr>
      </w:pPr>
      <w:r w:rsidRPr="00DF6490">
        <w:rPr>
          <w:sz w:val="24"/>
          <w:szCs w:val="24"/>
        </w:rPr>
        <w:t>how to raise awareness in educational settings of the burdens faced by young carers and how educators can support and direct young carers to appropriate support programs.</w:t>
      </w:r>
    </w:p>
    <w:p w14:paraId="1154B4B6" w14:textId="77777777" w:rsidR="00DC524D" w:rsidRDefault="00DC524D" w:rsidP="008E1272"/>
    <w:p w14:paraId="57159A1C" w14:textId="4AA3A6B3" w:rsidR="00DC524D" w:rsidRPr="00C6053F" w:rsidRDefault="00C6053F" w:rsidP="00DC524D">
      <w:r>
        <w:t xml:space="preserve">The Government </w:t>
      </w:r>
      <w:r>
        <w:rPr>
          <w:b/>
          <w:bCs/>
        </w:rPr>
        <w:t xml:space="preserve">agrees in principle </w:t>
      </w:r>
      <w:r>
        <w:t xml:space="preserve">to this recommendation. </w:t>
      </w:r>
    </w:p>
    <w:p w14:paraId="72C603B4" w14:textId="77777777" w:rsidR="00DC524D" w:rsidRPr="00DF6490" w:rsidRDefault="00DC524D" w:rsidP="00DC524D"/>
    <w:p w14:paraId="318900EF" w14:textId="77777777" w:rsidR="00DC524D" w:rsidRPr="00DF6490" w:rsidRDefault="00DC524D" w:rsidP="00DC524D">
      <w:r w:rsidRPr="00DF6490">
        <w:t>The Government delivers a range of programs which support young carers and address mental health concerns.</w:t>
      </w:r>
    </w:p>
    <w:p w14:paraId="6FF5A411" w14:textId="77777777" w:rsidR="00DC524D" w:rsidRPr="00DF6490" w:rsidRDefault="00DC524D" w:rsidP="00DC524D"/>
    <w:p w14:paraId="3DA418D0" w14:textId="77777777" w:rsidR="00DC524D" w:rsidRPr="00DF6490" w:rsidRDefault="00DC524D" w:rsidP="00DC524D">
      <w:r w:rsidRPr="00DF6490">
        <w:t xml:space="preserve">Through Carer Gateway, a range of </w:t>
      </w:r>
      <w:r>
        <w:t>services</w:t>
      </w:r>
      <w:r w:rsidRPr="00DF6490">
        <w:t xml:space="preserve"> support young carers and their individual needs, including counselling services, in person peer support groups, coaching and online skills courses. These services aim to improve carer wellbeing and increase capacity to support carers to participate socially and economically, as well as reinforce resilience through preventative support services. </w:t>
      </w:r>
    </w:p>
    <w:p w14:paraId="5B58A81F" w14:textId="77777777" w:rsidR="00DC524D" w:rsidRPr="00DF6490" w:rsidRDefault="00DC524D" w:rsidP="00DC524D"/>
    <w:p w14:paraId="73368ED1" w14:textId="77777777" w:rsidR="00DC524D" w:rsidRPr="00DF6490" w:rsidRDefault="00DC524D" w:rsidP="00DC524D">
      <w:r w:rsidRPr="00DF6490">
        <w:t>Carers Australia, the peak body for carers in Australia, has established the Young Carers Network, which provides support, services and resources specifically for young carers. The Young Carer Network also allows young carers to connect with other young carers online.</w:t>
      </w:r>
    </w:p>
    <w:p w14:paraId="0F11D4CD" w14:textId="77777777" w:rsidR="00DC524D" w:rsidRPr="00DF6490" w:rsidRDefault="00DC524D" w:rsidP="00DC524D"/>
    <w:p w14:paraId="3A1D6D1A" w14:textId="77777777" w:rsidR="00DC524D" w:rsidRDefault="00DC524D" w:rsidP="00DC524D">
      <w:r w:rsidRPr="00DF6490">
        <w:t xml:space="preserve">Carers Australia also delivers the Young Carer Bursary Program, which assists eligible carers aged 25 years and younger to continue to study. On 26 April 2023, the Government announced </w:t>
      </w:r>
      <w:r>
        <w:t>additional funding of $3 million a year</w:t>
      </w:r>
      <w:r w:rsidRPr="00DF6490">
        <w:t xml:space="preserve"> for the Young Carer Bursary Program, increasing the number of bursaries offered from 1,000 to around 1,600 and bursary payments from $3,000 to $3,768 each year, in recognition of the increased cost of living and challenges faced in balancing study and caring responsibilities.</w:t>
      </w:r>
    </w:p>
    <w:p w14:paraId="15EF53DE" w14:textId="77777777" w:rsidR="00DC524D" w:rsidRDefault="00DC524D" w:rsidP="00DC524D"/>
    <w:p w14:paraId="197121D3" w14:textId="77777777" w:rsidR="00DC524D" w:rsidRPr="00DF6490" w:rsidRDefault="00DC524D" w:rsidP="00DC524D">
      <w:r>
        <w:t xml:space="preserve">The development of a new National Carer Strategy will explore how to better support young carers to improve and maintain their health and wellbeing. </w:t>
      </w:r>
    </w:p>
    <w:p w14:paraId="242B5BA5" w14:textId="77777777" w:rsidR="00DC524D" w:rsidRPr="00DF6490" w:rsidRDefault="00DC524D" w:rsidP="00DC524D"/>
    <w:p w14:paraId="2E678110" w14:textId="311DF487" w:rsidR="00DC524D" w:rsidRPr="00DF6490" w:rsidRDefault="00DC524D" w:rsidP="00DC524D">
      <w:r w:rsidRPr="00DF6490">
        <w:t>The Government also funds the National Workforce Centre for Child Mental Health known as Emerging Minds. In response to an increasing number of parents, carers and families accessing their resources and information, Emerging Minds has developed an online toolkit for parents, carers and families designed for use at home and/or with the support of a GP or other healthcare worker. The resources include coverage across a broad range of mental health information, parenting, trauma-informed approaches to managing impacts of COVID</w:t>
      </w:r>
      <w:r w:rsidR="007E092D">
        <w:noBreakHyphen/>
      </w:r>
      <w:r w:rsidRPr="00DF6490">
        <w:t>19 and community trauma events, in addition to guidance on understanding supports available from practitioners.</w:t>
      </w:r>
    </w:p>
    <w:p w14:paraId="53CF1E86" w14:textId="77777777" w:rsidR="00DC524D" w:rsidRDefault="00DC524D" w:rsidP="00DC524D"/>
    <w:p w14:paraId="4BD2E11B" w14:textId="77777777" w:rsidR="00DC524D" w:rsidRDefault="00DC524D" w:rsidP="00DC524D">
      <w:r>
        <w:t xml:space="preserve">Supporting school-aged carers within education settings is critically important for both the building of their resilience skills and ensuring they are able to develop, achieve an education, and be positioned to progress their own future goals and wellbeing. The Government funds the national Mental Health in Education initiative, known as </w:t>
      </w:r>
      <w:r w:rsidRPr="00E95DF6">
        <w:rPr>
          <w:i/>
          <w:iCs/>
        </w:rPr>
        <w:t>Be You</w:t>
      </w:r>
      <w:r>
        <w:t>, which provides evidence-based frameworks, professional learning, resources, and supports to increase mental health literacy and skills in workers and educators in early learning services and primary and secondary schools. This ensures they are able to support their students, in particular those cohorts with additional challenges potentially impacting their mental health and wellbeing.</w:t>
      </w:r>
    </w:p>
    <w:p w14:paraId="7412AE42" w14:textId="77777777" w:rsidR="00DC524D" w:rsidRPr="00DF6490" w:rsidRDefault="00DC524D" w:rsidP="00DC524D"/>
    <w:p w14:paraId="0BB417EF" w14:textId="1F7C4486" w:rsidR="00DC524D" w:rsidRDefault="00DC524D" w:rsidP="00DC524D">
      <w:r w:rsidRPr="004B0B56">
        <w:t xml:space="preserve">Once established, the </w:t>
      </w:r>
      <w:r w:rsidR="00F65F60">
        <w:t>2</w:t>
      </w:r>
      <w:r w:rsidR="00F65F60" w:rsidRPr="004B0B56">
        <w:t xml:space="preserve"> </w:t>
      </w:r>
      <w:r w:rsidRPr="004B0B56">
        <w:t xml:space="preserve">independent national mental health lived experience peak bodies will also seek </w:t>
      </w:r>
      <w:r>
        <w:t xml:space="preserve">to </w:t>
      </w:r>
      <w:r w:rsidRPr="004B0B56">
        <w:t>amplify the specific perspectives of mental health consumers and carers to drive equitable reform in mental health.</w:t>
      </w:r>
    </w:p>
    <w:p w14:paraId="1706EC57" w14:textId="77777777" w:rsidR="00DC524D" w:rsidRPr="00DF6490" w:rsidRDefault="00DC524D" w:rsidP="00DC524D"/>
    <w:p w14:paraId="54F88058" w14:textId="6090288F" w:rsidR="0048479D" w:rsidRDefault="0048479D" w:rsidP="0048479D">
      <w:r>
        <w:t xml:space="preserve">The Individual Placement and Support program is delivered in 50 headspace centres and 2 Adult Mental Health centres to </w:t>
      </w:r>
      <w:r w:rsidRPr="00DF6490">
        <w:t>help people with mental illness, including young carers, find and keep a job of their choice</w:t>
      </w:r>
      <w:r>
        <w:t>.</w:t>
      </w:r>
      <w:r w:rsidRPr="00011E99">
        <w:t xml:space="preserve"> The Digital Work and Study Service, </w:t>
      </w:r>
      <w:r>
        <w:t>provides</w:t>
      </w:r>
      <w:r w:rsidRPr="00011E99">
        <w:t xml:space="preserve"> integrated clinical and vocational work and study service providing support to young people with mental ill health, via a digital platform.</w:t>
      </w:r>
    </w:p>
    <w:p w14:paraId="74FAF728" w14:textId="77777777" w:rsidR="00841C2A" w:rsidRDefault="00841C2A" w:rsidP="0048479D"/>
    <w:p w14:paraId="2B689C3D" w14:textId="7AC26FA6" w:rsidR="00841C2A" w:rsidRPr="00011E99" w:rsidRDefault="00841C2A" w:rsidP="0048479D">
      <w:r w:rsidRPr="00011E99">
        <w:t xml:space="preserve">The </w:t>
      </w:r>
      <w:r w:rsidR="0061403B" w:rsidRPr="00DF6490">
        <w:t xml:space="preserve">Individual Placement and Support </w:t>
      </w:r>
      <w:r w:rsidRPr="00011E99">
        <w:t xml:space="preserve">program and </w:t>
      </w:r>
      <w:r w:rsidR="007D2F60">
        <w:t xml:space="preserve">the </w:t>
      </w:r>
      <w:r w:rsidR="007D2F60" w:rsidRPr="00011E99">
        <w:t xml:space="preserve">Digital Work and Study Service </w:t>
      </w:r>
      <w:r w:rsidRPr="00011E99">
        <w:t xml:space="preserve">are currently being evaluated. Evaluation findings will inform decisions on continued service delivery models, referral pathways, the community engagement model and inform how these programs could be integrated into future employment program reforms. </w:t>
      </w:r>
    </w:p>
    <w:p w14:paraId="0C64B24F" w14:textId="77777777" w:rsidR="00DC524D" w:rsidRDefault="00DC524D" w:rsidP="00DC524D"/>
    <w:p w14:paraId="141005B5" w14:textId="713AFE96" w:rsidR="00DC524D" w:rsidRDefault="00DC524D" w:rsidP="00DC524D">
      <w:r w:rsidRPr="004E1884">
        <w:t xml:space="preserve">Under the National Mental Health and Suicide Prevention Agreement, all governments committed to undertake an analysis of unmet need for psychosocial supports outside of the National Disability Insurance Scheme. While carers are not the main target cohort of the unmet need analysis, it will include modelled estimates of psychosocial need among carers – including those aged 25 years and under – of people with mental illness. The findings of the analysis, together with the </w:t>
      </w:r>
      <w:r w:rsidRPr="00025E31">
        <w:t xml:space="preserve">National Disability Insurance Scheme </w:t>
      </w:r>
      <w:r w:rsidRPr="004E1884">
        <w:t xml:space="preserve">Review, will help to inform all governments’ considerations on future psychosocial support arrangements for people who are not supported through the </w:t>
      </w:r>
      <w:r w:rsidRPr="00025E31">
        <w:t>National Disability Insurance Scheme</w:t>
      </w:r>
      <w:r w:rsidRPr="004E1884">
        <w:t>.</w:t>
      </w:r>
    </w:p>
    <w:p w14:paraId="15B42BBE" w14:textId="77777777" w:rsidR="00DC524D" w:rsidRDefault="00DC524D" w:rsidP="00DC524D"/>
    <w:p w14:paraId="109B08C0" w14:textId="77777777" w:rsidR="00DC524D" w:rsidRPr="00DF6490" w:rsidRDefault="00DC524D" w:rsidP="00C6053F">
      <w:pPr>
        <w:pStyle w:val="Heading6"/>
        <w:pBdr>
          <w:top w:val="single" w:sz="4" w:space="1" w:color="auto"/>
          <w:left w:val="single" w:sz="4" w:space="4" w:color="auto"/>
          <w:bottom w:val="single" w:sz="4" w:space="1" w:color="auto"/>
          <w:right w:val="single" w:sz="4" w:space="4" w:color="auto"/>
        </w:pBdr>
      </w:pPr>
      <w:r w:rsidRPr="00DF6490">
        <w:t>Recommendation 10</w:t>
      </w:r>
    </w:p>
    <w:p w14:paraId="26AB5850" w14:textId="7777777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t>The committee recommends the Australian Government review the accessibility, availability, and flexibility of respite care with a view to improving respite care options available to working carers and those they care for.</w:t>
      </w:r>
    </w:p>
    <w:p w14:paraId="3CCE3143" w14:textId="77777777" w:rsidR="00DC524D" w:rsidRDefault="00DC524D" w:rsidP="00DC524D"/>
    <w:p w14:paraId="6E075CB5" w14:textId="5B2B910B" w:rsidR="00DC524D" w:rsidRPr="00C6053F" w:rsidRDefault="00C6053F" w:rsidP="00DC524D">
      <w:r>
        <w:t xml:space="preserve">The Government </w:t>
      </w:r>
      <w:r>
        <w:rPr>
          <w:b/>
          <w:bCs/>
        </w:rPr>
        <w:t xml:space="preserve">agrees in principle </w:t>
      </w:r>
      <w:r>
        <w:t>with</w:t>
      </w:r>
      <w:r>
        <w:rPr>
          <w:b/>
          <w:bCs/>
        </w:rPr>
        <w:t xml:space="preserve"> </w:t>
      </w:r>
      <w:r>
        <w:t xml:space="preserve">this recommendation. </w:t>
      </w:r>
    </w:p>
    <w:p w14:paraId="2B7C80A5" w14:textId="77777777" w:rsidR="00DC524D" w:rsidRPr="00F1210D" w:rsidRDefault="00DC524D" w:rsidP="00DC524D"/>
    <w:p w14:paraId="625FFB34" w14:textId="77777777" w:rsidR="00DC524D" w:rsidRPr="00F1210D" w:rsidRDefault="00DC524D" w:rsidP="00DC524D">
      <w:r w:rsidRPr="00F1210D">
        <w:t xml:space="preserve">Government funding for respite care predominantly sits in the aged care and disability sectors. </w:t>
      </w:r>
      <w:r w:rsidRPr="006F3226">
        <w:t>Some state and territory government health departments also fund carer support and respite programs.</w:t>
      </w:r>
    </w:p>
    <w:p w14:paraId="1734DBC0" w14:textId="77777777" w:rsidR="00DC524D" w:rsidRPr="00F1210D" w:rsidRDefault="00DC524D" w:rsidP="00DC524D"/>
    <w:p w14:paraId="61DF10C4" w14:textId="77777777" w:rsidR="00DC524D" w:rsidRPr="00F1210D" w:rsidRDefault="00DC524D" w:rsidP="00DC524D">
      <w:r w:rsidRPr="00F1210D">
        <w:t>Currently, the My Aged Care assessment teams assess My Aged Care clients and make one or more recommendations for respite services. This may include emergency respite, Commonwealth Home Support planned respite, in-home respite (through a Home Care Package), Home Care Package recipients with additional Commonwealth Home Support respite, residential respite and/or non-funded services. Subsequently, the carers and/or respite providers can then plan and book the respite services for the carer and client.</w:t>
      </w:r>
    </w:p>
    <w:p w14:paraId="45931C00" w14:textId="77777777" w:rsidR="00DC524D" w:rsidRPr="00F1210D" w:rsidRDefault="00DC524D" w:rsidP="00DC524D"/>
    <w:p w14:paraId="37A5FBF3" w14:textId="77777777" w:rsidR="00DC524D" w:rsidRPr="00F1210D" w:rsidRDefault="00DC524D" w:rsidP="00DC524D">
      <w:r w:rsidRPr="00F1210D">
        <w:t xml:space="preserve">Carer Gateway also supports carers to access appropriate respite options to support the needs of both the carer and the care recipient. Carer Gateway facilitates the booking and funds respite services on behalf of carers, however access to, and availability of, appropriate respite services is the responsibility of the broader disability and aged care service systems. </w:t>
      </w:r>
    </w:p>
    <w:p w14:paraId="75BF6BD8" w14:textId="77777777" w:rsidR="00DC524D" w:rsidRPr="00F1210D" w:rsidRDefault="00DC524D" w:rsidP="00DC524D"/>
    <w:p w14:paraId="4B99441D" w14:textId="77777777" w:rsidR="00DC524D" w:rsidRDefault="00DC524D" w:rsidP="00DC524D">
      <w:r w:rsidRPr="00F1210D">
        <w:t>The evaluation of Government carer support programs, commissioned by the Department of Social Services, includes a review of the use of respite services by carers, as provided under Carer Gateway.</w:t>
      </w:r>
    </w:p>
    <w:p w14:paraId="51D6F61C" w14:textId="77777777" w:rsidR="00DC524D" w:rsidRDefault="00DC524D" w:rsidP="00DC524D"/>
    <w:p w14:paraId="3EAC6764" w14:textId="77777777" w:rsidR="00DC524D" w:rsidRPr="00AE08A2" w:rsidRDefault="00DC524D" w:rsidP="00DC524D">
      <w:pPr>
        <w:rPr>
          <w:sz w:val="22"/>
          <w:szCs w:val="22"/>
        </w:rPr>
      </w:pPr>
      <w:r>
        <w:t xml:space="preserve">The Government also funds a range of dementia-specific respite initiatives and programs that support both the person living with dementia and their carer through the </w:t>
      </w:r>
      <w:r w:rsidRPr="00154A41">
        <w:rPr>
          <w:i/>
          <w:iCs/>
        </w:rPr>
        <w:t>Improving respite care for people living with dementia and their carers</w:t>
      </w:r>
      <w:r>
        <w:t xml:space="preserve"> program. </w:t>
      </w:r>
    </w:p>
    <w:p w14:paraId="77072B49" w14:textId="77777777" w:rsidR="00DC524D" w:rsidRPr="00F1210D" w:rsidRDefault="00DC524D" w:rsidP="00DC524D"/>
    <w:p w14:paraId="5A1B216B" w14:textId="486FFBD6" w:rsidR="00DC524D" w:rsidRDefault="00DC524D" w:rsidP="00DC524D">
      <w:r w:rsidRPr="00F1210D">
        <w:t>In addition, the Department of Health and Aged Care is currently reviewing respite services in the context of the broader aged care reforms, with a key focus on improving access and reducing the stigma attached to respite services.</w:t>
      </w:r>
    </w:p>
    <w:p w14:paraId="1599DE5A" w14:textId="77777777" w:rsidR="00DC524D" w:rsidRDefault="00DC524D" w:rsidP="00DC524D"/>
    <w:p w14:paraId="784411B3" w14:textId="77777777" w:rsidR="00DC524D" w:rsidRPr="00DF6490" w:rsidRDefault="00DC524D" w:rsidP="00C6053F">
      <w:pPr>
        <w:pStyle w:val="Heading6"/>
        <w:pBdr>
          <w:top w:val="single" w:sz="4" w:space="1" w:color="auto"/>
          <w:left w:val="single" w:sz="4" w:space="4" w:color="auto"/>
          <w:bottom w:val="single" w:sz="4" w:space="1" w:color="auto"/>
          <w:right w:val="single" w:sz="4" w:space="4" w:color="auto"/>
        </w:pBdr>
      </w:pPr>
      <w:r w:rsidRPr="00DF6490">
        <w:t>Recommendation 11</w:t>
      </w:r>
    </w:p>
    <w:p w14:paraId="494D6932" w14:textId="6667F13E" w:rsidR="00DC524D" w:rsidRDefault="00DC524D" w:rsidP="00C6053F">
      <w:pPr>
        <w:pBdr>
          <w:top w:val="single" w:sz="4" w:space="1" w:color="auto"/>
          <w:left w:val="single" w:sz="4" w:space="4" w:color="auto"/>
          <w:bottom w:val="single" w:sz="4" w:space="1" w:color="auto"/>
          <w:right w:val="single" w:sz="4" w:space="4" w:color="auto"/>
        </w:pBdr>
      </w:pPr>
      <w:r w:rsidRPr="00DF6490">
        <w:t>The committee recommends the Australian Government develop and implement programs and initiatives for informal carers from migrant and CALD backgrounds to improve access to carer support services and family support.</w:t>
      </w:r>
    </w:p>
    <w:p w14:paraId="0904554C" w14:textId="77777777" w:rsidR="00DC524D" w:rsidRDefault="00DC524D" w:rsidP="00DC524D"/>
    <w:p w14:paraId="7F539E04" w14:textId="11049CA9" w:rsidR="00DC524D" w:rsidRPr="00C6053F" w:rsidRDefault="00C6053F" w:rsidP="00DC524D">
      <w:r>
        <w:t xml:space="preserve">The Government </w:t>
      </w:r>
      <w:r>
        <w:rPr>
          <w:b/>
          <w:bCs/>
        </w:rPr>
        <w:t>agrees in</w:t>
      </w:r>
      <w:r w:rsidR="00E00AD3">
        <w:rPr>
          <w:b/>
          <w:bCs/>
        </w:rPr>
        <w:t xml:space="preserve"> </w:t>
      </w:r>
      <w:r>
        <w:rPr>
          <w:b/>
          <w:bCs/>
        </w:rPr>
        <w:t xml:space="preserve">principle </w:t>
      </w:r>
      <w:r>
        <w:t xml:space="preserve">with this recommendation. </w:t>
      </w:r>
    </w:p>
    <w:p w14:paraId="45E20427" w14:textId="77777777" w:rsidR="00DC524D" w:rsidRPr="00DF6490" w:rsidRDefault="00DC524D" w:rsidP="00DC524D"/>
    <w:p w14:paraId="0AC61A06" w14:textId="77777777" w:rsidR="00DC524D" w:rsidRPr="00DF6490" w:rsidRDefault="00DC524D" w:rsidP="00DC524D">
      <w:r w:rsidRPr="00DF6490">
        <w:t xml:space="preserve">To assist carers in self-identifying, and to promote awareness of carer supports and services available, the Carer Gateway website has a range of information including factsheets that are translated in 29 languages as well as translated case studies, radio clips and posters. Carers can also access the Translating and Interpreting Service through the Carer Gateway. </w:t>
      </w:r>
    </w:p>
    <w:p w14:paraId="6CE10117" w14:textId="77777777" w:rsidR="00DC524D" w:rsidRPr="00DF6490" w:rsidRDefault="00DC524D" w:rsidP="00DC524D"/>
    <w:p w14:paraId="0EF3AFF1" w14:textId="77777777" w:rsidR="00DC524D" w:rsidRPr="00DF6490" w:rsidRDefault="00DC524D" w:rsidP="00DC524D">
      <w:r w:rsidRPr="00DF6490">
        <w:t>Additionally, the Department of Social Services has developed a tailored Carer Gateway stakeholder kit for culturally and linguistically diverse carers, which was provided to culturally and linguistically diverse organisations, to help promote the Carer Gateway among their networks.</w:t>
      </w:r>
    </w:p>
    <w:p w14:paraId="35B16946" w14:textId="77777777" w:rsidR="00DC524D" w:rsidRPr="00DF6490" w:rsidRDefault="00DC524D" w:rsidP="00DC524D"/>
    <w:p w14:paraId="72206929" w14:textId="77777777" w:rsidR="00DC524D" w:rsidRDefault="00DC524D" w:rsidP="00DC524D">
      <w:r w:rsidRPr="00DF6490">
        <w:t>The Department of Social Services also engaged Embrace Society, a culturally and linguistically diverse specialist agency, as a campaign supplier to advise on and deliver appropriate public relations activities for culturally and linguistically diverse audiences for the Carer Gateway communications campaign</w:t>
      </w:r>
      <w:r>
        <w:t xml:space="preserve"> which ceases 30 June 2024</w:t>
      </w:r>
      <w:r w:rsidRPr="00DF6490">
        <w:t>.</w:t>
      </w:r>
    </w:p>
    <w:p w14:paraId="606F35B7" w14:textId="77777777" w:rsidR="00DC524D" w:rsidRDefault="00DC524D" w:rsidP="00DC524D"/>
    <w:p w14:paraId="256C9602" w14:textId="77777777" w:rsidR="00DC524D" w:rsidRDefault="00DC524D" w:rsidP="00DC524D">
      <w:r>
        <w:t xml:space="preserve">The new National Carer Strategy will seek to ensure First Nations carers and </w:t>
      </w:r>
      <w:r w:rsidRPr="00DF6490">
        <w:t xml:space="preserve">culturally and linguistically diverse </w:t>
      </w:r>
      <w:r>
        <w:t xml:space="preserve">carers are self-identifying and how to improve engagement with these diverse groups. </w:t>
      </w:r>
    </w:p>
    <w:p w14:paraId="51C38D1D" w14:textId="77777777" w:rsidR="00DC524D" w:rsidRDefault="00DC524D" w:rsidP="00DC524D"/>
    <w:p w14:paraId="0D5E3975" w14:textId="7AF3E048" w:rsidR="00DC524D" w:rsidRDefault="00DC524D" w:rsidP="00DC524D">
      <w:r>
        <w:t xml:space="preserve">The Government also funds a range of services and programs which support people of </w:t>
      </w:r>
      <w:r w:rsidRPr="00DF6490">
        <w:t xml:space="preserve">culturally and linguistically diverse </w:t>
      </w:r>
      <w:r>
        <w:t>backgrounds caring for a person with dementia through the Department of Health and Aged Care, including through counselling and carer support groups, dementia behaviour support, dementia-specific respite programs, and dementia education and training.</w:t>
      </w:r>
    </w:p>
    <w:p w14:paraId="04080CDA" w14:textId="77777777" w:rsidR="00DC524D" w:rsidRDefault="00DC524D" w:rsidP="00DC524D"/>
    <w:p w14:paraId="530B7C9C" w14:textId="77777777" w:rsidR="00DC524D" w:rsidRPr="00DF6490" w:rsidRDefault="00DC524D" w:rsidP="00C6053F">
      <w:pPr>
        <w:pStyle w:val="Heading6"/>
        <w:pBdr>
          <w:top w:val="single" w:sz="4" w:space="1" w:color="auto"/>
          <w:left w:val="single" w:sz="4" w:space="4" w:color="auto"/>
          <w:bottom w:val="single" w:sz="4" w:space="1" w:color="auto"/>
          <w:right w:val="single" w:sz="4" w:space="4" w:color="auto"/>
        </w:pBdr>
      </w:pPr>
      <w:r w:rsidRPr="00DF6490">
        <w:t>Recommendation 12</w:t>
      </w:r>
    </w:p>
    <w:p w14:paraId="7AB842E9" w14:textId="7777777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t>The committee recommends that the Department of Employment and Workplace Relations develop training materials for all staff in care roles about cultural competency and safety, discrimination and anti-racism and the delivery of trauma-informed care.</w:t>
      </w:r>
    </w:p>
    <w:p w14:paraId="45C8E9E6" w14:textId="77777777" w:rsidR="00DC524D" w:rsidRDefault="00DC524D" w:rsidP="00DC524D"/>
    <w:p w14:paraId="79EBAD26" w14:textId="0965A665" w:rsidR="00DC524D" w:rsidRPr="00DF6490" w:rsidRDefault="00C6053F" w:rsidP="00DC524D">
      <w:pPr>
        <w:rPr>
          <w:b/>
          <w:bCs/>
        </w:rPr>
      </w:pPr>
      <w:r>
        <w:t xml:space="preserve">The Government </w:t>
      </w:r>
      <w:r>
        <w:rPr>
          <w:b/>
          <w:bCs/>
        </w:rPr>
        <w:t xml:space="preserve">agrees in part </w:t>
      </w:r>
      <w:r>
        <w:t>to this recommendation.</w:t>
      </w:r>
    </w:p>
    <w:p w14:paraId="615E7B1F" w14:textId="77777777" w:rsidR="00DC524D" w:rsidRPr="00DF6490" w:rsidRDefault="00DC524D" w:rsidP="00DC524D"/>
    <w:p w14:paraId="00A638E5" w14:textId="00F19E40" w:rsidR="00DC524D" w:rsidRPr="00F1210D" w:rsidRDefault="00DC524D" w:rsidP="00DC524D">
      <w:pPr>
        <w:rPr>
          <w:shd w:val="clear" w:color="auto" w:fill="FFFFFF"/>
        </w:rPr>
      </w:pPr>
      <w:r w:rsidRPr="35B5F3D1">
        <w:rPr>
          <w:lang w:eastAsia="en-AU"/>
        </w:rPr>
        <w:t xml:space="preserve">The Government has established a national network of 10 </w:t>
      </w:r>
      <w:r w:rsidRPr="00F1210D">
        <w:rPr>
          <w:lang w:eastAsia="en-AU"/>
        </w:rPr>
        <w:t xml:space="preserve">Jobs and Skills Councils </w:t>
      </w:r>
      <w:r w:rsidRPr="00F1210D">
        <w:rPr>
          <w:shd w:val="clear" w:color="auto" w:fill="FFFFFF"/>
        </w:rPr>
        <w:t>to provide industry with a stronger, more strategic voice in ensuring Australia’s vocational education and training sector delivers stronger outcomes for learners and employers.</w:t>
      </w:r>
    </w:p>
    <w:p w14:paraId="3FCB9ACE" w14:textId="77777777" w:rsidR="00DC524D" w:rsidRDefault="00DC524D" w:rsidP="00DC524D">
      <w:pPr>
        <w:rPr>
          <w:lang w:eastAsia="en-AU"/>
        </w:rPr>
      </w:pPr>
    </w:p>
    <w:p w14:paraId="7C64DC20" w14:textId="77777777" w:rsidR="00CB2E44" w:rsidRDefault="00CB2E44" w:rsidP="00CB2E44">
      <w:pPr>
        <w:rPr>
          <w:shd w:val="clear" w:color="auto" w:fill="FFFFFF"/>
        </w:rPr>
      </w:pPr>
      <w:r>
        <w:rPr>
          <w:shd w:val="clear" w:color="auto" w:fill="FFFFFF"/>
        </w:rPr>
        <w:t>Jobs and Skills Councils identify skills and workforce needs for their sectors, map career pathways across education sectors, develop contemporary vocational education and training products, support collaboration between industry and training providers to improve training and assessment practice and act as a source of intelligence on issues affecting their industries. Jobs and Skills Councils may also create learning resources on behalf of their industries, as a key part of an industry-led training system.</w:t>
      </w:r>
    </w:p>
    <w:p w14:paraId="1D77B2B4" w14:textId="77777777" w:rsidR="00CB2E44" w:rsidRPr="00F1210D" w:rsidRDefault="00CB2E44" w:rsidP="00DC524D">
      <w:pPr>
        <w:rPr>
          <w:lang w:eastAsia="en-AU"/>
        </w:rPr>
      </w:pPr>
    </w:p>
    <w:p w14:paraId="1D34123C" w14:textId="1CD9CEE5" w:rsidR="00DC524D" w:rsidRPr="00C6053F" w:rsidRDefault="00DC524D" w:rsidP="00DC524D">
      <w:pPr>
        <w:rPr>
          <w:strike/>
          <w:lang w:eastAsia="en-AU"/>
        </w:rPr>
      </w:pPr>
      <w:proofErr w:type="spellStart"/>
      <w:r>
        <w:rPr>
          <w:lang w:eastAsia="en-AU"/>
        </w:rPr>
        <w:t>HumanAbility</w:t>
      </w:r>
      <w:proofErr w:type="spellEnd"/>
      <w:r w:rsidR="00631C46">
        <w:rPr>
          <w:lang w:eastAsia="en-AU"/>
        </w:rPr>
        <w:t xml:space="preserve"> is</w:t>
      </w:r>
      <w:r>
        <w:rPr>
          <w:lang w:eastAsia="en-AU"/>
        </w:rPr>
        <w:t xml:space="preserve"> the </w:t>
      </w:r>
      <w:r w:rsidRPr="00F1210D">
        <w:rPr>
          <w:lang w:eastAsia="en-AU"/>
        </w:rPr>
        <w:t xml:space="preserve">Jobs and Skills Council </w:t>
      </w:r>
      <w:r>
        <w:rPr>
          <w:lang w:eastAsia="en-AU"/>
        </w:rPr>
        <w:t>for the a</w:t>
      </w:r>
      <w:r w:rsidRPr="00554D6C">
        <w:rPr>
          <w:lang w:eastAsia="en-AU"/>
        </w:rPr>
        <w:t>ged care and disability, children’s education and care, health, human services, and sport and recreation sectors</w:t>
      </w:r>
      <w:r w:rsidR="00631C46">
        <w:rPr>
          <w:lang w:eastAsia="en-AU"/>
        </w:rPr>
        <w:t>. It</w:t>
      </w:r>
      <w:r w:rsidRPr="00554D6C">
        <w:rPr>
          <w:lang w:eastAsia="en-AU"/>
        </w:rPr>
        <w:t xml:space="preserve"> </w:t>
      </w:r>
      <w:r>
        <w:rPr>
          <w:lang w:eastAsia="en-AU"/>
        </w:rPr>
        <w:t>is</w:t>
      </w:r>
      <w:r w:rsidRPr="00F1210D">
        <w:rPr>
          <w:lang w:eastAsia="en-AU"/>
        </w:rPr>
        <w:t xml:space="preserve"> responsible for the development of nationally recognised training package qualifications and skillsets </w:t>
      </w:r>
      <w:r>
        <w:rPr>
          <w:lang w:eastAsia="en-AU"/>
        </w:rPr>
        <w:t xml:space="preserve">that support workers </w:t>
      </w:r>
      <w:r w:rsidRPr="00F1210D">
        <w:rPr>
          <w:lang w:eastAsia="en-AU"/>
        </w:rPr>
        <w:t>in the care and support sector</w:t>
      </w:r>
      <w:r>
        <w:rPr>
          <w:lang w:eastAsia="en-AU"/>
        </w:rPr>
        <w:t>. This includes ensuring that national training products are responsive to current and emerging skill requirements</w:t>
      </w:r>
      <w:r w:rsidR="00C6053F">
        <w:rPr>
          <w:lang w:eastAsia="en-AU"/>
        </w:rPr>
        <w:t xml:space="preserve">. </w:t>
      </w:r>
      <w:r w:rsidRPr="00F1210D">
        <w:rPr>
          <w:lang w:eastAsia="en-AU"/>
        </w:rPr>
        <w:t>Training materials to support care workers are also developed by employers, peak bodies and unions.</w:t>
      </w:r>
    </w:p>
    <w:p w14:paraId="71AC3AAC" w14:textId="77777777" w:rsidR="00DC524D" w:rsidRDefault="00DC524D" w:rsidP="00DC524D">
      <w:pPr>
        <w:rPr>
          <w:lang w:eastAsia="en-AU"/>
        </w:rPr>
      </w:pPr>
    </w:p>
    <w:p w14:paraId="7753BF22" w14:textId="4E64338B" w:rsidR="00DC524D" w:rsidRDefault="00DC524D" w:rsidP="00DC524D">
      <w:pPr>
        <w:rPr>
          <w:lang w:eastAsia="en-AU"/>
        </w:rPr>
      </w:pPr>
      <w:r w:rsidRPr="00F1210D">
        <w:rPr>
          <w:lang w:eastAsia="en-AU"/>
        </w:rPr>
        <w:t xml:space="preserve">The Australian Health Practitioner Regulation Agency has also developed the National Scheme’s Aboriginal and Torres Strait Islander Health and Cultural Safety Strategy </w:t>
      </w:r>
      <w:r w:rsidR="001848FA">
        <w:rPr>
          <w:lang w:eastAsia="en-AU"/>
        </w:rPr>
        <w:br/>
      </w:r>
      <w:r w:rsidRPr="00F1210D">
        <w:rPr>
          <w:lang w:eastAsia="en-AU"/>
        </w:rPr>
        <w:t>2020</w:t>
      </w:r>
      <w:r>
        <w:rPr>
          <w:rFonts w:cstheme="minorHAnsi"/>
        </w:rPr>
        <w:t>–</w:t>
      </w:r>
      <w:r w:rsidRPr="00F1210D">
        <w:rPr>
          <w:lang w:eastAsia="en-AU"/>
        </w:rPr>
        <w:t xml:space="preserve">2025. The aim of this strategy is to make cultural safety the norm for </w:t>
      </w:r>
      <w:r>
        <w:rPr>
          <w:lang w:eastAsia="en-AU"/>
        </w:rPr>
        <w:t>First Nations</w:t>
      </w:r>
      <w:r w:rsidRPr="00F1210D">
        <w:rPr>
          <w:lang w:eastAsia="en-AU"/>
        </w:rPr>
        <w:t xml:space="preserve"> patients. It sets a clear direction and course of action for Australian Health Practitioner Regulation Agency, National Boards and Accreditation Authorities, who together regulate Australia’s 850,000 registered health practitioners.</w:t>
      </w:r>
    </w:p>
    <w:p w14:paraId="62D875DC" w14:textId="77777777" w:rsidR="00DC524D" w:rsidRDefault="00DC524D" w:rsidP="00DC524D">
      <w:pPr>
        <w:rPr>
          <w:lang w:eastAsia="en-AU"/>
        </w:rPr>
      </w:pPr>
    </w:p>
    <w:p w14:paraId="252E522A" w14:textId="16F575F8" w:rsidR="00DC524D" w:rsidRDefault="00DC524D" w:rsidP="00DC524D">
      <w:r>
        <w:t xml:space="preserve">The Dementia Training Program, funded through the Department of Health and Aged Care, develops and delivers dementia training for the aged care workers and other groups, with training including modules on culturally safe and trauma-informed care. The Department </w:t>
      </w:r>
      <w:r w:rsidR="00AA7945">
        <w:t xml:space="preserve">of Health and Aged Care </w:t>
      </w:r>
      <w:r>
        <w:t>also funds Partners in Culturally Appropriate Care to develop and deliver training for aged care providers to assist them in providing culturally appropriate care.</w:t>
      </w:r>
    </w:p>
    <w:p w14:paraId="7D12D58B" w14:textId="77777777" w:rsidR="00DC524D" w:rsidRDefault="00DC524D" w:rsidP="00DC524D"/>
    <w:p w14:paraId="6DD0C5FB" w14:textId="358E8980" w:rsidR="00923814" w:rsidRDefault="00DC524D" w:rsidP="00DC524D">
      <w:r w:rsidRPr="003B4849">
        <w:t xml:space="preserve">The </w:t>
      </w:r>
      <w:r w:rsidRPr="003B4849">
        <w:rPr>
          <w:i/>
          <w:iCs/>
        </w:rPr>
        <w:t>Equip Aged Care Learning Modules</w:t>
      </w:r>
      <w:r w:rsidRPr="003B4849">
        <w:t xml:space="preserve"> funded through the Department of Health and Aged Care are available for aged care workers and anyone interested in aged care. The short online modules cover a range of topics including trauma informed care and </w:t>
      </w:r>
      <w:r w:rsidR="00923814" w:rsidRPr="003B4849">
        <w:t>cross-cultural</w:t>
      </w:r>
      <w:r w:rsidRPr="003B4849">
        <w:t xml:space="preserve"> awareness.</w:t>
      </w:r>
    </w:p>
    <w:p w14:paraId="4EE43EE3" w14:textId="1D65DC07" w:rsidR="00DC524D" w:rsidRDefault="00DC524D" w:rsidP="00116C91"/>
    <w:p w14:paraId="1B5A647E" w14:textId="77777777" w:rsidR="00DC524D" w:rsidRPr="00DF6490" w:rsidRDefault="00DC524D" w:rsidP="00CF60FF">
      <w:pPr>
        <w:pStyle w:val="Heading6"/>
        <w:keepNext/>
        <w:pBdr>
          <w:top w:val="single" w:sz="4" w:space="1" w:color="auto"/>
          <w:left w:val="single" w:sz="4" w:space="4" w:color="auto"/>
          <w:bottom w:val="single" w:sz="4" w:space="1" w:color="auto"/>
          <w:right w:val="single" w:sz="4" w:space="4" w:color="auto"/>
        </w:pBdr>
      </w:pPr>
      <w:r w:rsidRPr="00DF6490">
        <w:t>Recommendation 30</w:t>
      </w:r>
    </w:p>
    <w:p w14:paraId="75CDF935" w14:textId="7777777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t xml:space="preserve">The committee recommends the Australian Government review the level of Carers Payment and Carers Allowance, acknowledging the significant social and economic contribution that carers make. </w:t>
      </w:r>
    </w:p>
    <w:p w14:paraId="79DE525F" w14:textId="77777777" w:rsidR="00DC524D" w:rsidRPr="00DF6490" w:rsidRDefault="00DC524D" w:rsidP="00C6053F">
      <w:pPr>
        <w:pBdr>
          <w:top w:val="single" w:sz="4" w:space="1" w:color="auto"/>
          <w:left w:val="single" w:sz="4" w:space="4" w:color="auto"/>
          <w:bottom w:val="single" w:sz="4" w:space="1" w:color="auto"/>
          <w:right w:val="single" w:sz="4" w:space="4" w:color="auto"/>
        </w:pBdr>
      </w:pPr>
    </w:p>
    <w:p w14:paraId="610B0AE9" w14:textId="7777777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t xml:space="preserve">The committee also recommends that the Australian Government consider reversal of the current policy which transfers sole parents from Parenting Payment Single to </w:t>
      </w:r>
      <w:proofErr w:type="spellStart"/>
      <w:r w:rsidRPr="00DF6490">
        <w:t>JobSeeker</w:t>
      </w:r>
      <w:proofErr w:type="spellEnd"/>
      <w:r w:rsidRPr="00DF6490">
        <w:t xml:space="preserve"> Principal Carer payments when their youngest child turns eight years of age, and imposes mutual obligation activities on them when their youngest child turns six years of age.</w:t>
      </w:r>
    </w:p>
    <w:p w14:paraId="7FAE64FB" w14:textId="77777777" w:rsidR="00DC524D" w:rsidRPr="00DF6490" w:rsidRDefault="00DC524D" w:rsidP="00C6053F">
      <w:pPr>
        <w:pBdr>
          <w:top w:val="single" w:sz="4" w:space="1" w:color="auto"/>
          <w:left w:val="single" w:sz="4" w:space="4" w:color="auto"/>
          <w:bottom w:val="single" w:sz="4" w:space="1" w:color="auto"/>
          <w:right w:val="single" w:sz="4" w:space="4" w:color="auto"/>
        </w:pBdr>
      </w:pPr>
    </w:p>
    <w:p w14:paraId="6064F74E" w14:textId="77777777" w:rsidR="00DC524D" w:rsidRPr="00DF6490" w:rsidRDefault="00DC524D" w:rsidP="00C6053F">
      <w:pPr>
        <w:pBdr>
          <w:top w:val="single" w:sz="4" w:space="1" w:color="auto"/>
          <w:left w:val="single" w:sz="4" w:space="4" w:color="auto"/>
          <w:bottom w:val="single" w:sz="4" w:space="1" w:color="auto"/>
          <w:right w:val="single" w:sz="4" w:space="4" w:color="auto"/>
        </w:pBdr>
      </w:pPr>
      <w:r w:rsidRPr="00DF6490">
        <w:t>The committee further recommends the Australian Government ensure all income security payments are regularly reviewed to ensure that they are adequate.</w:t>
      </w:r>
    </w:p>
    <w:p w14:paraId="1C704A93" w14:textId="77777777" w:rsidR="00DC524D" w:rsidRPr="00DF6490" w:rsidRDefault="00DC524D" w:rsidP="00DC524D"/>
    <w:p w14:paraId="1AE997B6" w14:textId="31ED05E3" w:rsidR="00DC524D" w:rsidRPr="00DF6490" w:rsidRDefault="00DC524D" w:rsidP="00C6053F">
      <w:pPr>
        <w:pBdr>
          <w:top w:val="single" w:sz="4" w:space="1" w:color="auto"/>
          <w:left w:val="single" w:sz="4" w:space="4" w:color="auto"/>
          <w:bottom w:val="single" w:sz="4" w:space="1" w:color="auto"/>
          <w:right w:val="single" w:sz="4" w:space="4" w:color="auto"/>
        </w:pBdr>
        <w:rPr>
          <w:b/>
          <w:i/>
          <w:iCs/>
        </w:rPr>
      </w:pPr>
      <w:r w:rsidRPr="00DF6490">
        <w:rPr>
          <w:b/>
          <w:i/>
          <w:iCs/>
        </w:rPr>
        <w:t>Australian Greens’ Additional Recommendation 10</w:t>
      </w:r>
    </w:p>
    <w:p w14:paraId="0E6DDE56" w14:textId="77777777" w:rsidR="00DC524D" w:rsidRPr="00DF6490" w:rsidRDefault="00DC524D" w:rsidP="00C6053F">
      <w:pPr>
        <w:pBdr>
          <w:top w:val="single" w:sz="4" w:space="1" w:color="auto"/>
          <w:left w:val="single" w:sz="4" w:space="4" w:color="auto"/>
          <w:bottom w:val="single" w:sz="4" w:space="1" w:color="auto"/>
          <w:right w:val="single" w:sz="4" w:space="4" w:color="auto"/>
        </w:pBdr>
        <w:rPr>
          <w:b/>
          <w:i/>
          <w:iCs/>
        </w:rPr>
      </w:pPr>
      <w:r w:rsidRPr="00DF6490">
        <w:rPr>
          <w:i/>
          <w:iCs/>
        </w:rPr>
        <w:t>The Australian Greens recommend that the Department of Social Services review and increase the level of the Carers Payment and the Carers Allowance, restoring them to their relative level of previous years, acknowledging the significant economic contribution that carers make.</w:t>
      </w:r>
    </w:p>
    <w:p w14:paraId="27F74C14" w14:textId="77777777" w:rsidR="00DC524D" w:rsidRPr="00DF6490" w:rsidRDefault="00DC524D" w:rsidP="00DC524D">
      <w:pPr>
        <w:rPr>
          <w:i/>
          <w:iCs/>
        </w:rPr>
      </w:pPr>
    </w:p>
    <w:p w14:paraId="552E7601" w14:textId="25454454" w:rsidR="00DC524D" w:rsidRPr="00DF6490" w:rsidRDefault="00DC524D" w:rsidP="00C6053F">
      <w:pPr>
        <w:pBdr>
          <w:top w:val="single" w:sz="4" w:space="1" w:color="auto"/>
          <w:left w:val="single" w:sz="4" w:space="4" w:color="auto"/>
          <w:bottom w:val="single" w:sz="4" w:space="1" w:color="auto"/>
          <w:right w:val="single" w:sz="4" w:space="4" w:color="auto"/>
        </w:pBdr>
        <w:rPr>
          <w:b/>
          <w:i/>
          <w:iCs/>
        </w:rPr>
      </w:pPr>
      <w:r w:rsidRPr="00DF6490">
        <w:rPr>
          <w:b/>
          <w:i/>
          <w:iCs/>
        </w:rPr>
        <w:t>Australian Greens’ Additional Recommendation 11</w:t>
      </w:r>
    </w:p>
    <w:p w14:paraId="7271DCED" w14:textId="77777777" w:rsidR="00DC524D" w:rsidRPr="00DF6490" w:rsidRDefault="00DC524D" w:rsidP="00C6053F">
      <w:pPr>
        <w:pBdr>
          <w:top w:val="single" w:sz="4" w:space="1" w:color="auto"/>
          <w:left w:val="single" w:sz="4" w:space="4" w:color="auto"/>
          <w:bottom w:val="single" w:sz="4" w:space="1" w:color="auto"/>
          <w:right w:val="single" w:sz="4" w:space="4" w:color="auto"/>
        </w:pBdr>
        <w:rPr>
          <w:b/>
          <w:i/>
          <w:iCs/>
        </w:rPr>
      </w:pPr>
      <w:r w:rsidRPr="00DF6490">
        <w:rPr>
          <w:i/>
          <w:iCs/>
        </w:rPr>
        <w:t xml:space="preserve">The Australian Greens recommend the Australian Government ensure all income security payments (including the Age Pension, Disability Support Pension and </w:t>
      </w:r>
      <w:proofErr w:type="spellStart"/>
      <w:r w:rsidRPr="00DF6490">
        <w:rPr>
          <w:i/>
          <w:iCs/>
        </w:rPr>
        <w:t>JobSeeker</w:t>
      </w:r>
      <w:proofErr w:type="spellEnd"/>
      <w:r w:rsidRPr="00DF6490">
        <w:rPr>
          <w:i/>
          <w:iCs/>
        </w:rPr>
        <w:t xml:space="preserve"> Payment) are regularly reviewed and increased to remain above the poverty line and immediately increase the rate of income support payments to at least $88 a day.</w:t>
      </w:r>
    </w:p>
    <w:p w14:paraId="153564C4" w14:textId="77777777" w:rsidR="00DC524D" w:rsidRPr="00DF6490" w:rsidRDefault="00DC524D" w:rsidP="00DC524D">
      <w:pPr>
        <w:rPr>
          <w:i/>
          <w:iCs/>
        </w:rPr>
      </w:pPr>
    </w:p>
    <w:p w14:paraId="3C675FA3" w14:textId="20381951" w:rsidR="00DC524D" w:rsidRPr="00DF6490" w:rsidRDefault="00DC524D" w:rsidP="00C6053F">
      <w:pPr>
        <w:pBdr>
          <w:top w:val="single" w:sz="4" w:space="1" w:color="auto"/>
          <w:left w:val="single" w:sz="4" w:space="4" w:color="auto"/>
          <w:bottom w:val="single" w:sz="4" w:space="1" w:color="auto"/>
          <w:right w:val="single" w:sz="4" w:space="4" w:color="auto"/>
        </w:pBdr>
        <w:rPr>
          <w:b/>
          <w:i/>
          <w:iCs/>
        </w:rPr>
      </w:pPr>
      <w:r w:rsidRPr="00DF6490">
        <w:rPr>
          <w:b/>
          <w:i/>
          <w:iCs/>
        </w:rPr>
        <w:t>Australian Greens’ Additional Recommendation 12</w:t>
      </w:r>
    </w:p>
    <w:p w14:paraId="28666F78" w14:textId="4C09E08D" w:rsidR="00DC524D" w:rsidRDefault="00DC524D" w:rsidP="00C6053F">
      <w:pPr>
        <w:pBdr>
          <w:top w:val="single" w:sz="4" w:space="1" w:color="auto"/>
          <w:left w:val="single" w:sz="4" w:space="4" w:color="auto"/>
          <w:bottom w:val="single" w:sz="4" w:space="1" w:color="auto"/>
          <w:right w:val="single" w:sz="4" w:space="4" w:color="auto"/>
        </w:pBdr>
        <w:rPr>
          <w:bCs/>
          <w:i/>
          <w:iCs/>
        </w:rPr>
      </w:pPr>
      <w:r w:rsidRPr="00DF6490">
        <w:rPr>
          <w:bCs/>
          <w:i/>
          <w:iCs/>
        </w:rPr>
        <w:t xml:space="preserve">The Australian Greens recommend the Australian Government ensure sole parents on income support payments can access the Parenting Payment Single until their youngest child turns sixteen years of age, and reverse the current policy which transfers sole parents from Parenting Payment Single to </w:t>
      </w:r>
      <w:proofErr w:type="spellStart"/>
      <w:r w:rsidRPr="00DF6490">
        <w:rPr>
          <w:bCs/>
          <w:i/>
          <w:iCs/>
        </w:rPr>
        <w:t>JobSeeker</w:t>
      </w:r>
      <w:proofErr w:type="spellEnd"/>
      <w:r w:rsidRPr="00DF6490">
        <w:rPr>
          <w:bCs/>
          <w:i/>
          <w:iCs/>
        </w:rPr>
        <w:t xml:space="preserve"> Principal Carer, when their youngest child turns eight years of age, and imposes mutual obligation activities on them when their youngest child turns six years of age.</w:t>
      </w:r>
    </w:p>
    <w:p w14:paraId="400102CE" w14:textId="77777777" w:rsidR="00DC524D" w:rsidRDefault="00DC524D" w:rsidP="00DC524D">
      <w:pPr>
        <w:rPr>
          <w:bCs/>
          <w:i/>
          <w:iCs/>
        </w:rPr>
      </w:pPr>
    </w:p>
    <w:p w14:paraId="4E4A7EC6" w14:textId="7F9A2490" w:rsidR="00DC524D" w:rsidRPr="00C6053F" w:rsidRDefault="00C6053F" w:rsidP="00DC524D">
      <w:r>
        <w:t xml:space="preserve">The Government </w:t>
      </w:r>
      <w:r>
        <w:rPr>
          <w:b/>
          <w:bCs/>
        </w:rPr>
        <w:t xml:space="preserve">notes </w:t>
      </w:r>
      <w:r>
        <w:t xml:space="preserve">this recommendation and the Australian Greens’ </w:t>
      </w:r>
      <w:r w:rsidR="0028381A">
        <w:t>additional recommendations</w:t>
      </w:r>
      <w:r>
        <w:t xml:space="preserve">. </w:t>
      </w:r>
    </w:p>
    <w:p w14:paraId="3F5061F4" w14:textId="77777777" w:rsidR="006C4B65" w:rsidRDefault="006C4B65" w:rsidP="006C4B65"/>
    <w:p w14:paraId="09CAB592" w14:textId="77777777" w:rsidR="006C4B65" w:rsidRDefault="006C4B65" w:rsidP="006C4B65">
      <w:r w:rsidRPr="00F1210D">
        <w:t xml:space="preserve">The Government recognises and acknowledges the significant contribution carers make. Carer Payment is an income support payment paid to individuals who, because of the demands of their caring role, are unable to participate in substantial paid employment. </w:t>
      </w:r>
    </w:p>
    <w:p w14:paraId="40A4530B" w14:textId="77777777" w:rsidR="006C4B65" w:rsidRDefault="006C4B65" w:rsidP="006C4B65"/>
    <w:p w14:paraId="7B129EE4" w14:textId="77777777" w:rsidR="006C4B65" w:rsidRDefault="006C4B65" w:rsidP="006C4B65">
      <w:r w:rsidRPr="00F1210D">
        <w:t>Carer Payment is paid at the highest legislated rate in the social security system and provides a safety net to assist carers with the basic cost of living. It is not a wage to compensate carers for providing care, nor is it designed to cover the full cost of caring for someone with disability or severe medical conditions.</w:t>
      </w:r>
      <w:r>
        <w:t xml:space="preserve"> It is indexed twice a year – in March and September – to keep pace with changes in the cost of living.</w:t>
      </w:r>
    </w:p>
    <w:p w14:paraId="14667F20" w14:textId="77777777" w:rsidR="006C4B65" w:rsidRDefault="006C4B65" w:rsidP="006C4B65"/>
    <w:p w14:paraId="3B27B07D" w14:textId="4E86D94A" w:rsidR="006C4B65" w:rsidRPr="00DC524D" w:rsidRDefault="006C4B65" w:rsidP="006C4B65">
      <w:r w:rsidRPr="00F1210D">
        <w:t>Carer Allowance is a supplementary payment for carers who provide daily care and attention to a person who requires substantial additional care. It can be paid in addition to Carer Payment</w:t>
      </w:r>
      <w:r w:rsidR="007D5ACF">
        <w:t xml:space="preserve"> </w:t>
      </w:r>
      <w:r w:rsidRPr="00F1210D">
        <w:t>and can assist towards some of the costs a carer might incur.</w:t>
      </w:r>
    </w:p>
    <w:p w14:paraId="7CAA7849" w14:textId="77777777" w:rsidR="006C4B65" w:rsidRDefault="006C4B65" w:rsidP="006C4B65"/>
    <w:p w14:paraId="32D5704C" w14:textId="77777777" w:rsidR="006C4B65" w:rsidRDefault="006C4B65" w:rsidP="006C4B65">
      <w:r>
        <w:t>T</w:t>
      </w:r>
      <w:r w:rsidRPr="00F1210D">
        <w:t>he Government</w:t>
      </w:r>
      <w:r>
        <w:t xml:space="preserve"> has</w:t>
      </w:r>
      <w:r w:rsidRPr="00F1210D">
        <w:t xml:space="preserve"> announced a </w:t>
      </w:r>
      <w:r>
        <w:t>range of measures in recent Budgets to provide additional</w:t>
      </w:r>
      <w:r w:rsidRPr="00F1210D">
        <w:t xml:space="preserve"> financial assistance </w:t>
      </w:r>
      <w:r>
        <w:t>for</w:t>
      </w:r>
      <w:r w:rsidRPr="00F1210D">
        <w:t xml:space="preserve"> income support recipients</w:t>
      </w:r>
      <w:r>
        <w:t>.</w:t>
      </w:r>
    </w:p>
    <w:p w14:paraId="4141DD1D" w14:textId="77777777" w:rsidR="006C4B65" w:rsidRDefault="006C4B65" w:rsidP="006C4B65"/>
    <w:p w14:paraId="16CC82A5" w14:textId="414F4F34" w:rsidR="006C4B65" w:rsidRPr="00F1210D" w:rsidRDefault="006C4B65" w:rsidP="006C4B65">
      <w:r>
        <w:t>In the 2023</w:t>
      </w:r>
      <w:r w:rsidR="00157514">
        <w:t>–</w:t>
      </w:r>
      <w:r>
        <w:t xml:space="preserve">24 Budget, this included providing $1.9 billion over </w:t>
      </w:r>
      <w:r w:rsidR="00CF5A0F">
        <w:t xml:space="preserve">5 </w:t>
      </w:r>
      <w:r>
        <w:t>years from 2022</w:t>
      </w:r>
      <w:r>
        <w:rPr>
          <w:rFonts w:cstheme="minorHAnsi"/>
        </w:rPr>
        <w:t>–</w:t>
      </w:r>
      <w:r>
        <w:t>23 to extend the</w:t>
      </w:r>
      <w:r w:rsidRPr="00F1210D">
        <w:t xml:space="preserve"> age of eligibility for Parenting Payment (Single) until a recipient’s youngest child turns 14 (</w:t>
      </w:r>
      <w:r>
        <w:t>previously</w:t>
      </w:r>
      <w:r w:rsidRPr="00F1210D">
        <w:t xml:space="preserve"> 8).</w:t>
      </w:r>
    </w:p>
    <w:p w14:paraId="6FFF67AD" w14:textId="77777777" w:rsidR="0037253F" w:rsidRDefault="0037253F" w:rsidP="006C4B65"/>
    <w:p w14:paraId="68C56AA4" w14:textId="27512B85" w:rsidR="006C4B65" w:rsidRPr="00F1210D" w:rsidRDefault="006C4B65" w:rsidP="006C4B65">
      <w:r>
        <w:t>E</w:t>
      </w:r>
      <w:r w:rsidRPr="00F1210D">
        <w:t xml:space="preserve">xpanding eligibility for Parenting Payment (Single) until the youngest child turns 14 ensures that principal caregivers receive higher levels of income support until their youngest child is old enough to require less ongoing supervision. </w:t>
      </w:r>
      <w:r w:rsidRPr="008F39D7">
        <w:t xml:space="preserve">By raising the age cut-off for the youngest dependent child from 8 to 14 years, an extra </w:t>
      </w:r>
      <w:r>
        <w:t>86</w:t>
      </w:r>
      <w:r w:rsidRPr="008F39D7">
        <w:t xml:space="preserve">,000 single parents </w:t>
      </w:r>
      <w:r>
        <w:t>were</w:t>
      </w:r>
      <w:r w:rsidRPr="008F39D7">
        <w:t xml:space="preserve"> receiving the higher rate of Parenting Payment (Single)</w:t>
      </w:r>
      <w:r>
        <w:t xml:space="preserve"> as at 26 April 2024</w:t>
      </w:r>
      <w:r w:rsidRPr="008F39D7">
        <w:t>.</w:t>
      </w:r>
    </w:p>
    <w:p w14:paraId="78990824" w14:textId="77777777" w:rsidR="006C4B65" w:rsidRDefault="006C4B65" w:rsidP="006C4B65"/>
    <w:p w14:paraId="21DA42DE" w14:textId="2DFE54EE" w:rsidR="006C4B65" w:rsidRPr="00F1210D" w:rsidRDefault="006C4B65" w:rsidP="006C4B65">
      <w:r>
        <w:t>In the same Budget, the Government also provided $4.9 billion over 5 years from 2022</w:t>
      </w:r>
      <w:r>
        <w:rPr>
          <w:rFonts w:cstheme="minorHAnsi"/>
        </w:rPr>
        <w:t>–</w:t>
      </w:r>
      <w:r>
        <w:t>23 to</w:t>
      </w:r>
      <w:r w:rsidRPr="00F1210D">
        <w:t xml:space="preserve"> increase working age and student payments</w:t>
      </w:r>
      <w:r>
        <w:t xml:space="preserve"> </w:t>
      </w:r>
      <w:r w:rsidRPr="006E0458">
        <w:t xml:space="preserve">by $40 per fortnight and reduce the qualifying age to 55 years (down from 60 years) for the higher rate of </w:t>
      </w:r>
      <w:proofErr w:type="spellStart"/>
      <w:r w:rsidRPr="006E0458">
        <w:t>JobSeeker</w:t>
      </w:r>
      <w:proofErr w:type="spellEnd"/>
      <w:r w:rsidRPr="006E0458">
        <w:t xml:space="preserve"> Payment for single recipients who have been on payment for </w:t>
      </w:r>
      <w:r w:rsidR="004E5E07">
        <w:t>9</w:t>
      </w:r>
      <w:r w:rsidR="004E5E07" w:rsidRPr="006E0458">
        <w:t xml:space="preserve"> </w:t>
      </w:r>
      <w:r w:rsidRPr="006E0458">
        <w:t>continuous months.</w:t>
      </w:r>
      <w:r w:rsidRPr="00F1210D">
        <w:t xml:space="preserve"> </w:t>
      </w:r>
    </w:p>
    <w:p w14:paraId="4D4406CE" w14:textId="77777777" w:rsidR="006C4B65" w:rsidRPr="00F1210D" w:rsidRDefault="006C4B65" w:rsidP="006C4B65"/>
    <w:p w14:paraId="45C5E39A" w14:textId="5133E240" w:rsidR="006C4B65" w:rsidRPr="00F1210D" w:rsidRDefault="006C4B65" w:rsidP="006C4B65">
      <w:r w:rsidRPr="00577FF8">
        <w:t xml:space="preserve">The Government also announced $2.7 billion over </w:t>
      </w:r>
      <w:r w:rsidR="00CF5A0F">
        <w:t>5</w:t>
      </w:r>
      <w:r w:rsidR="00CF5A0F" w:rsidRPr="00577FF8">
        <w:t xml:space="preserve"> </w:t>
      </w:r>
      <w:r w:rsidRPr="00577FF8">
        <w:t>years from 2022</w:t>
      </w:r>
      <w:r>
        <w:rPr>
          <w:rFonts w:cstheme="minorHAnsi"/>
        </w:rPr>
        <w:t>–</w:t>
      </w:r>
      <w:r w:rsidRPr="00577FF8">
        <w:t>23 to provide additional support to renters, by increasing the maximum rate</w:t>
      </w:r>
      <w:r>
        <w:t>s</w:t>
      </w:r>
      <w:r w:rsidRPr="00577FF8">
        <w:t xml:space="preserve"> of </w:t>
      </w:r>
      <w:r>
        <w:t xml:space="preserve">Commonwealth Rent Assistance </w:t>
      </w:r>
      <w:r w:rsidRPr="00577FF8">
        <w:t>by 15 per cent.</w:t>
      </w:r>
    </w:p>
    <w:p w14:paraId="53B971D2" w14:textId="77777777" w:rsidR="006C4B65" w:rsidRPr="00F1210D" w:rsidRDefault="006C4B65" w:rsidP="006C4B65"/>
    <w:p w14:paraId="0C506E31" w14:textId="77777777" w:rsidR="006C4B65" w:rsidRDefault="006C4B65" w:rsidP="006C4B65">
      <w:r w:rsidRPr="00F1210D">
        <w:t>The</w:t>
      </w:r>
      <w:r>
        <w:t xml:space="preserve"> 2023</w:t>
      </w:r>
      <w:r>
        <w:rPr>
          <w:rFonts w:cstheme="minorHAnsi"/>
        </w:rPr>
        <w:t>–</w:t>
      </w:r>
      <w:r>
        <w:t xml:space="preserve">24 Budget income support changes came into effect from 20 September 2023, at the same time as legislated indexation of payments such as </w:t>
      </w:r>
      <w:proofErr w:type="spellStart"/>
      <w:r>
        <w:t>JobSeeker</w:t>
      </w:r>
      <w:proofErr w:type="spellEnd"/>
      <w:r>
        <w:t xml:space="preserve"> Payment, Commonwealth Rent Assistance and Parenting Payment. The</w:t>
      </w:r>
      <w:r w:rsidRPr="00F1210D">
        <w:t xml:space="preserve">se measures </w:t>
      </w:r>
      <w:r>
        <w:t>are providing</w:t>
      </w:r>
      <w:r w:rsidRPr="00F1210D">
        <w:t xml:space="preserve"> responsible and targeted </w:t>
      </w:r>
      <w:r>
        <w:t>assistance that is benefitting around 2 million recipients.</w:t>
      </w:r>
      <w:r w:rsidRPr="00F1210D">
        <w:t xml:space="preserve"> </w:t>
      </w:r>
    </w:p>
    <w:p w14:paraId="04A00CAB" w14:textId="34395A4D" w:rsidR="0037253F" w:rsidRDefault="0037253F">
      <w:pPr>
        <w:spacing w:after="200" w:line="276" w:lineRule="auto"/>
      </w:pPr>
      <w:r>
        <w:br w:type="page"/>
      </w:r>
    </w:p>
    <w:p w14:paraId="0B12BED0" w14:textId="3F69F77B" w:rsidR="006C4B65" w:rsidRDefault="006C4B65" w:rsidP="006C4B65">
      <w:r>
        <w:t>The 2024</w:t>
      </w:r>
      <w:r w:rsidR="00157514">
        <w:t>–</w:t>
      </w:r>
      <w:r>
        <w:t>25 Budget included an additional $2 billion over 5 years in targeted and responsible support for income support recipients including:</w:t>
      </w:r>
    </w:p>
    <w:p w14:paraId="692ED800" w14:textId="77777777" w:rsidR="006C4B65" w:rsidRPr="0053343D" w:rsidRDefault="006C4B65" w:rsidP="006C4B65">
      <w:pPr>
        <w:pStyle w:val="ListParagraph"/>
        <w:numPr>
          <w:ilvl w:val="0"/>
          <w:numId w:val="48"/>
        </w:numPr>
        <w:rPr>
          <w:sz w:val="24"/>
          <w:szCs w:val="24"/>
        </w:rPr>
      </w:pPr>
      <w:r w:rsidRPr="0053343D">
        <w:rPr>
          <w:sz w:val="24"/>
          <w:szCs w:val="24"/>
        </w:rPr>
        <w:t>$1.9 billion to increase the maximum rates of Commonwealth Rent Assistance by</w:t>
      </w:r>
      <w:r>
        <w:rPr>
          <w:sz w:val="24"/>
          <w:szCs w:val="24"/>
        </w:rPr>
        <w:t xml:space="preserve"> a further</w:t>
      </w:r>
      <w:r w:rsidRPr="0053343D">
        <w:rPr>
          <w:sz w:val="24"/>
          <w:szCs w:val="24"/>
        </w:rPr>
        <w:t xml:space="preserve"> 10 per cent. </w:t>
      </w:r>
      <w:r w:rsidRPr="00553D85">
        <w:rPr>
          <w:sz w:val="24"/>
          <w:szCs w:val="24"/>
        </w:rPr>
        <w:t>This was the first back-to back increase in over 30 years.</w:t>
      </w:r>
    </w:p>
    <w:p w14:paraId="452158CF" w14:textId="77777777" w:rsidR="006C4B65" w:rsidRPr="00553D85" w:rsidRDefault="006C4B65" w:rsidP="006C4B65">
      <w:pPr>
        <w:pStyle w:val="ListParagraph"/>
        <w:numPr>
          <w:ilvl w:val="0"/>
          <w:numId w:val="48"/>
        </w:numPr>
        <w:rPr>
          <w:sz w:val="24"/>
          <w:szCs w:val="24"/>
        </w:rPr>
      </w:pPr>
      <w:r w:rsidRPr="0053343D">
        <w:rPr>
          <w:sz w:val="24"/>
          <w:szCs w:val="24"/>
        </w:rPr>
        <w:t xml:space="preserve">$41.2 million to expand eligibility to the higher rate of </w:t>
      </w:r>
      <w:proofErr w:type="spellStart"/>
      <w:r w:rsidRPr="0053343D">
        <w:rPr>
          <w:sz w:val="24"/>
          <w:szCs w:val="24"/>
        </w:rPr>
        <w:t>JobSeeker</w:t>
      </w:r>
      <w:proofErr w:type="spellEnd"/>
      <w:r w:rsidRPr="0053343D">
        <w:rPr>
          <w:sz w:val="24"/>
          <w:szCs w:val="24"/>
        </w:rPr>
        <w:t xml:space="preserve"> Payment to single </w:t>
      </w:r>
      <w:proofErr w:type="spellStart"/>
      <w:r w:rsidRPr="0053343D">
        <w:rPr>
          <w:sz w:val="24"/>
          <w:szCs w:val="24"/>
        </w:rPr>
        <w:t>JobSeeker</w:t>
      </w:r>
      <w:proofErr w:type="spellEnd"/>
      <w:r w:rsidRPr="0053343D">
        <w:rPr>
          <w:sz w:val="24"/>
          <w:szCs w:val="24"/>
        </w:rPr>
        <w:t xml:space="preserve"> Payment recipients with a partial capacity to work of 0-14 hours per week</w:t>
      </w:r>
      <w:r>
        <w:rPr>
          <w:sz w:val="24"/>
          <w:szCs w:val="24"/>
        </w:rPr>
        <w:t xml:space="preserve">, </w:t>
      </w:r>
      <w:r w:rsidRPr="00553D85">
        <w:rPr>
          <w:sz w:val="24"/>
          <w:szCs w:val="24"/>
        </w:rPr>
        <w:t>so that those with barriers to employment who have limited or no capacity to work due to their condition – but who do not qualify for Disability Support Pension – receive extra support.</w:t>
      </w:r>
    </w:p>
    <w:p w14:paraId="2B58CAC0" w14:textId="77777777" w:rsidR="006C4B65" w:rsidRPr="0053343D" w:rsidRDefault="006C4B65" w:rsidP="006C4B65">
      <w:pPr>
        <w:pStyle w:val="ListParagraph"/>
        <w:numPr>
          <w:ilvl w:val="0"/>
          <w:numId w:val="48"/>
        </w:numPr>
        <w:rPr>
          <w:sz w:val="24"/>
          <w:szCs w:val="24"/>
        </w:rPr>
      </w:pPr>
      <w:r w:rsidRPr="0053343D">
        <w:rPr>
          <w:sz w:val="24"/>
          <w:szCs w:val="24"/>
        </w:rPr>
        <w:t xml:space="preserve">$18.6 million to change the 25 hour per week rule for Carer Payment recipients to instead allow up to 100 hours work over a 4 week period and remove the restrictions on study, volunteering and travel for work. </w:t>
      </w:r>
    </w:p>
    <w:p w14:paraId="08670185" w14:textId="2170E946" w:rsidR="006C4B65" w:rsidRPr="005C0DF9" w:rsidRDefault="001356B4" w:rsidP="006C4B65">
      <w:pPr>
        <w:pStyle w:val="ListParagraph"/>
        <w:numPr>
          <w:ilvl w:val="0"/>
          <w:numId w:val="48"/>
        </w:numPr>
        <w:rPr>
          <w:sz w:val="24"/>
          <w:szCs w:val="24"/>
        </w:rPr>
      </w:pPr>
      <w:r>
        <w:rPr>
          <w:sz w:val="24"/>
          <w:szCs w:val="24"/>
        </w:rPr>
        <w:t>e</w:t>
      </w:r>
      <w:r w:rsidR="006C4B65" w:rsidRPr="0053343D">
        <w:rPr>
          <w:sz w:val="24"/>
          <w:szCs w:val="24"/>
        </w:rPr>
        <w:t>xtend</w:t>
      </w:r>
      <w:r>
        <w:rPr>
          <w:sz w:val="24"/>
          <w:szCs w:val="24"/>
        </w:rPr>
        <w:t>ing</w:t>
      </w:r>
      <w:r w:rsidR="006C4B65" w:rsidRPr="0053343D">
        <w:rPr>
          <w:sz w:val="24"/>
          <w:szCs w:val="24"/>
        </w:rPr>
        <w:t xml:space="preserve"> the two-year freeze on social security deeming rates for a further 12 months to 30 June 2025.</w:t>
      </w:r>
    </w:p>
    <w:p w14:paraId="72B1EFA7" w14:textId="77777777" w:rsidR="006C4B65" w:rsidRDefault="006C4B65" w:rsidP="006C4B65"/>
    <w:p w14:paraId="2F43DD8B" w14:textId="77777777" w:rsidR="006C4B65" w:rsidRDefault="006C4B65" w:rsidP="006C4B65">
      <w:r w:rsidRPr="006E0458">
        <w:t>The Government has committed to consider the rates of income support payments at every Budget update</w:t>
      </w:r>
      <w:r>
        <w:t xml:space="preserve">. The Government </w:t>
      </w:r>
      <w:r w:rsidRPr="006E0458">
        <w:t xml:space="preserve">has </w:t>
      </w:r>
      <w:r>
        <w:t xml:space="preserve">also </w:t>
      </w:r>
      <w:r w:rsidRPr="006E0458">
        <w:t>established the Economic Inclusion Advisory Committee to provide advice ahead of every Federal Budget on economic inclusion, including policy settings, systems and structures, and the adequacy, effectiveness and sustainability of income support payments.</w:t>
      </w:r>
    </w:p>
    <w:p w14:paraId="0458AE5E" w14:textId="77777777" w:rsidR="00DC524D" w:rsidRDefault="00DC524D" w:rsidP="008E1272"/>
    <w:p w14:paraId="05ABD187" w14:textId="3A59F74F" w:rsidR="00E54F0E" w:rsidRPr="00980982" w:rsidRDefault="00223736" w:rsidP="00E54F0E">
      <w:pPr>
        <w:pStyle w:val="Heading3"/>
      </w:pPr>
      <w:bookmarkStart w:id="31" w:name="_Toc170224184"/>
      <w:r>
        <w:t xml:space="preserve">4.4 </w:t>
      </w:r>
      <w:r w:rsidR="001B4884" w:rsidRPr="00980982">
        <w:t>People preparing for or seeking employment</w:t>
      </w:r>
      <w:bookmarkEnd w:id="31"/>
      <w:r w:rsidR="001B4884" w:rsidRPr="00980982" w:rsidDel="001B4884">
        <w:t xml:space="preserve"> </w:t>
      </w:r>
    </w:p>
    <w:p w14:paraId="16EBA51C" w14:textId="75661E57" w:rsidR="00583BD0" w:rsidRPr="00F1210D" w:rsidRDefault="00AA4C72" w:rsidP="00583BD0">
      <w:pPr>
        <w:textAlignment w:val="baseline"/>
        <w:rPr>
          <w:lang w:eastAsia="en-AU"/>
        </w:rPr>
      </w:pPr>
      <w:r w:rsidRPr="00980982">
        <w:rPr>
          <w:lang w:eastAsia="en-AU"/>
        </w:rPr>
        <w:t xml:space="preserve">The Government recognises the value for individuals and the economy from entering or </w:t>
      </w:r>
      <w:r w:rsidRPr="00980982">
        <w:rPr>
          <w:lang w:val="en-US" w:eastAsia="en-AU"/>
        </w:rPr>
        <w:t>returning to the workforce. The</w:t>
      </w:r>
      <w:r w:rsidRPr="00980982">
        <w:rPr>
          <w:lang w:eastAsia="en-AU"/>
        </w:rPr>
        <w:t xml:space="preserve"> gendered nature of work and care arrangements impact women’s engagement and progression in the labour force and have implications</w:t>
      </w:r>
      <w:r>
        <w:rPr>
          <w:lang w:eastAsia="en-AU"/>
        </w:rPr>
        <w:t xml:space="preserve"> on women’s engagement with employment services. A well-designed employment services model plays an important role in improving outcomes of jobseekers, particularly women who face long-term </w:t>
      </w:r>
      <w:r w:rsidRPr="00F1210D">
        <w:rPr>
          <w:lang w:eastAsia="en-AU"/>
        </w:rPr>
        <w:t>disadvantage and complex barriers to workforce participation.</w:t>
      </w:r>
    </w:p>
    <w:p w14:paraId="4EB3808B" w14:textId="77777777" w:rsidR="00583BD0" w:rsidRPr="00F1210D" w:rsidRDefault="00583BD0" w:rsidP="00583BD0">
      <w:pPr>
        <w:textAlignment w:val="baseline"/>
        <w:rPr>
          <w:lang w:eastAsia="en-AU"/>
        </w:rPr>
      </w:pPr>
    </w:p>
    <w:p w14:paraId="11660198" w14:textId="738187D5" w:rsidR="0075633E" w:rsidRDefault="0075633E" w:rsidP="00583BD0">
      <w:pPr>
        <w:textAlignment w:val="baseline"/>
      </w:pPr>
      <w:r w:rsidRPr="00F1210D">
        <w:rPr>
          <w:rFonts w:eastAsia="Calibri" w:cstheme="minorHAnsi"/>
        </w:rPr>
        <w:t>The 202</w:t>
      </w:r>
      <w:r>
        <w:rPr>
          <w:rFonts w:eastAsia="Calibri" w:cstheme="minorHAnsi"/>
        </w:rPr>
        <w:t>3</w:t>
      </w:r>
      <w:r w:rsidRPr="00F1210D">
        <w:rPr>
          <w:rFonts w:eastAsia="Calibri" w:cstheme="minorHAnsi"/>
        </w:rPr>
        <w:t xml:space="preserve"> Carer Wellbeing Survey </w:t>
      </w:r>
      <w:r>
        <w:rPr>
          <w:rFonts w:eastAsia="Calibri" w:cstheme="minorHAnsi"/>
        </w:rPr>
        <w:t xml:space="preserve">shows </w:t>
      </w:r>
      <w:r w:rsidRPr="00F1210D">
        <w:rPr>
          <w:rFonts w:eastAsia="Calibri" w:cstheme="minorHAnsi"/>
        </w:rPr>
        <w:t xml:space="preserve">that </w:t>
      </w:r>
      <w:r>
        <w:t>the number of employed carers of typical working age increased significantly in 2023, with 62.4</w:t>
      </w:r>
      <w:r w:rsidR="00477AE6">
        <w:t xml:space="preserve"> per cent </w:t>
      </w:r>
      <w:r>
        <w:t>of carers employed, 6.2</w:t>
      </w:r>
      <w:r w:rsidR="00477AE6">
        <w:t xml:space="preserve"> per cent </w:t>
      </w:r>
      <w:r>
        <w:t>unemployed and 31.3</w:t>
      </w:r>
      <w:r w:rsidR="00477AE6">
        <w:t xml:space="preserve"> per cent </w:t>
      </w:r>
      <w:r>
        <w:t>were not in the labour force. Of the carers that were employed, 36.3</w:t>
      </w:r>
      <w:r w:rsidR="00477AE6" w:rsidRPr="00477AE6">
        <w:t xml:space="preserve"> </w:t>
      </w:r>
      <w:r w:rsidR="00477AE6">
        <w:t>per cent</w:t>
      </w:r>
      <w:r>
        <w:t xml:space="preserve"> worked less than 20 hours per week, 28.4</w:t>
      </w:r>
      <w:r w:rsidR="00477AE6" w:rsidRPr="00477AE6">
        <w:t xml:space="preserve"> </w:t>
      </w:r>
      <w:r w:rsidR="00477AE6">
        <w:t>per cent</w:t>
      </w:r>
      <w:r>
        <w:t xml:space="preserve"> worked 30</w:t>
      </w:r>
      <w:r w:rsidR="001E4DD9">
        <w:rPr>
          <w:rFonts w:ascii="Segoe UI" w:hAnsi="Segoe UI" w:cs="Segoe UI"/>
          <w:color w:val="414141"/>
          <w:shd w:val="clear" w:color="auto" w:fill="FFFFFF"/>
        </w:rPr>
        <w:t>–</w:t>
      </w:r>
      <w:r>
        <w:t>34 hours per week, 35.4</w:t>
      </w:r>
      <w:r w:rsidR="001275C6" w:rsidRPr="00477AE6">
        <w:t xml:space="preserve"> </w:t>
      </w:r>
      <w:r w:rsidR="001275C6">
        <w:t>per cent</w:t>
      </w:r>
      <w:r>
        <w:t xml:space="preserve"> worked 35</w:t>
      </w:r>
      <w:r w:rsidR="00992012">
        <w:rPr>
          <w:rFonts w:ascii="Segoe UI" w:hAnsi="Segoe UI" w:cs="Segoe UI"/>
          <w:color w:val="414141"/>
          <w:shd w:val="clear" w:color="auto" w:fill="FFFFFF"/>
        </w:rPr>
        <w:t>–</w:t>
      </w:r>
      <w:r>
        <w:t>44 hours per week, and only 7.5</w:t>
      </w:r>
      <w:r w:rsidR="001275C6" w:rsidRPr="00477AE6">
        <w:t xml:space="preserve"> </w:t>
      </w:r>
      <w:r w:rsidR="001275C6">
        <w:t>per cent</w:t>
      </w:r>
      <w:r>
        <w:t xml:space="preserve"> worked 45</w:t>
      </w:r>
      <w:r w:rsidR="00BB5FD1">
        <w:t> </w:t>
      </w:r>
      <w:r>
        <w:t>or more hours.</w:t>
      </w:r>
      <w:r w:rsidRPr="00F1210D" w:rsidDel="00B05B87">
        <w:rPr>
          <w:rFonts w:eastAsia="Calibri" w:cstheme="minorHAnsi"/>
        </w:rPr>
        <w:t xml:space="preserve"> </w:t>
      </w:r>
      <w:r>
        <w:t>Some groups of carers were significantly more likely to report that their ability to engage in paid work was getting worse. This included carers aged 55 to 74, those caring more than 40</w:t>
      </w:r>
      <w:r w:rsidR="00BB5FD1">
        <w:t> </w:t>
      </w:r>
      <w:r>
        <w:t>hours per week, continuous carers, primary carers, sole carers, those who care for someone who lives with them and carers of people with high to very high assistance needs.</w:t>
      </w:r>
    </w:p>
    <w:p w14:paraId="2FFD595A" w14:textId="77777777" w:rsidR="00882D8F" w:rsidRDefault="00882D8F" w:rsidP="00583BD0">
      <w:pPr>
        <w:textAlignment w:val="baseline"/>
      </w:pPr>
    </w:p>
    <w:p w14:paraId="31AB4F44" w14:textId="04AA75EF" w:rsidR="00882D8F" w:rsidRDefault="00882D8F" w:rsidP="00882D8F">
      <w:r>
        <w:t>In the 2024</w:t>
      </w:r>
      <w:r w:rsidR="00157514">
        <w:t>–</w:t>
      </w:r>
      <w:r>
        <w:t xml:space="preserve">25 Budget, the Government announced it would introduce changes </w:t>
      </w:r>
      <w:r w:rsidRPr="00C30983">
        <w:t>to the participation limit for Carer Payment</w:t>
      </w:r>
      <w:r>
        <w:t xml:space="preserve">. Under the changes, Carer Payment recipients will be able to work 100 hours over a four-week period rather than the 25 hour per week current limit. This will provide greater flexibility for Carer Payment recipients to structure their work commitments around their caring role. </w:t>
      </w:r>
    </w:p>
    <w:p w14:paraId="140CB946" w14:textId="77777777" w:rsidR="00882D8F" w:rsidRDefault="00882D8F" w:rsidP="00882D8F"/>
    <w:p w14:paraId="472C768A" w14:textId="1DC91478" w:rsidR="00882D8F" w:rsidRPr="00D01FC3" w:rsidRDefault="00882D8F" w:rsidP="00882D8F">
      <w:r>
        <w:t xml:space="preserve">Additionally, travel time, education and volunteering activities will no longer be counted in the participation limit. The measure also </w:t>
      </w:r>
      <w:r w:rsidRPr="00C30983">
        <w:t xml:space="preserve">introduces a six-month suspension period for recipients who work over the new flexible </w:t>
      </w:r>
      <w:r w:rsidRPr="00D01FC3">
        <w:t>limit, meaning if their circumstances change, they won’t need to reapply to access the Carer Payment. Recipients will also be able to use single Temporary Cessation of Care days to cover one-off or occasional instances of exceeding the participation limit.</w:t>
      </w:r>
    </w:p>
    <w:p w14:paraId="03075390" w14:textId="5FD7F995" w:rsidR="00F65A4D" w:rsidRPr="00D01FC3" w:rsidRDefault="00F65A4D" w:rsidP="00F65A4D">
      <w:pPr>
        <w:textAlignment w:val="baseline"/>
        <w:rPr>
          <w:lang w:eastAsia="en-AU"/>
        </w:rPr>
      </w:pPr>
    </w:p>
    <w:p w14:paraId="6E688D62" w14:textId="04A3474D" w:rsidR="00177FD7" w:rsidRPr="00BE3A7F" w:rsidRDefault="00223736" w:rsidP="00223736">
      <w:pPr>
        <w:pStyle w:val="Heading4"/>
        <w:rPr>
          <w:lang w:eastAsia="en-AU"/>
        </w:rPr>
      </w:pPr>
      <w:r w:rsidRPr="00BE3A7F">
        <w:rPr>
          <w:lang w:eastAsia="en-AU"/>
        </w:rPr>
        <w:t xml:space="preserve">4.4.1 </w:t>
      </w:r>
      <w:r w:rsidR="00C479F3" w:rsidRPr="00BE3A7F">
        <w:rPr>
          <w:lang w:eastAsia="en-AU"/>
        </w:rPr>
        <w:t>New voluntary pre-employment service for parents</w:t>
      </w:r>
    </w:p>
    <w:p w14:paraId="6B8500DB" w14:textId="77777777" w:rsidR="00177FD7" w:rsidRPr="00BE3A7F" w:rsidRDefault="00177FD7" w:rsidP="00F65A4D">
      <w:pPr>
        <w:textAlignment w:val="baseline"/>
        <w:rPr>
          <w:lang w:eastAsia="en-AU"/>
        </w:rPr>
      </w:pPr>
    </w:p>
    <w:p w14:paraId="06D87D43" w14:textId="6F82E72E" w:rsidR="00986971" w:rsidRPr="00BE3A7F" w:rsidRDefault="00986971" w:rsidP="00986971">
      <w:pPr>
        <w:textAlignment w:val="baseline"/>
        <w:rPr>
          <w:lang w:eastAsia="en-AU"/>
        </w:rPr>
      </w:pPr>
      <w:r w:rsidRPr="00BE3A7F">
        <w:rPr>
          <w:lang w:eastAsia="en-AU"/>
        </w:rPr>
        <w:t xml:space="preserve">The House of Representatives Select Committee on Workforce Australia Employment Services was established on 2 August 2022 to inquire into matters related to Workforce Australia Employment Services. This House Select Committee specifically considered the role of </w:t>
      </w:r>
      <w:proofErr w:type="spellStart"/>
      <w:r w:rsidRPr="00BE3A7F">
        <w:rPr>
          <w:lang w:eastAsia="en-AU"/>
        </w:rPr>
        <w:t>ParentsNext</w:t>
      </w:r>
      <w:proofErr w:type="spellEnd"/>
      <w:r w:rsidRPr="00BE3A7F">
        <w:rPr>
          <w:lang w:eastAsia="en-AU"/>
        </w:rPr>
        <w:t xml:space="preserve"> in providing early intervention pre-employment services to parents and carers of young children as part of the employment services system. Its interim report on </w:t>
      </w:r>
      <w:proofErr w:type="spellStart"/>
      <w:r w:rsidRPr="00BE3A7F">
        <w:rPr>
          <w:lang w:eastAsia="en-AU"/>
        </w:rPr>
        <w:t>ParentsNext</w:t>
      </w:r>
      <w:proofErr w:type="spellEnd"/>
      <w:r w:rsidRPr="00BE3A7F">
        <w:rPr>
          <w:lang w:eastAsia="en-AU"/>
        </w:rPr>
        <w:t xml:space="preserve"> was tabled on 1 March 2023 and its report into Workforce Australia Employment Services was tabled on 30 November 2023. This recommended large scale reform to fundamentally rebuild the Commonwealth </w:t>
      </w:r>
      <w:r w:rsidR="009B2250" w:rsidRPr="00BE3A7F">
        <w:rPr>
          <w:lang w:eastAsia="en-AU"/>
        </w:rPr>
        <w:t>e</w:t>
      </w:r>
      <w:r w:rsidRPr="00BE3A7F">
        <w:rPr>
          <w:lang w:eastAsia="en-AU"/>
        </w:rPr>
        <w:t xml:space="preserve">mployment </w:t>
      </w:r>
      <w:r w:rsidR="009B2250" w:rsidRPr="00BE3A7F">
        <w:rPr>
          <w:lang w:eastAsia="en-AU"/>
        </w:rPr>
        <w:t>s</w:t>
      </w:r>
      <w:r w:rsidRPr="00BE3A7F">
        <w:rPr>
          <w:lang w:eastAsia="en-AU"/>
        </w:rPr>
        <w:t xml:space="preserve">ervices </w:t>
      </w:r>
      <w:r w:rsidR="009B2250" w:rsidRPr="00BE3A7F">
        <w:rPr>
          <w:lang w:eastAsia="en-AU"/>
        </w:rPr>
        <w:t>s</w:t>
      </w:r>
      <w:r w:rsidRPr="00BE3A7F">
        <w:rPr>
          <w:lang w:eastAsia="en-AU"/>
        </w:rPr>
        <w:t xml:space="preserve">ystem. </w:t>
      </w:r>
      <w:r w:rsidR="00C2463A" w:rsidRPr="00BE3A7F">
        <w:rPr>
          <w:lang w:eastAsia="en-AU"/>
        </w:rPr>
        <w:t xml:space="preserve"> The Government is carefully considering the House Select Committee’s recommendations.</w:t>
      </w:r>
    </w:p>
    <w:p w14:paraId="3A4A167B" w14:textId="77777777" w:rsidR="00986971" w:rsidRPr="00BE3A7F" w:rsidRDefault="00986971" w:rsidP="00986971">
      <w:pPr>
        <w:textAlignment w:val="baseline"/>
        <w:rPr>
          <w:lang w:eastAsia="en-AU"/>
        </w:rPr>
      </w:pPr>
    </w:p>
    <w:p w14:paraId="474D4DCA" w14:textId="1E55FD3A" w:rsidR="00986971" w:rsidRPr="0001686C" w:rsidRDefault="00986971" w:rsidP="00986971">
      <w:pPr>
        <w:textAlignment w:val="baseline"/>
        <w:rPr>
          <w:lang w:eastAsia="en-AU"/>
        </w:rPr>
      </w:pPr>
      <w:r w:rsidRPr="00BE3A7F">
        <w:rPr>
          <w:lang w:eastAsia="en-AU"/>
        </w:rPr>
        <w:t xml:space="preserve">On 7 December 2023, the Government announced that it will introduce a new voluntary pre-employment service for parents from 1 November 2024, to replace </w:t>
      </w:r>
      <w:proofErr w:type="spellStart"/>
      <w:r w:rsidRPr="00BE3A7F">
        <w:rPr>
          <w:lang w:eastAsia="en-AU"/>
        </w:rPr>
        <w:t>ParentsNext</w:t>
      </w:r>
      <w:proofErr w:type="spellEnd"/>
      <w:r w:rsidRPr="00BE3A7F">
        <w:rPr>
          <w:lang w:eastAsia="en-AU"/>
        </w:rPr>
        <w:t>. The design of the new service is informed by consultation feedback from parents and their real life experiences and a broad range of stakeholders. Where possible, the service design also considered Recommendation 8 of the Interim Report of the Committee on Workforce Australia Employment Services.</w:t>
      </w:r>
      <w:r w:rsidRPr="0001686C">
        <w:rPr>
          <w:lang w:eastAsia="en-AU"/>
        </w:rPr>
        <w:t xml:space="preserve">   </w:t>
      </w:r>
    </w:p>
    <w:p w14:paraId="7BAE27CE" w14:textId="77777777" w:rsidR="00986971" w:rsidRPr="0001686C" w:rsidRDefault="00986971" w:rsidP="00986971">
      <w:pPr>
        <w:textAlignment w:val="baseline"/>
        <w:rPr>
          <w:lang w:eastAsia="en-AU"/>
        </w:rPr>
      </w:pPr>
    </w:p>
    <w:p w14:paraId="0E2FEE06" w14:textId="6339F97A" w:rsidR="00986971" w:rsidRPr="00D01FC3" w:rsidRDefault="00986971" w:rsidP="00986971">
      <w:pPr>
        <w:textAlignment w:val="baseline"/>
        <w:rPr>
          <w:lang w:eastAsia="en-AU"/>
        </w:rPr>
      </w:pPr>
      <w:r w:rsidRPr="0001686C">
        <w:rPr>
          <w:lang w:eastAsia="en-AU"/>
        </w:rPr>
        <w:t>The new voluntary pre-employment service will be available to parents and carers who are facing disadvantage and who have young children under 6 years. A broader range of parents will be eligible for the service including those in receipt of certain income support payments, as well as some parents who do not receive a payment. The service will be flexible, will value parents’ and carers’ roles caring for their children, and it will support them to make their own choices about the support they need. The service will be high quality and delivered by suitably qualified staff and staff with lived experience, who will support parents to work towards their education and employment goals.</w:t>
      </w:r>
    </w:p>
    <w:p w14:paraId="11C94D28" w14:textId="77777777" w:rsidR="00EE691E" w:rsidRPr="00D01FC3" w:rsidRDefault="00EE691E" w:rsidP="00EE691E">
      <w:pPr>
        <w:textAlignment w:val="baseline"/>
        <w:rPr>
          <w:lang w:eastAsia="en-AU"/>
        </w:rPr>
      </w:pPr>
    </w:p>
    <w:p w14:paraId="5A9D7912" w14:textId="5D2A63C9" w:rsidR="00886276" w:rsidRPr="00D01FC3" w:rsidRDefault="00223736" w:rsidP="00223736">
      <w:pPr>
        <w:pStyle w:val="Heading4"/>
      </w:pPr>
      <w:r w:rsidRPr="00D01FC3">
        <w:t>4.4.</w:t>
      </w:r>
      <w:r w:rsidR="006E0B79" w:rsidRPr="00D01FC3">
        <w:t xml:space="preserve">2 </w:t>
      </w:r>
      <w:r w:rsidR="00886276" w:rsidRPr="00D01FC3">
        <w:t>Pre-employment programs, employment services and incentives</w:t>
      </w:r>
    </w:p>
    <w:p w14:paraId="5E2DA202" w14:textId="77777777" w:rsidR="00417C63" w:rsidRPr="00D01FC3" w:rsidRDefault="00417C63" w:rsidP="000004C0">
      <w:pPr>
        <w:rPr>
          <w:rFonts w:cstheme="minorHAnsi"/>
        </w:rPr>
      </w:pPr>
    </w:p>
    <w:p w14:paraId="0AF7436B" w14:textId="61D9BF2F" w:rsidR="00DF3CAB" w:rsidRDefault="00DF3CAB" w:rsidP="00292006">
      <w:r w:rsidRPr="00D01FC3">
        <w:t xml:space="preserve">There are also a current range of pre-employment programs, employment services and incentives to help Australians, including those who have </w:t>
      </w:r>
      <w:r w:rsidR="00334B83" w:rsidRPr="00D01FC3">
        <w:t>paid or unpaid</w:t>
      </w:r>
      <w:r w:rsidRPr="00D01FC3">
        <w:t xml:space="preserve"> caring responsibilities, build their capability and find work. These services include Workforce Australia (the mainstream employment service), Disability Employment Services </w:t>
      </w:r>
      <w:r w:rsidR="000004C0" w:rsidRPr="00D01FC3">
        <w:rPr>
          <w:rFonts w:ascii="Calibri" w:hAnsi="Calibri" w:cs="Calibri"/>
        </w:rPr>
        <w:t>(a specialist service for people with disability, with the Government announcing that it will implement a new specialist disability employment program in the 2024</w:t>
      </w:r>
      <w:r w:rsidR="001612A1" w:rsidRPr="00D01FC3">
        <w:rPr>
          <w:rFonts w:ascii="Calibri" w:hAnsi="Calibri" w:cs="Calibri"/>
        </w:rPr>
        <w:t>–</w:t>
      </w:r>
      <w:r w:rsidR="000004C0" w:rsidRPr="00D01FC3">
        <w:rPr>
          <w:rFonts w:ascii="Calibri" w:hAnsi="Calibri" w:cs="Calibri"/>
        </w:rPr>
        <w:t>25 Budget to replace the existing program by 1 July 2025</w:t>
      </w:r>
      <w:r w:rsidR="003F6683" w:rsidRPr="00D01FC3">
        <w:rPr>
          <w:rFonts w:ascii="Calibri" w:hAnsi="Calibri" w:cs="Calibri"/>
        </w:rPr>
        <w:t xml:space="preserve"> </w:t>
      </w:r>
      <w:r w:rsidR="003F6683" w:rsidRPr="00D01FC3">
        <w:t>to deliver high-quality personalised services</w:t>
      </w:r>
      <w:r w:rsidR="000004C0" w:rsidRPr="00D01FC3">
        <w:rPr>
          <w:rFonts w:ascii="Calibri" w:hAnsi="Calibri" w:cs="Calibri"/>
        </w:rPr>
        <w:t xml:space="preserve">) </w:t>
      </w:r>
      <w:r w:rsidRPr="00D01FC3">
        <w:t>and Transition to Work (a specialist service for disadvantaged young people).</w:t>
      </w:r>
      <w:r w:rsidR="00776B27" w:rsidRPr="00D01FC3">
        <w:t xml:space="preserve"> In remote Australia, the Government has announced a new Remote Jobs and Economic Development Program as part of its commitment to replace the Community Development Program.</w:t>
      </w:r>
      <w:r w:rsidRPr="00D01FC3">
        <w:t xml:space="preserve"> The Government funds tailored pre-employment projects which support participants to secure entry level employment through the Launch into Work program. The Local Jobs Program provides resources and funding at the local level</w:t>
      </w:r>
      <w:r w:rsidRPr="000E69AE">
        <w:t xml:space="preserve"> to accelerate reskilling and upskilling of job seekers in areas that address community priorities.</w:t>
      </w:r>
    </w:p>
    <w:p w14:paraId="7FBC8554" w14:textId="77777777" w:rsidR="0037253F" w:rsidRPr="00292006" w:rsidRDefault="0037253F" w:rsidP="00292006">
      <w:pPr>
        <w:rPr>
          <w:rStyle w:val="cf01"/>
          <w:rFonts w:asciiTheme="minorHAnsi" w:eastAsia="Calibri" w:hAnsiTheme="minorHAnsi" w:cstheme="minorHAnsi"/>
          <w:sz w:val="24"/>
          <w:szCs w:val="24"/>
          <w:lang w:eastAsia="en-AU"/>
        </w:rPr>
      </w:pPr>
    </w:p>
    <w:p w14:paraId="373B6D52" w14:textId="0554F9E8" w:rsidR="0037253F" w:rsidRDefault="00DF3CAB" w:rsidP="00292006">
      <w:pPr>
        <w:rPr>
          <w:rFonts w:eastAsia="Calibri"/>
        </w:rPr>
      </w:pPr>
      <w:r w:rsidRPr="000E69AE">
        <w:rPr>
          <w:rFonts w:eastAsia="Calibri"/>
        </w:rPr>
        <w:t>The Launch into Work and Local Jobs programs enable</w:t>
      </w:r>
      <w:r w:rsidR="00B77EDA">
        <w:rPr>
          <w:rFonts w:eastAsia="Calibri"/>
        </w:rPr>
        <w:t xml:space="preserve"> the</w:t>
      </w:r>
      <w:r w:rsidRPr="000E69AE">
        <w:rPr>
          <w:rFonts w:eastAsia="Calibri"/>
        </w:rPr>
        <w:t xml:space="preserve"> Government to trial project ideas that build the skills of job seekers for employment or help businesses to fill vacancies.  These projects gather evidence on interventions that work and could be suitable for broader application. For example, an activity undertaken under the Local Jobs Local Recovery Fund, which included a pre-employment program tailored to working in the </w:t>
      </w:r>
      <w:r w:rsidR="007E3468">
        <w:rPr>
          <w:rFonts w:eastAsia="Calibri"/>
        </w:rPr>
        <w:t>ECEC</w:t>
      </w:r>
      <w:r w:rsidRPr="000E69AE">
        <w:rPr>
          <w:rFonts w:eastAsia="Calibri"/>
        </w:rPr>
        <w:t xml:space="preserve"> sector, served as the model for the Department of Education in developing further pilots for the sector in different locations.</w:t>
      </w:r>
    </w:p>
    <w:p w14:paraId="2E97D95C" w14:textId="77777777" w:rsidR="00292006" w:rsidRDefault="00292006" w:rsidP="0037253F">
      <w:pPr>
        <w:rPr>
          <w:rFonts w:eastAsia="Calibri"/>
        </w:rPr>
      </w:pPr>
    </w:p>
    <w:p w14:paraId="2969E124" w14:textId="3043A82F" w:rsidR="00271B96" w:rsidRDefault="001C06EC" w:rsidP="0037253F">
      <w:pPr>
        <w:rPr>
          <w:rFonts w:eastAsia="Calibri"/>
        </w:rPr>
      </w:pPr>
      <w:r w:rsidRPr="001C06EC">
        <w:rPr>
          <w:rFonts w:eastAsia="Calibri"/>
        </w:rPr>
        <w:t xml:space="preserve">In the 2024–25 Budget, as part of a Paid Employment Pathways Package, the Government invested $54 million to trial </w:t>
      </w:r>
      <w:r w:rsidR="00160549">
        <w:rPr>
          <w:rFonts w:eastAsia="Calibri"/>
        </w:rPr>
        <w:t>2</w:t>
      </w:r>
      <w:r w:rsidR="00160549" w:rsidRPr="001C06EC">
        <w:rPr>
          <w:rFonts w:eastAsia="Calibri"/>
        </w:rPr>
        <w:t xml:space="preserve"> </w:t>
      </w:r>
      <w:r w:rsidRPr="001C06EC">
        <w:rPr>
          <w:rFonts w:eastAsia="Calibri"/>
        </w:rPr>
        <w:t xml:space="preserve">new work programs. The </w:t>
      </w:r>
      <w:r w:rsidRPr="001C06EC">
        <w:rPr>
          <w:rFonts w:eastAsia="Calibri"/>
          <w:i/>
          <w:iCs/>
        </w:rPr>
        <w:t>Real Jobs, Real Wages</w:t>
      </w:r>
      <w:r w:rsidRPr="001C06EC">
        <w:rPr>
          <w:rFonts w:eastAsia="Calibri"/>
        </w:rPr>
        <w:t xml:space="preserve"> initiative is a tapered wage subsidy pilot, brokered by the Australian Public Service, with a focus to reward employers for ongoing and sustained employment outcomes. </w:t>
      </w:r>
      <w:r w:rsidRPr="001C06EC">
        <w:rPr>
          <w:rFonts w:eastAsia="Calibri"/>
          <w:i/>
          <w:iCs/>
        </w:rPr>
        <w:t>WorkFoundations</w:t>
      </w:r>
      <w:r w:rsidRPr="001C06EC">
        <w:rPr>
          <w:rFonts w:eastAsia="Calibri"/>
        </w:rPr>
        <w:t xml:space="preserve"> will support social enterprises and businesses who can provide tailored paid job placements for jobseekers facing high barriers to employment.</w:t>
      </w:r>
    </w:p>
    <w:p w14:paraId="7B8A353E" w14:textId="77777777" w:rsidR="001C06EC" w:rsidRPr="001C06EC" w:rsidRDefault="001C06EC" w:rsidP="00DF3CAB">
      <w:pPr>
        <w:textAlignment w:val="baseline"/>
        <w:rPr>
          <w:rFonts w:eastAsia="Calibri" w:cstheme="minorHAnsi"/>
        </w:rPr>
      </w:pPr>
    </w:p>
    <w:p w14:paraId="517FB765" w14:textId="634B348A" w:rsidR="00DF3CAB" w:rsidRPr="00D13564" w:rsidRDefault="00DF3CAB" w:rsidP="00DF3CAB">
      <w:pPr>
        <w:textAlignment w:val="baseline"/>
        <w:rPr>
          <w:lang w:eastAsia="en-AU"/>
        </w:rPr>
      </w:pPr>
      <w:r w:rsidRPr="00C6264B">
        <w:rPr>
          <w:lang w:eastAsia="en-AU"/>
        </w:rPr>
        <w:t>In the October 2022</w:t>
      </w:r>
      <w:r w:rsidR="00851075" w:rsidRPr="00C6264B">
        <w:rPr>
          <w:rFonts w:cstheme="minorHAnsi"/>
        </w:rPr>
        <w:t>–</w:t>
      </w:r>
      <w:r w:rsidRPr="00C6264B">
        <w:rPr>
          <w:lang w:eastAsia="en-AU"/>
        </w:rPr>
        <w:t xml:space="preserve">23 Budget the Government committed to a $1 billion 12-month Skills Agreement, jointly funded with states and territories. </w:t>
      </w:r>
      <w:r w:rsidR="00B012D5" w:rsidRPr="00C6264B">
        <w:rPr>
          <w:lang w:eastAsia="en-AU"/>
        </w:rPr>
        <w:t xml:space="preserve">This </w:t>
      </w:r>
      <w:r w:rsidRPr="00C6264B">
        <w:rPr>
          <w:lang w:eastAsia="en-AU"/>
        </w:rPr>
        <w:t>ma</w:t>
      </w:r>
      <w:r w:rsidR="002813B4" w:rsidRPr="00C6264B">
        <w:rPr>
          <w:lang w:eastAsia="en-AU"/>
        </w:rPr>
        <w:t>de</w:t>
      </w:r>
      <w:r w:rsidRPr="00C6264B">
        <w:rPr>
          <w:lang w:eastAsia="en-AU"/>
        </w:rPr>
        <w:t xml:space="preserve"> available 180,000 Fee-Free TAFE and vocational education places in 2023, prioritising access to training for unpaid carers, people out of work or receiving income support, women facing economic insecurity, First Nations Australians, young people (aged 17</w:t>
      </w:r>
      <w:r w:rsidR="00851075" w:rsidRPr="00C6264B">
        <w:rPr>
          <w:lang w:eastAsia="en-AU"/>
        </w:rPr>
        <w:t xml:space="preserve"> to </w:t>
      </w:r>
      <w:r w:rsidRPr="00C6264B">
        <w:rPr>
          <w:lang w:eastAsia="en-AU"/>
        </w:rPr>
        <w:t>24), women undertaking study in non</w:t>
      </w:r>
      <w:r w:rsidR="00D86F05" w:rsidRPr="00C6264B">
        <w:rPr>
          <w:lang w:eastAsia="en-AU"/>
        </w:rPr>
        <w:noBreakHyphen/>
      </w:r>
      <w:r w:rsidRPr="00C6264B">
        <w:rPr>
          <w:lang w:eastAsia="en-AU"/>
        </w:rPr>
        <w:t xml:space="preserve">traditional fields, </w:t>
      </w:r>
      <w:r w:rsidRPr="00D13564">
        <w:rPr>
          <w:lang w:eastAsia="en-AU"/>
        </w:rPr>
        <w:t>people with disability and certain categories of visa holders. </w:t>
      </w:r>
    </w:p>
    <w:p w14:paraId="2BAB7E47" w14:textId="77777777" w:rsidR="00DF3CAB" w:rsidRPr="00D13564" w:rsidRDefault="00DF3CAB" w:rsidP="00DF3CAB">
      <w:pPr>
        <w:textAlignment w:val="baseline"/>
        <w:rPr>
          <w:rFonts w:ascii="Segoe UI" w:hAnsi="Segoe UI" w:cs="Segoe UI"/>
          <w:sz w:val="18"/>
          <w:szCs w:val="18"/>
          <w:lang w:eastAsia="en-AU"/>
        </w:rPr>
      </w:pPr>
      <w:r w:rsidRPr="00D13564">
        <w:rPr>
          <w:lang w:eastAsia="en-AU"/>
        </w:rPr>
        <w:t> </w:t>
      </w:r>
    </w:p>
    <w:p w14:paraId="6D182270" w14:textId="43D9C620" w:rsidR="00DF3CAB" w:rsidRPr="000E69AE" w:rsidRDefault="00B01776" w:rsidP="00DF3CAB">
      <w:pPr>
        <w:textAlignment w:val="baseline"/>
        <w:rPr>
          <w:rFonts w:ascii="Segoe UI" w:hAnsi="Segoe UI" w:cs="Segoe UI"/>
          <w:sz w:val="18"/>
          <w:szCs w:val="18"/>
          <w:lang w:eastAsia="en-AU"/>
        </w:rPr>
      </w:pPr>
      <w:r w:rsidRPr="00D13564">
        <w:rPr>
          <w:lang w:eastAsia="en-AU"/>
        </w:rPr>
        <w:t xml:space="preserve">The five-year National Skills Agreement that commenced on 1 January 2024 between the Commonwealth and state and territory governments will deliver significant investment in a national </w:t>
      </w:r>
      <w:r w:rsidR="00C6264B" w:rsidRPr="00D13564">
        <w:rPr>
          <w:lang w:eastAsia="en-AU"/>
        </w:rPr>
        <w:t xml:space="preserve">vocational education and training </w:t>
      </w:r>
      <w:r w:rsidRPr="00D13564">
        <w:rPr>
          <w:lang w:eastAsia="en-AU"/>
        </w:rPr>
        <w:t xml:space="preserve">system that provides high quality, responsive and accessible education and training to boost productivity. </w:t>
      </w:r>
      <w:r w:rsidR="00DF3CAB" w:rsidRPr="00D13564">
        <w:rPr>
          <w:lang w:eastAsia="en-AU"/>
        </w:rPr>
        <w:t xml:space="preserve">A key principle is to ensure no Australians are left behind as the Australian economy transitions and adapts to structural change, including by providing opportunities for life-long learning and foundation skills development </w:t>
      </w:r>
      <w:r w:rsidR="00132751" w:rsidRPr="00D13564">
        <w:rPr>
          <w:lang w:eastAsia="en-AU"/>
        </w:rPr>
        <w:t>–</w:t>
      </w:r>
      <w:r w:rsidR="00DF3CAB" w:rsidRPr="00D13564">
        <w:rPr>
          <w:lang w:eastAsia="en-AU"/>
        </w:rPr>
        <w:t xml:space="preserve"> particularly</w:t>
      </w:r>
      <w:r w:rsidR="00DF3CAB" w:rsidRPr="00C6264B">
        <w:rPr>
          <w:lang w:eastAsia="en-AU"/>
        </w:rPr>
        <w:t xml:space="preserve"> women, mature age Australians, those experiencing long</w:t>
      </w:r>
      <w:r w:rsidR="00D86F05" w:rsidRPr="00C6264B">
        <w:rPr>
          <w:lang w:eastAsia="en-AU"/>
        </w:rPr>
        <w:noBreakHyphen/>
      </w:r>
      <w:r w:rsidR="00DF3CAB" w:rsidRPr="00C6264B">
        <w:rPr>
          <w:lang w:eastAsia="en-AU"/>
        </w:rPr>
        <w:t>term unemployment, First Nations Australians, young people, people from culturally and linguistically diverse communities, people with disability, and regional and remote learners.</w:t>
      </w:r>
      <w:r w:rsidR="00DF3CAB" w:rsidRPr="000E69AE">
        <w:rPr>
          <w:lang w:eastAsia="en-AU"/>
        </w:rPr>
        <w:t> </w:t>
      </w:r>
    </w:p>
    <w:p w14:paraId="2A05599B" w14:textId="254E72C8" w:rsidR="00292006" w:rsidRDefault="00292006">
      <w:pPr>
        <w:spacing w:after="200" w:line="276" w:lineRule="auto"/>
      </w:pPr>
      <w:r>
        <w:br w:type="page"/>
      </w:r>
    </w:p>
    <w:p w14:paraId="779F198E" w14:textId="77777777" w:rsidR="00DC524D" w:rsidRPr="00E54F0E" w:rsidRDefault="00DC524D" w:rsidP="000756F1">
      <w:pPr>
        <w:pStyle w:val="Heading6"/>
        <w:pBdr>
          <w:top w:val="single" w:sz="4" w:space="1" w:color="auto"/>
          <w:left w:val="single" w:sz="4" w:space="4" w:color="auto"/>
          <w:bottom w:val="single" w:sz="4" w:space="1" w:color="auto"/>
          <w:right w:val="single" w:sz="4" w:space="4" w:color="auto"/>
        </w:pBdr>
      </w:pPr>
      <w:r w:rsidRPr="00E54F0E">
        <w:t>Recommendation 8</w:t>
      </w:r>
    </w:p>
    <w:p w14:paraId="2DA44CE8" w14:textId="7C84281D" w:rsidR="00DC524D" w:rsidRPr="00E54F0E" w:rsidRDefault="00DC524D" w:rsidP="000756F1">
      <w:pPr>
        <w:pBdr>
          <w:top w:val="single" w:sz="4" w:space="1" w:color="auto"/>
          <w:left w:val="single" w:sz="4" w:space="4" w:color="auto"/>
          <w:bottom w:val="single" w:sz="4" w:space="1" w:color="auto"/>
          <w:right w:val="single" w:sz="4" w:space="4" w:color="auto"/>
        </w:pBdr>
        <w:rPr>
          <w:rFonts w:cstheme="minorHAnsi"/>
        </w:rPr>
      </w:pPr>
      <w:r w:rsidRPr="00E54F0E">
        <w:rPr>
          <w:rFonts w:cstheme="minorHAnsi"/>
        </w:rPr>
        <w:t xml:space="preserve">The committee recommends the Department of Employment and Workplace Relations and the Department of Education develop a large-scale, evidence-based, appropriately evaluated, holistic, non-compulsory training and work placement program, to assist informal carers returning to or seeking further engagement with paid employment, training or voluntary work. Recognition of the prior education, employment and experiences of informal carers should be incorporated into the program. </w:t>
      </w:r>
    </w:p>
    <w:p w14:paraId="13271E8D" w14:textId="77777777" w:rsidR="00DC524D" w:rsidRPr="00E54F0E" w:rsidRDefault="00DC524D" w:rsidP="000756F1">
      <w:pPr>
        <w:pBdr>
          <w:top w:val="single" w:sz="4" w:space="1" w:color="auto"/>
          <w:left w:val="single" w:sz="4" w:space="4" w:color="auto"/>
          <w:bottom w:val="single" w:sz="4" w:space="1" w:color="auto"/>
          <w:right w:val="single" w:sz="4" w:space="4" w:color="auto"/>
        </w:pBdr>
        <w:rPr>
          <w:rFonts w:cstheme="minorHAnsi"/>
        </w:rPr>
      </w:pPr>
    </w:p>
    <w:p w14:paraId="1D218D72" w14:textId="3FE7A337" w:rsidR="00DC524D" w:rsidRDefault="00DC524D" w:rsidP="000756F1">
      <w:pPr>
        <w:pBdr>
          <w:top w:val="single" w:sz="4" w:space="1" w:color="auto"/>
          <w:left w:val="single" w:sz="4" w:space="4" w:color="auto"/>
          <w:bottom w:val="single" w:sz="4" w:space="1" w:color="auto"/>
          <w:right w:val="single" w:sz="4" w:space="4" w:color="auto"/>
        </w:pBdr>
        <w:spacing w:after="160" w:line="257" w:lineRule="auto"/>
        <w:rPr>
          <w:rFonts w:cstheme="minorHAnsi"/>
        </w:rPr>
      </w:pPr>
      <w:r w:rsidRPr="00E54F0E">
        <w:rPr>
          <w:rFonts w:cstheme="minorHAnsi"/>
        </w:rPr>
        <w:t xml:space="preserve">The committee further recommends that the compulsory elements of </w:t>
      </w:r>
      <w:proofErr w:type="spellStart"/>
      <w:r w:rsidRPr="00E54F0E">
        <w:rPr>
          <w:rFonts w:cstheme="minorHAnsi"/>
        </w:rPr>
        <w:t>ParentsNext</w:t>
      </w:r>
      <w:proofErr w:type="spellEnd"/>
      <w:r w:rsidRPr="00E54F0E">
        <w:rPr>
          <w:rFonts w:cstheme="minorHAnsi"/>
        </w:rPr>
        <w:t xml:space="preserve"> be abolished for people providing care.</w:t>
      </w:r>
    </w:p>
    <w:p w14:paraId="3C1326A6" w14:textId="1E24C5F7" w:rsidR="00DC524D" w:rsidRPr="00E54F0E" w:rsidRDefault="000756F1" w:rsidP="00DC524D">
      <w:pPr>
        <w:rPr>
          <w:rFonts w:cstheme="minorHAnsi"/>
          <w:b/>
          <w:bCs/>
        </w:rPr>
      </w:pPr>
      <w:r>
        <w:rPr>
          <w:rFonts w:cstheme="minorHAnsi"/>
        </w:rPr>
        <w:t xml:space="preserve">The Government </w:t>
      </w:r>
      <w:r>
        <w:rPr>
          <w:rFonts w:cstheme="minorHAnsi"/>
          <w:b/>
          <w:bCs/>
        </w:rPr>
        <w:t xml:space="preserve">agrees in part </w:t>
      </w:r>
      <w:r>
        <w:rPr>
          <w:rFonts w:cstheme="minorHAnsi"/>
        </w:rPr>
        <w:t>to this recommendation.</w:t>
      </w:r>
    </w:p>
    <w:p w14:paraId="45BE7017" w14:textId="77777777" w:rsidR="00DC524D" w:rsidRPr="00E54F0E" w:rsidRDefault="00DC524D" w:rsidP="00DC524D">
      <w:pPr>
        <w:rPr>
          <w:rFonts w:cstheme="minorHAnsi"/>
          <w:b/>
          <w:bCs/>
        </w:rPr>
      </w:pPr>
    </w:p>
    <w:p w14:paraId="7CC8033E" w14:textId="61B5E564" w:rsidR="007A53CC" w:rsidRDefault="007A53CC" w:rsidP="00DC524D">
      <w:pPr>
        <w:textAlignment w:val="baseline"/>
        <w:rPr>
          <w:rFonts w:cstheme="minorHAnsi"/>
          <w:lang w:val="en-US" w:eastAsia="en-AU"/>
        </w:rPr>
      </w:pPr>
      <w:r>
        <w:rPr>
          <w:rFonts w:cstheme="minorHAnsi"/>
          <w:lang w:val="en-US" w:eastAsia="en-AU"/>
        </w:rPr>
        <w:t xml:space="preserve">The Government has already acted to make the </w:t>
      </w:r>
      <w:proofErr w:type="spellStart"/>
      <w:r>
        <w:rPr>
          <w:rFonts w:cstheme="minorHAnsi"/>
          <w:lang w:val="en-US" w:eastAsia="en-AU"/>
        </w:rPr>
        <w:t>ParentsNext</w:t>
      </w:r>
      <w:proofErr w:type="spellEnd"/>
      <w:r>
        <w:rPr>
          <w:rFonts w:cstheme="minorHAnsi"/>
          <w:lang w:val="en-US" w:eastAsia="en-AU"/>
        </w:rPr>
        <w:t xml:space="preserve"> program voluntary. </w:t>
      </w:r>
    </w:p>
    <w:p w14:paraId="5D113B3C" w14:textId="4B428DA2" w:rsidR="00DC524D" w:rsidRPr="00E54F0E" w:rsidRDefault="00DC524D" w:rsidP="00DC524D">
      <w:pPr>
        <w:textAlignment w:val="baseline"/>
        <w:rPr>
          <w:rFonts w:cstheme="minorHAnsi"/>
          <w:lang w:eastAsia="en-AU"/>
        </w:rPr>
      </w:pPr>
    </w:p>
    <w:p w14:paraId="36CB6152" w14:textId="0C4176BE" w:rsidR="007A53CC" w:rsidRDefault="00DC524D" w:rsidP="00DA7EB8">
      <w:pPr>
        <w:spacing w:line="257" w:lineRule="auto"/>
        <w:rPr>
          <w:rFonts w:cstheme="minorHAnsi"/>
        </w:rPr>
      </w:pPr>
      <w:r>
        <w:rPr>
          <w:rFonts w:cstheme="minorHAnsi"/>
        </w:rPr>
        <w:t xml:space="preserve">On 7 December 2023, the Government announced </w:t>
      </w:r>
      <w:r w:rsidRPr="008C700A">
        <w:rPr>
          <w:rFonts w:cstheme="minorHAnsi"/>
        </w:rPr>
        <w:t>it will introduce a new voluntary pre</w:t>
      </w:r>
      <w:r w:rsidR="00B90D7D">
        <w:rPr>
          <w:rFonts w:cstheme="minorHAnsi"/>
        </w:rPr>
        <w:noBreakHyphen/>
      </w:r>
      <w:r w:rsidRPr="008C700A">
        <w:rPr>
          <w:rFonts w:cstheme="minorHAnsi"/>
        </w:rPr>
        <w:t xml:space="preserve">employment service for parents of young children. </w:t>
      </w:r>
      <w:r w:rsidR="007A53CC" w:rsidRPr="008C700A">
        <w:rPr>
          <w:rFonts w:cstheme="minorHAnsi"/>
        </w:rPr>
        <w:t xml:space="preserve">Until the new service is implemented, the Government announced that it will extend </w:t>
      </w:r>
      <w:r w:rsidR="007A53CC">
        <w:rPr>
          <w:rFonts w:cstheme="minorHAnsi"/>
        </w:rPr>
        <w:t xml:space="preserve">the operation of </w:t>
      </w:r>
      <w:proofErr w:type="spellStart"/>
      <w:r w:rsidR="007A53CC" w:rsidRPr="008C700A">
        <w:rPr>
          <w:rFonts w:cstheme="minorHAnsi"/>
        </w:rPr>
        <w:t>ParentsNext</w:t>
      </w:r>
      <w:proofErr w:type="spellEnd"/>
      <w:r w:rsidR="007A53CC">
        <w:rPr>
          <w:rFonts w:cstheme="minorHAnsi"/>
        </w:rPr>
        <w:t xml:space="preserve"> </w:t>
      </w:r>
      <w:r w:rsidR="007A53CC" w:rsidRPr="008C700A">
        <w:rPr>
          <w:rFonts w:cstheme="minorHAnsi"/>
        </w:rPr>
        <w:t>as a voluntary program until 31 October 2024.</w:t>
      </w:r>
    </w:p>
    <w:p w14:paraId="00A7464C" w14:textId="77777777" w:rsidR="00DC524D" w:rsidRPr="008C700A" w:rsidRDefault="00DC524D" w:rsidP="00DC524D">
      <w:pPr>
        <w:textAlignment w:val="baseline"/>
        <w:rPr>
          <w:rFonts w:cstheme="minorHAnsi"/>
        </w:rPr>
      </w:pPr>
    </w:p>
    <w:p w14:paraId="2C40725B" w14:textId="77777777" w:rsidR="00DC524D" w:rsidRPr="008C700A" w:rsidRDefault="00DC524D" w:rsidP="00DC524D">
      <w:pPr>
        <w:textAlignment w:val="baseline"/>
        <w:rPr>
          <w:rFonts w:cstheme="minorHAnsi"/>
        </w:rPr>
      </w:pPr>
      <w:r w:rsidRPr="008C700A">
        <w:rPr>
          <w:rFonts w:cstheme="minorHAnsi"/>
        </w:rPr>
        <w:t>The design of the new service is informed by consultation feedback from parents and their real-life experiences and a broad range of stakeholders. It is also informed by research and evaluation evidence, as well as recommendations from the House Select Committee, the Women’s Economic Equality Taskforce, the Economic Inclusion Advisory Committee</w:t>
      </w:r>
      <w:r>
        <w:rPr>
          <w:rFonts w:cstheme="minorHAnsi"/>
        </w:rPr>
        <w:t>,</w:t>
      </w:r>
      <w:r w:rsidRPr="008C700A">
        <w:rPr>
          <w:rFonts w:cstheme="minorHAnsi"/>
        </w:rPr>
        <w:t xml:space="preserve"> and the Senate Select Committee on Work and Care.</w:t>
      </w:r>
    </w:p>
    <w:p w14:paraId="3F6FCEFF" w14:textId="77777777" w:rsidR="00DC524D" w:rsidRPr="008C700A" w:rsidRDefault="00DC524D" w:rsidP="00DC524D">
      <w:pPr>
        <w:textAlignment w:val="baseline"/>
        <w:rPr>
          <w:rFonts w:cstheme="minorHAnsi"/>
        </w:rPr>
      </w:pPr>
    </w:p>
    <w:p w14:paraId="3F64EBFC" w14:textId="0E159BD0" w:rsidR="00DC524D" w:rsidRPr="008C700A" w:rsidRDefault="00DC524D" w:rsidP="00DC524D">
      <w:pPr>
        <w:textAlignment w:val="baseline"/>
        <w:rPr>
          <w:rFonts w:cstheme="minorHAnsi"/>
        </w:rPr>
      </w:pPr>
      <w:r w:rsidRPr="008C700A">
        <w:rPr>
          <w:rFonts w:cstheme="minorHAnsi"/>
        </w:rPr>
        <w:t xml:space="preserve">The new service will be available nationally, commencing from 1 November 2024, for </w:t>
      </w:r>
      <w:r w:rsidR="0052527E">
        <w:rPr>
          <w:rFonts w:cstheme="minorHAnsi"/>
        </w:rPr>
        <w:t xml:space="preserve">eligible </w:t>
      </w:r>
      <w:r w:rsidRPr="008C700A">
        <w:rPr>
          <w:rFonts w:cstheme="minorHAnsi"/>
        </w:rPr>
        <w:t xml:space="preserve">parents and carers </w:t>
      </w:r>
      <w:r w:rsidR="0052527E">
        <w:rPr>
          <w:rFonts w:cstheme="minorHAnsi"/>
        </w:rPr>
        <w:t>of</w:t>
      </w:r>
      <w:r w:rsidRPr="008C700A">
        <w:rPr>
          <w:rFonts w:cstheme="minorHAnsi"/>
        </w:rPr>
        <w:t xml:space="preserve"> young children. This includes parents and carers who receive an income support payment as well as </w:t>
      </w:r>
      <w:r w:rsidR="00222AF3">
        <w:rPr>
          <w:rFonts w:cstheme="minorHAnsi"/>
        </w:rPr>
        <w:t>some</w:t>
      </w:r>
      <w:r w:rsidR="00222AF3" w:rsidRPr="008C700A">
        <w:rPr>
          <w:rFonts w:cstheme="minorHAnsi"/>
        </w:rPr>
        <w:t xml:space="preserve"> </w:t>
      </w:r>
      <w:r w:rsidRPr="008C700A">
        <w:rPr>
          <w:rFonts w:cstheme="minorHAnsi"/>
        </w:rPr>
        <w:t xml:space="preserve">who do not. </w:t>
      </w:r>
    </w:p>
    <w:p w14:paraId="1DBDEE87" w14:textId="77777777" w:rsidR="00DC524D" w:rsidRPr="008C700A" w:rsidRDefault="00DC524D" w:rsidP="00DC524D">
      <w:pPr>
        <w:textAlignment w:val="baseline"/>
        <w:rPr>
          <w:rFonts w:cstheme="minorHAnsi"/>
        </w:rPr>
      </w:pPr>
    </w:p>
    <w:p w14:paraId="1F838C06" w14:textId="4F9C38D9" w:rsidR="00DC524D" w:rsidRPr="008C700A" w:rsidRDefault="00DC524D" w:rsidP="00DC524D">
      <w:pPr>
        <w:textAlignment w:val="baseline"/>
        <w:rPr>
          <w:rFonts w:cstheme="minorHAnsi"/>
        </w:rPr>
      </w:pPr>
      <w:r w:rsidRPr="008C700A">
        <w:rPr>
          <w:rFonts w:cstheme="minorHAnsi"/>
        </w:rPr>
        <w:t xml:space="preserve">The service will be client-centred and will focus on parents’ and carers’ strengths to support them to set and achieve education and employment goals. Services will collaborate with other local service providers to deliver locally engaged and place-based services. They will be able to support parents and carers to access other local services that they want and need. </w:t>
      </w:r>
    </w:p>
    <w:p w14:paraId="149F8D56" w14:textId="77777777" w:rsidR="00DC524D" w:rsidRPr="008C700A" w:rsidRDefault="00DC524D" w:rsidP="00DC524D">
      <w:pPr>
        <w:textAlignment w:val="baseline"/>
        <w:rPr>
          <w:rFonts w:cstheme="minorHAnsi"/>
        </w:rPr>
      </w:pPr>
    </w:p>
    <w:p w14:paraId="47FDD6D6" w14:textId="77777777" w:rsidR="00DC524D" w:rsidRDefault="00DC524D" w:rsidP="00DC524D">
      <w:pPr>
        <w:textAlignment w:val="baseline"/>
        <w:rPr>
          <w:rFonts w:cstheme="minorHAnsi"/>
        </w:rPr>
      </w:pPr>
      <w:r w:rsidRPr="008C700A">
        <w:rPr>
          <w:rFonts w:cstheme="minorHAnsi"/>
        </w:rPr>
        <w:t>A new Individual Fund will give parents and carers discretion, transparency and equity over purchases related to building skills and capability. It may be used to pay course fees</w:t>
      </w:r>
      <w:r>
        <w:rPr>
          <w:rFonts w:cstheme="minorHAnsi"/>
        </w:rPr>
        <w:t>,</w:t>
      </w:r>
      <w:r w:rsidRPr="008C700A">
        <w:rPr>
          <w:rFonts w:cstheme="minorHAnsi"/>
        </w:rPr>
        <w:t xml:space="preserve"> materials or equipment required for a course, including laptops for online study. </w:t>
      </w:r>
    </w:p>
    <w:p w14:paraId="56DE05BD" w14:textId="388F763F" w:rsidR="00292006" w:rsidRDefault="00292006">
      <w:pPr>
        <w:spacing w:after="200" w:line="276" w:lineRule="auto"/>
        <w:rPr>
          <w:rFonts w:cstheme="minorHAnsi"/>
        </w:rPr>
      </w:pPr>
      <w:r>
        <w:rPr>
          <w:rFonts w:cstheme="minorHAnsi"/>
        </w:rPr>
        <w:br w:type="page"/>
      </w:r>
    </w:p>
    <w:p w14:paraId="6A748FAF" w14:textId="2AA9B365" w:rsidR="007A53CC" w:rsidRPr="00E54F0E" w:rsidRDefault="007A53CC" w:rsidP="007A53CC">
      <w:pPr>
        <w:textAlignment w:val="baseline"/>
        <w:rPr>
          <w:rFonts w:cstheme="minorHAnsi"/>
          <w:lang w:eastAsia="en-AU"/>
        </w:rPr>
      </w:pPr>
      <w:r w:rsidRPr="00E54F0E">
        <w:rPr>
          <w:rFonts w:cstheme="minorHAnsi"/>
          <w:lang w:val="en-US" w:eastAsia="en-AU"/>
        </w:rPr>
        <w:t xml:space="preserve">The Government funds Carers Queensland to deliver the Tristate Carer Vocational Outcomes Pilot Program (publicly known as Your Caring Way), across Queensland, South Australia and Tasmania to build carers’ capacity to participate in social, vocational and economic opportunities. </w:t>
      </w:r>
      <w:r w:rsidRPr="00E54F0E">
        <w:rPr>
          <w:rFonts w:cstheme="minorHAnsi"/>
          <w:lang w:eastAsia="en-AU"/>
        </w:rPr>
        <w:t xml:space="preserve">The program delivers face-to-face and online training, to help carers who are looking for work to gain vocational education qualifications.  </w:t>
      </w:r>
      <w:r w:rsidRPr="00E54F0E">
        <w:rPr>
          <w:rFonts w:cstheme="minorHAnsi"/>
          <w:lang w:val="en-US" w:eastAsia="en-AU"/>
        </w:rPr>
        <w:t xml:space="preserve">Specifically, the program </w:t>
      </w:r>
      <w:r w:rsidRPr="00E54F0E">
        <w:rPr>
          <w:rFonts w:cstheme="minorHAnsi"/>
          <w:lang w:eastAsia="en-AU"/>
        </w:rPr>
        <w:t>provides end-to-end vocational coaching and support, designed to support carers throughout the duration of the program, during placement and the transition into employment.</w:t>
      </w:r>
      <w:r w:rsidRPr="00E54F0E">
        <w:rPr>
          <w:rFonts w:cstheme="minorHAnsi"/>
          <w:color w:val="1F497D"/>
          <w:lang w:eastAsia="en-AU"/>
        </w:rPr>
        <w:t xml:space="preserve"> </w:t>
      </w:r>
      <w:r w:rsidRPr="00E54F0E">
        <w:rPr>
          <w:rFonts w:cstheme="minorHAnsi"/>
          <w:lang w:val="en-US" w:eastAsia="en-AU"/>
        </w:rPr>
        <w:t xml:space="preserve">Funding for the program is currently due to cease in </w:t>
      </w:r>
      <w:r>
        <w:rPr>
          <w:rFonts w:cstheme="minorHAnsi"/>
          <w:lang w:val="en-US" w:eastAsia="en-AU"/>
        </w:rPr>
        <w:t>June</w:t>
      </w:r>
      <w:r w:rsidRPr="00E54F0E">
        <w:rPr>
          <w:rFonts w:cstheme="minorHAnsi"/>
          <w:lang w:val="en-US" w:eastAsia="en-AU"/>
        </w:rPr>
        <w:t xml:space="preserve"> 202</w:t>
      </w:r>
      <w:r>
        <w:rPr>
          <w:rFonts w:cstheme="minorHAnsi"/>
          <w:lang w:val="en-US" w:eastAsia="en-AU"/>
        </w:rPr>
        <w:t>5</w:t>
      </w:r>
      <w:r w:rsidRPr="00E54F0E">
        <w:rPr>
          <w:rFonts w:cstheme="minorHAnsi"/>
          <w:lang w:val="en-US" w:eastAsia="en-AU"/>
        </w:rPr>
        <w:t>.</w:t>
      </w:r>
      <w:r w:rsidRPr="00E54F0E">
        <w:rPr>
          <w:rFonts w:cstheme="minorHAnsi"/>
          <w:lang w:eastAsia="en-AU"/>
        </w:rPr>
        <w:t> </w:t>
      </w:r>
    </w:p>
    <w:p w14:paraId="0CFA89D4" w14:textId="3AEE03FA" w:rsidR="005A27C3" w:rsidRDefault="007A53CC" w:rsidP="00EE4B7F">
      <w:pPr>
        <w:textAlignment w:val="baseline"/>
        <w:rPr>
          <w:rFonts w:cstheme="minorHAnsi"/>
          <w:lang w:eastAsia="en-AU"/>
        </w:rPr>
      </w:pPr>
      <w:r w:rsidRPr="00E54F0E">
        <w:rPr>
          <w:rFonts w:cstheme="minorHAnsi"/>
          <w:lang w:val="en-US" w:eastAsia="en-AU"/>
        </w:rPr>
        <w:t xml:space="preserve">Findings from the </w:t>
      </w:r>
      <w:r w:rsidRPr="00E54F0E">
        <w:rPr>
          <w:rFonts w:cstheme="minorHAnsi"/>
          <w:lang w:eastAsia="en-AU"/>
        </w:rPr>
        <w:t>evaluation of Government carer support programs (including Your Caring Way)</w:t>
      </w:r>
      <w:r w:rsidRPr="00E54F0E">
        <w:rPr>
          <w:rFonts w:cstheme="minorHAnsi"/>
          <w:lang w:val="en-US" w:eastAsia="en-AU"/>
        </w:rPr>
        <w:t xml:space="preserve"> will inform any recommendations to</w:t>
      </w:r>
      <w:r>
        <w:rPr>
          <w:rFonts w:cstheme="minorHAnsi"/>
          <w:lang w:val="en-US" w:eastAsia="en-AU"/>
        </w:rPr>
        <w:t xml:space="preserve"> the</w:t>
      </w:r>
      <w:r w:rsidRPr="00E54F0E">
        <w:rPr>
          <w:rFonts w:cstheme="minorHAnsi"/>
          <w:lang w:val="en-US" w:eastAsia="en-AU"/>
        </w:rPr>
        <w:t xml:space="preserve"> Government on </w:t>
      </w:r>
      <w:r>
        <w:rPr>
          <w:rFonts w:cstheme="minorHAnsi"/>
          <w:lang w:val="en-US" w:eastAsia="en-AU"/>
        </w:rPr>
        <w:t>the future of these programs.</w:t>
      </w:r>
      <w:r w:rsidRPr="00E54F0E">
        <w:rPr>
          <w:rFonts w:cstheme="minorHAnsi"/>
          <w:lang w:eastAsia="en-AU"/>
        </w:rPr>
        <w:t> </w:t>
      </w:r>
    </w:p>
    <w:p w14:paraId="2B0636DE" w14:textId="77777777" w:rsidR="00EE4B7F" w:rsidRPr="00EE4B7F" w:rsidRDefault="00EE4B7F" w:rsidP="00EE4B7F">
      <w:pPr>
        <w:textAlignment w:val="baseline"/>
        <w:rPr>
          <w:rFonts w:cstheme="minorHAnsi"/>
          <w:lang w:eastAsia="en-AU"/>
        </w:rPr>
      </w:pPr>
    </w:p>
    <w:p w14:paraId="340A1D5D" w14:textId="15738D25" w:rsidR="007407CE" w:rsidRPr="00DF6490" w:rsidRDefault="00BE0A55" w:rsidP="007407CE">
      <w:pPr>
        <w:pStyle w:val="Heading3"/>
      </w:pPr>
      <w:bookmarkStart w:id="32" w:name="_Toc170224185"/>
      <w:r>
        <w:t xml:space="preserve">4.5 </w:t>
      </w:r>
      <w:r w:rsidR="098349E8" w:rsidRPr="00DF6490">
        <w:t>Workers</w:t>
      </w:r>
      <w:bookmarkEnd w:id="32"/>
    </w:p>
    <w:p w14:paraId="4C41F41C" w14:textId="66297861" w:rsidR="00554ACA" w:rsidRDefault="00554ACA" w:rsidP="007407CE">
      <w:r w:rsidRPr="00DF6490">
        <w:t xml:space="preserve">Alongside legislative reforms to the </w:t>
      </w:r>
      <w:r w:rsidR="000E7757" w:rsidRPr="00DF6490">
        <w:t xml:space="preserve">workplace relations system, the Government is </w:t>
      </w:r>
      <w:r w:rsidR="003725D8">
        <w:t xml:space="preserve">also </w:t>
      </w:r>
      <w:r w:rsidR="000E7757" w:rsidRPr="00DF6490">
        <w:t xml:space="preserve">taking </w:t>
      </w:r>
      <w:r w:rsidR="00327E3A" w:rsidRPr="00DF6490">
        <w:t xml:space="preserve">steps to support </w:t>
      </w:r>
      <w:r w:rsidR="003725D8">
        <w:t xml:space="preserve">eligible </w:t>
      </w:r>
      <w:r w:rsidR="000E7757" w:rsidRPr="00DF6490">
        <w:t xml:space="preserve">workers </w:t>
      </w:r>
      <w:r w:rsidR="00327E3A" w:rsidRPr="00DF6490">
        <w:t>who have caring responsibilities</w:t>
      </w:r>
      <w:r w:rsidR="00DF09E6" w:rsidRPr="00DF6490">
        <w:t xml:space="preserve"> through paid parental leave and </w:t>
      </w:r>
      <w:r w:rsidR="00517640" w:rsidRPr="00DF6490">
        <w:t xml:space="preserve">improved </w:t>
      </w:r>
      <w:r w:rsidR="00DF09E6" w:rsidRPr="00DF6490">
        <w:t>superannuation entitlements</w:t>
      </w:r>
      <w:r w:rsidR="00327E3A" w:rsidRPr="00DF6490">
        <w:t>.</w:t>
      </w:r>
    </w:p>
    <w:p w14:paraId="48A87D88" w14:textId="77777777" w:rsidR="00DA7EB8" w:rsidRDefault="00DA7EB8" w:rsidP="007407CE"/>
    <w:p w14:paraId="17C2FEF8" w14:textId="059B890C" w:rsidR="00054416" w:rsidRPr="00054416" w:rsidRDefault="00BE0A55" w:rsidP="00BE0A55">
      <w:pPr>
        <w:pStyle w:val="Heading4"/>
      </w:pPr>
      <w:r>
        <w:t xml:space="preserve">4.5.1 </w:t>
      </w:r>
      <w:r w:rsidR="00054416" w:rsidRPr="00054416">
        <w:t xml:space="preserve">Paid </w:t>
      </w:r>
      <w:r w:rsidR="00A6303C">
        <w:t>p</w:t>
      </w:r>
      <w:r w:rsidR="00054416" w:rsidRPr="00054416">
        <w:t xml:space="preserve">arental </w:t>
      </w:r>
      <w:r w:rsidR="00A6303C">
        <w:t>l</w:t>
      </w:r>
      <w:r w:rsidR="00054416" w:rsidRPr="00054416">
        <w:t>eave</w:t>
      </w:r>
    </w:p>
    <w:p w14:paraId="2CDF6AF9" w14:textId="243E6125" w:rsidR="001E5DEB" w:rsidRPr="00DF6490" w:rsidRDefault="001E5DEB" w:rsidP="007407CE"/>
    <w:p w14:paraId="193E591B" w14:textId="77777777" w:rsidR="00277437" w:rsidRDefault="00277437" w:rsidP="00277437">
      <w:r w:rsidRPr="00DF6490">
        <w:rPr>
          <w:rFonts w:eastAsia="Calibri"/>
          <w:lang w:val="en-GB"/>
        </w:rPr>
        <w:t xml:space="preserve">The Government has expanded and improved the Paid Parental Leave scheme to </w:t>
      </w:r>
      <w:r w:rsidRPr="00DF6490">
        <w:t>support women’s workforce participation and help more dads and partners</w:t>
      </w:r>
      <w:r>
        <w:t xml:space="preserve"> </w:t>
      </w:r>
      <w:r w:rsidRPr="00DF6490">
        <w:t xml:space="preserve">take time off to be with their children. </w:t>
      </w:r>
    </w:p>
    <w:p w14:paraId="07ED2705" w14:textId="77777777" w:rsidR="00277437" w:rsidRDefault="00277437" w:rsidP="00277437"/>
    <w:p w14:paraId="2FFEA5DC" w14:textId="77777777" w:rsidR="00277437" w:rsidRDefault="00277437" w:rsidP="00277437">
      <w:r>
        <w:t>L</w:t>
      </w:r>
      <w:r w:rsidRPr="00DF6490">
        <w:t>egislative amendments</w:t>
      </w:r>
      <w:r>
        <w:t xml:space="preserve"> that came into effect on 1 July 2023</w:t>
      </w:r>
      <w:r w:rsidRPr="00DF6490">
        <w:t xml:space="preserve"> give more families access to </w:t>
      </w:r>
      <w:r>
        <w:t xml:space="preserve">the Government </w:t>
      </w:r>
      <w:r w:rsidRPr="00DF6490">
        <w:t xml:space="preserve">payment, give parents increased flexibility in how they take </w:t>
      </w:r>
      <w:r>
        <w:t xml:space="preserve">the </w:t>
      </w:r>
      <w:r w:rsidRPr="00DF6490">
        <w:t>leave and encourage parents to share care to promote gender equality.</w:t>
      </w:r>
      <w:r>
        <w:t xml:space="preserve"> </w:t>
      </w:r>
    </w:p>
    <w:p w14:paraId="572DC7DB" w14:textId="77777777" w:rsidR="00277437" w:rsidRDefault="00277437" w:rsidP="00277437"/>
    <w:p w14:paraId="1258FBB8" w14:textId="7F58919E" w:rsidR="00277437" w:rsidRPr="000F2EE4" w:rsidRDefault="00277437" w:rsidP="00277437">
      <w:r>
        <w:t xml:space="preserve">Then, from July 2024, the Government is delivering the largest expansion to </w:t>
      </w:r>
      <w:r w:rsidR="006A3ACB">
        <w:t>p</w:t>
      </w:r>
      <w:r>
        <w:t xml:space="preserve">aid </w:t>
      </w:r>
      <w:r w:rsidR="006A3ACB">
        <w:t>p</w:t>
      </w:r>
      <w:r>
        <w:t xml:space="preserve">arental </w:t>
      </w:r>
      <w:r w:rsidR="006A3ACB">
        <w:t>l</w:t>
      </w:r>
      <w:r>
        <w:t xml:space="preserve">eave since it was introduced. </w:t>
      </w:r>
      <w:r w:rsidRPr="000F2EE4">
        <w:t xml:space="preserve">From 1 July 2024, </w:t>
      </w:r>
      <w:r w:rsidR="00160549">
        <w:t>2</w:t>
      </w:r>
      <w:r w:rsidR="00160549" w:rsidRPr="000F2EE4">
        <w:t xml:space="preserve"> </w:t>
      </w:r>
      <w:r w:rsidRPr="000F2EE4">
        <w:t>more weeks of payment will be added each year until the overall length of the Paid Parental Leave scheme reaches 26 weeks by July 2026 (up from current 20 weeks). More than 180,000 families are expected to benefit from the expansion of the scheme each year.</w:t>
      </w:r>
    </w:p>
    <w:p w14:paraId="7ABD8F8B" w14:textId="77777777" w:rsidR="00277437" w:rsidRPr="000F2EE4" w:rsidRDefault="00277437" w:rsidP="00277437"/>
    <w:p w14:paraId="5538AF32" w14:textId="77777777" w:rsidR="00277437" w:rsidRPr="0053343D" w:rsidRDefault="00277437" w:rsidP="00277437">
      <w:r w:rsidRPr="000F2EE4">
        <w:t>The Government’s reforms will also increase the number of weeks reserved for each parent on a ‘use it or lose it’ basis to 4 weeks in order to encourage greater sharing of care and household responsibilities. It will also provide more flexibility by increasing the amount of leave that parents can take at the same time, from 2 to 4 weeks.</w:t>
      </w:r>
      <w:r>
        <w:t xml:space="preserve"> </w:t>
      </w:r>
    </w:p>
    <w:p w14:paraId="7AA5F9FC" w14:textId="77777777" w:rsidR="00277437" w:rsidRPr="00DF6490" w:rsidRDefault="00277437" w:rsidP="00277437"/>
    <w:p w14:paraId="4C743D2B" w14:textId="77777777" w:rsidR="00277437" w:rsidRDefault="00277437" w:rsidP="00277437">
      <w:pPr>
        <w:spacing w:after="60" w:line="259" w:lineRule="auto"/>
        <w:rPr>
          <w:rFonts w:eastAsia="Calibri"/>
          <w:lang w:val="en-GB"/>
        </w:rPr>
      </w:pPr>
      <w:r>
        <w:rPr>
          <w:rStyle w:val="bumpedfont15"/>
          <w:rFonts w:cstheme="minorHAnsi"/>
        </w:rPr>
        <w:t xml:space="preserve">These settings, which are based on advice from the Women’s Economic Equality Taskforce, strike </w:t>
      </w:r>
      <w:r w:rsidRPr="00BE661B">
        <w:rPr>
          <w:rStyle w:val="bumpedfont15"/>
          <w:rFonts w:cstheme="minorHAnsi"/>
        </w:rPr>
        <w:t>an important balance of increasing support to families, encouraging both parents to take leave, and providing flexibility in how they structure their care arrangements.</w:t>
      </w:r>
    </w:p>
    <w:p w14:paraId="225B87F2" w14:textId="0187B396" w:rsidR="00292006" w:rsidRDefault="00292006">
      <w:pPr>
        <w:spacing w:after="200" w:line="276" w:lineRule="auto"/>
        <w:rPr>
          <w:rStyle w:val="bumpedfont15"/>
          <w:rFonts w:cstheme="minorHAnsi"/>
        </w:rPr>
      </w:pPr>
      <w:r>
        <w:rPr>
          <w:rStyle w:val="bumpedfont15"/>
          <w:rFonts w:cstheme="minorHAnsi"/>
        </w:rPr>
        <w:br w:type="page"/>
      </w:r>
    </w:p>
    <w:p w14:paraId="2231663D" w14:textId="4A3C07B9" w:rsidR="00146FC0" w:rsidRDefault="006A3ACB" w:rsidP="00277437">
      <w:pPr>
        <w:rPr>
          <w:rFonts w:eastAsia="Calibri"/>
          <w:lang w:val="en-GB"/>
        </w:rPr>
      </w:pPr>
      <w:r>
        <w:rPr>
          <w:rFonts w:eastAsia="Calibri"/>
          <w:lang w:val="en-GB"/>
        </w:rPr>
        <w:t xml:space="preserve">The </w:t>
      </w:r>
      <w:r w:rsidR="00277437">
        <w:rPr>
          <w:rFonts w:eastAsia="Calibri"/>
          <w:lang w:val="en-GB"/>
        </w:rPr>
        <w:t>Government Paid Parental Leave</w:t>
      </w:r>
      <w:r w:rsidR="00277437" w:rsidRPr="00DF6490">
        <w:rPr>
          <w:rFonts w:eastAsia="Calibri"/>
          <w:lang w:val="en-GB"/>
        </w:rPr>
        <w:t xml:space="preserve"> </w:t>
      </w:r>
      <w:r>
        <w:rPr>
          <w:rFonts w:eastAsia="Calibri"/>
          <w:lang w:val="en-GB"/>
        </w:rPr>
        <w:t xml:space="preserve">scheme </w:t>
      </w:r>
      <w:r w:rsidR="00277437" w:rsidRPr="00DF6490">
        <w:rPr>
          <w:rFonts w:eastAsia="Calibri"/>
          <w:lang w:val="en-GB"/>
        </w:rPr>
        <w:t xml:space="preserve">is paid at </w:t>
      </w:r>
      <w:r w:rsidR="00277437">
        <w:rPr>
          <w:rFonts w:eastAsia="Calibri"/>
          <w:lang w:val="en-GB"/>
        </w:rPr>
        <w:t xml:space="preserve">the rate of </w:t>
      </w:r>
      <w:r w:rsidR="00277437" w:rsidRPr="00DF6490">
        <w:rPr>
          <w:rFonts w:eastAsia="Calibri"/>
          <w:lang w:val="en-GB"/>
        </w:rPr>
        <w:t xml:space="preserve">the national minimum wage. The </w:t>
      </w:r>
      <w:r w:rsidR="00277437">
        <w:rPr>
          <w:rFonts w:eastAsia="Calibri"/>
          <w:lang w:val="en-GB"/>
        </w:rPr>
        <w:t>Government</w:t>
      </w:r>
      <w:r w:rsidR="00277437" w:rsidRPr="00DF6490">
        <w:rPr>
          <w:rFonts w:eastAsia="Calibri"/>
          <w:lang w:val="en-GB"/>
        </w:rPr>
        <w:t xml:space="preserve"> scheme is intended to complement employer-provided parental leave entitlements and extend the average length of time off work taken by parents after a birth or adoption. According to data reported by the Workplace Gender Equality Agency, in </w:t>
      </w:r>
      <w:r w:rsidR="00277437">
        <w:rPr>
          <w:rFonts w:eastAsia="Calibri"/>
          <w:lang w:val="en-GB"/>
        </w:rPr>
        <w:t>2023</w:t>
      </w:r>
      <w:r w:rsidR="00277437" w:rsidRPr="00DF6490">
        <w:rPr>
          <w:rFonts w:eastAsia="Calibri"/>
          <w:lang w:val="en-GB"/>
        </w:rPr>
        <w:t xml:space="preserve">, </w:t>
      </w:r>
      <w:r w:rsidR="00277437">
        <w:rPr>
          <w:rFonts w:eastAsia="Calibri"/>
          <w:lang w:val="en-GB"/>
        </w:rPr>
        <w:t xml:space="preserve">63 per cent of </w:t>
      </w:r>
      <w:r w:rsidR="00277437" w:rsidRPr="00DF6490">
        <w:rPr>
          <w:rFonts w:eastAsia="Calibri"/>
          <w:lang w:val="en-GB"/>
        </w:rPr>
        <w:t xml:space="preserve">employers offered </w:t>
      </w:r>
      <w:r w:rsidR="00277437">
        <w:rPr>
          <w:rFonts w:eastAsia="Calibri"/>
          <w:lang w:val="en-GB"/>
        </w:rPr>
        <w:t>some form of employer-funded</w:t>
      </w:r>
      <w:r w:rsidR="00277437" w:rsidRPr="00DF6490">
        <w:rPr>
          <w:rFonts w:eastAsia="Calibri"/>
          <w:lang w:val="en-GB"/>
        </w:rPr>
        <w:t xml:space="preserve"> </w:t>
      </w:r>
      <w:r w:rsidR="00277437">
        <w:rPr>
          <w:rFonts w:eastAsia="Calibri"/>
          <w:lang w:val="en-GB"/>
        </w:rPr>
        <w:t>p</w:t>
      </w:r>
      <w:r w:rsidR="00277437" w:rsidRPr="00DF6490">
        <w:rPr>
          <w:rFonts w:eastAsia="Calibri"/>
          <w:lang w:val="en-GB"/>
        </w:rPr>
        <w:t xml:space="preserve">aid </w:t>
      </w:r>
      <w:r w:rsidR="00277437">
        <w:rPr>
          <w:rFonts w:eastAsia="Calibri"/>
          <w:lang w:val="en-GB"/>
        </w:rPr>
        <w:t>p</w:t>
      </w:r>
      <w:r w:rsidR="00277437" w:rsidRPr="00DF6490">
        <w:rPr>
          <w:rFonts w:eastAsia="Calibri"/>
          <w:lang w:val="en-GB"/>
        </w:rPr>
        <w:t xml:space="preserve">arental </w:t>
      </w:r>
      <w:r w:rsidR="00277437">
        <w:rPr>
          <w:rFonts w:eastAsia="Calibri"/>
          <w:lang w:val="en-GB"/>
        </w:rPr>
        <w:t>l</w:t>
      </w:r>
      <w:r w:rsidR="00277437" w:rsidRPr="00DF6490">
        <w:rPr>
          <w:rFonts w:eastAsia="Calibri"/>
          <w:lang w:val="en-GB"/>
        </w:rPr>
        <w:t xml:space="preserve">eave. </w:t>
      </w:r>
    </w:p>
    <w:p w14:paraId="3A9794CB" w14:textId="77777777" w:rsidR="00EE691E" w:rsidRDefault="00EE691E" w:rsidP="00277437">
      <w:pPr>
        <w:rPr>
          <w:rFonts w:eastAsia="Calibri"/>
          <w:lang w:val="en-GB"/>
        </w:rPr>
      </w:pPr>
    </w:p>
    <w:p w14:paraId="1B858AD8" w14:textId="3DDEAFB0" w:rsidR="00146FC0" w:rsidRPr="002C5D1E" w:rsidRDefault="00146FC0" w:rsidP="00146FC0">
      <w:pPr>
        <w:pStyle w:val="Heading4"/>
        <w:rPr>
          <w:rFonts w:eastAsia="Calibri"/>
          <w:lang w:val="en-GB"/>
        </w:rPr>
      </w:pPr>
      <w:r>
        <w:rPr>
          <w:rFonts w:eastAsia="Calibri"/>
          <w:lang w:val="en-GB"/>
        </w:rPr>
        <w:t xml:space="preserve">4.5.2 </w:t>
      </w:r>
      <w:r w:rsidRPr="002C5D1E">
        <w:rPr>
          <w:rFonts w:eastAsia="Calibri"/>
          <w:lang w:val="en-GB"/>
        </w:rPr>
        <w:t>Superannuation</w:t>
      </w:r>
    </w:p>
    <w:p w14:paraId="6D2C5296" w14:textId="73377DCF" w:rsidR="00146FC0" w:rsidRPr="00DF6490" w:rsidRDefault="00146FC0" w:rsidP="00146FC0">
      <w:pPr>
        <w:rPr>
          <w:rFonts w:eastAsia="Calibri"/>
          <w:lang w:val="en-GB"/>
        </w:rPr>
      </w:pPr>
    </w:p>
    <w:p w14:paraId="586947B1" w14:textId="77777777" w:rsidR="00146FC0" w:rsidRDefault="00146FC0" w:rsidP="00146FC0">
      <w:r w:rsidRPr="00DF6490">
        <w:t xml:space="preserve">The Government recognises the working-life earnings gap between men and women is the main driver of the gender gap in superannuation balances at retirement and has committed to reducing the superannuation gender savings gap. </w:t>
      </w:r>
    </w:p>
    <w:p w14:paraId="59F02D3D" w14:textId="77777777" w:rsidR="00146FC0" w:rsidRDefault="00146FC0" w:rsidP="00146FC0"/>
    <w:p w14:paraId="0413079B" w14:textId="58F8A2B6" w:rsidR="006354F6" w:rsidRPr="00292006" w:rsidRDefault="006354F6" w:rsidP="006354F6">
      <w:pPr>
        <w:rPr>
          <w:rFonts w:ascii="Calibri" w:eastAsia="Calibri" w:hAnsi="Calibri" w:cs="Calibri"/>
        </w:rPr>
      </w:pPr>
      <w:r>
        <w:rPr>
          <w:rFonts w:ascii="Calibri" w:eastAsia="Calibri" w:hAnsi="Calibri" w:cs="Calibri"/>
          <w:color w:val="000000" w:themeColor="text1"/>
        </w:rPr>
        <w:t>The Government has</w:t>
      </w:r>
      <w:r w:rsidRPr="00392811">
        <w:rPr>
          <w:rFonts w:ascii="Calibri" w:eastAsia="Calibri" w:hAnsi="Calibri" w:cs="Calibri"/>
          <w:color w:val="000000" w:themeColor="text1"/>
        </w:rPr>
        <w:t xml:space="preserve"> announced that pending the passage of legislation, for babies born or adopted on or after 1 July 2025, eligible parents will receive an additional 12 per cent of </w:t>
      </w:r>
      <w:r w:rsidR="006A3ACB">
        <w:rPr>
          <w:rFonts w:ascii="Calibri" w:eastAsia="Calibri" w:hAnsi="Calibri" w:cs="Calibri"/>
          <w:color w:val="000000" w:themeColor="text1"/>
        </w:rPr>
        <w:t>p</w:t>
      </w:r>
      <w:r w:rsidRPr="00392811">
        <w:rPr>
          <w:rFonts w:ascii="Calibri" w:eastAsia="Calibri" w:hAnsi="Calibri" w:cs="Calibri"/>
          <w:color w:val="000000" w:themeColor="text1"/>
        </w:rPr>
        <w:t xml:space="preserve">aid </w:t>
      </w:r>
      <w:r w:rsidR="006A3ACB" w:rsidRPr="00292006">
        <w:rPr>
          <w:rFonts w:ascii="Calibri" w:eastAsia="Calibri" w:hAnsi="Calibri" w:cs="Calibri"/>
        </w:rPr>
        <w:t>p</w:t>
      </w:r>
      <w:r w:rsidRPr="00292006">
        <w:rPr>
          <w:rFonts w:ascii="Calibri" w:eastAsia="Calibri" w:hAnsi="Calibri" w:cs="Calibri"/>
        </w:rPr>
        <w:t xml:space="preserve">arental </w:t>
      </w:r>
      <w:r w:rsidR="006A3ACB" w:rsidRPr="00292006">
        <w:rPr>
          <w:rFonts w:ascii="Calibri" w:eastAsia="Calibri" w:hAnsi="Calibri" w:cs="Calibri"/>
        </w:rPr>
        <w:t>l</w:t>
      </w:r>
      <w:r w:rsidRPr="00292006">
        <w:rPr>
          <w:rFonts w:ascii="Calibri" w:eastAsia="Calibri" w:hAnsi="Calibri" w:cs="Calibri"/>
        </w:rPr>
        <w:t>eave as a contribution to their superannuation fund.</w:t>
      </w:r>
    </w:p>
    <w:p w14:paraId="69176A52" w14:textId="77777777" w:rsidR="006354F6" w:rsidRPr="00292006" w:rsidRDefault="006354F6" w:rsidP="006354F6"/>
    <w:p w14:paraId="4256C1A7" w14:textId="77777777" w:rsidR="006354F6" w:rsidRPr="00392811" w:rsidRDefault="006354F6" w:rsidP="006354F6">
      <w:pPr>
        <w:rPr>
          <w:rFonts w:cstheme="minorHAnsi"/>
          <w:lang w:eastAsia="en-AU"/>
        </w:rPr>
      </w:pPr>
      <w:r w:rsidRPr="00292006">
        <w:t>This will help to reduce the gendered gaps in superannuation balances at retirement and signal</w:t>
      </w:r>
      <w:r>
        <w:t xml:space="preserve">s that caring for babies is valued. It will also help normalise parental leave as a workplace entitlement, like annual and sick leave. </w:t>
      </w:r>
    </w:p>
    <w:p w14:paraId="154FF2CC" w14:textId="77777777" w:rsidR="006354F6" w:rsidRDefault="006354F6" w:rsidP="006354F6">
      <w:pPr>
        <w:rPr>
          <w:rFonts w:cstheme="minorHAnsi"/>
          <w:lang w:eastAsia="en-AU"/>
        </w:rPr>
      </w:pPr>
    </w:p>
    <w:p w14:paraId="37222865" w14:textId="77777777" w:rsidR="006354F6" w:rsidRDefault="006354F6" w:rsidP="006354F6">
      <w:pPr>
        <w:rPr>
          <w:rFonts w:cstheme="minorHAnsi"/>
          <w:lang w:eastAsia="en-AU"/>
        </w:rPr>
      </w:pPr>
      <w:r w:rsidRPr="00392811">
        <w:rPr>
          <w:rFonts w:cstheme="minorHAnsi"/>
          <w:lang w:eastAsia="en-AU"/>
        </w:rPr>
        <w:t xml:space="preserve">Once the Paid Parental Leave scheme is fully expanded from 1 July 2026, the maximum amount a family would receive in superannuation contributions is up to around $3,000 per birth. </w:t>
      </w:r>
      <w:r>
        <w:t>Modelling suggests that a median female earner’s superannuation balance would be around $4,250 higher at retirement.</w:t>
      </w:r>
    </w:p>
    <w:p w14:paraId="6CBE3F77" w14:textId="77777777" w:rsidR="00DC524D" w:rsidRDefault="00DC524D" w:rsidP="00146FC0">
      <w:pPr>
        <w:rPr>
          <w:rFonts w:cstheme="minorHAnsi"/>
          <w:lang w:eastAsia="en-AU"/>
        </w:rPr>
      </w:pPr>
    </w:p>
    <w:p w14:paraId="0C36A81A" w14:textId="77777777" w:rsidR="00DC524D" w:rsidRPr="00DF6490" w:rsidRDefault="00DC524D" w:rsidP="000756F1">
      <w:pPr>
        <w:pStyle w:val="Heading6"/>
        <w:pBdr>
          <w:top w:val="single" w:sz="4" w:space="1" w:color="auto"/>
          <w:left w:val="single" w:sz="4" w:space="4" w:color="auto"/>
          <w:bottom w:val="single" w:sz="4" w:space="1" w:color="auto"/>
          <w:right w:val="single" w:sz="4" w:space="4" w:color="auto"/>
        </w:pBdr>
      </w:pPr>
      <w:r w:rsidRPr="00DF6490">
        <w:t>Recommendation 16</w:t>
      </w:r>
    </w:p>
    <w:p w14:paraId="27DB96E2" w14:textId="77777777" w:rsidR="00DC524D" w:rsidRPr="00DF6490" w:rsidRDefault="00DC524D" w:rsidP="000756F1">
      <w:pPr>
        <w:pBdr>
          <w:top w:val="single" w:sz="4" w:space="1" w:color="auto"/>
          <w:left w:val="single" w:sz="4" w:space="4" w:color="auto"/>
          <w:bottom w:val="single" w:sz="4" w:space="1" w:color="auto"/>
          <w:right w:val="single" w:sz="4" w:space="4" w:color="auto"/>
        </w:pBdr>
      </w:pPr>
      <w:r w:rsidRPr="00DF6490">
        <w:t>In light of recent and forthcoming legislative amendments, the committee recommends the Australian Government consider mechanisms to fund and implement a pathway to reach international best practice of 52 weeks of paid parental leave. The government-funded leave should be paid at least at the minimum full-time wage, with consideration given to encouraging employers to top up payments to full wage replacement.</w:t>
      </w:r>
    </w:p>
    <w:p w14:paraId="2E3820BD" w14:textId="77777777" w:rsidR="00DC524D" w:rsidRPr="00DF6490" w:rsidRDefault="00DC524D" w:rsidP="000756F1">
      <w:pPr>
        <w:pBdr>
          <w:top w:val="single" w:sz="4" w:space="1" w:color="auto"/>
          <w:left w:val="single" w:sz="4" w:space="4" w:color="auto"/>
          <w:bottom w:val="single" w:sz="4" w:space="1" w:color="auto"/>
          <w:right w:val="single" w:sz="4" w:space="4" w:color="auto"/>
        </w:pBdr>
      </w:pPr>
    </w:p>
    <w:p w14:paraId="3A4CB4D3" w14:textId="77777777" w:rsidR="00DC524D" w:rsidRPr="00DF6490" w:rsidRDefault="00DC524D" w:rsidP="000756F1">
      <w:pPr>
        <w:pBdr>
          <w:top w:val="single" w:sz="4" w:space="1" w:color="auto"/>
          <w:left w:val="single" w:sz="4" w:space="4" w:color="auto"/>
          <w:bottom w:val="single" w:sz="4" w:space="1" w:color="auto"/>
          <w:right w:val="single" w:sz="4" w:space="4" w:color="auto"/>
        </w:pBdr>
      </w:pPr>
      <w:r w:rsidRPr="00DF6490">
        <w:t xml:space="preserve">The committee also recommends the Australian Government consider further amendments to the </w:t>
      </w:r>
      <w:r w:rsidRPr="00DF6490">
        <w:rPr>
          <w:i/>
        </w:rPr>
        <w:t>Paid Parental Leave Act 2010</w:t>
      </w:r>
      <w:r w:rsidRPr="00DF6490">
        <w:t xml:space="preserve"> to: </w:t>
      </w:r>
    </w:p>
    <w:p w14:paraId="2BC1C50A" w14:textId="77777777" w:rsidR="00DC524D" w:rsidRPr="00DF6490" w:rsidRDefault="00DC524D" w:rsidP="000756F1">
      <w:pPr>
        <w:pStyle w:val="ListParagraph"/>
        <w:numPr>
          <w:ilvl w:val="0"/>
          <w:numId w:val="1"/>
        </w:numPr>
        <w:pBdr>
          <w:top w:val="single" w:sz="4" w:space="1" w:color="auto"/>
          <w:left w:val="single" w:sz="4" w:space="4" w:color="auto"/>
          <w:bottom w:val="single" w:sz="4" w:space="1" w:color="auto"/>
          <w:right w:val="single" w:sz="4" w:space="4" w:color="auto"/>
        </w:pBdr>
        <w:rPr>
          <w:sz w:val="24"/>
          <w:szCs w:val="24"/>
        </w:rPr>
      </w:pPr>
      <w:r w:rsidRPr="00DF6490">
        <w:rPr>
          <w:sz w:val="24"/>
          <w:szCs w:val="24"/>
        </w:rPr>
        <w:t xml:space="preserve">include 'use it or lose it' provisions so that a proportion of the leave is taken by a co-parent; </w:t>
      </w:r>
    </w:p>
    <w:p w14:paraId="43B0E7ED" w14:textId="77777777" w:rsidR="00DC524D" w:rsidRPr="00DF6490" w:rsidRDefault="00DC524D" w:rsidP="000756F1">
      <w:pPr>
        <w:pStyle w:val="ListParagraph"/>
        <w:numPr>
          <w:ilvl w:val="0"/>
          <w:numId w:val="1"/>
        </w:numPr>
        <w:pBdr>
          <w:top w:val="single" w:sz="4" w:space="1" w:color="auto"/>
          <w:left w:val="single" w:sz="4" w:space="4" w:color="auto"/>
          <w:bottom w:val="single" w:sz="4" w:space="1" w:color="auto"/>
          <w:right w:val="single" w:sz="4" w:space="4" w:color="auto"/>
        </w:pBdr>
        <w:rPr>
          <w:sz w:val="24"/>
          <w:szCs w:val="24"/>
        </w:rPr>
      </w:pPr>
      <w:r w:rsidRPr="00DF6490">
        <w:rPr>
          <w:sz w:val="24"/>
          <w:szCs w:val="24"/>
        </w:rPr>
        <w:t xml:space="preserve">guarantee the full period of paid leave to sole parents; and </w:t>
      </w:r>
    </w:p>
    <w:p w14:paraId="74BE3A06" w14:textId="77777777" w:rsidR="00DC524D" w:rsidRPr="00DF6490" w:rsidRDefault="00DC524D" w:rsidP="000756F1">
      <w:pPr>
        <w:pStyle w:val="ListParagraph"/>
        <w:numPr>
          <w:ilvl w:val="0"/>
          <w:numId w:val="1"/>
        </w:numPr>
        <w:pBdr>
          <w:top w:val="single" w:sz="4" w:space="1" w:color="auto"/>
          <w:left w:val="single" w:sz="4" w:space="4" w:color="auto"/>
          <w:bottom w:val="single" w:sz="4" w:space="1" w:color="auto"/>
          <w:right w:val="single" w:sz="4" w:space="4" w:color="auto"/>
        </w:pBdr>
        <w:rPr>
          <w:sz w:val="24"/>
          <w:szCs w:val="24"/>
        </w:rPr>
      </w:pPr>
      <w:r w:rsidRPr="00DF6490">
        <w:rPr>
          <w:sz w:val="24"/>
          <w:szCs w:val="24"/>
        </w:rPr>
        <w:t>ensure superannuation is paid in addition to paid parental leave payments.</w:t>
      </w:r>
    </w:p>
    <w:p w14:paraId="40C4EA98" w14:textId="77777777" w:rsidR="00DC524D" w:rsidRPr="00DF6490" w:rsidRDefault="00DC524D" w:rsidP="00DC524D"/>
    <w:p w14:paraId="5D68B125" w14:textId="73F1307C" w:rsidR="00DC524D" w:rsidRPr="00DF6490" w:rsidRDefault="00DC524D" w:rsidP="000756F1">
      <w:pPr>
        <w:pBdr>
          <w:top w:val="single" w:sz="4" w:space="1" w:color="auto"/>
          <w:left w:val="single" w:sz="4" w:space="4" w:color="auto"/>
          <w:bottom w:val="single" w:sz="4" w:space="1" w:color="auto"/>
          <w:right w:val="single" w:sz="4" w:space="4" w:color="auto"/>
        </w:pBdr>
        <w:textAlignment w:val="baseline"/>
        <w:rPr>
          <w:rFonts w:ascii="Segoe UI" w:hAnsi="Segoe UI" w:cs="Segoe UI"/>
          <w:b/>
          <w:bCs/>
          <w:i/>
          <w:iCs/>
          <w:sz w:val="18"/>
          <w:szCs w:val="18"/>
          <w:lang w:eastAsia="en-AU"/>
        </w:rPr>
      </w:pPr>
      <w:r w:rsidRPr="00DF6490">
        <w:rPr>
          <w:rFonts w:ascii="Calibri" w:hAnsi="Calibri" w:cs="Calibri"/>
          <w:b/>
          <w:bCs/>
          <w:i/>
          <w:iCs/>
          <w:lang w:eastAsia="en-AU"/>
        </w:rPr>
        <w:t>Interim Report Recommendation 6 </w:t>
      </w:r>
    </w:p>
    <w:p w14:paraId="1460AFD0" w14:textId="77777777" w:rsidR="00DC524D" w:rsidRPr="00DF6490" w:rsidRDefault="00DC524D" w:rsidP="000756F1">
      <w:pPr>
        <w:pBdr>
          <w:top w:val="single" w:sz="4" w:space="1" w:color="auto"/>
          <w:left w:val="single" w:sz="4" w:space="4" w:color="auto"/>
          <w:bottom w:val="single" w:sz="4" w:space="1" w:color="auto"/>
          <w:right w:val="single" w:sz="4" w:space="4" w:color="auto"/>
        </w:pBdr>
        <w:textAlignment w:val="baseline"/>
        <w:rPr>
          <w:rFonts w:ascii="Calibri" w:hAnsi="Calibri" w:cs="Calibri"/>
          <w:lang w:eastAsia="en-AU"/>
        </w:rPr>
      </w:pPr>
      <w:r w:rsidRPr="00DF6490">
        <w:rPr>
          <w:rFonts w:ascii="Calibri" w:hAnsi="Calibri" w:cs="Calibri"/>
          <w:i/>
          <w:iCs/>
          <w:lang w:eastAsia="en-AU"/>
        </w:rPr>
        <w:t xml:space="preserve">The committee recommends </w:t>
      </w:r>
      <w:r w:rsidRPr="000756F1">
        <w:rPr>
          <w:rFonts w:ascii="Calibri" w:hAnsi="Calibri" w:cs="Calibri"/>
          <w:i/>
          <w:iCs/>
          <w:lang w:eastAsia="en-AU"/>
        </w:rPr>
        <w:t>the Australian Government amend, as soon as is practicable, the Paid Parental Leave Act 2010 to legislate</w:t>
      </w:r>
      <w:r w:rsidRPr="00DF6490">
        <w:rPr>
          <w:rFonts w:ascii="Calibri" w:hAnsi="Calibri" w:cs="Calibri"/>
          <w:i/>
          <w:iCs/>
          <w:lang w:eastAsia="en-AU"/>
        </w:rPr>
        <w:t xml:space="preserve"> for a paid parental leave period of 26 weeks.</w:t>
      </w:r>
    </w:p>
    <w:p w14:paraId="5C456A18" w14:textId="793A8E42" w:rsidR="00292006" w:rsidRDefault="00292006">
      <w:pPr>
        <w:spacing w:after="200" w:line="276" w:lineRule="auto"/>
        <w:rPr>
          <w:rFonts w:ascii="Calibri" w:hAnsi="Calibri" w:cs="Calibri"/>
          <w:lang w:eastAsia="en-AU"/>
        </w:rPr>
      </w:pPr>
      <w:r>
        <w:rPr>
          <w:rFonts w:ascii="Calibri" w:hAnsi="Calibri" w:cs="Calibri"/>
          <w:lang w:eastAsia="en-AU"/>
        </w:rPr>
        <w:br w:type="page"/>
      </w:r>
    </w:p>
    <w:p w14:paraId="6E040903" w14:textId="24658CBB" w:rsidR="00DC524D" w:rsidRPr="00DF6490" w:rsidRDefault="00DC524D" w:rsidP="000756F1">
      <w:pPr>
        <w:pBdr>
          <w:top w:val="single" w:sz="4" w:space="1" w:color="auto"/>
          <w:left w:val="single" w:sz="4" w:space="4" w:color="auto"/>
          <w:bottom w:val="single" w:sz="4" w:space="1" w:color="auto"/>
          <w:right w:val="single" w:sz="4" w:space="4" w:color="auto"/>
        </w:pBdr>
        <w:rPr>
          <w:b/>
          <w:i/>
          <w:iCs/>
        </w:rPr>
      </w:pPr>
      <w:r w:rsidRPr="00DF6490">
        <w:rPr>
          <w:b/>
          <w:i/>
          <w:iCs/>
        </w:rPr>
        <w:t>Australian Greens’ Additional Recommendation 5</w:t>
      </w:r>
    </w:p>
    <w:p w14:paraId="2BDAA051" w14:textId="77777777" w:rsidR="00DC524D" w:rsidRPr="00DF6490" w:rsidRDefault="00DC524D" w:rsidP="000756F1">
      <w:pPr>
        <w:pBdr>
          <w:top w:val="single" w:sz="4" w:space="1" w:color="auto"/>
          <w:left w:val="single" w:sz="4" w:space="4" w:color="auto"/>
          <w:bottom w:val="single" w:sz="4" w:space="1" w:color="auto"/>
          <w:right w:val="single" w:sz="4" w:space="4" w:color="auto"/>
        </w:pBdr>
        <w:textAlignment w:val="baseline"/>
        <w:rPr>
          <w:i/>
          <w:iCs/>
        </w:rPr>
      </w:pPr>
      <w:r w:rsidRPr="00DF6490">
        <w:rPr>
          <w:i/>
          <w:iCs/>
        </w:rPr>
        <w:t>The Australian Greens recommen</w:t>
      </w:r>
      <w:r w:rsidRPr="000756F1">
        <w:rPr>
          <w:i/>
          <w:iCs/>
        </w:rPr>
        <w:t>d, as a priority, that the Australian Government amend the Paid Parental Leave Act 2010 to immediately</w:t>
      </w:r>
      <w:r w:rsidRPr="00DF6490">
        <w:rPr>
          <w:i/>
          <w:iCs/>
        </w:rPr>
        <w:t xml:space="preserve"> increase government-funded paid parental leave to 26 weeks, then by four weeks every year from 2027 to 2032, and then a final increase of two weeks in 2033, in order to reach the international standard of 52 weeks of paid parental leave by 2033.</w:t>
      </w:r>
    </w:p>
    <w:p w14:paraId="7D451060" w14:textId="77777777" w:rsidR="00DC524D" w:rsidRPr="00DF6490" w:rsidRDefault="00DC524D" w:rsidP="00DC524D">
      <w:pPr>
        <w:textAlignment w:val="baseline"/>
        <w:rPr>
          <w:i/>
          <w:iCs/>
        </w:rPr>
      </w:pPr>
    </w:p>
    <w:p w14:paraId="5D92219E" w14:textId="7F9C872E" w:rsidR="00DC524D" w:rsidRPr="00DF6490" w:rsidRDefault="00DC524D" w:rsidP="000756F1">
      <w:pPr>
        <w:pBdr>
          <w:top w:val="single" w:sz="4" w:space="1" w:color="auto"/>
          <w:left w:val="single" w:sz="4" w:space="4" w:color="auto"/>
          <w:bottom w:val="single" w:sz="4" w:space="1" w:color="auto"/>
          <w:right w:val="single" w:sz="4" w:space="4" w:color="auto"/>
        </w:pBdr>
        <w:rPr>
          <w:b/>
          <w:i/>
          <w:iCs/>
        </w:rPr>
      </w:pPr>
      <w:r w:rsidRPr="00DF6490">
        <w:rPr>
          <w:b/>
          <w:i/>
          <w:iCs/>
        </w:rPr>
        <w:t>Australian Greens’ Additional Recommendation 6</w:t>
      </w:r>
    </w:p>
    <w:p w14:paraId="4A209638" w14:textId="77777777" w:rsidR="00DC524D" w:rsidRPr="00DF6490" w:rsidRDefault="00DC524D" w:rsidP="000756F1">
      <w:pPr>
        <w:pBdr>
          <w:top w:val="single" w:sz="4" w:space="1" w:color="auto"/>
          <w:left w:val="single" w:sz="4" w:space="4" w:color="auto"/>
          <w:bottom w:val="single" w:sz="4" w:space="1" w:color="auto"/>
          <w:right w:val="single" w:sz="4" w:space="4" w:color="auto"/>
        </w:pBdr>
        <w:rPr>
          <w:i/>
          <w:iCs/>
        </w:rPr>
      </w:pPr>
      <w:r w:rsidRPr="00DF6490">
        <w:rPr>
          <w:i/>
          <w:iCs/>
        </w:rPr>
        <w:t xml:space="preserve">The Australian Greens recommend the Australian Government further amend the to the </w:t>
      </w:r>
      <w:r w:rsidRPr="000756F1">
        <w:rPr>
          <w:i/>
          <w:iCs/>
        </w:rPr>
        <w:t>Paid</w:t>
      </w:r>
      <w:r w:rsidRPr="00B46E4F">
        <w:t xml:space="preserve"> </w:t>
      </w:r>
      <w:r w:rsidRPr="000756F1">
        <w:rPr>
          <w:i/>
          <w:iCs/>
        </w:rPr>
        <w:t>Parental Leave Act 2010</w:t>
      </w:r>
      <w:r w:rsidRPr="00DF6490">
        <w:rPr>
          <w:i/>
          <w:iCs/>
        </w:rPr>
        <w:t xml:space="preserve"> to:</w:t>
      </w:r>
    </w:p>
    <w:p w14:paraId="5F2FCACB" w14:textId="77777777" w:rsidR="00DC524D" w:rsidRPr="00DF6490" w:rsidRDefault="00DC524D" w:rsidP="000756F1">
      <w:pPr>
        <w:pStyle w:val="ListParagraph"/>
        <w:numPr>
          <w:ilvl w:val="0"/>
          <w:numId w:val="8"/>
        </w:numPr>
        <w:pBdr>
          <w:top w:val="single" w:sz="4" w:space="1" w:color="auto"/>
          <w:left w:val="single" w:sz="4" w:space="4" w:color="auto"/>
          <w:bottom w:val="single" w:sz="4" w:space="1" w:color="auto"/>
          <w:right w:val="single" w:sz="4" w:space="4" w:color="auto"/>
        </w:pBdr>
        <w:rPr>
          <w:i/>
          <w:iCs/>
          <w:sz w:val="24"/>
          <w:szCs w:val="24"/>
        </w:rPr>
      </w:pPr>
      <w:r w:rsidRPr="00DF6490">
        <w:rPr>
          <w:i/>
          <w:iCs/>
          <w:sz w:val="24"/>
          <w:szCs w:val="24"/>
        </w:rPr>
        <w:t>include 'use it or lose it' provisions to encourage co-parents to each take leave in accordance with best practice, and having regard to the recommendations of the Women's Economic Equality Taskforce;</w:t>
      </w:r>
    </w:p>
    <w:p w14:paraId="4783AF87" w14:textId="77777777" w:rsidR="00DC524D" w:rsidRPr="00DF6490" w:rsidRDefault="00DC524D" w:rsidP="000756F1">
      <w:pPr>
        <w:pStyle w:val="ListParagraph"/>
        <w:numPr>
          <w:ilvl w:val="0"/>
          <w:numId w:val="8"/>
        </w:numPr>
        <w:pBdr>
          <w:top w:val="single" w:sz="4" w:space="1" w:color="auto"/>
          <w:left w:val="single" w:sz="4" w:space="4" w:color="auto"/>
          <w:bottom w:val="single" w:sz="4" w:space="1" w:color="auto"/>
          <w:right w:val="single" w:sz="4" w:space="4" w:color="auto"/>
        </w:pBdr>
        <w:rPr>
          <w:i/>
          <w:iCs/>
          <w:sz w:val="24"/>
          <w:szCs w:val="24"/>
        </w:rPr>
      </w:pPr>
      <w:r w:rsidRPr="00DF6490">
        <w:rPr>
          <w:i/>
          <w:iCs/>
          <w:sz w:val="24"/>
          <w:szCs w:val="24"/>
        </w:rPr>
        <w:t>guarantee the full 52 weeks leave to sole parents;</w:t>
      </w:r>
    </w:p>
    <w:p w14:paraId="21F1A975" w14:textId="77777777" w:rsidR="00DC524D" w:rsidRPr="00DF6490" w:rsidRDefault="00DC524D" w:rsidP="000756F1">
      <w:pPr>
        <w:pStyle w:val="ListParagraph"/>
        <w:numPr>
          <w:ilvl w:val="0"/>
          <w:numId w:val="8"/>
        </w:numPr>
        <w:pBdr>
          <w:top w:val="single" w:sz="4" w:space="1" w:color="auto"/>
          <w:left w:val="single" w:sz="4" w:space="4" w:color="auto"/>
          <w:bottom w:val="single" w:sz="4" w:space="1" w:color="auto"/>
          <w:right w:val="single" w:sz="4" w:space="4" w:color="auto"/>
        </w:pBdr>
        <w:rPr>
          <w:i/>
          <w:iCs/>
          <w:sz w:val="24"/>
          <w:szCs w:val="24"/>
        </w:rPr>
      </w:pPr>
      <w:r w:rsidRPr="00DF6490">
        <w:rPr>
          <w:i/>
          <w:iCs/>
          <w:sz w:val="24"/>
          <w:szCs w:val="24"/>
        </w:rPr>
        <w:t>provide an additional two weeks leave, in addition to the 52 weeks, if the co-parent takes at least the minimum use it or lose it leave entitlement;</w:t>
      </w:r>
    </w:p>
    <w:p w14:paraId="4EFEB80F" w14:textId="77777777" w:rsidR="00DC524D" w:rsidRPr="00DF6490" w:rsidRDefault="00DC524D" w:rsidP="000756F1">
      <w:pPr>
        <w:pStyle w:val="ListParagraph"/>
        <w:numPr>
          <w:ilvl w:val="0"/>
          <w:numId w:val="8"/>
        </w:numPr>
        <w:pBdr>
          <w:top w:val="single" w:sz="4" w:space="1" w:color="auto"/>
          <w:left w:val="single" w:sz="4" w:space="4" w:color="auto"/>
          <w:bottom w:val="single" w:sz="4" w:space="1" w:color="auto"/>
          <w:right w:val="single" w:sz="4" w:space="4" w:color="auto"/>
        </w:pBdr>
        <w:rPr>
          <w:rFonts w:eastAsia="Calibri"/>
          <w:lang w:val="en-GB"/>
        </w:rPr>
      </w:pPr>
      <w:r w:rsidRPr="00DF6490">
        <w:rPr>
          <w:i/>
          <w:iCs/>
          <w:sz w:val="24"/>
          <w:szCs w:val="24"/>
        </w:rPr>
        <w:t>ensure superannuation is paid in addition to the paid parental leave payment; and</w:t>
      </w:r>
    </w:p>
    <w:p w14:paraId="1CE7E707" w14:textId="77777777" w:rsidR="00DC524D" w:rsidRPr="00DF6490" w:rsidRDefault="00DC524D" w:rsidP="000756F1">
      <w:pPr>
        <w:pStyle w:val="ListParagraph"/>
        <w:numPr>
          <w:ilvl w:val="0"/>
          <w:numId w:val="8"/>
        </w:numPr>
        <w:pBdr>
          <w:top w:val="single" w:sz="4" w:space="1" w:color="auto"/>
          <w:left w:val="single" w:sz="4" w:space="4" w:color="auto"/>
          <w:bottom w:val="single" w:sz="4" w:space="1" w:color="auto"/>
          <w:right w:val="single" w:sz="4" w:space="4" w:color="auto"/>
        </w:pBdr>
        <w:rPr>
          <w:rFonts w:eastAsia="Calibri"/>
          <w:lang w:val="en-GB"/>
        </w:rPr>
      </w:pPr>
      <w:r w:rsidRPr="00DF6490">
        <w:rPr>
          <w:i/>
          <w:iCs/>
          <w:sz w:val="24"/>
          <w:szCs w:val="24"/>
        </w:rPr>
        <w:t>relax work and residency tests for eligibility for paid parental leave to ensure all parents have support to take leave. In particular, reforms should allow funded post graduate study to be counted as work for the purposes of satisfying the work test.</w:t>
      </w:r>
    </w:p>
    <w:p w14:paraId="5FD14C12" w14:textId="77777777" w:rsidR="00DC524D" w:rsidRDefault="00DC524D" w:rsidP="00146FC0"/>
    <w:p w14:paraId="0252FE12" w14:textId="6C86DD50" w:rsidR="00DC524D" w:rsidRPr="000756F1" w:rsidRDefault="000756F1" w:rsidP="00DC524D">
      <w:pPr>
        <w:rPr>
          <w:rFonts w:eastAsia="Calibri"/>
          <w:lang w:val="en-GB"/>
        </w:rPr>
      </w:pPr>
      <w:r>
        <w:rPr>
          <w:rFonts w:eastAsia="Calibri"/>
          <w:lang w:val="en-GB"/>
        </w:rPr>
        <w:t xml:space="preserve">The Government </w:t>
      </w:r>
      <w:r>
        <w:rPr>
          <w:rFonts w:eastAsia="Calibri"/>
          <w:b/>
          <w:bCs/>
          <w:lang w:val="en-GB"/>
        </w:rPr>
        <w:t xml:space="preserve">agrees in part </w:t>
      </w:r>
      <w:r>
        <w:rPr>
          <w:rFonts w:eastAsia="Calibri"/>
          <w:lang w:val="en-GB"/>
        </w:rPr>
        <w:t xml:space="preserve">to this recommendation and </w:t>
      </w:r>
      <w:r>
        <w:rPr>
          <w:rFonts w:eastAsia="Calibri"/>
          <w:b/>
          <w:bCs/>
          <w:lang w:val="en-GB"/>
        </w:rPr>
        <w:t xml:space="preserve">notes </w:t>
      </w:r>
      <w:r>
        <w:rPr>
          <w:rFonts w:eastAsia="Calibri"/>
          <w:lang w:val="en-GB"/>
        </w:rPr>
        <w:t xml:space="preserve">the Interim Report </w:t>
      </w:r>
      <w:r w:rsidR="00E82F46">
        <w:rPr>
          <w:rFonts w:eastAsia="Calibri"/>
          <w:lang w:val="en-GB"/>
        </w:rPr>
        <w:t>r</w:t>
      </w:r>
      <w:r>
        <w:rPr>
          <w:rFonts w:eastAsia="Calibri"/>
          <w:lang w:val="en-GB"/>
        </w:rPr>
        <w:t xml:space="preserve">ecommendation and the Australian Greens’ </w:t>
      </w:r>
      <w:r w:rsidR="00E82F46">
        <w:rPr>
          <w:rFonts w:eastAsia="Calibri"/>
          <w:lang w:val="en-GB"/>
        </w:rPr>
        <w:t>a</w:t>
      </w:r>
      <w:r>
        <w:rPr>
          <w:rFonts w:eastAsia="Calibri"/>
          <w:lang w:val="en-GB"/>
        </w:rPr>
        <w:t xml:space="preserve">dditional </w:t>
      </w:r>
      <w:r w:rsidR="00E82F46">
        <w:rPr>
          <w:rFonts w:eastAsia="Calibri"/>
          <w:lang w:val="en-GB"/>
        </w:rPr>
        <w:t>r</w:t>
      </w:r>
      <w:r>
        <w:rPr>
          <w:rFonts w:eastAsia="Calibri"/>
          <w:lang w:val="en-GB"/>
        </w:rPr>
        <w:t xml:space="preserve">ecommendations. </w:t>
      </w:r>
    </w:p>
    <w:p w14:paraId="50654A90" w14:textId="77777777" w:rsidR="00DC524D" w:rsidRDefault="00DC524D" w:rsidP="00DC524D">
      <w:pPr>
        <w:rPr>
          <w:rFonts w:eastAsia="Calibri"/>
          <w:lang w:val="en-GB"/>
        </w:rPr>
      </w:pPr>
    </w:p>
    <w:p w14:paraId="0504E2DD" w14:textId="77777777" w:rsidR="008B0B0A" w:rsidRPr="00B42D78" w:rsidRDefault="008B0B0A" w:rsidP="008B0B0A">
      <w:pPr>
        <w:rPr>
          <w:rFonts w:eastAsia="Calibri"/>
          <w:lang w:val="en-GB"/>
        </w:rPr>
      </w:pPr>
      <w:r w:rsidRPr="00B42D78">
        <w:rPr>
          <w:rFonts w:eastAsia="Calibri"/>
          <w:lang w:val="en-GB"/>
        </w:rPr>
        <w:t>Australia takes a hybrid approach to parental leave, where the Government payment is a minimum entitlement designed to complement employer-provided leave. To extend the length of time parents can take off after birth or adoption, they can receive the Government payment before, after, or at the same time as employer-paid leave.</w:t>
      </w:r>
      <w:r>
        <w:rPr>
          <w:rFonts w:eastAsia="Calibri"/>
          <w:lang w:val="en-GB"/>
        </w:rPr>
        <w:br/>
      </w:r>
    </w:p>
    <w:p w14:paraId="277FDF66" w14:textId="77777777" w:rsidR="008B0B0A" w:rsidRDefault="008B0B0A" w:rsidP="008B0B0A">
      <w:pPr>
        <w:rPr>
          <w:rFonts w:eastAsia="Calibri"/>
          <w:lang w:val="en-GB"/>
        </w:rPr>
      </w:pPr>
      <w:r w:rsidRPr="00172D67">
        <w:rPr>
          <w:rFonts w:eastAsia="Calibri"/>
          <w:lang w:val="en-GB"/>
        </w:rPr>
        <w:t xml:space="preserve">Under the </w:t>
      </w:r>
      <w:r w:rsidRPr="00172D67">
        <w:rPr>
          <w:rFonts w:eastAsia="Calibri"/>
          <w:i/>
          <w:iCs/>
          <w:lang w:val="en-GB"/>
        </w:rPr>
        <w:t>Paid Parental Leave Amendment (More Support for Working Families) Act 2024</w:t>
      </w:r>
      <w:r>
        <w:rPr>
          <w:rFonts w:eastAsia="Calibri"/>
          <w:i/>
          <w:iCs/>
          <w:lang w:val="en-GB"/>
        </w:rPr>
        <w:t xml:space="preserve">, </w:t>
      </w:r>
      <w:r w:rsidRPr="00172D67">
        <w:rPr>
          <w:rFonts w:eastAsia="Calibri"/>
          <w:lang w:val="en-GB"/>
        </w:rPr>
        <w:t>the Paid Parental Leave scheme</w:t>
      </w:r>
      <w:r>
        <w:rPr>
          <w:rFonts w:eastAsia="Calibri"/>
          <w:lang w:val="en-GB"/>
        </w:rPr>
        <w:t xml:space="preserve"> </w:t>
      </w:r>
      <w:r w:rsidRPr="00172D67">
        <w:rPr>
          <w:rFonts w:eastAsia="Calibri"/>
          <w:lang w:val="en-GB"/>
        </w:rPr>
        <w:t xml:space="preserve">will </w:t>
      </w:r>
      <w:r>
        <w:rPr>
          <w:rFonts w:eastAsia="Calibri"/>
          <w:lang w:val="en-GB"/>
        </w:rPr>
        <w:t xml:space="preserve">progressively </w:t>
      </w:r>
      <w:r w:rsidRPr="00172D67">
        <w:rPr>
          <w:rFonts w:eastAsia="Calibri"/>
          <w:lang w:val="en-GB"/>
        </w:rPr>
        <w:t xml:space="preserve">expand </w:t>
      </w:r>
      <w:r>
        <w:rPr>
          <w:rFonts w:eastAsia="Calibri"/>
          <w:lang w:val="en-GB"/>
        </w:rPr>
        <w:t xml:space="preserve">to 26 weeks by 2026. From 1 July 2024, 2 weeks of payment will be added each year to 2026, increasing the maximum entitlement by 6 weeks. This amendment will also progressively increase the number of ‘use it or lose it’ </w:t>
      </w:r>
      <w:r w:rsidRPr="00402550">
        <w:rPr>
          <w:rFonts w:eastAsia="Calibri"/>
          <w:lang w:val="en-GB"/>
        </w:rPr>
        <w:t>weeks reserved for each parent in a couple. From 1 July 2026, 4 weeks will be reserved for each parent in a couple, and couples can take up to 4 weeks of payment at the same time to encourage greater sharing of care giving responsibilities. If you are a single parent, you can still share your days with the other parent. If you choose not to, you can get the full number of days.</w:t>
      </w:r>
    </w:p>
    <w:p w14:paraId="6FAA1ED9" w14:textId="77777777" w:rsidR="008B0B0A" w:rsidRDefault="008B0B0A" w:rsidP="008B0B0A">
      <w:pPr>
        <w:rPr>
          <w:rFonts w:eastAsia="Calibri"/>
          <w:lang w:val="en-GB"/>
        </w:rPr>
      </w:pPr>
    </w:p>
    <w:p w14:paraId="6C6E6004" w14:textId="77777777" w:rsidR="008B0B0A" w:rsidRDefault="008B0B0A" w:rsidP="008B0B0A">
      <w:r>
        <w:rPr>
          <w:rFonts w:eastAsia="Calibri"/>
          <w:lang w:val="en-GB"/>
        </w:rPr>
        <w:t xml:space="preserve">The Government has also committed to making superannuation guarantee equivalent payments on Government-funded paid parental leave from </w:t>
      </w:r>
      <w:r>
        <w:t xml:space="preserve">for parents of babies born on or after 1 July 2025. </w:t>
      </w:r>
    </w:p>
    <w:p w14:paraId="6BFE88D5" w14:textId="43FD7CFD" w:rsidR="00292006" w:rsidRDefault="00292006">
      <w:pPr>
        <w:spacing w:after="200" w:line="276" w:lineRule="auto"/>
      </w:pPr>
      <w:r>
        <w:br w:type="page"/>
      </w:r>
    </w:p>
    <w:p w14:paraId="5BFB2FEC" w14:textId="77777777" w:rsidR="00DC524D" w:rsidRPr="00DF6490" w:rsidRDefault="00DC524D" w:rsidP="000756F1">
      <w:pPr>
        <w:pStyle w:val="Heading6"/>
        <w:pBdr>
          <w:top w:val="single" w:sz="4" w:space="1" w:color="auto"/>
          <w:left w:val="single" w:sz="4" w:space="4" w:color="auto"/>
          <w:bottom w:val="single" w:sz="4" w:space="1" w:color="auto"/>
          <w:right w:val="single" w:sz="4" w:space="4" w:color="auto"/>
        </w:pBdr>
      </w:pPr>
      <w:r w:rsidRPr="00DF6490">
        <w:t>Recommendation 31</w:t>
      </w:r>
    </w:p>
    <w:p w14:paraId="4E6A5390" w14:textId="77777777" w:rsidR="00DC524D" w:rsidRPr="00DF6490" w:rsidRDefault="00DC524D" w:rsidP="000756F1">
      <w:pPr>
        <w:pBdr>
          <w:top w:val="single" w:sz="4" w:space="1" w:color="auto"/>
          <w:left w:val="single" w:sz="4" w:space="4" w:color="auto"/>
          <w:bottom w:val="single" w:sz="4" w:space="1" w:color="auto"/>
          <w:right w:val="single" w:sz="4" w:space="4" w:color="auto"/>
        </w:pBdr>
        <w:rPr>
          <w:rFonts w:cstheme="minorHAnsi"/>
        </w:rPr>
      </w:pPr>
      <w:r w:rsidRPr="00DF6490">
        <w:rPr>
          <w:rFonts w:cstheme="minorHAnsi"/>
        </w:rPr>
        <w:t xml:space="preserve">The committee recommends the Australian Government amend, without delay, the </w:t>
      </w:r>
      <w:r w:rsidRPr="009F37F0">
        <w:rPr>
          <w:rFonts w:cstheme="minorHAnsi"/>
          <w:i/>
          <w:iCs/>
        </w:rPr>
        <w:t>Fair</w:t>
      </w:r>
      <w:r>
        <w:rPr>
          <w:rFonts w:cstheme="minorHAnsi"/>
          <w:i/>
          <w:iCs/>
        </w:rPr>
        <w:t> </w:t>
      </w:r>
      <w:r w:rsidRPr="009F37F0">
        <w:rPr>
          <w:rFonts w:cstheme="minorHAnsi"/>
          <w:i/>
          <w:iCs/>
        </w:rPr>
        <w:t>Work Act 2009</w:t>
      </w:r>
      <w:r w:rsidRPr="00DF6490">
        <w:rPr>
          <w:rFonts w:cstheme="minorHAnsi"/>
        </w:rPr>
        <w:t xml:space="preserve"> to establish the right to superannuation as a National Employment Standard.</w:t>
      </w:r>
    </w:p>
    <w:p w14:paraId="069C984A" w14:textId="77777777" w:rsidR="00DC524D" w:rsidRDefault="00DC524D" w:rsidP="00731D33"/>
    <w:p w14:paraId="3685567F" w14:textId="38EBF1D0" w:rsidR="00DC524D" w:rsidRPr="000756F1" w:rsidRDefault="000756F1" w:rsidP="00DC524D">
      <w:pPr>
        <w:rPr>
          <w:rFonts w:cstheme="minorHAnsi"/>
        </w:rPr>
      </w:pPr>
      <w:r>
        <w:rPr>
          <w:rFonts w:cstheme="minorHAnsi"/>
        </w:rPr>
        <w:t xml:space="preserve">The Government </w:t>
      </w:r>
      <w:r>
        <w:rPr>
          <w:rFonts w:cstheme="minorHAnsi"/>
          <w:b/>
          <w:bCs/>
        </w:rPr>
        <w:t xml:space="preserve">agrees </w:t>
      </w:r>
      <w:r>
        <w:rPr>
          <w:rFonts w:cstheme="minorHAnsi"/>
        </w:rPr>
        <w:t xml:space="preserve">to this recommendation. </w:t>
      </w:r>
    </w:p>
    <w:p w14:paraId="345407B3" w14:textId="77777777" w:rsidR="00DC524D" w:rsidRPr="00DF6490" w:rsidRDefault="00DC524D" w:rsidP="00DC524D">
      <w:pPr>
        <w:rPr>
          <w:rFonts w:cstheme="minorHAnsi"/>
        </w:rPr>
      </w:pPr>
    </w:p>
    <w:p w14:paraId="0C42B9E5" w14:textId="2426F3B6" w:rsidR="00DC524D" w:rsidRDefault="00DC524D" w:rsidP="00DC524D">
      <w:r>
        <w:t>The</w:t>
      </w:r>
      <w:r w:rsidRPr="00DF6490">
        <w:t xml:space="preserve"> </w:t>
      </w:r>
      <w:r w:rsidRPr="002E51B9">
        <w:rPr>
          <w:i/>
        </w:rPr>
        <w:t xml:space="preserve">Fair Work Legislation Amendment (Protecting Worker Entitlements) </w:t>
      </w:r>
      <w:r>
        <w:rPr>
          <w:i/>
          <w:iCs/>
        </w:rPr>
        <w:t>Act</w:t>
      </w:r>
      <w:r w:rsidRPr="002E51B9">
        <w:rPr>
          <w:i/>
          <w:iCs/>
        </w:rPr>
        <w:t xml:space="preserve"> </w:t>
      </w:r>
      <w:r w:rsidRPr="002E51B9">
        <w:rPr>
          <w:i/>
        </w:rPr>
        <w:t>2023</w:t>
      </w:r>
      <w:r w:rsidRPr="00DF6490">
        <w:t xml:space="preserve"> implement</w:t>
      </w:r>
      <w:r>
        <w:t>ed</w:t>
      </w:r>
      <w:r w:rsidRPr="00DF6490">
        <w:t xml:space="preserve"> the Government’s election commitment to include a right to superannuation in the National Employment Standards</w:t>
      </w:r>
      <w:r>
        <w:t>.</w:t>
      </w:r>
    </w:p>
    <w:p w14:paraId="7F82F41C" w14:textId="77777777" w:rsidR="00DC524D" w:rsidRDefault="00DC524D" w:rsidP="00731D33"/>
    <w:p w14:paraId="7927F629" w14:textId="77777777" w:rsidR="00DC524D" w:rsidRPr="00DF6490" w:rsidRDefault="00DC524D" w:rsidP="000756F1">
      <w:pPr>
        <w:pStyle w:val="Heading6"/>
        <w:pBdr>
          <w:top w:val="single" w:sz="4" w:space="1" w:color="auto"/>
          <w:left w:val="single" w:sz="4" w:space="4" w:color="auto"/>
          <w:bottom w:val="single" w:sz="4" w:space="1" w:color="auto"/>
          <w:right w:val="single" w:sz="4" w:space="4" w:color="auto"/>
        </w:pBdr>
      </w:pPr>
      <w:r w:rsidRPr="00DF6490">
        <w:t>Recommendation 32</w:t>
      </w:r>
    </w:p>
    <w:p w14:paraId="24C736F5" w14:textId="0D1B7490" w:rsidR="00DC524D" w:rsidRDefault="00DC524D" w:rsidP="000756F1">
      <w:pPr>
        <w:pBdr>
          <w:top w:val="single" w:sz="4" w:space="1" w:color="auto"/>
          <w:left w:val="single" w:sz="4" w:space="4" w:color="auto"/>
          <w:bottom w:val="single" w:sz="4" w:space="1" w:color="auto"/>
          <w:right w:val="single" w:sz="4" w:space="4" w:color="auto"/>
        </w:pBdr>
      </w:pPr>
      <w:r w:rsidRPr="00DF6490">
        <w:t>The committee recommends the Australian Government consider the implementation of a care credit scheme informed by the reform options proposed in the 2013 Australian Human Rights Commission, Investing in care: Recognising and valuing those who care report. As part of its review the Australian Government should investigate possible mechanisms to address the superannuation gap between men and women, including consideration of paying care credits to superannuation for up to five years for parents who take leave and reduce hours of employment to care for others.</w:t>
      </w:r>
    </w:p>
    <w:p w14:paraId="62B0F5A6" w14:textId="77777777" w:rsidR="00DC524D" w:rsidRDefault="00DC524D" w:rsidP="00DC524D"/>
    <w:p w14:paraId="2CC77926" w14:textId="42527DA2" w:rsidR="00DC524D" w:rsidRPr="000756F1" w:rsidRDefault="000756F1" w:rsidP="00DC524D">
      <w:r>
        <w:t xml:space="preserve">The Government </w:t>
      </w:r>
      <w:r>
        <w:rPr>
          <w:b/>
          <w:bCs/>
        </w:rPr>
        <w:t xml:space="preserve">notes </w:t>
      </w:r>
      <w:r>
        <w:t xml:space="preserve">this recommendation. </w:t>
      </w:r>
    </w:p>
    <w:p w14:paraId="7B7F7D1E" w14:textId="77777777" w:rsidR="00DC524D" w:rsidRPr="00DF6490" w:rsidRDefault="00DC524D" w:rsidP="00DC524D"/>
    <w:p w14:paraId="052ACD2B" w14:textId="470D58AF" w:rsidR="00DC524D" w:rsidRPr="009C3E58" w:rsidRDefault="00DC524D" w:rsidP="00DC524D">
      <w:r w:rsidRPr="00DF6490">
        <w:t xml:space="preserve">The Government recognises that the working-life earnings gap between men and women is the main driver of the gender gap in superannuation balances at retirement, rather than retirement income system settings. </w:t>
      </w:r>
      <w:r w:rsidRPr="00DF6490">
        <w:rPr>
          <w:lang w:val="en-GB"/>
        </w:rPr>
        <w:t>The Government is taking action to address the earnings gap.</w:t>
      </w:r>
    </w:p>
    <w:p w14:paraId="560D97F4" w14:textId="77777777" w:rsidR="00DC524D" w:rsidRPr="00DF6490" w:rsidRDefault="00DC524D" w:rsidP="00DC524D">
      <w:pPr>
        <w:rPr>
          <w:lang w:val="en-GB"/>
        </w:rPr>
      </w:pPr>
    </w:p>
    <w:p w14:paraId="7152F425" w14:textId="26F19588" w:rsidR="00B62EED" w:rsidRDefault="00DC524D" w:rsidP="00380416">
      <w:r w:rsidRPr="00DF6490">
        <w:t xml:space="preserve">The legislated increase in the Superannuation Guarantee to 12 per cent by 1 July 2025 will ensure women have more superannuation in retirement. </w:t>
      </w:r>
      <w:r>
        <w:t>In addition, the Government will make Superannuation Guarantee equivalent payments on Government-funded paid parental leave for babies born or adopted on or after 1 July 2025. This recognises the important contribution parents make to society, by reducing the impact career-breaks to care for young children have on superannuation balances.</w:t>
      </w:r>
    </w:p>
    <w:sectPr w:rsidR="00B62EED" w:rsidSect="000101C9">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61D00" w14:textId="77777777" w:rsidR="00575BFF" w:rsidRDefault="00575BFF" w:rsidP="00C25DB7">
      <w:r>
        <w:separator/>
      </w:r>
    </w:p>
  </w:endnote>
  <w:endnote w:type="continuationSeparator" w:id="0">
    <w:p w14:paraId="75F8C61B" w14:textId="77777777" w:rsidR="00575BFF" w:rsidRDefault="00575BFF" w:rsidP="00C25DB7">
      <w:r>
        <w:continuationSeparator/>
      </w:r>
    </w:p>
  </w:endnote>
  <w:endnote w:type="continuationNotice" w:id="1">
    <w:p w14:paraId="79719A53" w14:textId="77777777" w:rsidR="00575BFF" w:rsidRDefault="00575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3540812"/>
      <w:docPartObj>
        <w:docPartGallery w:val="Page Numbers (Bottom of Page)"/>
        <w:docPartUnique/>
      </w:docPartObj>
    </w:sdtPr>
    <w:sdtEndPr>
      <w:rPr>
        <w:noProof/>
      </w:rPr>
    </w:sdtEndPr>
    <w:sdtContent>
      <w:p w14:paraId="164A9C9A" w14:textId="76A60C92" w:rsidR="00875A00" w:rsidRDefault="00875A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39E22" w14:textId="77777777" w:rsidR="00855030" w:rsidRDefault="00855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F77FE" w14:textId="77777777" w:rsidR="00575BFF" w:rsidRDefault="00575BFF" w:rsidP="00C25DB7">
      <w:r>
        <w:separator/>
      </w:r>
    </w:p>
  </w:footnote>
  <w:footnote w:type="continuationSeparator" w:id="0">
    <w:p w14:paraId="1CE0EF20" w14:textId="77777777" w:rsidR="00575BFF" w:rsidRDefault="00575BFF" w:rsidP="00C25DB7">
      <w:r>
        <w:continuationSeparator/>
      </w:r>
    </w:p>
  </w:footnote>
  <w:footnote w:type="continuationNotice" w:id="1">
    <w:p w14:paraId="1A625DF1" w14:textId="77777777" w:rsidR="00575BFF" w:rsidRDefault="00575BFF"/>
  </w:footnote>
  <w:footnote w:id="2">
    <w:p w14:paraId="05A0B1BF" w14:textId="47CB03D6" w:rsidR="00605583" w:rsidRPr="00314AB4" w:rsidRDefault="00605583">
      <w:pPr>
        <w:pStyle w:val="FootnoteText"/>
      </w:pPr>
      <w:r w:rsidRPr="00314AB4">
        <w:rPr>
          <w:rStyle w:val="FootnoteReference"/>
        </w:rPr>
        <w:footnoteRef/>
      </w:r>
      <w:r w:rsidRPr="00314AB4">
        <w:t xml:space="preserve"> Select Committee on Work and Care,</w:t>
      </w:r>
      <w:r w:rsidRPr="00314AB4">
        <w:rPr>
          <w:i/>
          <w:iCs/>
        </w:rPr>
        <w:t xml:space="preserve"> Final Report</w:t>
      </w:r>
      <w:r w:rsidRPr="00314AB4">
        <w:t>, Senate Printing Unit, Parliament House, Canberra Australia, 2023</w:t>
      </w:r>
      <w:r w:rsidR="0089327A" w:rsidRPr="00314AB4">
        <w:t>, p 169.</w:t>
      </w:r>
    </w:p>
  </w:footnote>
  <w:footnote w:id="3">
    <w:p w14:paraId="74819458" w14:textId="525F0F8B" w:rsidR="0089327A" w:rsidRPr="0089327A" w:rsidRDefault="0089327A">
      <w:pPr>
        <w:pStyle w:val="FootnoteText"/>
      </w:pPr>
      <w:r w:rsidRPr="00314AB4">
        <w:rPr>
          <w:rStyle w:val="FootnoteReference"/>
        </w:rPr>
        <w:footnoteRef/>
      </w:r>
      <w:r w:rsidRPr="00314AB4">
        <w:t xml:space="preserve"> Select Committee on Work and Care, </w:t>
      </w:r>
      <w:r w:rsidRPr="00314AB4">
        <w:rPr>
          <w:i/>
          <w:iCs/>
        </w:rPr>
        <w:t>Final Report</w:t>
      </w:r>
      <w:r w:rsidRPr="00314AB4">
        <w:t>, pp 16</w:t>
      </w:r>
      <w:r w:rsidRPr="00CD18C7">
        <w:t>9</w:t>
      </w:r>
      <w:r w:rsidR="00944F8E" w:rsidRPr="00CD18C7">
        <w:t>–</w:t>
      </w:r>
      <w:r w:rsidRPr="00CD18C7">
        <w:t>1</w:t>
      </w:r>
      <w:r w:rsidRPr="00314AB4">
        <w:t>70.</w:t>
      </w:r>
    </w:p>
  </w:footnote>
  <w:footnote w:id="4">
    <w:p w14:paraId="66637CD1" w14:textId="0480BFEB" w:rsidR="002078ED" w:rsidRPr="004F79EE" w:rsidRDefault="002078ED">
      <w:pPr>
        <w:pStyle w:val="FootnoteText"/>
      </w:pPr>
      <w:r w:rsidRPr="004F79EE">
        <w:rPr>
          <w:rStyle w:val="FootnoteReference"/>
        </w:rPr>
        <w:footnoteRef/>
      </w:r>
      <w:r w:rsidRPr="004F79EE">
        <w:t xml:space="preserve"> Deloitte Access Economics, The value of informal care in 2020, Carers Australia, 2020</w:t>
      </w:r>
      <w:r w:rsidR="00A6303C">
        <w:t>.</w:t>
      </w:r>
    </w:p>
  </w:footnote>
  <w:footnote w:id="5">
    <w:p w14:paraId="5D83F4C8" w14:textId="74746B33" w:rsidR="00F31967" w:rsidRDefault="00F31967">
      <w:pPr>
        <w:pStyle w:val="FootnoteText"/>
      </w:pPr>
      <w:r w:rsidRPr="004F79EE">
        <w:rPr>
          <w:rStyle w:val="FootnoteReference"/>
        </w:rPr>
        <w:footnoteRef/>
      </w:r>
      <w:r w:rsidRPr="004F79EE">
        <w:t xml:space="preserve"> KPMG (2022) </w:t>
      </w:r>
      <w:r w:rsidRPr="004F79EE">
        <w:rPr>
          <w:i/>
        </w:rPr>
        <w:t>She’s Price(d)less: The economics of the gender pay gap</w:t>
      </w:r>
      <w:r w:rsidRPr="004F79EE">
        <w:t>, A report for Diversity Council Australia and WGEA, Australia, p 38.</w:t>
      </w:r>
    </w:p>
  </w:footnote>
  <w:footnote w:id="6">
    <w:p w14:paraId="30BFD28D" w14:textId="4C3103DF" w:rsidR="00A03785" w:rsidRPr="00002B96" w:rsidRDefault="00A03785" w:rsidP="00002B96">
      <w:pPr>
        <w:pStyle w:val="pf0"/>
        <w:spacing w:before="0" w:beforeAutospacing="0" w:after="0" w:afterAutospacing="0"/>
        <w:rPr>
          <w:rFonts w:ascii="Calibri" w:hAnsi="Calibri" w:cs="Calibri"/>
          <w:sz w:val="20"/>
          <w:szCs w:val="20"/>
        </w:rPr>
      </w:pPr>
      <w:r w:rsidRPr="00002B96">
        <w:rPr>
          <w:rStyle w:val="FootnoteReference"/>
          <w:rFonts w:ascii="Calibri" w:hAnsi="Calibri" w:cs="Calibri"/>
          <w:sz w:val="20"/>
          <w:szCs w:val="20"/>
        </w:rPr>
        <w:footnoteRef/>
      </w:r>
      <w:r w:rsidRPr="00002B96">
        <w:rPr>
          <w:rFonts w:ascii="Calibri" w:hAnsi="Calibri" w:cs="Calibri"/>
          <w:sz w:val="20"/>
          <w:szCs w:val="20"/>
        </w:rPr>
        <w:t xml:space="preserve"> </w:t>
      </w:r>
      <w:r w:rsidRPr="00002B96">
        <w:rPr>
          <w:rFonts w:ascii="Calibri" w:hAnsi="Calibri" w:cs="Calibri"/>
          <w:sz w:val="20"/>
          <w:szCs w:val="20"/>
          <w:shd w:val="clear" w:color="auto" w:fill="FFFFFF"/>
        </w:rPr>
        <w:t>The Minister’s letter is accessible on the Fair Work Commission</w:t>
      </w:r>
      <w:r w:rsidR="005D26C7" w:rsidRPr="00002B96">
        <w:rPr>
          <w:rFonts w:ascii="Calibri" w:hAnsi="Calibri" w:cs="Calibri"/>
          <w:sz w:val="20"/>
          <w:szCs w:val="20"/>
          <w:shd w:val="clear" w:color="auto" w:fill="FFFFFF"/>
        </w:rPr>
        <w:t>’</w:t>
      </w:r>
      <w:r w:rsidRPr="00002B96">
        <w:rPr>
          <w:rFonts w:ascii="Calibri" w:hAnsi="Calibri" w:cs="Calibri"/>
          <w:sz w:val="20"/>
          <w:szCs w:val="20"/>
          <w:shd w:val="clear" w:color="auto" w:fill="FFFFFF"/>
        </w:rPr>
        <w:t>s website at</w:t>
      </w:r>
      <w:r w:rsidR="002E3C00" w:rsidRPr="00002B96">
        <w:rPr>
          <w:rFonts w:ascii="Calibri" w:hAnsi="Calibri" w:cs="Calibri"/>
          <w:sz w:val="20"/>
          <w:szCs w:val="20"/>
          <w:shd w:val="clear" w:color="auto" w:fill="FFFFFF"/>
        </w:rPr>
        <w:t xml:space="preserve"> </w:t>
      </w:r>
      <w:r w:rsidR="000A7F89" w:rsidRPr="00002B96">
        <w:rPr>
          <w:rFonts w:ascii="Calibri" w:hAnsi="Calibri" w:cs="Calibri"/>
          <w:sz w:val="20"/>
          <w:szCs w:val="20"/>
          <w:u w:val="single"/>
          <w:shd w:val="clear" w:color="auto" w:fill="FFFFFF"/>
        </w:rPr>
        <w:t>www.fwc.gov.au/hearings-decisions/major-cases/modern-awards-review-2023-24</w:t>
      </w:r>
      <w:r w:rsidR="000A7F89" w:rsidRPr="00002B96">
        <w:rPr>
          <w:rFonts w:ascii="Calibri" w:hAnsi="Calibri" w:cs="Calibri"/>
          <w:sz w:val="20"/>
          <w:szCs w:val="20"/>
          <w:shd w:val="clear" w:color="auto" w:fill="FFFFFF"/>
        </w:rPr>
        <w:t>.</w:t>
      </w:r>
    </w:p>
  </w:footnote>
  <w:footnote w:id="7">
    <w:p w14:paraId="75AA404C" w14:textId="77777777" w:rsidR="00047554" w:rsidRPr="009C3E58" w:rsidRDefault="00047554" w:rsidP="00047554">
      <w:pPr>
        <w:pStyle w:val="FootnoteText"/>
        <w:rPr>
          <w:lang w:val="en-GB"/>
        </w:rPr>
      </w:pPr>
      <w:r>
        <w:rPr>
          <w:rStyle w:val="FootnoteReference"/>
        </w:rPr>
        <w:footnoteRef/>
      </w:r>
      <w:r>
        <w:t xml:space="preserve"> </w:t>
      </w:r>
      <w:r w:rsidRPr="009C3E58">
        <w:rPr>
          <w:lang w:val="en-GB"/>
        </w:rPr>
        <w:t>The Fair Work Commission subsequently noted that given the Closing Loopholes reforms require the Fair Work Commission to vary all modern awards to include right to disconnect terms from 26 August 2024, the right to disconnect (Final Report recommendation 23 and Interim Report recommendation 4) would be considered through separate proceedings rather than through the Modern Awards Review.</w:t>
      </w:r>
    </w:p>
    <w:p w14:paraId="1F719940" w14:textId="77777777" w:rsidR="00047554" w:rsidRDefault="00047554" w:rsidP="00047554">
      <w:pPr>
        <w:pStyle w:val="FootnoteText"/>
      </w:pPr>
    </w:p>
  </w:footnote>
  <w:footnote w:id="8">
    <w:p w14:paraId="7479E4A6" w14:textId="45013149" w:rsidR="00027087" w:rsidRDefault="00027087">
      <w:pPr>
        <w:pStyle w:val="FootnoteText"/>
      </w:pPr>
      <w:r>
        <w:rPr>
          <w:rStyle w:val="FootnoteReference"/>
        </w:rPr>
        <w:footnoteRef/>
      </w:r>
      <w:r>
        <w:t xml:space="preserve"> Fair Work Commission, </w:t>
      </w:r>
      <w:r w:rsidRPr="005358FA">
        <w:rPr>
          <w:i/>
          <w:iCs/>
        </w:rPr>
        <w:t xml:space="preserve">Discussion Paper – </w:t>
      </w:r>
      <w:r>
        <w:rPr>
          <w:i/>
          <w:iCs/>
        </w:rPr>
        <w:t>Work and Care</w:t>
      </w:r>
      <w:r>
        <w:t xml:space="preserve"> (January 2024)</w:t>
      </w:r>
      <w:r w:rsidR="00D043FB">
        <w:t>, p</w:t>
      </w:r>
      <w:r>
        <w:t xml:space="preserve"> </w:t>
      </w:r>
      <w:r w:rsidR="00C120F3">
        <w:t>139</w:t>
      </w:r>
      <w:r>
        <w:t>.</w:t>
      </w:r>
    </w:p>
  </w:footnote>
  <w:footnote w:id="9">
    <w:p w14:paraId="1658BFC5" w14:textId="6F7CD13D" w:rsidR="009A2C2D" w:rsidRDefault="009A2C2D">
      <w:pPr>
        <w:pStyle w:val="FootnoteText"/>
      </w:pPr>
      <w:r>
        <w:rPr>
          <w:rStyle w:val="FootnoteReference"/>
        </w:rPr>
        <w:footnoteRef/>
      </w:r>
      <w:r>
        <w:t xml:space="preserve"> </w:t>
      </w:r>
      <w:r w:rsidR="00666593">
        <w:t xml:space="preserve">Fair Work Commission, </w:t>
      </w:r>
      <w:r w:rsidR="00666593" w:rsidRPr="005358FA">
        <w:rPr>
          <w:i/>
          <w:iCs/>
        </w:rPr>
        <w:t xml:space="preserve">Discussion Paper – </w:t>
      </w:r>
      <w:r w:rsidR="00666593">
        <w:rPr>
          <w:i/>
          <w:iCs/>
        </w:rPr>
        <w:t>Work and Care</w:t>
      </w:r>
      <w:r w:rsidR="00666593">
        <w:t xml:space="preserve"> (January 2024), p </w:t>
      </w:r>
      <w:r w:rsidR="002E4CC7">
        <w:t>145</w:t>
      </w:r>
      <w:r w:rsidR="004347DA">
        <w:t>.</w:t>
      </w:r>
    </w:p>
  </w:footnote>
  <w:footnote w:id="10">
    <w:p w14:paraId="06D9164A" w14:textId="51774E5A" w:rsidR="004F06DE" w:rsidRDefault="004F06DE">
      <w:pPr>
        <w:pStyle w:val="FootnoteText"/>
      </w:pPr>
      <w:r>
        <w:rPr>
          <w:rStyle w:val="FootnoteReference"/>
        </w:rPr>
        <w:footnoteRef/>
      </w:r>
      <w:r>
        <w:t xml:space="preserve"> Fair Work Commission, </w:t>
      </w:r>
      <w:r w:rsidRPr="005358FA">
        <w:rPr>
          <w:i/>
          <w:iCs/>
        </w:rPr>
        <w:t xml:space="preserve">Discussion Paper – </w:t>
      </w:r>
      <w:r>
        <w:rPr>
          <w:i/>
          <w:iCs/>
        </w:rPr>
        <w:t>Work and Care</w:t>
      </w:r>
      <w:r>
        <w:t xml:space="preserve"> (January 2024)</w:t>
      </w:r>
      <w:r w:rsidR="00201CD1">
        <w:t>, p</w:t>
      </w:r>
      <w:r>
        <w:t xml:space="preserve"> 104.</w:t>
      </w:r>
    </w:p>
  </w:footnote>
  <w:footnote w:id="11">
    <w:p w14:paraId="0323644B" w14:textId="10A8BA74" w:rsidR="00A45938" w:rsidRDefault="00A45938">
      <w:pPr>
        <w:pStyle w:val="FootnoteText"/>
      </w:pPr>
      <w:r>
        <w:rPr>
          <w:rStyle w:val="FootnoteReference"/>
        </w:rPr>
        <w:footnoteRef/>
      </w:r>
      <w:r>
        <w:t xml:space="preserve"> Cortis, N., Naidoo, Y., Wong, M. and Bradbury, B. (2023). Gender-based Occupational Segregation: A National Data Profile. Sydney: UNSW Social Policy Research Centre.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BAF6"/>
    <w:multiLevelType w:val="hybridMultilevel"/>
    <w:tmpl w:val="BED4793C"/>
    <w:lvl w:ilvl="0" w:tplc="91E8F9AA">
      <w:start w:val="1"/>
      <w:numFmt w:val="bullet"/>
      <w:lvlText w:val=""/>
      <w:lvlJc w:val="left"/>
      <w:pPr>
        <w:ind w:left="360" w:hanging="360"/>
      </w:pPr>
      <w:rPr>
        <w:rFonts w:ascii="Symbol" w:hAnsi="Symbol" w:hint="default"/>
      </w:rPr>
    </w:lvl>
    <w:lvl w:ilvl="1" w:tplc="8758BB12">
      <w:start w:val="1"/>
      <w:numFmt w:val="bullet"/>
      <w:lvlText w:val="o"/>
      <w:lvlJc w:val="left"/>
      <w:pPr>
        <w:ind w:left="1080" w:hanging="360"/>
      </w:pPr>
      <w:rPr>
        <w:rFonts w:ascii="Courier New" w:hAnsi="Courier New" w:hint="default"/>
      </w:rPr>
    </w:lvl>
    <w:lvl w:ilvl="2" w:tplc="450C6204">
      <w:start w:val="1"/>
      <w:numFmt w:val="bullet"/>
      <w:lvlText w:val=""/>
      <w:lvlJc w:val="left"/>
      <w:pPr>
        <w:ind w:left="1800" w:hanging="360"/>
      </w:pPr>
      <w:rPr>
        <w:rFonts w:ascii="Wingdings" w:hAnsi="Wingdings" w:hint="default"/>
      </w:rPr>
    </w:lvl>
    <w:lvl w:ilvl="3" w:tplc="C06A2750">
      <w:start w:val="1"/>
      <w:numFmt w:val="bullet"/>
      <w:lvlText w:val=""/>
      <w:lvlJc w:val="left"/>
      <w:pPr>
        <w:ind w:left="2520" w:hanging="360"/>
      </w:pPr>
      <w:rPr>
        <w:rFonts w:ascii="Symbol" w:hAnsi="Symbol" w:hint="default"/>
      </w:rPr>
    </w:lvl>
    <w:lvl w:ilvl="4" w:tplc="B2A85C8E">
      <w:start w:val="1"/>
      <w:numFmt w:val="bullet"/>
      <w:lvlText w:val="o"/>
      <w:lvlJc w:val="left"/>
      <w:pPr>
        <w:ind w:left="3240" w:hanging="360"/>
      </w:pPr>
      <w:rPr>
        <w:rFonts w:ascii="Courier New" w:hAnsi="Courier New" w:hint="default"/>
      </w:rPr>
    </w:lvl>
    <w:lvl w:ilvl="5" w:tplc="27F8B10A">
      <w:start w:val="1"/>
      <w:numFmt w:val="bullet"/>
      <w:lvlText w:val=""/>
      <w:lvlJc w:val="left"/>
      <w:pPr>
        <w:ind w:left="3960" w:hanging="360"/>
      </w:pPr>
      <w:rPr>
        <w:rFonts w:ascii="Wingdings" w:hAnsi="Wingdings" w:hint="default"/>
      </w:rPr>
    </w:lvl>
    <w:lvl w:ilvl="6" w:tplc="75F2385E">
      <w:start w:val="1"/>
      <w:numFmt w:val="bullet"/>
      <w:lvlText w:val=""/>
      <w:lvlJc w:val="left"/>
      <w:pPr>
        <w:ind w:left="4680" w:hanging="360"/>
      </w:pPr>
      <w:rPr>
        <w:rFonts w:ascii="Symbol" w:hAnsi="Symbol" w:hint="default"/>
      </w:rPr>
    </w:lvl>
    <w:lvl w:ilvl="7" w:tplc="F8FEE1F4">
      <w:start w:val="1"/>
      <w:numFmt w:val="bullet"/>
      <w:lvlText w:val="o"/>
      <w:lvlJc w:val="left"/>
      <w:pPr>
        <w:ind w:left="5400" w:hanging="360"/>
      </w:pPr>
      <w:rPr>
        <w:rFonts w:ascii="Courier New" w:hAnsi="Courier New" w:hint="default"/>
      </w:rPr>
    </w:lvl>
    <w:lvl w:ilvl="8" w:tplc="02D62B58">
      <w:start w:val="1"/>
      <w:numFmt w:val="bullet"/>
      <w:lvlText w:val=""/>
      <w:lvlJc w:val="left"/>
      <w:pPr>
        <w:ind w:left="6120" w:hanging="360"/>
      </w:pPr>
      <w:rPr>
        <w:rFonts w:ascii="Wingdings" w:hAnsi="Wingdings" w:hint="default"/>
      </w:rPr>
    </w:lvl>
  </w:abstractNum>
  <w:abstractNum w:abstractNumId="1" w15:restartNumberingAfterBreak="0">
    <w:nsid w:val="0491558E"/>
    <w:multiLevelType w:val="hybridMultilevel"/>
    <w:tmpl w:val="6E9CE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555AC6"/>
    <w:multiLevelType w:val="hybridMultilevel"/>
    <w:tmpl w:val="2E1649E6"/>
    <w:lvl w:ilvl="0" w:tplc="6952E550">
      <w:start w:val="1"/>
      <w:numFmt w:val="bullet"/>
      <w:lvlText w:val=""/>
      <w:lvlJc w:val="left"/>
      <w:pPr>
        <w:ind w:left="360" w:hanging="360"/>
      </w:pPr>
      <w:rPr>
        <w:rFonts w:ascii="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EC6C95"/>
    <w:multiLevelType w:val="hybridMultilevel"/>
    <w:tmpl w:val="DA86D3C2"/>
    <w:lvl w:ilvl="0" w:tplc="6BC84C26">
      <w:start w:val="1"/>
      <w:numFmt w:val="bullet"/>
      <w:lvlText w:val=""/>
      <w:lvlJc w:val="left"/>
      <w:pPr>
        <w:ind w:left="1560" w:hanging="360"/>
      </w:pPr>
      <w:rPr>
        <w:rFonts w:ascii="Symbol" w:hAnsi="Symbol"/>
      </w:rPr>
    </w:lvl>
    <w:lvl w:ilvl="1" w:tplc="9DAAFAD0">
      <w:start w:val="1"/>
      <w:numFmt w:val="bullet"/>
      <w:lvlText w:val=""/>
      <w:lvlJc w:val="left"/>
      <w:pPr>
        <w:ind w:left="1560" w:hanging="360"/>
      </w:pPr>
      <w:rPr>
        <w:rFonts w:ascii="Symbol" w:hAnsi="Symbol"/>
      </w:rPr>
    </w:lvl>
    <w:lvl w:ilvl="2" w:tplc="954AB608">
      <w:start w:val="1"/>
      <w:numFmt w:val="bullet"/>
      <w:lvlText w:val=""/>
      <w:lvlJc w:val="left"/>
      <w:pPr>
        <w:ind w:left="1560" w:hanging="360"/>
      </w:pPr>
      <w:rPr>
        <w:rFonts w:ascii="Symbol" w:hAnsi="Symbol"/>
      </w:rPr>
    </w:lvl>
    <w:lvl w:ilvl="3" w:tplc="F69E8C2A">
      <w:start w:val="1"/>
      <w:numFmt w:val="bullet"/>
      <w:lvlText w:val=""/>
      <w:lvlJc w:val="left"/>
      <w:pPr>
        <w:ind w:left="1560" w:hanging="360"/>
      </w:pPr>
      <w:rPr>
        <w:rFonts w:ascii="Symbol" w:hAnsi="Symbol"/>
      </w:rPr>
    </w:lvl>
    <w:lvl w:ilvl="4" w:tplc="A93CFE14">
      <w:start w:val="1"/>
      <w:numFmt w:val="bullet"/>
      <w:lvlText w:val=""/>
      <w:lvlJc w:val="left"/>
      <w:pPr>
        <w:ind w:left="1560" w:hanging="360"/>
      </w:pPr>
      <w:rPr>
        <w:rFonts w:ascii="Symbol" w:hAnsi="Symbol"/>
      </w:rPr>
    </w:lvl>
    <w:lvl w:ilvl="5" w:tplc="FF54C824">
      <w:start w:val="1"/>
      <w:numFmt w:val="bullet"/>
      <w:lvlText w:val=""/>
      <w:lvlJc w:val="left"/>
      <w:pPr>
        <w:ind w:left="1560" w:hanging="360"/>
      </w:pPr>
      <w:rPr>
        <w:rFonts w:ascii="Symbol" w:hAnsi="Symbol"/>
      </w:rPr>
    </w:lvl>
    <w:lvl w:ilvl="6" w:tplc="83389E58">
      <w:start w:val="1"/>
      <w:numFmt w:val="bullet"/>
      <w:lvlText w:val=""/>
      <w:lvlJc w:val="left"/>
      <w:pPr>
        <w:ind w:left="1560" w:hanging="360"/>
      </w:pPr>
      <w:rPr>
        <w:rFonts w:ascii="Symbol" w:hAnsi="Symbol"/>
      </w:rPr>
    </w:lvl>
    <w:lvl w:ilvl="7" w:tplc="268E7628">
      <w:start w:val="1"/>
      <w:numFmt w:val="bullet"/>
      <w:lvlText w:val=""/>
      <w:lvlJc w:val="left"/>
      <w:pPr>
        <w:ind w:left="1560" w:hanging="360"/>
      </w:pPr>
      <w:rPr>
        <w:rFonts w:ascii="Symbol" w:hAnsi="Symbol"/>
      </w:rPr>
    </w:lvl>
    <w:lvl w:ilvl="8" w:tplc="59F45EB4">
      <w:start w:val="1"/>
      <w:numFmt w:val="bullet"/>
      <w:lvlText w:val=""/>
      <w:lvlJc w:val="left"/>
      <w:pPr>
        <w:ind w:left="1560" w:hanging="360"/>
      </w:pPr>
      <w:rPr>
        <w:rFonts w:ascii="Symbol" w:hAnsi="Symbol"/>
      </w:rPr>
    </w:lvl>
  </w:abstractNum>
  <w:abstractNum w:abstractNumId="4" w15:restartNumberingAfterBreak="0">
    <w:nsid w:val="0B876588"/>
    <w:multiLevelType w:val="hybridMultilevel"/>
    <w:tmpl w:val="98C8CE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0F27EB"/>
    <w:multiLevelType w:val="hybridMultilevel"/>
    <w:tmpl w:val="C7F81D32"/>
    <w:lvl w:ilvl="0" w:tplc="8716BB64">
      <w:start w:val="1"/>
      <w:numFmt w:val="bullet"/>
      <w:lvlText w:val=""/>
      <w:lvlJc w:val="left"/>
      <w:pPr>
        <w:ind w:left="360" w:hanging="360"/>
      </w:pPr>
      <w:rPr>
        <w:rFonts w:ascii="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D2650C"/>
    <w:multiLevelType w:val="hybridMultilevel"/>
    <w:tmpl w:val="A740C270"/>
    <w:lvl w:ilvl="0" w:tplc="E3DE4EFE">
      <w:start w:val="1"/>
      <w:numFmt w:val="bullet"/>
      <w:lvlText w:val=""/>
      <w:lvlJc w:val="left"/>
      <w:pPr>
        <w:ind w:left="720" w:hanging="360"/>
      </w:pPr>
      <w:rPr>
        <w:rFonts w:ascii="Symbol" w:hAnsi="Symbol"/>
      </w:rPr>
    </w:lvl>
    <w:lvl w:ilvl="1" w:tplc="D7B6DC2C">
      <w:start w:val="1"/>
      <w:numFmt w:val="bullet"/>
      <w:lvlText w:val=""/>
      <w:lvlJc w:val="left"/>
      <w:pPr>
        <w:ind w:left="720" w:hanging="360"/>
      </w:pPr>
      <w:rPr>
        <w:rFonts w:ascii="Symbol" w:hAnsi="Symbol"/>
      </w:rPr>
    </w:lvl>
    <w:lvl w:ilvl="2" w:tplc="36EC4882">
      <w:start w:val="1"/>
      <w:numFmt w:val="bullet"/>
      <w:lvlText w:val=""/>
      <w:lvlJc w:val="left"/>
      <w:pPr>
        <w:ind w:left="720" w:hanging="360"/>
      </w:pPr>
      <w:rPr>
        <w:rFonts w:ascii="Symbol" w:hAnsi="Symbol"/>
      </w:rPr>
    </w:lvl>
    <w:lvl w:ilvl="3" w:tplc="F9D87FEE">
      <w:start w:val="1"/>
      <w:numFmt w:val="bullet"/>
      <w:lvlText w:val=""/>
      <w:lvlJc w:val="left"/>
      <w:pPr>
        <w:ind w:left="720" w:hanging="360"/>
      </w:pPr>
      <w:rPr>
        <w:rFonts w:ascii="Symbol" w:hAnsi="Symbol"/>
      </w:rPr>
    </w:lvl>
    <w:lvl w:ilvl="4" w:tplc="7550D89E">
      <w:start w:val="1"/>
      <w:numFmt w:val="bullet"/>
      <w:lvlText w:val=""/>
      <w:lvlJc w:val="left"/>
      <w:pPr>
        <w:ind w:left="720" w:hanging="360"/>
      </w:pPr>
      <w:rPr>
        <w:rFonts w:ascii="Symbol" w:hAnsi="Symbol"/>
      </w:rPr>
    </w:lvl>
    <w:lvl w:ilvl="5" w:tplc="AC20B1E2">
      <w:start w:val="1"/>
      <w:numFmt w:val="bullet"/>
      <w:lvlText w:val=""/>
      <w:lvlJc w:val="left"/>
      <w:pPr>
        <w:ind w:left="720" w:hanging="360"/>
      </w:pPr>
      <w:rPr>
        <w:rFonts w:ascii="Symbol" w:hAnsi="Symbol"/>
      </w:rPr>
    </w:lvl>
    <w:lvl w:ilvl="6" w:tplc="E12CD6FA">
      <w:start w:val="1"/>
      <w:numFmt w:val="bullet"/>
      <w:lvlText w:val=""/>
      <w:lvlJc w:val="left"/>
      <w:pPr>
        <w:ind w:left="720" w:hanging="360"/>
      </w:pPr>
      <w:rPr>
        <w:rFonts w:ascii="Symbol" w:hAnsi="Symbol"/>
      </w:rPr>
    </w:lvl>
    <w:lvl w:ilvl="7" w:tplc="EF6ED6AA">
      <w:start w:val="1"/>
      <w:numFmt w:val="bullet"/>
      <w:lvlText w:val=""/>
      <w:lvlJc w:val="left"/>
      <w:pPr>
        <w:ind w:left="720" w:hanging="360"/>
      </w:pPr>
      <w:rPr>
        <w:rFonts w:ascii="Symbol" w:hAnsi="Symbol"/>
      </w:rPr>
    </w:lvl>
    <w:lvl w:ilvl="8" w:tplc="DADCA44C">
      <w:start w:val="1"/>
      <w:numFmt w:val="bullet"/>
      <w:lvlText w:val=""/>
      <w:lvlJc w:val="left"/>
      <w:pPr>
        <w:ind w:left="720" w:hanging="360"/>
      </w:pPr>
      <w:rPr>
        <w:rFonts w:ascii="Symbol" w:hAnsi="Symbol"/>
      </w:rPr>
    </w:lvl>
  </w:abstractNum>
  <w:abstractNum w:abstractNumId="7" w15:restartNumberingAfterBreak="0">
    <w:nsid w:val="0F491312"/>
    <w:multiLevelType w:val="hybridMultilevel"/>
    <w:tmpl w:val="80C0E0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10594FE1"/>
    <w:multiLevelType w:val="hybridMultilevel"/>
    <w:tmpl w:val="D5387382"/>
    <w:lvl w:ilvl="0" w:tplc="C71C12C0">
      <w:start w:val="1"/>
      <w:numFmt w:val="bullet"/>
      <w:lvlText w:val=""/>
      <w:lvlJc w:val="left"/>
      <w:pPr>
        <w:ind w:left="360" w:hanging="360"/>
      </w:pPr>
      <w:rPr>
        <w:rFonts w:ascii="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4151AA"/>
    <w:multiLevelType w:val="hybridMultilevel"/>
    <w:tmpl w:val="492EE28A"/>
    <w:lvl w:ilvl="0" w:tplc="47701F54">
      <w:start w:val="1"/>
      <w:numFmt w:val="bullet"/>
      <w:lvlText w:val=""/>
      <w:lvlJc w:val="left"/>
      <w:pPr>
        <w:ind w:left="360" w:hanging="360"/>
      </w:pPr>
      <w:rPr>
        <w:rFonts w:ascii="Symbol" w:hAnsi="Symbol" w:hint="default"/>
        <w:sz w:val="24"/>
        <w:szCs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4192860"/>
    <w:multiLevelType w:val="hybridMultilevel"/>
    <w:tmpl w:val="274266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5CE2E0F"/>
    <w:multiLevelType w:val="hybridMultilevel"/>
    <w:tmpl w:val="7CD219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97553EB"/>
    <w:multiLevelType w:val="hybridMultilevel"/>
    <w:tmpl w:val="6BD2B7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ACA6350"/>
    <w:multiLevelType w:val="hybridMultilevel"/>
    <w:tmpl w:val="951E2F30"/>
    <w:lvl w:ilvl="0" w:tplc="90628E9A">
      <w:start w:val="1"/>
      <w:numFmt w:val="bullet"/>
      <w:lvlText w:val=""/>
      <w:lvlJc w:val="left"/>
      <w:pPr>
        <w:ind w:left="1440" w:hanging="360"/>
      </w:pPr>
      <w:rPr>
        <w:rFonts w:ascii="Symbol" w:hAnsi="Symbol"/>
      </w:rPr>
    </w:lvl>
    <w:lvl w:ilvl="1" w:tplc="4800A4F4">
      <w:start w:val="1"/>
      <w:numFmt w:val="bullet"/>
      <w:lvlText w:val=""/>
      <w:lvlJc w:val="left"/>
      <w:pPr>
        <w:ind w:left="1440" w:hanging="360"/>
      </w:pPr>
      <w:rPr>
        <w:rFonts w:ascii="Symbol" w:hAnsi="Symbol"/>
      </w:rPr>
    </w:lvl>
    <w:lvl w:ilvl="2" w:tplc="BE7E5C94">
      <w:start w:val="1"/>
      <w:numFmt w:val="bullet"/>
      <w:lvlText w:val=""/>
      <w:lvlJc w:val="left"/>
      <w:pPr>
        <w:ind w:left="1440" w:hanging="360"/>
      </w:pPr>
      <w:rPr>
        <w:rFonts w:ascii="Symbol" w:hAnsi="Symbol"/>
      </w:rPr>
    </w:lvl>
    <w:lvl w:ilvl="3" w:tplc="0EB4745A">
      <w:start w:val="1"/>
      <w:numFmt w:val="bullet"/>
      <w:lvlText w:val=""/>
      <w:lvlJc w:val="left"/>
      <w:pPr>
        <w:ind w:left="1440" w:hanging="360"/>
      </w:pPr>
      <w:rPr>
        <w:rFonts w:ascii="Symbol" w:hAnsi="Symbol"/>
      </w:rPr>
    </w:lvl>
    <w:lvl w:ilvl="4" w:tplc="36F25F5C">
      <w:start w:val="1"/>
      <w:numFmt w:val="bullet"/>
      <w:lvlText w:val=""/>
      <w:lvlJc w:val="left"/>
      <w:pPr>
        <w:ind w:left="1440" w:hanging="360"/>
      </w:pPr>
      <w:rPr>
        <w:rFonts w:ascii="Symbol" w:hAnsi="Symbol"/>
      </w:rPr>
    </w:lvl>
    <w:lvl w:ilvl="5" w:tplc="C08C4B5A">
      <w:start w:val="1"/>
      <w:numFmt w:val="bullet"/>
      <w:lvlText w:val=""/>
      <w:lvlJc w:val="left"/>
      <w:pPr>
        <w:ind w:left="1440" w:hanging="360"/>
      </w:pPr>
      <w:rPr>
        <w:rFonts w:ascii="Symbol" w:hAnsi="Symbol"/>
      </w:rPr>
    </w:lvl>
    <w:lvl w:ilvl="6" w:tplc="53CE9390">
      <w:start w:val="1"/>
      <w:numFmt w:val="bullet"/>
      <w:lvlText w:val=""/>
      <w:lvlJc w:val="left"/>
      <w:pPr>
        <w:ind w:left="1440" w:hanging="360"/>
      </w:pPr>
      <w:rPr>
        <w:rFonts w:ascii="Symbol" w:hAnsi="Symbol"/>
      </w:rPr>
    </w:lvl>
    <w:lvl w:ilvl="7" w:tplc="8A0C7944">
      <w:start w:val="1"/>
      <w:numFmt w:val="bullet"/>
      <w:lvlText w:val=""/>
      <w:lvlJc w:val="left"/>
      <w:pPr>
        <w:ind w:left="1440" w:hanging="360"/>
      </w:pPr>
      <w:rPr>
        <w:rFonts w:ascii="Symbol" w:hAnsi="Symbol"/>
      </w:rPr>
    </w:lvl>
    <w:lvl w:ilvl="8" w:tplc="B50ABDCA">
      <w:start w:val="1"/>
      <w:numFmt w:val="bullet"/>
      <w:lvlText w:val=""/>
      <w:lvlJc w:val="left"/>
      <w:pPr>
        <w:ind w:left="1440" w:hanging="360"/>
      </w:pPr>
      <w:rPr>
        <w:rFonts w:ascii="Symbol" w:hAnsi="Symbol"/>
      </w:rPr>
    </w:lvl>
  </w:abstractNum>
  <w:abstractNum w:abstractNumId="14" w15:restartNumberingAfterBreak="0">
    <w:nsid w:val="1CC608EB"/>
    <w:multiLevelType w:val="hybridMultilevel"/>
    <w:tmpl w:val="9B101F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1CFD4E05"/>
    <w:multiLevelType w:val="hybridMultilevel"/>
    <w:tmpl w:val="D930A5C0"/>
    <w:lvl w:ilvl="0" w:tplc="3BB03D76">
      <w:start w:val="1"/>
      <w:numFmt w:val="bullet"/>
      <w:lvlText w:val=""/>
      <w:lvlJc w:val="left"/>
      <w:pPr>
        <w:ind w:left="1560" w:hanging="360"/>
      </w:pPr>
      <w:rPr>
        <w:rFonts w:ascii="Symbol" w:hAnsi="Symbol"/>
      </w:rPr>
    </w:lvl>
    <w:lvl w:ilvl="1" w:tplc="26E45848">
      <w:start w:val="1"/>
      <w:numFmt w:val="bullet"/>
      <w:lvlText w:val=""/>
      <w:lvlJc w:val="left"/>
      <w:pPr>
        <w:ind w:left="1560" w:hanging="360"/>
      </w:pPr>
      <w:rPr>
        <w:rFonts w:ascii="Symbol" w:hAnsi="Symbol"/>
      </w:rPr>
    </w:lvl>
    <w:lvl w:ilvl="2" w:tplc="1F321762">
      <w:start w:val="1"/>
      <w:numFmt w:val="bullet"/>
      <w:lvlText w:val=""/>
      <w:lvlJc w:val="left"/>
      <w:pPr>
        <w:ind w:left="1560" w:hanging="360"/>
      </w:pPr>
      <w:rPr>
        <w:rFonts w:ascii="Symbol" w:hAnsi="Symbol"/>
      </w:rPr>
    </w:lvl>
    <w:lvl w:ilvl="3" w:tplc="8FB0F3FE">
      <w:start w:val="1"/>
      <w:numFmt w:val="bullet"/>
      <w:lvlText w:val=""/>
      <w:lvlJc w:val="left"/>
      <w:pPr>
        <w:ind w:left="1560" w:hanging="360"/>
      </w:pPr>
      <w:rPr>
        <w:rFonts w:ascii="Symbol" w:hAnsi="Symbol"/>
      </w:rPr>
    </w:lvl>
    <w:lvl w:ilvl="4" w:tplc="0B82EBBE">
      <w:start w:val="1"/>
      <w:numFmt w:val="bullet"/>
      <w:lvlText w:val=""/>
      <w:lvlJc w:val="left"/>
      <w:pPr>
        <w:ind w:left="1560" w:hanging="360"/>
      </w:pPr>
      <w:rPr>
        <w:rFonts w:ascii="Symbol" w:hAnsi="Symbol"/>
      </w:rPr>
    </w:lvl>
    <w:lvl w:ilvl="5" w:tplc="612428CE">
      <w:start w:val="1"/>
      <w:numFmt w:val="bullet"/>
      <w:lvlText w:val=""/>
      <w:lvlJc w:val="left"/>
      <w:pPr>
        <w:ind w:left="1560" w:hanging="360"/>
      </w:pPr>
      <w:rPr>
        <w:rFonts w:ascii="Symbol" w:hAnsi="Symbol"/>
      </w:rPr>
    </w:lvl>
    <w:lvl w:ilvl="6" w:tplc="C32C16B4">
      <w:start w:val="1"/>
      <w:numFmt w:val="bullet"/>
      <w:lvlText w:val=""/>
      <w:lvlJc w:val="left"/>
      <w:pPr>
        <w:ind w:left="1560" w:hanging="360"/>
      </w:pPr>
      <w:rPr>
        <w:rFonts w:ascii="Symbol" w:hAnsi="Symbol"/>
      </w:rPr>
    </w:lvl>
    <w:lvl w:ilvl="7" w:tplc="603099D0">
      <w:start w:val="1"/>
      <w:numFmt w:val="bullet"/>
      <w:lvlText w:val=""/>
      <w:lvlJc w:val="left"/>
      <w:pPr>
        <w:ind w:left="1560" w:hanging="360"/>
      </w:pPr>
      <w:rPr>
        <w:rFonts w:ascii="Symbol" w:hAnsi="Symbol"/>
      </w:rPr>
    </w:lvl>
    <w:lvl w:ilvl="8" w:tplc="4F26CDF8">
      <w:start w:val="1"/>
      <w:numFmt w:val="bullet"/>
      <w:lvlText w:val=""/>
      <w:lvlJc w:val="left"/>
      <w:pPr>
        <w:ind w:left="1560" w:hanging="360"/>
      </w:pPr>
      <w:rPr>
        <w:rFonts w:ascii="Symbol" w:hAnsi="Symbol"/>
      </w:rPr>
    </w:lvl>
  </w:abstractNum>
  <w:abstractNum w:abstractNumId="16" w15:restartNumberingAfterBreak="0">
    <w:nsid w:val="26136326"/>
    <w:multiLevelType w:val="hybridMultilevel"/>
    <w:tmpl w:val="941678E6"/>
    <w:lvl w:ilvl="0" w:tplc="0C090001">
      <w:start w:val="1"/>
      <w:numFmt w:val="bullet"/>
      <w:lvlText w:val=""/>
      <w:lvlJc w:val="left"/>
      <w:pPr>
        <w:ind w:left="720" w:hanging="360"/>
      </w:pPr>
      <w:rPr>
        <w:rFonts w:ascii="Symbol" w:hAnsi="Symbol" w:hint="default"/>
      </w:rPr>
    </w:lvl>
    <w:lvl w:ilvl="1" w:tplc="806E9358">
      <w:numFmt w:val="bullet"/>
      <w:lvlText w:val="•"/>
      <w:lvlJc w:val="left"/>
      <w:pPr>
        <w:ind w:left="1800" w:hanging="72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742523F"/>
    <w:multiLevelType w:val="hybridMultilevel"/>
    <w:tmpl w:val="32FAF0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83F2AB8"/>
    <w:multiLevelType w:val="hybridMultilevel"/>
    <w:tmpl w:val="3DDEC97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9" w15:restartNumberingAfterBreak="0">
    <w:nsid w:val="288C4D91"/>
    <w:multiLevelType w:val="hybridMultilevel"/>
    <w:tmpl w:val="C7AEEB96"/>
    <w:lvl w:ilvl="0" w:tplc="0C090001">
      <w:start w:val="1"/>
      <w:numFmt w:val="bullet"/>
      <w:lvlText w:val=""/>
      <w:lvlJc w:val="left"/>
      <w:pPr>
        <w:ind w:left="360" w:hanging="360"/>
      </w:pPr>
      <w:rPr>
        <w:rFonts w:ascii="Symbol" w:hAnsi="Symbol" w:hint="default"/>
      </w:rPr>
    </w:lvl>
    <w:lvl w:ilvl="1" w:tplc="AAF8835C">
      <w:start w:val="1"/>
      <w:numFmt w:val="bullet"/>
      <w:suff w:val="space"/>
      <w:lvlText w:val="o"/>
      <w:lvlJc w:val="left"/>
      <w:pPr>
        <w:ind w:left="267" w:hanging="267"/>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AA23A79"/>
    <w:multiLevelType w:val="hybridMultilevel"/>
    <w:tmpl w:val="C38C8B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2BEE0DCB"/>
    <w:multiLevelType w:val="hybridMultilevel"/>
    <w:tmpl w:val="B15A6D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DCB13C8"/>
    <w:multiLevelType w:val="hybridMultilevel"/>
    <w:tmpl w:val="27D46D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305567E3"/>
    <w:multiLevelType w:val="hybridMultilevel"/>
    <w:tmpl w:val="A13AD40E"/>
    <w:lvl w:ilvl="0" w:tplc="D2F6B480">
      <w:start w:val="1"/>
      <w:numFmt w:val="bullet"/>
      <w:lvlText w:val=""/>
      <w:lvlJc w:val="left"/>
      <w:pPr>
        <w:ind w:left="360" w:hanging="360"/>
      </w:pPr>
      <w:rPr>
        <w:rFonts w:ascii="Symbol" w:hAnsi="Symbol" w:hint="default"/>
        <w:sz w:val="24"/>
        <w:szCs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350244A5"/>
    <w:multiLevelType w:val="hybridMultilevel"/>
    <w:tmpl w:val="6CF8D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AB14E73"/>
    <w:multiLevelType w:val="hybridMultilevel"/>
    <w:tmpl w:val="BAF4BDF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F33524F"/>
    <w:multiLevelType w:val="hybridMultilevel"/>
    <w:tmpl w:val="BCF45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0F113F8"/>
    <w:multiLevelType w:val="hybridMultilevel"/>
    <w:tmpl w:val="7DE4FF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CC79CA"/>
    <w:multiLevelType w:val="hybridMultilevel"/>
    <w:tmpl w:val="128E4B30"/>
    <w:lvl w:ilvl="0" w:tplc="BE541DA8">
      <w:start w:val="1"/>
      <w:numFmt w:val="bullet"/>
      <w:lvlText w:val=""/>
      <w:lvlJc w:val="left"/>
      <w:pPr>
        <w:ind w:left="1560" w:hanging="360"/>
      </w:pPr>
      <w:rPr>
        <w:rFonts w:ascii="Symbol" w:hAnsi="Symbol"/>
      </w:rPr>
    </w:lvl>
    <w:lvl w:ilvl="1" w:tplc="0A5CEE10">
      <w:start w:val="1"/>
      <w:numFmt w:val="bullet"/>
      <w:lvlText w:val=""/>
      <w:lvlJc w:val="left"/>
      <w:pPr>
        <w:ind w:left="1560" w:hanging="360"/>
      </w:pPr>
      <w:rPr>
        <w:rFonts w:ascii="Symbol" w:hAnsi="Symbol"/>
      </w:rPr>
    </w:lvl>
    <w:lvl w:ilvl="2" w:tplc="A2EA5C8E">
      <w:start w:val="1"/>
      <w:numFmt w:val="bullet"/>
      <w:lvlText w:val=""/>
      <w:lvlJc w:val="left"/>
      <w:pPr>
        <w:ind w:left="1560" w:hanging="360"/>
      </w:pPr>
      <w:rPr>
        <w:rFonts w:ascii="Symbol" w:hAnsi="Symbol"/>
      </w:rPr>
    </w:lvl>
    <w:lvl w:ilvl="3" w:tplc="0A884EA6">
      <w:start w:val="1"/>
      <w:numFmt w:val="bullet"/>
      <w:lvlText w:val=""/>
      <w:lvlJc w:val="left"/>
      <w:pPr>
        <w:ind w:left="1560" w:hanging="360"/>
      </w:pPr>
      <w:rPr>
        <w:rFonts w:ascii="Symbol" w:hAnsi="Symbol"/>
      </w:rPr>
    </w:lvl>
    <w:lvl w:ilvl="4" w:tplc="C6C4E604">
      <w:start w:val="1"/>
      <w:numFmt w:val="bullet"/>
      <w:lvlText w:val=""/>
      <w:lvlJc w:val="left"/>
      <w:pPr>
        <w:ind w:left="1560" w:hanging="360"/>
      </w:pPr>
      <w:rPr>
        <w:rFonts w:ascii="Symbol" w:hAnsi="Symbol"/>
      </w:rPr>
    </w:lvl>
    <w:lvl w:ilvl="5" w:tplc="C95EB01E">
      <w:start w:val="1"/>
      <w:numFmt w:val="bullet"/>
      <w:lvlText w:val=""/>
      <w:lvlJc w:val="left"/>
      <w:pPr>
        <w:ind w:left="1560" w:hanging="360"/>
      </w:pPr>
      <w:rPr>
        <w:rFonts w:ascii="Symbol" w:hAnsi="Symbol"/>
      </w:rPr>
    </w:lvl>
    <w:lvl w:ilvl="6" w:tplc="0E043174">
      <w:start w:val="1"/>
      <w:numFmt w:val="bullet"/>
      <w:lvlText w:val=""/>
      <w:lvlJc w:val="left"/>
      <w:pPr>
        <w:ind w:left="1560" w:hanging="360"/>
      </w:pPr>
      <w:rPr>
        <w:rFonts w:ascii="Symbol" w:hAnsi="Symbol"/>
      </w:rPr>
    </w:lvl>
    <w:lvl w:ilvl="7" w:tplc="74B22AE0">
      <w:start w:val="1"/>
      <w:numFmt w:val="bullet"/>
      <w:lvlText w:val=""/>
      <w:lvlJc w:val="left"/>
      <w:pPr>
        <w:ind w:left="1560" w:hanging="360"/>
      </w:pPr>
      <w:rPr>
        <w:rFonts w:ascii="Symbol" w:hAnsi="Symbol"/>
      </w:rPr>
    </w:lvl>
    <w:lvl w:ilvl="8" w:tplc="3BDCE44A">
      <w:start w:val="1"/>
      <w:numFmt w:val="bullet"/>
      <w:lvlText w:val=""/>
      <w:lvlJc w:val="left"/>
      <w:pPr>
        <w:ind w:left="1560" w:hanging="360"/>
      </w:pPr>
      <w:rPr>
        <w:rFonts w:ascii="Symbol" w:hAnsi="Symbol"/>
      </w:rPr>
    </w:lvl>
  </w:abstractNum>
  <w:abstractNum w:abstractNumId="29" w15:restartNumberingAfterBreak="0">
    <w:nsid w:val="46D22289"/>
    <w:multiLevelType w:val="hybridMultilevel"/>
    <w:tmpl w:val="0858568E"/>
    <w:lvl w:ilvl="0" w:tplc="FCEA63B6">
      <w:start w:val="1"/>
      <w:numFmt w:val="bullet"/>
      <w:lvlText w:val=""/>
      <w:lvlJc w:val="left"/>
      <w:pPr>
        <w:ind w:left="1080" w:hanging="360"/>
      </w:pPr>
      <w:rPr>
        <w:rFonts w:ascii="Symbol" w:hAnsi="Symbol"/>
      </w:rPr>
    </w:lvl>
    <w:lvl w:ilvl="1" w:tplc="E7EE4CF4">
      <w:start w:val="1"/>
      <w:numFmt w:val="bullet"/>
      <w:lvlText w:val=""/>
      <w:lvlJc w:val="left"/>
      <w:pPr>
        <w:ind w:left="1440" w:hanging="360"/>
      </w:pPr>
      <w:rPr>
        <w:rFonts w:ascii="Symbol" w:hAnsi="Symbol"/>
      </w:rPr>
    </w:lvl>
    <w:lvl w:ilvl="2" w:tplc="65AE3800">
      <w:start w:val="1"/>
      <w:numFmt w:val="bullet"/>
      <w:lvlText w:val=""/>
      <w:lvlJc w:val="left"/>
      <w:pPr>
        <w:ind w:left="1080" w:hanging="360"/>
      </w:pPr>
      <w:rPr>
        <w:rFonts w:ascii="Symbol" w:hAnsi="Symbol"/>
      </w:rPr>
    </w:lvl>
    <w:lvl w:ilvl="3" w:tplc="A61035D8">
      <w:start w:val="1"/>
      <w:numFmt w:val="bullet"/>
      <w:lvlText w:val=""/>
      <w:lvlJc w:val="left"/>
      <w:pPr>
        <w:ind w:left="1080" w:hanging="360"/>
      </w:pPr>
      <w:rPr>
        <w:rFonts w:ascii="Symbol" w:hAnsi="Symbol"/>
      </w:rPr>
    </w:lvl>
    <w:lvl w:ilvl="4" w:tplc="1130B6EC">
      <w:start w:val="1"/>
      <w:numFmt w:val="bullet"/>
      <w:lvlText w:val=""/>
      <w:lvlJc w:val="left"/>
      <w:pPr>
        <w:ind w:left="1080" w:hanging="360"/>
      </w:pPr>
      <w:rPr>
        <w:rFonts w:ascii="Symbol" w:hAnsi="Symbol"/>
      </w:rPr>
    </w:lvl>
    <w:lvl w:ilvl="5" w:tplc="0004FF66">
      <w:start w:val="1"/>
      <w:numFmt w:val="bullet"/>
      <w:lvlText w:val=""/>
      <w:lvlJc w:val="left"/>
      <w:pPr>
        <w:ind w:left="1080" w:hanging="360"/>
      </w:pPr>
      <w:rPr>
        <w:rFonts w:ascii="Symbol" w:hAnsi="Symbol"/>
      </w:rPr>
    </w:lvl>
    <w:lvl w:ilvl="6" w:tplc="95566C52">
      <w:start w:val="1"/>
      <w:numFmt w:val="bullet"/>
      <w:lvlText w:val=""/>
      <w:lvlJc w:val="left"/>
      <w:pPr>
        <w:ind w:left="1080" w:hanging="360"/>
      </w:pPr>
      <w:rPr>
        <w:rFonts w:ascii="Symbol" w:hAnsi="Symbol"/>
      </w:rPr>
    </w:lvl>
    <w:lvl w:ilvl="7" w:tplc="044C10EE">
      <w:start w:val="1"/>
      <w:numFmt w:val="bullet"/>
      <w:lvlText w:val=""/>
      <w:lvlJc w:val="left"/>
      <w:pPr>
        <w:ind w:left="1080" w:hanging="360"/>
      </w:pPr>
      <w:rPr>
        <w:rFonts w:ascii="Symbol" w:hAnsi="Symbol"/>
      </w:rPr>
    </w:lvl>
    <w:lvl w:ilvl="8" w:tplc="F4E69BB8">
      <w:start w:val="1"/>
      <w:numFmt w:val="bullet"/>
      <w:lvlText w:val=""/>
      <w:lvlJc w:val="left"/>
      <w:pPr>
        <w:ind w:left="1080" w:hanging="360"/>
      </w:pPr>
      <w:rPr>
        <w:rFonts w:ascii="Symbol" w:hAnsi="Symbol"/>
      </w:rPr>
    </w:lvl>
  </w:abstractNum>
  <w:abstractNum w:abstractNumId="30" w15:restartNumberingAfterBreak="0">
    <w:nsid w:val="47B77265"/>
    <w:multiLevelType w:val="hybridMultilevel"/>
    <w:tmpl w:val="A718D5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DF73FD8"/>
    <w:multiLevelType w:val="hybridMultilevel"/>
    <w:tmpl w:val="E67258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502436DB"/>
    <w:multiLevelType w:val="hybridMultilevel"/>
    <w:tmpl w:val="46382C10"/>
    <w:lvl w:ilvl="0" w:tplc="E7763A46">
      <w:start w:val="1"/>
      <w:numFmt w:val="bullet"/>
      <w:lvlText w:val=""/>
      <w:lvlJc w:val="left"/>
      <w:pPr>
        <w:ind w:left="360" w:hanging="360"/>
      </w:pPr>
      <w:rPr>
        <w:rFonts w:ascii="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0E53069"/>
    <w:multiLevelType w:val="hybridMultilevel"/>
    <w:tmpl w:val="AE3495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43D6081"/>
    <w:multiLevelType w:val="hybridMultilevel"/>
    <w:tmpl w:val="22E62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4B5631F"/>
    <w:multiLevelType w:val="hybridMultilevel"/>
    <w:tmpl w:val="B8424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A4135CF"/>
    <w:multiLevelType w:val="hybridMultilevel"/>
    <w:tmpl w:val="2D06C9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C8B07E9"/>
    <w:multiLevelType w:val="hybridMultilevel"/>
    <w:tmpl w:val="693CA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CE57EF2"/>
    <w:multiLevelType w:val="hybridMultilevel"/>
    <w:tmpl w:val="CE006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D6535EC"/>
    <w:multiLevelType w:val="hybridMultilevel"/>
    <w:tmpl w:val="B0F683D2"/>
    <w:lvl w:ilvl="0" w:tplc="8ABE21BA">
      <w:start w:val="1"/>
      <w:numFmt w:val="bullet"/>
      <w:lvlText w:val=""/>
      <w:lvlJc w:val="left"/>
      <w:pPr>
        <w:ind w:left="360" w:hanging="360"/>
      </w:pPr>
      <w:rPr>
        <w:rFonts w:ascii="Symbol" w:hAnsi="Symbol" w:hint="default"/>
        <w:sz w:val="24"/>
        <w:szCs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619F605D"/>
    <w:multiLevelType w:val="hybridMultilevel"/>
    <w:tmpl w:val="21D8D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2580686"/>
    <w:multiLevelType w:val="hybridMultilevel"/>
    <w:tmpl w:val="A1744E9A"/>
    <w:lvl w:ilvl="0" w:tplc="C85E59C2">
      <w:start w:val="1"/>
      <w:numFmt w:val="bullet"/>
      <w:lvlText w:val=""/>
      <w:lvlJc w:val="left"/>
      <w:pPr>
        <w:ind w:left="360" w:hanging="360"/>
      </w:pPr>
      <w:rPr>
        <w:rFonts w:ascii="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C844007"/>
    <w:multiLevelType w:val="hybridMultilevel"/>
    <w:tmpl w:val="24240674"/>
    <w:lvl w:ilvl="0" w:tplc="FA2291BE">
      <w:start w:val="1"/>
      <w:numFmt w:val="bullet"/>
      <w:lvlText w:val=""/>
      <w:lvlJc w:val="left"/>
      <w:pPr>
        <w:ind w:left="1080" w:hanging="360"/>
      </w:pPr>
      <w:rPr>
        <w:rFonts w:ascii="Symbol" w:hAnsi="Symbol"/>
      </w:rPr>
    </w:lvl>
    <w:lvl w:ilvl="1" w:tplc="BC488650">
      <w:start w:val="1"/>
      <w:numFmt w:val="bullet"/>
      <w:lvlText w:val=""/>
      <w:lvlJc w:val="left"/>
      <w:pPr>
        <w:ind w:left="1080" w:hanging="360"/>
      </w:pPr>
      <w:rPr>
        <w:rFonts w:ascii="Symbol" w:hAnsi="Symbol"/>
      </w:rPr>
    </w:lvl>
    <w:lvl w:ilvl="2" w:tplc="418E5042">
      <w:start w:val="1"/>
      <w:numFmt w:val="bullet"/>
      <w:lvlText w:val=""/>
      <w:lvlJc w:val="left"/>
      <w:pPr>
        <w:ind w:left="1080" w:hanging="360"/>
      </w:pPr>
      <w:rPr>
        <w:rFonts w:ascii="Symbol" w:hAnsi="Symbol"/>
      </w:rPr>
    </w:lvl>
    <w:lvl w:ilvl="3" w:tplc="43349344">
      <w:start w:val="1"/>
      <w:numFmt w:val="bullet"/>
      <w:lvlText w:val=""/>
      <w:lvlJc w:val="left"/>
      <w:pPr>
        <w:ind w:left="1080" w:hanging="360"/>
      </w:pPr>
      <w:rPr>
        <w:rFonts w:ascii="Symbol" w:hAnsi="Symbol"/>
      </w:rPr>
    </w:lvl>
    <w:lvl w:ilvl="4" w:tplc="3F3AF51E">
      <w:start w:val="1"/>
      <w:numFmt w:val="bullet"/>
      <w:lvlText w:val=""/>
      <w:lvlJc w:val="left"/>
      <w:pPr>
        <w:ind w:left="1080" w:hanging="360"/>
      </w:pPr>
      <w:rPr>
        <w:rFonts w:ascii="Symbol" w:hAnsi="Symbol"/>
      </w:rPr>
    </w:lvl>
    <w:lvl w:ilvl="5" w:tplc="212620D6">
      <w:start w:val="1"/>
      <w:numFmt w:val="bullet"/>
      <w:lvlText w:val=""/>
      <w:lvlJc w:val="left"/>
      <w:pPr>
        <w:ind w:left="1080" w:hanging="360"/>
      </w:pPr>
      <w:rPr>
        <w:rFonts w:ascii="Symbol" w:hAnsi="Symbol"/>
      </w:rPr>
    </w:lvl>
    <w:lvl w:ilvl="6" w:tplc="208E2F1A">
      <w:start w:val="1"/>
      <w:numFmt w:val="bullet"/>
      <w:lvlText w:val=""/>
      <w:lvlJc w:val="left"/>
      <w:pPr>
        <w:ind w:left="1080" w:hanging="360"/>
      </w:pPr>
      <w:rPr>
        <w:rFonts w:ascii="Symbol" w:hAnsi="Symbol"/>
      </w:rPr>
    </w:lvl>
    <w:lvl w:ilvl="7" w:tplc="6F741DD0">
      <w:start w:val="1"/>
      <w:numFmt w:val="bullet"/>
      <w:lvlText w:val=""/>
      <w:lvlJc w:val="left"/>
      <w:pPr>
        <w:ind w:left="1080" w:hanging="360"/>
      </w:pPr>
      <w:rPr>
        <w:rFonts w:ascii="Symbol" w:hAnsi="Symbol"/>
      </w:rPr>
    </w:lvl>
    <w:lvl w:ilvl="8" w:tplc="003C47D6">
      <w:start w:val="1"/>
      <w:numFmt w:val="bullet"/>
      <w:lvlText w:val=""/>
      <w:lvlJc w:val="left"/>
      <w:pPr>
        <w:ind w:left="1080" w:hanging="360"/>
      </w:pPr>
      <w:rPr>
        <w:rFonts w:ascii="Symbol" w:hAnsi="Symbol"/>
      </w:rPr>
    </w:lvl>
  </w:abstractNum>
  <w:abstractNum w:abstractNumId="43" w15:restartNumberingAfterBreak="0">
    <w:nsid w:val="6EF45E55"/>
    <w:multiLevelType w:val="hybridMultilevel"/>
    <w:tmpl w:val="767833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F3E7E6A"/>
    <w:multiLevelType w:val="hybridMultilevel"/>
    <w:tmpl w:val="187495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5EE6C38"/>
    <w:multiLevelType w:val="hybridMultilevel"/>
    <w:tmpl w:val="C3A4EB9C"/>
    <w:lvl w:ilvl="0" w:tplc="5A6423FA">
      <w:start w:val="1"/>
      <w:numFmt w:val="bullet"/>
      <w:lvlText w:val=""/>
      <w:lvlJc w:val="left"/>
      <w:pPr>
        <w:ind w:left="1560" w:hanging="360"/>
      </w:pPr>
      <w:rPr>
        <w:rFonts w:ascii="Symbol" w:hAnsi="Symbol"/>
      </w:rPr>
    </w:lvl>
    <w:lvl w:ilvl="1" w:tplc="746E2270">
      <w:start w:val="1"/>
      <w:numFmt w:val="bullet"/>
      <w:lvlText w:val=""/>
      <w:lvlJc w:val="left"/>
      <w:pPr>
        <w:ind w:left="1560" w:hanging="360"/>
      </w:pPr>
      <w:rPr>
        <w:rFonts w:ascii="Symbol" w:hAnsi="Symbol"/>
      </w:rPr>
    </w:lvl>
    <w:lvl w:ilvl="2" w:tplc="7E808574">
      <w:start w:val="1"/>
      <w:numFmt w:val="bullet"/>
      <w:lvlText w:val=""/>
      <w:lvlJc w:val="left"/>
      <w:pPr>
        <w:ind w:left="1560" w:hanging="360"/>
      </w:pPr>
      <w:rPr>
        <w:rFonts w:ascii="Symbol" w:hAnsi="Symbol"/>
      </w:rPr>
    </w:lvl>
    <w:lvl w:ilvl="3" w:tplc="149037BE">
      <w:start w:val="1"/>
      <w:numFmt w:val="bullet"/>
      <w:lvlText w:val=""/>
      <w:lvlJc w:val="left"/>
      <w:pPr>
        <w:ind w:left="1560" w:hanging="360"/>
      </w:pPr>
      <w:rPr>
        <w:rFonts w:ascii="Symbol" w:hAnsi="Symbol"/>
      </w:rPr>
    </w:lvl>
    <w:lvl w:ilvl="4" w:tplc="036EE30A">
      <w:start w:val="1"/>
      <w:numFmt w:val="bullet"/>
      <w:lvlText w:val=""/>
      <w:lvlJc w:val="left"/>
      <w:pPr>
        <w:ind w:left="1560" w:hanging="360"/>
      </w:pPr>
      <w:rPr>
        <w:rFonts w:ascii="Symbol" w:hAnsi="Symbol"/>
      </w:rPr>
    </w:lvl>
    <w:lvl w:ilvl="5" w:tplc="7D5CAADA">
      <w:start w:val="1"/>
      <w:numFmt w:val="bullet"/>
      <w:lvlText w:val=""/>
      <w:lvlJc w:val="left"/>
      <w:pPr>
        <w:ind w:left="1560" w:hanging="360"/>
      </w:pPr>
      <w:rPr>
        <w:rFonts w:ascii="Symbol" w:hAnsi="Symbol"/>
      </w:rPr>
    </w:lvl>
    <w:lvl w:ilvl="6" w:tplc="1B4C8C3C">
      <w:start w:val="1"/>
      <w:numFmt w:val="bullet"/>
      <w:lvlText w:val=""/>
      <w:lvlJc w:val="left"/>
      <w:pPr>
        <w:ind w:left="1560" w:hanging="360"/>
      </w:pPr>
      <w:rPr>
        <w:rFonts w:ascii="Symbol" w:hAnsi="Symbol"/>
      </w:rPr>
    </w:lvl>
    <w:lvl w:ilvl="7" w:tplc="7B586914">
      <w:start w:val="1"/>
      <w:numFmt w:val="bullet"/>
      <w:lvlText w:val=""/>
      <w:lvlJc w:val="left"/>
      <w:pPr>
        <w:ind w:left="1560" w:hanging="360"/>
      </w:pPr>
      <w:rPr>
        <w:rFonts w:ascii="Symbol" w:hAnsi="Symbol"/>
      </w:rPr>
    </w:lvl>
    <w:lvl w:ilvl="8" w:tplc="92B4AA18">
      <w:start w:val="1"/>
      <w:numFmt w:val="bullet"/>
      <w:lvlText w:val=""/>
      <w:lvlJc w:val="left"/>
      <w:pPr>
        <w:ind w:left="1560" w:hanging="360"/>
      </w:pPr>
      <w:rPr>
        <w:rFonts w:ascii="Symbol" w:hAnsi="Symbol"/>
      </w:rPr>
    </w:lvl>
  </w:abstractNum>
  <w:abstractNum w:abstractNumId="46" w15:restartNumberingAfterBreak="0">
    <w:nsid w:val="7A2B1B44"/>
    <w:multiLevelType w:val="hybridMultilevel"/>
    <w:tmpl w:val="8C180C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D6B5224"/>
    <w:multiLevelType w:val="multilevel"/>
    <w:tmpl w:val="D0025D30"/>
    <w:name w:val="StandardBulletedList"/>
    <w:lvl w:ilvl="0">
      <w:start w:val="1"/>
      <w:numFmt w:val="bullet"/>
      <w:pStyle w:val="Bullet"/>
      <w:lvlText w:val="•"/>
      <w:lvlJc w:val="left"/>
      <w:pPr>
        <w:tabs>
          <w:tab w:val="num" w:pos="520"/>
        </w:tabs>
        <w:ind w:left="284" w:hanging="284"/>
      </w:pPr>
      <w:rPr>
        <w:rFonts w:ascii="Times New Roman" w:hAnsi="Times New Roman" w:cs="Times New Roman" w:hint="default"/>
        <w:color w:val="auto"/>
      </w:rPr>
    </w:lvl>
    <w:lvl w:ilvl="1">
      <w:start w:val="1"/>
      <w:numFmt w:val="bullet"/>
      <w:pStyle w:val="Dash"/>
      <w:lvlText w:val="–"/>
      <w:lvlJc w:val="left"/>
      <w:pPr>
        <w:tabs>
          <w:tab w:val="num" w:pos="804"/>
        </w:tabs>
        <w:ind w:left="568" w:hanging="284"/>
      </w:pPr>
      <w:rPr>
        <w:rFonts w:ascii="Times New Roman" w:hAnsi="Times New Roman" w:cs="Times New Roman" w:hint="default"/>
      </w:rPr>
    </w:lvl>
    <w:lvl w:ilvl="2">
      <w:start w:val="1"/>
      <w:numFmt w:val="bullet"/>
      <w:pStyle w:val="DoubleDot"/>
      <w:lvlText w:val=":"/>
      <w:lvlJc w:val="left"/>
      <w:pPr>
        <w:tabs>
          <w:tab w:val="num" w:pos="1088"/>
        </w:tabs>
        <w:ind w:left="852" w:hanging="284"/>
      </w:pPr>
      <w:rPr>
        <w:rFonts w:ascii="Times New Roman" w:hAnsi="Times New Roman" w:cs="Times New Roman" w:hint="default"/>
      </w:rPr>
    </w:lvl>
    <w:lvl w:ilvl="3">
      <w:start w:val="1"/>
      <w:numFmt w:val="decimal"/>
      <w:lvlText w:val="(%4)"/>
      <w:lvlJc w:val="left"/>
      <w:pPr>
        <w:tabs>
          <w:tab w:val="num" w:pos="1372"/>
        </w:tabs>
        <w:ind w:left="1136" w:hanging="284"/>
      </w:pPr>
      <w:rPr>
        <w:rFonts w:hint="default"/>
      </w:rPr>
    </w:lvl>
    <w:lvl w:ilvl="4">
      <w:start w:val="1"/>
      <w:numFmt w:val="lowerLetter"/>
      <w:lvlText w:val="(%5)"/>
      <w:lvlJc w:val="left"/>
      <w:pPr>
        <w:tabs>
          <w:tab w:val="num" w:pos="1656"/>
        </w:tabs>
        <w:ind w:left="1420" w:hanging="284"/>
      </w:pPr>
      <w:rPr>
        <w:rFonts w:hint="default"/>
      </w:rPr>
    </w:lvl>
    <w:lvl w:ilvl="5">
      <w:start w:val="1"/>
      <w:numFmt w:val="lowerRoman"/>
      <w:lvlText w:val="(%6)"/>
      <w:lvlJc w:val="left"/>
      <w:pPr>
        <w:tabs>
          <w:tab w:val="num" w:pos="1940"/>
        </w:tabs>
        <w:ind w:left="1704" w:hanging="284"/>
      </w:pPr>
      <w:rPr>
        <w:rFonts w:hint="default"/>
      </w:rPr>
    </w:lvl>
    <w:lvl w:ilvl="6">
      <w:start w:val="1"/>
      <w:numFmt w:val="decimal"/>
      <w:lvlText w:val="%7."/>
      <w:lvlJc w:val="left"/>
      <w:pPr>
        <w:tabs>
          <w:tab w:val="num" w:pos="2224"/>
        </w:tabs>
        <w:ind w:left="1988" w:hanging="284"/>
      </w:pPr>
      <w:rPr>
        <w:rFonts w:hint="default"/>
      </w:rPr>
    </w:lvl>
    <w:lvl w:ilvl="7">
      <w:start w:val="1"/>
      <w:numFmt w:val="lowerLetter"/>
      <w:lvlText w:val="%8."/>
      <w:lvlJc w:val="left"/>
      <w:pPr>
        <w:tabs>
          <w:tab w:val="num" w:pos="2508"/>
        </w:tabs>
        <w:ind w:left="2272" w:hanging="284"/>
      </w:pPr>
      <w:rPr>
        <w:rFonts w:hint="default"/>
      </w:rPr>
    </w:lvl>
    <w:lvl w:ilvl="8">
      <w:start w:val="1"/>
      <w:numFmt w:val="lowerRoman"/>
      <w:lvlText w:val="%9."/>
      <w:lvlJc w:val="left"/>
      <w:pPr>
        <w:tabs>
          <w:tab w:val="num" w:pos="2792"/>
        </w:tabs>
        <w:ind w:left="2556" w:hanging="284"/>
      </w:pPr>
      <w:rPr>
        <w:rFonts w:hint="default"/>
      </w:rPr>
    </w:lvl>
  </w:abstractNum>
  <w:num w:numId="1" w16cid:durableId="169878619">
    <w:abstractNumId w:val="0"/>
  </w:num>
  <w:num w:numId="2" w16cid:durableId="2025276919">
    <w:abstractNumId w:val="37"/>
  </w:num>
  <w:num w:numId="3" w16cid:durableId="26564432">
    <w:abstractNumId w:val="44"/>
  </w:num>
  <w:num w:numId="4" w16cid:durableId="1202205431">
    <w:abstractNumId w:val="38"/>
  </w:num>
  <w:num w:numId="5" w16cid:durableId="1749383363">
    <w:abstractNumId w:val="10"/>
  </w:num>
  <w:num w:numId="6" w16cid:durableId="88040146">
    <w:abstractNumId w:val="34"/>
  </w:num>
  <w:num w:numId="7" w16cid:durableId="1157766763">
    <w:abstractNumId w:val="23"/>
  </w:num>
  <w:num w:numId="8" w16cid:durableId="1715304508">
    <w:abstractNumId w:val="9"/>
  </w:num>
  <w:num w:numId="9" w16cid:durableId="517429043">
    <w:abstractNumId w:val="17"/>
  </w:num>
  <w:num w:numId="10" w16cid:durableId="1632009966">
    <w:abstractNumId w:val="39"/>
  </w:num>
  <w:num w:numId="11" w16cid:durableId="1515418424">
    <w:abstractNumId w:val="20"/>
  </w:num>
  <w:num w:numId="12" w16cid:durableId="1531605878">
    <w:abstractNumId w:val="33"/>
  </w:num>
  <w:num w:numId="13" w16cid:durableId="574512072">
    <w:abstractNumId w:val="40"/>
  </w:num>
  <w:num w:numId="14" w16cid:durableId="921380636">
    <w:abstractNumId w:val="16"/>
  </w:num>
  <w:num w:numId="15" w16cid:durableId="2074962848">
    <w:abstractNumId w:val="18"/>
  </w:num>
  <w:num w:numId="16" w16cid:durableId="1923027219">
    <w:abstractNumId w:val="5"/>
  </w:num>
  <w:num w:numId="17" w16cid:durableId="706877809">
    <w:abstractNumId w:val="12"/>
  </w:num>
  <w:num w:numId="18" w16cid:durableId="941645435">
    <w:abstractNumId w:val="19"/>
  </w:num>
  <w:num w:numId="19" w16cid:durableId="1415974856">
    <w:abstractNumId w:val="8"/>
  </w:num>
  <w:num w:numId="20" w16cid:durableId="682515859">
    <w:abstractNumId w:val="4"/>
  </w:num>
  <w:num w:numId="21" w16cid:durableId="210576641">
    <w:abstractNumId w:val="2"/>
  </w:num>
  <w:num w:numId="22" w16cid:durableId="1123619958">
    <w:abstractNumId w:val="25"/>
  </w:num>
  <w:num w:numId="23" w16cid:durableId="559286952">
    <w:abstractNumId w:val="43"/>
  </w:num>
  <w:num w:numId="24" w16cid:durableId="1939873307">
    <w:abstractNumId w:val="36"/>
  </w:num>
  <w:num w:numId="25" w16cid:durableId="885026506">
    <w:abstractNumId w:val="46"/>
  </w:num>
  <w:num w:numId="26" w16cid:durableId="177547981">
    <w:abstractNumId w:val="21"/>
  </w:num>
  <w:num w:numId="27" w16cid:durableId="794173585">
    <w:abstractNumId w:val="32"/>
  </w:num>
  <w:num w:numId="28" w16cid:durableId="421997022">
    <w:abstractNumId w:val="27"/>
  </w:num>
  <w:num w:numId="29" w16cid:durableId="1907061498">
    <w:abstractNumId w:val="41"/>
  </w:num>
  <w:num w:numId="30" w16cid:durableId="512453741">
    <w:abstractNumId w:val="22"/>
  </w:num>
  <w:num w:numId="31" w16cid:durableId="1488671119">
    <w:abstractNumId w:val="30"/>
  </w:num>
  <w:num w:numId="32" w16cid:durableId="370157643">
    <w:abstractNumId w:val="14"/>
  </w:num>
  <w:num w:numId="33" w16cid:durableId="50079688">
    <w:abstractNumId w:val="11"/>
  </w:num>
  <w:num w:numId="34" w16cid:durableId="921597495">
    <w:abstractNumId w:val="31"/>
  </w:num>
  <w:num w:numId="35" w16cid:durableId="683361376">
    <w:abstractNumId w:val="42"/>
  </w:num>
  <w:num w:numId="36" w16cid:durableId="1181816022">
    <w:abstractNumId w:val="6"/>
  </w:num>
  <w:num w:numId="37" w16cid:durableId="1357585540">
    <w:abstractNumId w:val="3"/>
  </w:num>
  <w:num w:numId="38" w16cid:durableId="296230629">
    <w:abstractNumId w:val="15"/>
  </w:num>
  <w:num w:numId="39" w16cid:durableId="2053067659">
    <w:abstractNumId w:val="45"/>
  </w:num>
  <w:num w:numId="40" w16cid:durableId="1364787585">
    <w:abstractNumId w:val="28"/>
  </w:num>
  <w:num w:numId="41" w16cid:durableId="1455251550">
    <w:abstractNumId w:val="47"/>
  </w:num>
  <w:num w:numId="42" w16cid:durableId="415981110">
    <w:abstractNumId w:val="1"/>
  </w:num>
  <w:num w:numId="43" w16cid:durableId="1089306176">
    <w:abstractNumId w:val="29"/>
  </w:num>
  <w:num w:numId="44" w16cid:durableId="1156071340">
    <w:abstractNumId w:val="13"/>
  </w:num>
  <w:num w:numId="45" w16cid:durableId="1698238786">
    <w:abstractNumId w:val="26"/>
  </w:num>
  <w:num w:numId="46" w16cid:durableId="793408253">
    <w:abstractNumId w:val="24"/>
  </w:num>
  <w:num w:numId="47" w16cid:durableId="1330063384">
    <w:abstractNumId w:val="7"/>
  </w:num>
  <w:num w:numId="48" w16cid:durableId="118376481">
    <w:abstractNumId w:val="3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removePersonalInformation/>
  <w:removeDateAndTime/>
  <w:proofState w:spelling="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541"/>
    <w:rsid w:val="000004C0"/>
    <w:rsid w:val="0000119F"/>
    <w:rsid w:val="000018F5"/>
    <w:rsid w:val="00001A38"/>
    <w:rsid w:val="00001A7A"/>
    <w:rsid w:val="00002226"/>
    <w:rsid w:val="00002A03"/>
    <w:rsid w:val="00002B96"/>
    <w:rsid w:val="00002BBE"/>
    <w:rsid w:val="000035A1"/>
    <w:rsid w:val="00003936"/>
    <w:rsid w:val="00004270"/>
    <w:rsid w:val="00005A5C"/>
    <w:rsid w:val="00005B88"/>
    <w:rsid w:val="00005BD2"/>
    <w:rsid w:val="00005E65"/>
    <w:rsid w:val="00005F34"/>
    <w:rsid w:val="0000634B"/>
    <w:rsid w:val="00006587"/>
    <w:rsid w:val="00006A3A"/>
    <w:rsid w:val="00006A62"/>
    <w:rsid w:val="00006AA4"/>
    <w:rsid w:val="00006F52"/>
    <w:rsid w:val="0000714F"/>
    <w:rsid w:val="00007D17"/>
    <w:rsid w:val="00007E83"/>
    <w:rsid w:val="00007E89"/>
    <w:rsid w:val="0000AEC1"/>
    <w:rsid w:val="000101C9"/>
    <w:rsid w:val="00010948"/>
    <w:rsid w:val="00010AFA"/>
    <w:rsid w:val="00010F63"/>
    <w:rsid w:val="0001115F"/>
    <w:rsid w:val="00011511"/>
    <w:rsid w:val="00011765"/>
    <w:rsid w:val="00011D5D"/>
    <w:rsid w:val="00011E77"/>
    <w:rsid w:val="000120FF"/>
    <w:rsid w:val="0001240D"/>
    <w:rsid w:val="000127A4"/>
    <w:rsid w:val="00012C56"/>
    <w:rsid w:val="00012CE5"/>
    <w:rsid w:val="00012F09"/>
    <w:rsid w:val="00013135"/>
    <w:rsid w:val="00013338"/>
    <w:rsid w:val="00013A13"/>
    <w:rsid w:val="000144B9"/>
    <w:rsid w:val="000144F1"/>
    <w:rsid w:val="00015139"/>
    <w:rsid w:val="000151F1"/>
    <w:rsid w:val="00015607"/>
    <w:rsid w:val="0001581A"/>
    <w:rsid w:val="000159AA"/>
    <w:rsid w:val="00015D16"/>
    <w:rsid w:val="00015E70"/>
    <w:rsid w:val="0001686C"/>
    <w:rsid w:val="00016C9E"/>
    <w:rsid w:val="000174DE"/>
    <w:rsid w:val="0001758B"/>
    <w:rsid w:val="000176AC"/>
    <w:rsid w:val="00017CD8"/>
    <w:rsid w:val="00017F80"/>
    <w:rsid w:val="00020233"/>
    <w:rsid w:val="00020D9A"/>
    <w:rsid w:val="00021C55"/>
    <w:rsid w:val="00021CF6"/>
    <w:rsid w:val="00022341"/>
    <w:rsid w:val="000226FE"/>
    <w:rsid w:val="00022E93"/>
    <w:rsid w:val="00023382"/>
    <w:rsid w:val="00023411"/>
    <w:rsid w:val="0002384F"/>
    <w:rsid w:val="00023D45"/>
    <w:rsid w:val="00024593"/>
    <w:rsid w:val="00024F39"/>
    <w:rsid w:val="000250F8"/>
    <w:rsid w:val="000255DA"/>
    <w:rsid w:val="00025660"/>
    <w:rsid w:val="00025E0E"/>
    <w:rsid w:val="00025E31"/>
    <w:rsid w:val="00025EAF"/>
    <w:rsid w:val="000264BF"/>
    <w:rsid w:val="0002679B"/>
    <w:rsid w:val="00026E69"/>
    <w:rsid w:val="00026FE9"/>
    <w:rsid w:val="00027087"/>
    <w:rsid w:val="0002753B"/>
    <w:rsid w:val="00027726"/>
    <w:rsid w:val="00027A77"/>
    <w:rsid w:val="00027D30"/>
    <w:rsid w:val="000304EA"/>
    <w:rsid w:val="00030BA1"/>
    <w:rsid w:val="00031421"/>
    <w:rsid w:val="00031A39"/>
    <w:rsid w:val="00031B32"/>
    <w:rsid w:val="00031E0C"/>
    <w:rsid w:val="00031FCF"/>
    <w:rsid w:val="000329D7"/>
    <w:rsid w:val="00032D23"/>
    <w:rsid w:val="0003395D"/>
    <w:rsid w:val="00033B2D"/>
    <w:rsid w:val="00033D35"/>
    <w:rsid w:val="000348D8"/>
    <w:rsid w:val="000351D9"/>
    <w:rsid w:val="000356A0"/>
    <w:rsid w:val="00035826"/>
    <w:rsid w:val="000358F4"/>
    <w:rsid w:val="0003596E"/>
    <w:rsid w:val="000359A5"/>
    <w:rsid w:val="00035ADB"/>
    <w:rsid w:val="00035EF7"/>
    <w:rsid w:val="00036202"/>
    <w:rsid w:val="00036239"/>
    <w:rsid w:val="000370EB"/>
    <w:rsid w:val="000371BC"/>
    <w:rsid w:val="00037622"/>
    <w:rsid w:val="00037A19"/>
    <w:rsid w:val="00037D77"/>
    <w:rsid w:val="000402BF"/>
    <w:rsid w:val="00040957"/>
    <w:rsid w:val="00040BC0"/>
    <w:rsid w:val="00041281"/>
    <w:rsid w:val="00041874"/>
    <w:rsid w:val="00041890"/>
    <w:rsid w:val="00041A11"/>
    <w:rsid w:val="00042747"/>
    <w:rsid w:val="00042840"/>
    <w:rsid w:val="00042CD5"/>
    <w:rsid w:val="00043451"/>
    <w:rsid w:val="00043B1A"/>
    <w:rsid w:val="00043BB5"/>
    <w:rsid w:val="00043D85"/>
    <w:rsid w:val="00043E8A"/>
    <w:rsid w:val="00044357"/>
    <w:rsid w:val="00044816"/>
    <w:rsid w:val="00044B03"/>
    <w:rsid w:val="00045740"/>
    <w:rsid w:val="00045A83"/>
    <w:rsid w:val="00045F39"/>
    <w:rsid w:val="0004622F"/>
    <w:rsid w:val="00046C5F"/>
    <w:rsid w:val="00046E75"/>
    <w:rsid w:val="000474B2"/>
    <w:rsid w:val="00047554"/>
    <w:rsid w:val="000477A0"/>
    <w:rsid w:val="000477C9"/>
    <w:rsid w:val="00047B1C"/>
    <w:rsid w:val="00047BC5"/>
    <w:rsid w:val="00047C88"/>
    <w:rsid w:val="000504EA"/>
    <w:rsid w:val="00050525"/>
    <w:rsid w:val="00050688"/>
    <w:rsid w:val="00050ADE"/>
    <w:rsid w:val="00051B31"/>
    <w:rsid w:val="00052E74"/>
    <w:rsid w:val="00052EA6"/>
    <w:rsid w:val="00053158"/>
    <w:rsid w:val="00054416"/>
    <w:rsid w:val="00054539"/>
    <w:rsid w:val="00054E8B"/>
    <w:rsid w:val="0005620B"/>
    <w:rsid w:val="00056320"/>
    <w:rsid w:val="00056335"/>
    <w:rsid w:val="0005654A"/>
    <w:rsid w:val="00056733"/>
    <w:rsid w:val="00056FB5"/>
    <w:rsid w:val="0005706F"/>
    <w:rsid w:val="000573E9"/>
    <w:rsid w:val="000575FF"/>
    <w:rsid w:val="000577B5"/>
    <w:rsid w:val="00057D60"/>
    <w:rsid w:val="000601D6"/>
    <w:rsid w:val="00060222"/>
    <w:rsid w:val="00060A9B"/>
    <w:rsid w:val="00061095"/>
    <w:rsid w:val="0006127D"/>
    <w:rsid w:val="000620CC"/>
    <w:rsid w:val="000624B3"/>
    <w:rsid w:val="00062506"/>
    <w:rsid w:val="0006268D"/>
    <w:rsid w:val="00062826"/>
    <w:rsid w:val="00062D05"/>
    <w:rsid w:val="00062E3B"/>
    <w:rsid w:val="00062FAB"/>
    <w:rsid w:val="0006340E"/>
    <w:rsid w:val="000639A4"/>
    <w:rsid w:val="00063E23"/>
    <w:rsid w:val="0006461D"/>
    <w:rsid w:val="0006525D"/>
    <w:rsid w:val="00065708"/>
    <w:rsid w:val="00065BEF"/>
    <w:rsid w:val="00065C76"/>
    <w:rsid w:val="00065FC9"/>
    <w:rsid w:val="0006664C"/>
    <w:rsid w:val="000671D2"/>
    <w:rsid w:val="0006751A"/>
    <w:rsid w:val="00070021"/>
    <w:rsid w:val="000702C6"/>
    <w:rsid w:val="00070491"/>
    <w:rsid w:val="000705D0"/>
    <w:rsid w:val="00070C5D"/>
    <w:rsid w:val="00071585"/>
    <w:rsid w:val="000717D3"/>
    <w:rsid w:val="000718D4"/>
    <w:rsid w:val="00072076"/>
    <w:rsid w:val="00072707"/>
    <w:rsid w:val="00072888"/>
    <w:rsid w:val="00072BC6"/>
    <w:rsid w:val="00072DC1"/>
    <w:rsid w:val="00072F87"/>
    <w:rsid w:val="000734BB"/>
    <w:rsid w:val="000734ED"/>
    <w:rsid w:val="000737CA"/>
    <w:rsid w:val="0007383F"/>
    <w:rsid w:val="00074C20"/>
    <w:rsid w:val="00075003"/>
    <w:rsid w:val="00075049"/>
    <w:rsid w:val="000754D8"/>
    <w:rsid w:val="000756F1"/>
    <w:rsid w:val="000769D1"/>
    <w:rsid w:val="0007763C"/>
    <w:rsid w:val="00077A4C"/>
    <w:rsid w:val="00077D93"/>
    <w:rsid w:val="00077E3E"/>
    <w:rsid w:val="00077F05"/>
    <w:rsid w:val="00080564"/>
    <w:rsid w:val="00080D2B"/>
    <w:rsid w:val="00080E9D"/>
    <w:rsid w:val="00081286"/>
    <w:rsid w:val="000817CB"/>
    <w:rsid w:val="00081B0E"/>
    <w:rsid w:val="0008210B"/>
    <w:rsid w:val="00082680"/>
    <w:rsid w:val="00082938"/>
    <w:rsid w:val="00083145"/>
    <w:rsid w:val="000834BC"/>
    <w:rsid w:val="00083C25"/>
    <w:rsid w:val="00083C4F"/>
    <w:rsid w:val="0008438E"/>
    <w:rsid w:val="00084B34"/>
    <w:rsid w:val="000853A7"/>
    <w:rsid w:val="0008579E"/>
    <w:rsid w:val="000859A7"/>
    <w:rsid w:val="00085D1F"/>
    <w:rsid w:val="0008606E"/>
    <w:rsid w:val="0008621C"/>
    <w:rsid w:val="00086702"/>
    <w:rsid w:val="00086729"/>
    <w:rsid w:val="00086C20"/>
    <w:rsid w:val="00086DD1"/>
    <w:rsid w:val="00086E82"/>
    <w:rsid w:val="00087076"/>
    <w:rsid w:val="000875AD"/>
    <w:rsid w:val="00087965"/>
    <w:rsid w:val="00090211"/>
    <w:rsid w:val="00090989"/>
    <w:rsid w:val="0009113B"/>
    <w:rsid w:val="00091247"/>
    <w:rsid w:val="00091E43"/>
    <w:rsid w:val="0009220B"/>
    <w:rsid w:val="0009222A"/>
    <w:rsid w:val="000922B9"/>
    <w:rsid w:val="0009232B"/>
    <w:rsid w:val="00092648"/>
    <w:rsid w:val="00092A77"/>
    <w:rsid w:val="00092B37"/>
    <w:rsid w:val="00092F26"/>
    <w:rsid w:val="00093484"/>
    <w:rsid w:val="00093584"/>
    <w:rsid w:val="000936E6"/>
    <w:rsid w:val="00093C32"/>
    <w:rsid w:val="00093F99"/>
    <w:rsid w:val="00094952"/>
    <w:rsid w:val="00094E5C"/>
    <w:rsid w:val="000951A0"/>
    <w:rsid w:val="0009572A"/>
    <w:rsid w:val="00095888"/>
    <w:rsid w:val="00095BE2"/>
    <w:rsid w:val="00096894"/>
    <w:rsid w:val="00096B5B"/>
    <w:rsid w:val="00096FAF"/>
    <w:rsid w:val="0009708C"/>
    <w:rsid w:val="000975CA"/>
    <w:rsid w:val="0009766D"/>
    <w:rsid w:val="00097960"/>
    <w:rsid w:val="00097B79"/>
    <w:rsid w:val="000A0DDE"/>
    <w:rsid w:val="000A1736"/>
    <w:rsid w:val="000A1F6C"/>
    <w:rsid w:val="000A21D2"/>
    <w:rsid w:val="000A3DC7"/>
    <w:rsid w:val="000A3E99"/>
    <w:rsid w:val="000A4141"/>
    <w:rsid w:val="000A499B"/>
    <w:rsid w:val="000A4AED"/>
    <w:rsid w:val="000A5D44"/>
    <w:rsid w:val="000A5E1A"/>
    <w:rsid w:val="000A65BE"/>
    <w:rsid w:val="000A6733"/>
    <w:rsid w:val="000A6830"/>
    <w:rsid w:val="000A68A0"/>
    <w:rsid w:val="000A6A70"/>
    <w:rsid w:val="000A7ACF"/>
    <w:rsid w:val="000A7F89"/>
    <w:rsid w:val="000B0208"/>
    <w:rsid w:val="000B1036"/>
    <w:rsid w:val="000B10FE"/>
    <w:rsid w:val="000B15F9"/>
    <w:rsid w:val="000B26DB"/>
    <w:rsid w:val="000B2AB9"/>
    <w:rsid w:val="000B2C2E"/>
    <w:rsid w:val="000B33C1"/>
    <w:rsid w:val="000B37BF"/>
    <w:rsid w:val="000B39BD"/>
    <w:rsid w:val="000B3B73"/>
    <w:rsid w:val="000B3E78"/>
    <w:rsid w:val="000B4446"/>
    <w:rsid w:val="000B520E"/>
    <w:rsid w:val="000B5274"/>
    <w:rsid w:val="000B637E"/>
    <w:rsid w:val="000B6A8B"/>
    <w:rsid w:val="000B6AB4"/>
    <w:rsid w:val="000B6CAB"/>
    <w:rsid w:val="000C0133"/>
    <w:rsid w:val="000C01AA"/>
    <w:rsid w:val="000C0989"/>
    <w:rsid w:val="000C0D95"/>
    <w:rsid w:val="000C21A8"/>
    <w:rsid w:val="000C290E"/>
    <w:rsid w:val="000C2BB0"/>
    <w:rsid w:val="000C2D00"/>
    <w:rsid w:val="000C2F75"/>
    <w:rsid w:val="000C30F4"/>
    <w:rsid w:val="000C31B2"/>
    <w:rsid w:val="000C33F5"/>
    <w:rsid w:val="000C38B3"/>
    <w:rsid w:val="000C3A42"/>
    <w:rsid w:val="000C4639"/>
    <w:rsid w:val="000C4903"/>
    <w:rsid w:val="000C536E"/>
    <w:rsid w:val="000C552C"/>
    <w:rsid w:val="000C5557"/>
    <w:rsid w:val="000C5849"/>
    <w:rsid w:val="000C669D"/>
    <w:rsid w:val="000C6CC4"/>
    <w:rsid w:val="000C6EAB"/>
    <w:rsid w:val="000C70CE"/>
    <w:rsid w:val="000C7D08"/>
    <w:rsid w:val="000C7ECA"/>
    <w:rsid w:val="000C7F29"/>
    <w:rsid w:val="000C7F2D"/>
    <w:rsid w:val="000D00CB"/>
    <w:rsid w:val="000D02FF"/>
    <w:rsid w:val="000D0448"/>
    <w:rsid w:val="000D0C5D"/>
    <w:rsid w:val="000D136E"/>
    <w:rsid w:val="000D1B36"/>
    <w:rsid w:val="000D22CA"/>
    <w:rsid w:val="000D2C97"/>
    <w:rsid w:val="000D2DE2"/>
    <w:rsid w:val="000D30AD"/>
    <w:rsid w:val="000D3CF9"/>
    <w:rsid w:val="000D3FF5"/>
    <w:rsid w:val="000D40D7"/>
    <w:rsid w:val="000D4104"/>
    <w:rsid w:val="000D4735"/>
    <w:rsid w:val="000D50C6"/>
    <w:rsid w:val="000D5578"/>
    <w:rsid w:val="000D558A"/>
    <w:rsid w:val="000D5BDF"/>
    <w:rsid w:val="000D5EB3"/>
    <w:rsid w:val="000D62B7"/>
    <w:rsid w:val="000D641F"/>
    <w:rsid w:val="000D6779"/>
    <w:rsid w:val="000D6D11"/>
    <w:rsid w:val="000D7003"/>
    <w:rsid w:val="000D73A4"/>
    <w:rsid w:val="000D7498"/>
    <w:rsid w:val="000D753F"/>
    <w:rsid w:val="000D7E1F"/>
    <w:rsid w:val="000E00F4"/>
    <w:rsid w:val="000E0106"/>
    <w:rsid w:val="000E0190"/>
    <w:rsid w:val="000E0587"/>
    <w:rsid w:val="000E26AF"/>
    <w:rsid w:val="000E3A4B"/>
    <w:rsid w:val="000E3D8C"/>
    <w:rsid w:val="000E4535"/>
    <w:rsid w:val="000E4FE5"/>
    <w:rsid w:val="000E50B7"/>
    <w:rsid w:val="000E5236"/>
    <w:rsid w:val="000E5717"/>
    <w:rsid w:val="000E594D"/>
    <w:rsid w:val="000E6700"/>
    <w:rsid w:val="000E68D5"/>
    <w:rsid w:val="000E69AE"/>
    <w:rsid w:val="000E69EC"/>
    <w:rsid w:val="000E6BE8"/>
    <w:rsid w:val="000E6CDC"/>
    <w:rsid w:val="000E747B"/>
    <w:rsid w:val="000E74C8"/>
    <w:rsid w:val="000E7580"/>
    <w:rsid w:val="000E75FB"/>
    <w:rsid w:val="000E7757"/>
    <w:rsid w:val="000E7966"/>
    <w:rsid w:val="000E7B84"/>
    <w:rsid w:val="000F033C"/>
    <w:rsid w:val="000F0590"/>
    <w:rsid w:val="000F0DC1"/>
    <w:rsid w:val="000F1802"/>
    <w:rsid w:val="000F1A6B"/>
    <w:rsid w:val="000F1B15"/>
    <w:rsid w:val="000F2032"/>
    <w:rsid w:val="000F20ED"/>
    <w:rsid w:val="000F2225"/>
    <w:rsid w:val="000F236A"/>
    <w:rsid w:val="000F31D2"/>
    <w:rsid w:val="000F3CC3"/>
    <w:rsid w:val="000F42AA"/>
    <w:rsid w:val="000F4871"/>
    <w:rsid w:val="000F496C"/>
    <w:rsid w:val="000F516D"/>
    <w:rsid w:val="000F54D4"/>
    <w:rsid w:val="000F612B"/>
    <w:rsid w:val="000F71C1"/>
    <w:rsid w:val="000F723B"/>
    <w:rsid w:val="000F7B86"/>
    <w:rsid w:val="000F7DA9"/>
    <w:rsid w:val="001007F5"/>
    <w:rsid w:val="00100C38"/>
    <w:rsid w:val="00100C53"/>
    <w:rsid w:val="00101067"/>
    <w:rsid w:val="001010C8"/>
    <w:rsid w:val="001011A0"/>
    <w:rsid w:val="001015C6"/>
    <w:rsid w:val="00101712"/>
    <w:rsid w:val="00101794"/>
    <w:rsid w:val="00101D53"/>
    <w:rsid w:val="00101E2F"/>
    <w:rsid w:val="00101F75"/>
    <w:rsid w:val="00102338"/>
    <w:rsid w:val="001023A3"/>
    <w:rsid w:val="00102608"/>
    <w:rsid w:val="00102B01"/>
    <w:rsid w:val="00102DFE"/>
    <w:rsid w:val="00102EF8"/>
    <w:rsid w:val="00102F04"/>
    <w:rsid w:val="0010340C"/>
    <w:rsid w:val="001035C0"/>
    <w:rsid w:val="001036E8"/>
    <w:rsid w:val="00103828"/>
    <w:rsid w:val="001039DF"/>
    <w:rsid w:val="00103DD2"/>
    <w:rsid w:val="0010425C"/>
    <w:rsid w:val="00104F89"/>
    <w:rsid w:val="00105035"/>
    <w:rsid w:val="00105431"/>
    <w:rsid w:val="0010576D"/>
    <w:rsid w:val="00105F68"/>
    <w:rsid w:val="00106027"/>
    <w:rsid w:val="00107233"/>
    <w:rsid w:val="00107795"/>
    <w:rsid w:val="00107AE5"/>
    <w:rsid w:val="0011050B"/>
    <w:rsid w:val="001110BB"/>
    <w:rsid w:val="00111654"/>
    <w:rsid w:val="0011194D"/>
    <w:rsid w:val="0011208B"/>
    <w:rsid w:val="00112467"/>
    <w:rsid w:val="00113405"/>
    <w:rsid w:val="0011387E"/>
    <w:rsid w:val="00113BD7"/>
    <w:rsid w:val="00113DA9"/>
    <w:rsid w:val="00113F7E"/>
    <w:rsid w:val="001140E5"/>
    <w:rsid w:val="001147DA"/>
    <w:rsid w:val="00114B79"/>
    <w:rsid w:val="00114DBD"/>
    <w:rsid w:val="00115714"/>
    <w:rsid w:val="001158B0"/>
    <w:rsid w:val="00115AF2"/>
    <w:rsid w:val="00115CCF"/>
    <w:rsid w:val="001168C3"/>
    <w:rsid w:val="001168CE"/>
    <w:rsid w:val="00116BED"/>
    <w:rsid w:val="00116C91"/>
    <w:rsid w:val="00117730"/>
    <w:rsid w:val="00117E3B"/>
    <w:rsid w:val="001201C1"/>
    <w:rsid w:val="0012027E"/>
    <w:rsid w:val="0012041F"/>
    <w:rsid w:val="00120C57"/>
    <w:rsid w:val="00120D12"/>
    <w:rsid w:val="00121318"/>
    <w:rsid w:val="00122778"/>
    <w:rsid w:val="00123607"/>
    <w:rsid w:val="00123746"/>
    <w:rsid w:val="001239C5"/>
    <w:rsid w:val="00123D8A"/>
    <w:rsid w:val="001244D3"/>
    <w:rsid w:val="00124C2D"/>
    <w:rsid w:val="00124CDF"/>
    <w:rsid w:val="00124CF6"/>
    <w:rsid w:val="00125318"/>
    <w:rsid w:val="00125336"/>
    <w:rsid w:val="00125721"/>
    <w:rsid w:val="00125ECC"/>
    <w:rsid w:val="00125EE2"/>
    <w:rsid w:val="00125FD0"/>
    <w:rsid w:val="00126192"/>
    <w:rsid w:val="001261CD"/>
    <w:rsid w:val="001267C2"/>
    <w:rsid w:val="00126A65"/>
    <w:rsid w:val="00126E14"/>
    <w:rsid w:val="00126FD8"/>
    <w:rsid w:val="0012709A"/>
    <w:rsid w:val="001271D5"/>
    <w:rsid w:val="001271E1"/>
    <w:rsid w:val="001275C6"/>
    <w:rsid w:val="00127B97"/>
    <w:rsid w:val="00130305"/>
    <w:rsid w:val="001309B4"/>
    <w:rsid w:val="0013116A"/>
    <w:rsid w:val="00131495"/>
    <w:rsid w:val="0013149A"/>
    <w:rsid w:val="001319A6"/>
    <w:rsid w:val="00132751"/>
    <w:rsid w:val="001329BC"/>
    <w:rsid w:val="00132B69"/>
    <w:rsid w:val="001332D8"/>
    <w:rsid w:val="0013339F"/>
    <w:rsid w:val="0013371F"/>
    <w:rsid w:val="00133CE4"/>
    <w:rsid w:val="0013445A"/>
    <w:rsid w:val="001346B9"/>
    <w:rsid w:val="00134893"/>
    <w:rsid w:val="00134C91"/>
    <w:rsid w:val="001356B4"/>
    <w:rsid w:val="0013597D"/>
    <w:rsid w:val="00135BDE"/>
    <w:rsid w:val="001364F3"/>
    <w:rsid w:val="00136AC9"/>
    <w:rsid w:val="00137B69"/>
    <w:rsid w:val="0014057A"/>
    <w:rsid w:val="00140707"/>
    <w:rsid w:val="001407D4"/>
    <w:rsid w:val="00140ED3"/>
    <w:rsid w:val="00140F9B"/>
    <w:rsid w:val="00141567"/>
    <w:rsid w:val="001419C9"/>
    <w:rsid w:val="00142399"/>
    <w:rsid w:val="00143145"/>
    <w:rsid w:val="00143420"/>
    <w:rsid w:val="001434D8"/>
    <w:rsid w:val="0014354A"/>
    <w:rsid w:val="00143683"/>
    <w:rsid w:val="00143C6A"/>
    <w:rsid w:val="0014400A"/>
    <w:rsid w:val="00144A49"/>
    <w:rsid w:val="00144ADD"/>
    <w:rsid w:val="00145386"/>
    <w:rsid w:val="0014542A"/>
    <w:rsid w:val="00145AE6"/>
    <w:rsid w:val="00145F9F"/>
    <w:rsid w:val="001462EE"/>
    <w:rsid w:val="00146C84"/>
    <w:rsid w:val="00146EF1"/>
    <w:rsid w:val="00146FC0"/>
    <w:rsid w:val="00147311"/>
    <w:rsid w:val="00147330"/>
    <w:rsid w:val="001478DC"/>
    <w:rsid w:val="00147B4E"/>
    <w:rsid w:val="00150538"/>
    <w:rsid w:val="00150A52"/>
    <w:rsid w:val="00150D4F"/>
    <w:rsid w:val="00151736"/>
    <w:rsid w:val="00151AE7"/>
    <w:rsid w:val="00152165"/>
    <w:rsid w:val="00152525"/>
    <w:rsid w:val="00152A4E"/>
    <w:rsid w:val="00152C12"/>
    <w:rsid w:val="001533E9"/>
    <w:rsid w:val="00153651"/>
    <w:rsid w:val="00153974"/>
    <w:rsid w:val="00154177"/>
    <w:rsid w:val="00154738"/>
    <w:rsid w:val="00154AF9"/>
    <w:rsid w:val="00154D4E"/>
    <w:rsid w:val="00155680"/>
    <w:rsid w:val="00156016"/>
    <w:rsid w:val="001568A1"/>
    <w:rsid w:val="00157514"/>
    <w:rsid w:val="0016037E"/>
    <w:rsid w:val="00160435"/>
    <w:rsid w:val="001604A8"/>
    <w:rsid w:val="00160549"/>
    <w:rsid w:val="00160740"/>
    <w:rsid w:val="00160FBF"/>
    <w:rsid w:val="001612A1"/>
    <w:rsid w:val="001612CD"/>
    <w:rsid w:val="001613B3"/>
    <w:rsid w:val="001616E6"/>
    <w:rsid w:val="00162CC0"/>
    <w:rsid w:val="00162E4B"/>
    <w:rsid w:val="0016377D"/>
    <w:rsid w:val="00163CE6"/>
    <w:rsid w:val="00164499"/>
    <w:rsid w:val="001647FD"/>
    <w:rsid w:val="00164915"/>
    <w:rsid w:val="00164A0A"/>
    <w:rsid w:val="00165C13"/>
    <w:rsid w:val="00165CB0"/>
    <w:rsid w:val="001660E6"/>
    <w:rsid w:val="0016626B"/>
    <w:rsid w:val="0016686F"/>
    <w:rsid w:val="001677F7"/>
    <w:rsid w:val="00167A06"/>
    <w:rsid w:val="00167C28"/>
    <w:rsid w:val="001710AB"/>
    <w:rsid w:val="001716A1"/>
    <w:rsid w:val="00171B3D"/>
    <w:rsid w:val="00171DD3"/>
    <w:rsid w:val="00171F22"/>
    <w:rsid w:val="00172020"/>
    <w:rsid w:val="00172C02"/>
    <w:rsid w:val="00172DE7"/>
    <w:rsid w:val="0017399C"/>
    <w:rsid w:val="00173B3A"/>
    <w:rsid w:val="00173D74"/>
    <w:rsid w:val="0017442A"/>
    <w:rsid w:val="0017472F"/>
    <w:rsid w:val="00175BA2"/>
    <w:rsid w:val="00175BE5"/>
    <w:rsid w:val="00175C75"/>
    <w:rsid w:val="00176654"/>
    <w:rsid w:val="00176759"/>
    <w:rsid w:val="0017695D"/>
    <w:rsid w:val="00176BD1"/>
    <w:rsid w:val="00176C54"/>
    <w:rsid w:val="00177808"/>
    <w:rsid w:val="00177B9B"/>
    <w:rsid w:val="00177E0C"/>
    <w:rsid w:val="00177E4C"/>
    <w:rsid w:val="00177F37"/>
    <w:rsid w:val="00177F61"/>
    <w:rsid w:val="00177FD7"/>
    <w:rsid w:val="0018008C"/>
    <w:rsid w:val="0018038C"/>
    <w:rsid w:val="00180610"/>
    <w:rsid w:val="00180B56"/>
    <w:rsid w:val="00180B70"/>
    <w:rsid w:val="0018192E"/>
    <w:rsid w:val="00181B06"/>
    <w:rsid w:val="00181F1C"/>
    <w:rsid w:val="0018244A"/>
    <w:rsid w:val="00182866"/>
    <w:rsid w:val="0018299D"/>
    <w:rsid w:val="00183479"/>
    <w:rsid w:val="00183535"/>
    <w:rsid w:val="00183A29"/>
    <w:rsid w:val="00184179"/>
    <w:rsid w:val="00184458"/>
    <w:rsid w:val="001848FA"/>
    <w:rsid w:val="00185072"/>
    <w:rsid w:val="001850DC"/>
    <w:rsid w:val="0018557B"/>
    <w:rsid w:val="0018562E"/>
    <w:rsid w:val="00186A49"/>
    <w:rsid w:val="0018713E"/>
    <w:rsid w:val="0018784E"/>
    <w:rsid w:val="00191038"/>
    <w:rsid w:val="00191444"/>
    <w:rsid w:val="0019155A"/>
    <w:rsid w:val="00192172"/>
    <w:rsid w:val="0019262C"/>
    <w:rsid w:val="00192743"/>
    <w:rsid w:val="001929FC"/>
    <w:rsid w:val="00193695"/>
    <w:rsid w:val="00193986"/>
    <w:rsid w:val="001939AB"/>
    <w:rsid w:val="00193EB4"/>
    <w:rsid w:val="0019426E"/>
    <w:rsid w:val="00194851"/>
    <w:rsid w:val="00194E97"/>
    <w:rsid w:val="001956B9"/>
    <w:rsid w:val="001962C4"/>
    <w:rsid w:val="001962F2"/>
    <w:rsid w:val="00196B35"/>
    <w:rsid w:val="00197191"/>
    <w:rsid w:val="0019781A"/>
    <w:rsid w:val="00197973"/>
    <w:rsid w:val="001A0136"/>
    <w:rsid w:val="001A0B76"/>
    <w:rsid w:val="001A0ED1"/>
    <w:rsid w:val="001A1694"/>
    <w:rsid w:val="001A21F0"/>
    <w:rsid w:val="001A22EF"/>
    <w:rsid w:val="001A2B05"/>
    <w:rsid w:val="001A2D0F"/>
    <w:rsid w:val="001A2F69"/>
    <w:rsid w:val="001A30BD"/>
    <w:rsid w:val="001A346D"/>
    <w:rsid w:val="001A3837"/>
    <w:rsid w:val="001A3BB4"/>
    <w:rsid w:val="001A3F9E"/>
    <w:rsid w:val="001A417E"/>
    <w:rsid w:val="001A4C80"/>
    <w:rsid w:val="001A5071"/>
    <w:rsid w:val="001A5718"/>
    <w:rsid w:val="001A6CD9"/>
    <w:rsid w:val="001A704B"/>
    <w:rsid w:val="001A7DA5"/>
    <w:rsid w:val="001B066E"/>
    <w:rsid w:val="001B0BC4"/>
    <w:rsid w:val="001B145E"/>
    <w:rsid w:val="001B1702"/>
    <w:rsid w:val="001B19FD"/>
    <w:rsid w:val="001B20A9"/>
    <w:rsid w:val="001B2293"/>
    <w:rsid w:val="001B2437"/>
    <w:rsid w:val="001B2930"/>
    <w:rsid w:val="001B2AFA"/>
    <w:rsid w:val="001B2B71"/>
    <w:rsid w:val="001B2D43"/>
    <w:rsid w:val="001B3754"/>
    <w:rsid w:val="001B394D"/>
    <w:rsid w:val="001B39E2"/>
    <w:rsid w:val="001B3BC6"/>
    <w:rsid w:val="001B3BD3"/>
    <w:rsid w:val="001B404D"/>
    <w:rsid w:val="001B43A6"/>
    <w:rsid w:val="001B4661"/>
    <w:rsid w:val="001B4884"/>
    <w:rsid w:val="001B48B0"/>
    <w:rsid w:val="001B4E62"/>
    <w:rsid w:val="001B52AE"/>
    <w:rsid w:val="001B5A9A"/>
    <w:rsid w:val="001B62F8"/>
    <w:rsid w:val="001B6759"/>
    <w:rsid w:val="001B6843"/>
    <w:rsid w:val="001B700B"/>
    <w:rsid w:val="001B742E"/>
    <w:rsid w:val="001B75DD"/>
    <w:rsid w:val="001B75EC"/>
    <w:rsid w:val="001BDA1A"/>
    <w:rsid w:val="001C010E"/>
    <w:rsid w:val="001C06EC"/>
    <w:rsid w:val="001C0ECC"/>
    <w:rsid w:val="001C1024"/>
    <w:rsid w:val="001C17BD"/>
    <w:rsid w:val="001C1A70"/>
    <w:rsid w:val="001C1DF0"/>
    <w:rsid w:val="001C1F8D"/>
    <w:rsid w:val="001C219E"/>
    <w:rsid w:val="001C2A4A"/>
    <w:rsid w:val="001C2EB6"/>
    <w:rsid w:val="001C2FF7"/>
    <w:rsid w:val="001C31D5"/>
    <w:rsid w:val="001C3359"/>
    <w:rsid w:val="001C37E5"/>
    <w:rsid w:val="001C3888"/>
    <w:rsid w:val="001C38FE"/>
    <w:rsid w:val="001C393E"/>
    <w:rsid w:val="001C3F99"/>
    <w:rsid w:val="001C435D"/>
    <w:rsid w:val="001C4698"/>
    <w:rsid w:val="001C4E4D"/>
    <w:rsid w:val="001C5127"/>
    <w:rsid w:val="001C586C"/>
    <w:rsid w:val="001C588C"/>
    <w:rsid w:val="001C618C"/>
    <w:rsid w:val="001C6B25"/>
    <w:rsid w:val="001C6E60"/>
    <w:rsid w:val="001C6F4E"/>
    <w:rsid w:val="001C7ADD"/>
    <w:rsid w:val="001C7E6F"/>
    <w:rsid w:val="001C7EE6"/>
    <w:rsid w:val="001D0275"/>
    <w:rsid w:val="001D072C"/>
    <w:rsid w:val="001D1209"/>
    <w:rsid w:val="001D17A4"/>
    <w:rsid w:val="001D1D4E"/>
    <w:rsid w:val="001D2044"/>
    <w:rsid w:val="001D2BBE"/>
    <w:rsid w:val="001D2E8C"/>
    <w:rsid w:val="001D3064"/>
    <w:rsid w:val="001D3A42"/>
    <w:rsid w:val="001D3BC8"/>
    <w:rsid w:val="001D4074"/>
    <w:rsid w:val="001D41AB"/>
    <w:rsid w:val="001D56CE"/>
    <w:rsid w:val="001D58A5"/>
    <w:rsid w:val="001D598D"/>
    <w:rsid w:val="001D5AE7"/>
    <w:rsid w:val="001D5B92"/>
    <w:rsid w:val="001D6541"/>
    <w:rsid w:val="001D6C65"/>
    <w:rsid w:val="001D6CFA"/>
    <w:rsid w:val="001D73F2"/>
    <w:rsid w:val="001D757B"/>
    <w:rsid w:val="001D7659"/>
    <w:rsid w:val="001D774D"/>
    <w:rsid w:val="001D77D0"/>
    <w:rsid w:val="001E05AE"/>
    <w:rsid w:val="001E28F6"/>
    <w:rsid w:val="001E2943"/>
    <w:rsid w:val="001E3282"/>
    <w:rsid w:val="001E3316"/>
    <w:rsid w:val="001E3493"/>
    <w:rsid w:val="001E372A"/>
    <w:rsid w:val="001E3B54"/>
    <w:rsid w:val="001E4227"/>
    <w:rsid w:val="001E47F1"/>
    <w:rsid w:val="001E4AC6"/>
    <w:rsid w:val="001E4B54"/>
    <w:rsid w:val="001E4DD9"/>
    <w:rsid w:val="001E51F0"/>
    <w:rsid w:val="001E5591"/>
    <w:rsid w:val="001E56CA"/>
    <w:rsid w:val="001E5B77"/>
    <w:rsid w:val="001E5DEB"/>
    <w:rsid w:val="001E60BB"/>
    <w:rsid w:val="001E6273"/>
    <w:rsid w:val="001E63B6"/>
    <w:rsid w:val="001E661D"/>
    <w:rsid w:val="001E6A85"/>
    <w:rsid w:val="001E6D42"/>
    <w:rsid w:val="001E6DC8"/>
    <w:rsid w:val="001E6E86"/>
    <w:rsid w:val="001E77D6"/>
    <w:rsid w:val="001E796C"/>
    <w:rsid w:val="001F049E"/>
    <w:rsid w:val="001F0FD7"/>
    <w:rsid w:val="001F1603"/>
    <w:rsid w:val="001F1D52"/>
    <w:rsid w:val="001F20AB"/>
    <w:rsid w:val="001F2351"/>
    <w:rsid w:val="001F2461"/>
    <w:rsid w:val="001F26C8"/>
    <w:rsid w:val="001F2E37"/>
    <w:rsid w:val="001F309E"/>
    <w:rsid w:val="001F31E1"/>
    <w:rsid w:val="001F3361"/>
    <w:rsid w:val="001F3404"/>
    <w:rsid w:val="001F35DA"/>
    <w:rsid w:val="001F3C20"/>
    <w:rsid w:val="001F3D5D"/>
    <w:rsid w:val="001F4FDF"/>
    <w:rsid w:val="001F56BF"/>
    <w:rsid w:val="001F656C"/>
    <w:rsid w:val="001F6A26"/>
    <w:rsid w:val="001F7CC6"/>
    <w:rsid w:val="00200036"/>
    <w:rsid w:val="0020014D"/>
    <w:rsid w:val="002001C2"/>
    <w:rsid w:val="002009AC"/>
    <w:rsid w:val="00200D3E"/>
    <w:rsid w:val="00200FD5"/>
    <w:rsid w:val="00201580"/>
    <w:rsid w:val="00201852"/>
    <w:rsid w:val="002018C8"/>
    <w:rsid w:val="00201CD1"/>
    <w:rsid w:val="00202857"/>
    <w:rsid w:val="0020285B"/>
    <w:rsid w:val="002032E9"/>
    <w:rsid w:val="0020373A"/>
    <w:rsid w:val="002045FB"/>
    <w:rsid w:val="002046F1"/>
    <w:rsid w:val="00204816"/>
    <w:rsid w:val="0020489D"/>
    <w:rsid w:val="00204BBA"/>
    <w:rsid w:val="002055BD"/>
    <w:rsid w:val="00205DB5"/>
    <w:rsid w:val="00205DF7"/>
    <w:rsid w:val="00205EC2"/>
    <w:rsid w:val="00205F61"/>
    <w:rsid w:val="0020624A"/>
    <w:rsid w:val="00206D4A"/>
    <w:rsid w:val="00206E62"/>
    <w:rsid w:val="002070A0"/>
    <w:rsid w:val="002077DE"/>
    <w:rsid w:val="00207898"/>
    <w:rsid w:val="002078ED"/>
    <w:rsid w:val="002079E8"/>
    <w:rsid w:val="00207C57"/>
    <w:rsid w:val="00207FBD"/>
    <w:rsid w:val="002101B8"/>
    <w:rsid w:val="002102BE"/>
    <w:rsid w:val="0021039B"/>
    <w:rsid w:val="0021078A"/>
    <w:rsid w:val="0021143C"/>
    <w:rsid w:val="00212171"/>
    <w:rsid w:val="0021236B"/>
    <w:rsid w:val="00212392"/>
    <w:rsid w:val="00213018"/>
    <w:rsid w:val="00213912"/>
    <w:rsid w:val="0021391E"/>
    <w:rsid w:val="00213937"/>
    <w:rsid w:val="002139B5"/>
    <w:rsid w:val="00213CB1"/>
    <w:rsid w:val="00213D47"/>
    <w:rsid w:val="00214753"/>
    <w:rsid w:val="00214927"/>
    <w:rsid w:val="00214E70"/>
    <w:rsid w:val="00214EBB"/>
    <w:rsid w:val="00215025"/>
    <w:rsid w:val="00215312"/>
    <w:rsid w:val="002155A8"/>
    <w:rsid w:val="002159F1"/>
    <w:rsid w:val="00216053"/>
    <w:rsid w:val="00216771"/>
    <w:rsid w:val="00216A76"/>
    <w:rsid w:val="00216B88"/>
    <w:rsid w:val="00216F33"/>
    <w:rsid w:val="00216F88"/>
    <w:rsid w:val="00217249"/>
    <w:rsid w:val="002172ED"/>
    <w:rsid w:val="0022013E"/>
    <w:rsid w:val="0022036B"/>
    <w:rsid w:val="0022063B"/>
    <w:rsid w:val="002207DC"/>
    <w:rsid w:val="002208CE"/>
    <w:rsid w:val="00220CDB"/>
    <w:rsid w:val="00220F50"/>
    <w:rsid w:val="00221010"/>
    <w:rsid w:val="0022113A"/>
    <w:rsid w:val="002211E2"/>
    <w:rsid w:val="00221269"/>
    <w:rsid w:val="002215CC"/>
    <w:rsid w:val="00221B67"/>
    <w:rsid w:val="00221BF0"/>
    <w:rsid w:val="00221E0E"/>
    <w:rsid w:val="00222434"/>
    <w:rsid w:val="00222AF3"/>
    <w:rsid w:val="00223492"/>
    <w:rsid w:val="00223736"/>
    <w:rsid w:val="002239B3"/>
    <w:rsid w:val="0022460A"/>
    <w:rsid w:val="00224720"/>
    <w:rsid w:val="00225641"/>
    <w:rsid w:val="002256BC"/>
    <w:rsid w:val="00225D33"/>
    <w:rsid w:val="00226FAD"/>
    <w:rsid w:val="002271C1"/>
    <w:rsid w:val="002271F0"/>
    <w:rsid w:val="00227486"/>
    <w:rsid w:val="002275B0"/>
    <w:rsid w:val="0022761B"/>
    <w:rsid w:val="00227774"/>
    <w:rsid w:val="002301FA"/>
    <w:rsid w:val="00230278"/>
    <w:rsid w:val="00230369"/>
    <w:rsid w:val="0023066F"/>
    <w:rsid w:val="0023099A"/>
    <w:rsid w:val="00230CAE"/>
    <w:rsid w:val="0023148B"/>
    <w:rsid w:val="00232661"/>
    <w:rsid w:val="00232FF0"/>
    <w:rsid w:val="00233305"/>
    <w:rsid w:val="00234768"/>
    <w:rsid w:val="002348A1"/>
    <w:rsid w:val="00234A21"/>
    <w:rsid w:val="00234B19"/>
    <w:rsid w:val="00235630"/>
    <w:rsid w:val="00235A2E"/>
    <w:rsid w:val="00235AB3"/>
    <w:rsid w:val="00235B07"/>
    <w:rsid w:val="002364FB"/>
    <w:rsid w:val="00236EA9"/>
    <w:rsid w:val="002377C9"/>
    <w:rsid w:val="002378D5"/>
    <w:rsid w:val="00237EB7"/>
    <w:rsid w:val="00240297"/>
    <w:rsid w:val="002413F1"/>
    <w:rsid w:val="00241945"/>
    <w:rsid w:val="00241B3E"/>
    <w:rsid w:val="002424C3"/>
    <w:rsid w:val="0024266C"/>
    <w:rsid w:val="00242AD3"/>
    <w:rsid w:val="00242CC8"/>
    <w:rsid w:val="00242F3E"/>
    <w:rsid w:val="00243017"/>
    <w:rsid w:val="0024370A"/>
    <w:rsid w:val="002437D8"/>
    <w:rsid w:val="00243D56"/>
    <w:rsid w:val="00243D71"/>
    <w:rsid w:val="00244119"/>
    <w:rsid w:val="0024450C"/>
    <w:rsid w:val="0024459B"/>
    <w:rsid w:val="002446B5"/>
    <w:rsid w:val="00245655"/>
    <w:rsid w:val="00245806"/>
    <w:rsid w:val="002459D2"/>
    <w:rsid w:val="002462C2"/>
    <w:rsid w:val="002464A1"/>
    <w:rsid w:val="00246736"/>
    <w:rsid w:val="002467F7"/>
    <w:rsid w:val="00247BD4"/>
    <w:rsid w:val="00250C7D"/>
    <w:rsid w:val="00250DD7"/>
    <w:rsid w:val="00251D5C"/>
    <w:rsid w:val="002521D9"/>
    <w:rsid w:val="002525FD"/>
    <w:rsid w:val="00252959"/>
    <w:rsid w:val="002531C8"/>
    <w:rsid w:val="002535D7"/>
    <w:rsid w:val="00253841"/>
    <w:rsid w:val="00253915"/>
    <w:rsid w:val="00253E18"/>
    <w:rsid w:val="00254B34"/>
    <w:rsid w:val="00254C72"/>
    <w:rsid w:val="0025526D"/>
    <w:rsid w:val="00255A5E"/>
    <w:rsid w:val="00255CCD"/>
    <w:rsid w:val="00255E81"/>
    <w:rsid w:val="00256C8E"/>
    <w:rsid w:val="00256FA1"/>
    <w:rsid w:val="002578DC"/>
    <w:rsid w:val="00260010"/>
    <w:rsid w:val="002600E7"/>
    <w:rsid w:val="002600F7"/>
    <w:rsid w:val="002602A1"/>
    <w:rsid w:val="00261083"/>
    <w:rsid w:val="002613B4"/>
    <w:rsid w:val="00262CF4"/>
    <w:rsid w:val="00263597"/>
    <w:rsid w:val="002635A1"/>
    <w:rsid w:val="00263CF2"/>
    <w:rsid w:val="00263E9D"/>
    <w:rsid w:val="00263FBE"/>
    <w:rsid w:val="00264382"/>
    <w:rsid w:val="00264EC5"/>
    <w:rsid w:val="00265265"/>
    <w:rsid w:val="00265428"/>
    <w:rsid w:val="002656CC"/>
    <w:rsid w:val="00265887"/>
    <w:rsid w:val="00265EE8"/>
    <w:rsid w:val="0026695B"/>
    <w:rsid w:val="00266D9B"/>
    <w:rsid w:val="0026728B"/>
    <w:rsid w:val="002674F0"/>
    <w:rsid w:val="0026758C"/>
    <w:rsid w:val="002678B7"/>
    <w:rsid w:val="00267C1E"/>
    <w:rsid w:val="00267C7A"/>
    <w:rsid w:val="0027023A"/>
    <w:rsid w:val="00270358"/>
    <w:rsid w:val="0027042F"/>
    <w:rsid w:val="00270552"/>
    <w:rsid w:val="00270C9A"/>
    <w:rsid w:val="00271472"/>
    <w:rsid w:val="002714D3"/>
    <w:rsid w:val="00271933"/>
    <w:rsid w:val="00271B96"/>
    <w:rsid w:val="00271EBA"/>
    <w:rsid w:val="00272556"/>
    <w:rsid w:val="00272D9D"/>
    <w:rsid w:val="0027309A"/>
    <w:rsid w:val="00273204"/>
    <w:rsid w:val="00273F30"/>
    <w:rsid w:val="00274610"/>
    <w:rsid w:val="00274D9C"/>
    <w:rsid w:val="0027528A"/>
    <w:rsid w:val="002756B8"/>
    <w:rsid w:val="00275988"/>
    <w:rsid w:val="002759E5"/>
    <w:rsid w:val="00275B88"/>
    <w:rsid w:val="00275E5F"/>
    <w:rsid w:val="00276043"/>
    <w:rsid w:val="00276045"/>
    <w:rsid w:val="00276333"/>
    <w:rsid w:val="0027637D"/>
    <w:rsid w:val="0027676D"/>
    <w:rsid w:val="002767EB"/>
    <w:rsid w:val="00276C5B"/>
    <w:rsid w:val="00276CED"/>
    <w:rsid w:val="00277437"/>
    <w:rsid w:val="0027751B"/>
    <w:rsid w:val="0027775A"/>
    <w:rsid w:val="0027777D"/>
    <w:rsid w:val="00280005"/>
    <w:rsid w:val="002800E8"/>
    <w:rsid w:val="00280AC1"/>
    <w:rsid w:val="00281000"/>
    <w:rsid w:val="00281018"/>
    <w:rsid w:val="002811F1"/>
    <w:rsid w:val="002813B4"/>
    <w:rsid w:val="002813F3"/>
    <w:rsid w:val="00281CFC"/>
    <w:rsid w:val="00281DFC"/>
    <w:rsid w:val="00282339"/>
    <w:rsid w:val="002825C5"/>
    <w:rsid w:val="002828BC"/>
    <w:rsid w:val="00282CDA"/>
    <w:rsid w:val="00282E3F"/>
    <w:rsid w:val="00282FF7"/>
    <w:rsid w:val="00283506"/>
    <w:rsid w:val="00283675"/>
    <w:rsid w:val="0028381A"/>
    <w:rsid w:val="00284607"/>
    <w:rsid w:val="00284FCF"/>
    <w:rsid w:val="0028517D"/>
    <w:rsid w:val="002853A4"/>
    <w:rsid w:val="0028582A"/>
    <w:rsid w:val="00285C78"/>
    <w:rsid w:val="00286600"/>
    <w:rsid w:val="002866E4"/>
    <w:rsid w:val="00286C53"/>
    <w:rsid w:val="00286DE1"/>
    <w:rsid w:val="002871D8"/>
    <w:rsid w:val="00287996"/>
    <w:rsid w:val="0028EDAB"/>
    <w:rsid w:val="00290701"/>
    <w:rsid w:val="00290E78"/>
    <w:rsid w:val="0029117D"/>
    <w:rsid w:val="002911FD"/>
    <w:rsid w:val="002915E0"/>
    <w:rsid w:val="00292006"/>
    <w:rsid w:val="00293838"/>
    <w:rsid w:val="00293CC2"/>
    <w:rsid w:val="00294798"/>
    <w:rsid w:val="00294992"/>
    <w:rsid w:val="00295442"/>
    <w:rsid w:val="00295B41"/>
    <w:rsid w:val="00295CAA"/>
    <w:rsid w:val="00295F9C"/>
    <w:rsid w:val="002960C7"/>
    <w:rsid w:val="00296D03"/>
    <w:rsid w:val="00296E1D"/>
    <w:rsid w:val="00297A6F"/>
    <w:rsid w:val="002A0035"/>
    <w:rsid w:val="002A114A"/>
    <w:rsid w:val="002A19DE"/>
    <w:rsid w:val="002A1DBF"/>
    <w:rsid w:val="002A26E2"/>
    <w:rsid w:val="002A272B"/>
    <w:rsid w:val="002A31C5"/>
    <w:rsid w:val="002A3370"/>
    <w:rsid w:val="002A35D8"/>
    <w:rsid w:val="002A3699"/>
    <w:rsid w:val="002A3C50"/>
    <w:rsid w:val="002A3DB2"/>
    <w:rsid w:val="002A3FE6"/>
    <w:rsid w:val="002A40C2"/>
    <w:rsid w:val="002A42F2"/>
    <w:rsid w:val="002A46A8"/>
    <w:rsid w:val="002A491E"/>
    <w:rsid w:val="002A4EEE"/>
    <w:rsid w:val="002A5C1F"/>
    <w:rsid w:val="002A5D1C"/>
    <w:rsid w:val="002A6D5C"/>
    <w:rsid w:val="002A6DC9"/>
    <w:rsid w:val="002A6E8B"/>
    <w:rsid w:val="002A6EB9"/>
    <w:rsid w:val="002A6F68"/>
    <w:rsid w:val="002B0593"/>
    <w:rsid w:val="002B0CAF"/>
    <w:rsid w:val="002B11FD"/>
    <w:rsid w:val="002B1A13"/>
    <w:rsid w:val="002B1A2B"/>
    <w:rsid w:val="002B20BF"/>
    <w:rsid w:val="002B2C0D"/>
    <w:rsid w:val="002B316E"/>
    <w:rsid w:val="002B31A6"/>
    <w:rsid w:val="002B3690"/>
    <w:rsid w:val="002B3BC4"/>
    <w:rsid w:val="002B3F1B"/>
    <w:rsid w:val="002B3FBE"/>
    <w:rsid w:val="002B3FC1"/>
    <w:rsid w:val="002B412C"/>
    <w:rsid w:val="002B4253"/>
    <w:rsid w:val="002B4351"/>
    <w:rsid w:val="002B4571"/>
    <w:rsid w:val="002B6251"/>
    <w:rsid w:val="002B7072"/>
    <w:rsid w:val="002B747A"/>
    <w:rsid w:val="002B74FF"/>
    <w:rsid w:val="002B75D4"/>
    <w:rsid w:val="002B78A4"/>
    <w:rsid w:val="002B79EF"/>
    <w:rsid w:val="002C0BF5"/>
    <w:rsid w:val="002C127A"/>
    <w:rsid w:val="002C198F"/>
    <w:rsid w:val="002C1B7A"/>
    <w:rsid w:val="002C22DE"/>
    <w:rsid w:val="002C259E"/>
    <w:rsid w:val="002C2B95"/>
    <w:rsid w:val="002C3940"/>
    <w:rsid w:val="002C3C26"/>
    <w:rsid w:val="002C3FFC"/>
    <w:rsid w:val="002C50C4"/>
    <w:rsid w:val="002C5102"/>
    <w:rsid w:val="002C51F0"/>
    <w:rsid w:val="002C535C"/>
    <w:rsid w:val="002C5D1E"/>
    <w:rsid w:val="002C63A9"/>
    <w:rsid w:val="002C67E0"/>
    <w:rsid w:val="002C68F5"/>
    <w:rsid w:val="002C6B54"/>
    <w:rsid w:val="002C6D5F"/>
    <w:rsid w:val="002C6FC6"/>
    <w:rsid w:val="002D0254"/>
    <w:rsid w:val="002D04C4"/>
    <w:rsid w:val="002D071E"/>
    <w:rsid w:val="002D0AC6"/>
    <w:rsid w:val="002D13C0"/>
    <w:rsid w:val="002D16C8"/>
    <w:rsid w:val="002D18BE"/>
    <w:rsid w:val="002D2037"/>
    <w:rsid w:val="002D2FE5"/>
    <w:rsid w:val="002D3071"/>
    <w:rsid w:val="002D3DC6"/>
    <w:rsid w:val="002D4069"/>
    <w:rsid w:val="002D4423"/>
    <w:rsid w:val="002D499E"/>
    <w:rsid w:val="002D4CC9"/>
    <w:rsid w:val="002D4E0A"/>
    <w:rsid w:val="002D4E4C"/>
    <w:rsid w:val="002D5428"/>
    <w:rsid w:val="002D58D9"/>
    <w:rsid w:val="002D6293"/>
    <w:rsid w:val="002D69D3"/>
    <w:rsid w:val="002D6E75"/>
    <w:rsid w:val="002D70C7"/>
    <w:rsid w:val="002E00D7"/>
    <w:rsid w:val="002E05DB"/>
    <w:rsid w:val="002E06E6"/>
    <w:rsid w:val="002E084B"/>
    <w:rsid w:val="002E0A45"/>
    <w:rsid w:val="002E175F"/>
    <w:rsid w:val="002E19C9"/>
    <w:rsid w:val="002E19EA"/>
    <w:rsid w:val="002E1C8A"/>
    <w:rsid w:val="002E1DDC"/>
    <w:rsid w:val="002E2FE3"/>
    <w:rsid w:val="002E3C00"/>
    <w:rsid w:val="002E451A"/>
    <w:rsid w:val="002E4BEB"/>
    <w:rsid w:val="002E4CC7"/>
    <w:rsid w:val="002E4E00"/>
    <w:rsid w:val="002E4E30"/>
    <w:rsid w:val="002E51B9"/>
    <w:rsid w:val="002E569D"/>
    <w:rsid w:val="002E58D3"/>
    <w:rsid w:val="002E594B"/>
    <w:rsid w:val="002E5960"/>
    <w:rsid w:val="002E5BFA"/>
    <w:rsid w:val="002E610E"/>
    <w:rsid w:val="002E64EF"/>
    <w:rsid w:val="002E651C"/>
    <w:rsid w:val="002E6554"/>
    <w:rsid w:val="002E680E"/>
    <w:rsid w:val="002E688B"/>
    <w:rsid w:val="002E6DB8"/>
    <w:rsid w:val="002E72E4"/>
    <w:rsid w:val="002E7645"/>
    <w:rsid w:val="002E76C0"/>
    <w:rsid w:val="002E7955"/>
    <w:rsid w:val="002E7EF5"/>
    <w:rsid w:val="002F041A"/>
    <w:rsid w:val="002F0501"/>
    <w:rsid w:val="002F0565"/>
    <w:rsid w:val="002F05F4"/>
    <w:rsid w:val="002F0936"/>
    <w:rsid w:val="002F0A40"/>
    <w:rsid w:val="002F14D2"/>
    <w:rsid w:val="002F169B"/>
    <w:rsid w:val="002F1C41"/>
    <w:rsid w:val="002F1E54"/>
    <w:rsid w:val="002F262D"/>
    <w:rsid w:val="002F2DD3"/>
    <w:rsid w:val="002F31D8"/>
    <w:rsid w:val="002F3820"/>
    <w:rsid w:val="002F3977"/>
    <w:rsid w:val="002F3E65"/>
    <w:rsid w:val="002F400F"/>
    <w:rsid w:val="002F488E"/>
    <w:rsid w:val="002F50C0"/>
    <w:rsid w:val="002F5121"/>
    <w:rsid w:val="002F523D"/>
    <w:rsid w:val="002F53E0"/>
    <w:rsid w:val="002F5A1B"/>
    <w:rsid w:val="002F5B0F"/>
    <w:rsid w:val="002F6CDB"/>
    <w:rsid w:val="002F6CEA"/>
    <w:rsid w:val="002F73CB"/>
    <w:rsid w:val="002F7551"/>
    <w:rsid w:val="002F7622"/>
    <w:rsid w:val="002F76EA"/>
    <w:rsid w:val="002F7F69"/>
    <w:rsid w:val="0030088E"/>
    <w:rsid w:val="00300A37"/>
    <w:rsid w:val="0030114E"/>
    <w:rsid w:val="003021CA"/>
    <w:rsid w:val="00302521"/>
    <w:rsid w:val="00302E41"/>
    <w:rsid w:val="003031D4"/>
    <w:rsid w:val="00303379"/>
    <w:rsid w:val="00303601"/>
    <w:rsid w:val="003036F3"/>
    <w:rsid w:val="00303A85"/>
    <w:rsid w:val="00303BDB"/>
    <w:rsid w:val="00303EA0"/>
    <w:rsid w:val="003040FE"/>
    <w:rsid w:val="003043C3"/>
    <w:rsid w:val="00304522"/>
    <w:rsid w:val="0030475B"/>
    <w:rsid w:val="003048B9"/>
    <w:rsid w:val="003048D5"/>
    <w:rsid w:val="003048F5"/>
    <w:rsid w:val="003055B9"/>
    <w:rsid w:val="00305A64"/>
    <w:rsid w:val="00305E62"/>
    <w:rsid w:val="003063CA"/>
    <w:rsid w:val="0030668E"/>
    <w:rsid w:val="003071DB"/>
    <w:rsid w:val="003073FB"/>
    <w:rsid w:val="00307482"/>
    <w:rsid w:val="003103CA"/>
    <w:rsid w:val="003103F7"/>
    <w:rsid w:val="003105F9"/>
    <w:rsid w:val="00310647"/>
    <w:rsid w:val="0031157B"/>
    <w:rsid w:val="003115A3"/>
    <w:rsid w:val="00311B27"/>
    <w:rsid w:val="00311E34"/>
    <w:rsid w:val="00311EFF"/>
    <w:rsid w:val="00312457"/>
    <w:rsid w:val="0031357B"/>
    <w:rsid w:val="00313585"/>
    <w:rsid w:val="00313764"/>
    <w:rsid w:val="00314372"/>
    <w:rsid w:val="00314434"/>
    <w:rsid w:val="003149F0"/>
    <w:rsid w:val="00314AB4"/>
    <w:rsid w:val="00314D4D"/>
    <w:rsid w:val="003159E8"/>
    <w:rsid w:val="0031606D"/>
    <w:rsid w:val="00316C5C"/>
    <w:rsid w:val="00316F2F"/>
    <w:rsid w:val="00317229"/>
    <w:rsid w:val="00317539"/>
    <w:rsid w:val="00317959"/>
    <w:rsid w:val="00317E3D"/>
    <w:rsid w:val="00317E6D"/>
    <w:rsid w:val="00320503"/>
    <w:rsid w:val="0032059E"/>
    <w:rsid w:val="003207A1"/>
    <w:rsid w:val="0032098F"/>
    <w:rsid w:val="00320D60"/>
    <w:rsid w:val="00320D80"/>
    <w:rsid w:val="00321580"/>
    <w:rsid w:val="00321806"/>
    <w:rsid w:val="00321A4D"/>
    <w:rsid w:val="00321B53"/>
    <w:rsid w:val="00321E56"/>
    <w:rsid w:val="0032221A"/>
    <w:rsid w:val="0032245C"/>
    <w:rsid w:val="0032268B"/>
    <w:rsid w:val="003232A6"/>
    <w:rsid w:val="003234BF"/>
    <w:rsid w:val="00323B64"/>
    <w:rsid w:val="00324708"/>
    <w:rsid w:val="003247E9"/>
    <w:rsid w:val="003247F4"/>
    <w:rsid w:val="00324D8E"/>
    <w:rsid w:val="003262D2"/>
    <w:rsid w:val="0032675D"/>
    <w:rsid w:val="003271DD"/>
    <w:rsid w:val="003276E4"/>
    <w:rsid w:val="00327E3A"/>
    <w:rsid w:val="00327FB6"/>
    <w:rsid w:val="00330043"/>
    <w:rsid w:val="00330D97"/>
    <w:rsid w:val="00330E5D"/>
    <w:rsid w:val="00331DDF"/>
    <w:rsid w:val="00331FEE"/>
    <w:rsid w:val="00332096"/>
    <w:rsid w:val="00332AF6"/>
    <w:rsid w:val="00332B4F"/>
    <w:rsid w:val="00332ED6"/>
    <w:rsid w:val="00333EAE"/>
    <w:rsid w:val="00334B83"/>
    <w:rsid w:val="0033510D"/>
    <w:rsid w:val="003351C1"/>
    <w:rsid w:val="003355AC"/>
    <w:rsid w:val="00335ED2"/>
    <w:rsid w:val="0033673F"/>
    <w:rsid w:val="003369D9"/>
    <w:rsid w:val="0033751F"/>
    <w:rsid w:val="00340134"/>
    <w:rsid w:val="003403C1"/>
    <w:rsid w:val="00340410"/>
    <w:rsid w:val="00340D32"/>
    <w:rsid w:val="00341092"/>
    <w:rsid w:val="0034134D"/>
    <w:rsid w:val="00341419"/>
    <w:rsid w:val="00341F84"/>
    <w:rsid w:val="0034221F"/>
    <w:rsid w:val="0034276D"/>
    <w:rsid w:val="00343466"/>
    <w:rsid w:val="00343589"/>
    <w:rsid w:val="00343A71"/>
    <w:rsid w:val="00343FAA"/>
    <w:rsid w:val="003441D9"/>
    <w:rsid w:val="003443E2"/>
    <w:rsid w:val="00344940"/>
    <w:rsid w:val="003451C1"/>
    <w:rsid w:val="003458BB"/>
    <w:rsid w:val="00345A16"/>
    <w:rsid w:val="00345A53"/>
    <w:rsid w:val="00345BA0"/>
    <w:rsid w:val="003462E7"/>
    <w:rsid w:val="00346607"/>
    <w:rsid w:val="00346779"/>
    <w:rsid w:val="003471C3"/>
    <w:rsid w:val="00347EB8"/>
    <w:rsid w:val="00350464"/>
    <w:rsid w:val="00350B6E"/>
    <w:rsid w:val="0035140C"/>
    <w:rsid w:val="00351EC2"/>
    <w:rsid w:val="00352201"/>
    <w:rsid w:val="003524AD"/>
    <w:rsid w:val="00352A36"/>
    <w:rsid w:val="00352A75"/>
    <w:rsid w:val="00353465"/>
    <w:rsid w:val="00353D95"/>
    <w:rsid w:val="00353EC2"/>
    <w:rsid w:val="00354713"/>
    <w:rsid w:val="00354BDF"/>
    <w:rsid w:val="003557DA"/>
    <w:rsid w:val="00355CFF"/>
    <w:rsid w:val="00356102"/>
    <w:rsid w:val="003566A5"/>
    <w:rsid w:val="003568EE"/>
    <w:rsid w:val="00356C2A"/>
    <w:rsid w:val="00356C6D"/>
    <w:rsid w:val="0035706E"/>
    <w:rsid w:val="00357404"/>
    <w:rsid w:val="003574BB"/>
    <w:rsid w:val="00357D3C"/>
    <w:rsid w:val="00360F78"/>
    <w:rsid w:val="0036161E"/>
    <w:rsid w:val="0036221B"/>
    <w:rsid w:val="003624C6"/>
    <w:rsid w:val="00362868"/>
    <w:rsid w:val="00362E8A"/>
    <w:rsid w:val="00363DAC"/>
    <w:rsid w:val="00365103"/>
    <w:rsid w:val="003654E2"/>
    <w:rsid w:val="003656F8"/>
    <w:rsid w:val="00365B33"/>
    <w:rsid w:val="00365D7D"/>
    <w:rsid w:val="003668C2"/>
    <w:rsid w:val="003669B2"/>
    <w:rsid w:val="003705BC"/>
    <w:rsid w:val="00370826"/>
    <w:rsid w:val="00370EF6"/>
    <w:rsid w:val="00371010"/>
    <w:rsid w:val="00371074"/>
    <w:rsid w:val="00371537"/>
    <w:rsid w:val="003715D8"/>
    <w:rsid w:val="003717AF"/>
    <w:rsid w:val="003718B4"/>
    <w:rsid w:val="003721F6"/>
    <w:rsid w:val="003723B1"/>
    <w:rsid w:val="00372499"/>
    <w:rsid w:val="0037253F"/>
    <w:rsid w:val="003725D8"/>
    <w:rsid w:val="003726BD"/>
    <w:rsid w:val="0037293B"/>
    <w:rsid w:val="00372E33"/>
    <w:rsid w:val="00372EFA"/>
    <w:rsid w:val="0037307E"/>
    <w:rsid w:val="00373254"/>
    <w:rsid w:val="00373BCF"/>
    <w:rsid w:val="00373CDC"/>
    <w:rsid w:val="00374773"/>
    <w:rsid w:val="00374793"/>
    <w:rsid w:val="0037499D"/>
    <w:rsid w:val="00374B75"/>
    <w:rsid w:val="00374C2A"/>
    <w:rsid w:val="0037549B"/>
    <w:rsid w:val="003754D8"/>
    <w:rsid w:val="00375559"/>
    <w:rsid w:val="003755A5"/>
    <w:rsid w:val="00375665"/>
    <w:rsid w:val="00375795"/>
    <w:rsid w:val="003759AE"/>
    <w:rsid w:val="00375C5F"/>
    <w:rsid w:val="00375CB6"/>
    <w:rsid w:val="00375CC0"/>
    <w:rsid w:val="003762A6"/>
    <w:rsid w:val="00376960"/>
    <w:rsid w:val="00376C75"/>
    <w:rsid w:val="003770AF"/>
    <w:rsid w:val="00377BB3"/>
    <w:rsid w:val="00377E76"/>
    <w:rsid w:val="00380416"/>
    <w:rsid w:val="00380588"/>
    <w:rsid w:val="00380825"/>
    <w:rsid w:val="003815A1"/>
    <w:rsid w:val="003815E6"/>
    <w:rsid w:val="00381D6A"/>
    <w:rsid w:val="00382337"/>
    <w:rsid w:val="0038252A"/>
    <w:rsid w:val="003828A1"/>
    <w:rsid w:val="00382AED"/>
    <w:rsid w:val="00382D8A"/>
    <w:rsid w:val="00383798"/>
    <w:rsid w:val="003838D0"/>
    <w:rsid w:val="003838EE"/>
    <w:rsid w:val="00384091"/>
    <w:rsid w:val="0038444E"/>
    <w:rsid w:val="00384472"/>
    <w:rsid w:val="00384D4F"/>
    <w:rsid w:val="003852ED"/>
    <w:rsid w:val="0038544C"/>
    <w:rsid w:val="003855CD"/>
    <w:rsid w:val="00385D52"/>
    <w:rsid w:val="003869B0"/>
    <w:rsid w:val="00387036"/>
    <w:rsid w:val="00387246"/>
    <w:rsid w:val="003876BF"/>
    <w:rsid w:val="003878A8"/>
    <w:rsid w:val="00387D12"/>
    <w:rsid w:val="00387F8A"/>
    <w:rsid w:val="00390742"/>
    <w:rsid w:val="00390796"/>
    <w:rsid w:val="00390A7C"/>
    <w:rsid w:val="00390B4E"/>
    <w:rsid w:val="00390E36"/>
    <w:rsid w:val="003910F7"/>
    <w:rsid w:val="003911B9"/>
    <w:rsid w:val="003913D6"/>
    <w:rsid w:val="003914BE"/>
    <w:rsid w:val="00391D10"/>
    <w:rsid w:val="00392874"/>
    <w:rsid w:val="00392928"/>
    <w:rsid w:val="00392985"/>
    <w:rsid w:val="00392ABB"/>
    <w:rsid w:val="00392EFE"/>
    <w:rsid w:val="00392F29"/>
    <w:rsid w:val="00392FB3"/>
    <w:rsid w:val="00393147"/>
    <w:rsid w:val="003931C7"/>
    <w:rsid w:val="00393484"/>
    <w:rsid w:val="00393DF5"/>
    <w:rsid w:val="003942A2"/>
    <w:rsid w:val="00394717"/>
    <w:rsid w:val="003947FF"/>
    <w:rsid w:val="0039499E"/>
    <w:rsid w:val="003958D9"/>
    <w:rsid w:val="00395D6C"/>
    <w:rsid w:val="00395E0A"/>
    <w:rsid w:val="00396EA4"/>
    <w:rsid w:val="00397001"/>
    <w:rsid w:val="00397FB2"/>
    <w:rsid w:val="003A0143"/>
    <w:rsid w:val="003A04C7"/>
    <w:rsid w:val="003A054F"/>
    <w:rsid w:val="003A05BC"/>
    <w:rsid w:val="003A0C65"/>
    <w:rsid w:val="003A0FE0"/>
    <w:rsid w:val="003A13BC"/>
    <w:rsid w:val="003A13C9"/>
    <w:rsid w:val="003A192C"/>
    <w:rsid w:val="003A249D"/>
    <w:rsid w:val="003A2793"/>
    <w:rsid w:val="003A2DFF"/>
    <w:rsid w:val="003A3549"/>
    <w:rsid w:val="003A3755"/>
    <w:rsid w:val="003A3A69"/>
    <w:rsid w:val="003A3AF9"/>
    <w:rsid w:val="003A3C6C"/>
    <w:rsid w:val="003A4F73"/>
    <w:rsid w:val="003A51DD"/>
    <w:rsid w:val="003A53DF"/>
    <w:rsid w:val="003A58B4"/>
    <w:rsid w:val="003A5F47"/>
    <w:rsid w:val="003A62DD"/>
    <w:rsid w:val="003A6E94"/>
    <w:rsid w:val="003A6F40"/>
    <w:rsid w:val="003A7329"/>
    <w:rsid w:val="003A760D"/>
    <w:rsid w:val="003A7DE0"/>
    <w:rsid w:val="003B059F"/>
    <w:rsid w:val="003B1842"/>
    <w:rsid w:val="003B19C7"/>
    <w:rsid w:val="003B1D42"/>
    <w:rsid w:val="003B219B"/>
    <w:rsid w:val="003B21C5"/>
    <w:rsid w:val="003B22DE"/>
    <w:rsid w:val="003B26F2"/>
    <w:rsid w:val="003B2903"/>
    <w:rsid w:val="003B2A15"/>
    <w:rsid w:val="003B3115"/>
    <w:rsid w:val="003B3158"/>
    <w:rsid w:val="003B3346"/>
    <w:rsid w:val="003B3610"/>
    <w:rsid w:val="003B3868"/>
    <w:rsid w:val="003B3CAF"/>
    <w:rsid w:val="003B4235"/>
    <w:rsid w:val="003B441D"/>
    <w:rsid w:val="003B4504"/>
    <w:rsid w:val="003B4523"/>
    <w:rsid w:val="003B4849"/>
    <w:rsid w:val="003B496B"/>
    <w:rsid w:val="003B4D77"/>
    <w:rsid w:val="003B5228"/>
    <w:rsid w:val="003B5AE7"/>
    <w:rsid w:val="003B6334"/>
    <w:rsid w:val="003B63A7"/>
    <w:rsid w:val="003B6432"/>
    <w:rsid w:val="003B6603"/>
    <w:rsid w:val="003B6705"/>
    <w:rsid w:val="003B6BD4"/>
    <w:rsid w:val="003B6D54"/>
    <w:rsid w:val="003B72DB"/>
    <w:rsid w:val="003B736D"/>
    <w:rsid w:val="003B7AE9"/>
    <w:rsid w:val="003C0E0D"/>
    <w:rsid w:val="003C0F6C"/>
    <w:rsid w:val="003C1286"/>
    <w:rsid w:val="003C153E"/>
    <w:rsid w:val="003C1A4D"/>
    <w:rsid w:val="003C1FDA"/>
    <w:rsid w:val="003C2188"/>
    <w:rsid w:val="003C2252"/>
    <w:rsid w:val="003C2679"/>
    <w:rsid w:val="003C3111"/>
    <w:rsid w:val="003C335F"/>
    <w:rsid w:val="003C337F"/>
    <w:rsid w:val="003C3986"/>
    <w:rsid w:val="003C4022"/>
    <w:rsid w:val="003C4D1E"/>
    <w:rsid w:val="003C4FF1"/>
    <w:rsid w:val="003C5275"/>
    <w:rsid w:val="003C5CB9"/>
    <w:rsid w:val="003C5E9B"/>
    <w:rsid w:val="003C61ED"/>
    <w:rsid w:val="003C6291"/>
    <w:rsid w:val="003C6736"/>
    <w:rsid w:val="003C69DC"/>
    <w:rsid w:val="003C736C"/>
    <w:rsid w:val="003C7E8D"/>
    <w:rsid w:val="003D0E41"/>
    <w:rsid w:val="003D12AA"/>
    <w:rsid w:val="003D1D9C"/>
    <w:rsid w:val="003D1EC4"/>
    <w:rsid w:val="003D2727"/>
    <w:rsid w:val="003D27E0"/>
    <w:rsid w:val="003D2C02"/>
    <w:rsid w:val="003D2FD5"/>
    <w:rsid w:val="003D397C"/>
    <w:rsid w:val="003D3DBB"/>
    <w:rsid w:val="003D3F91"/>
    <w:rsid w:val="003D422E"/>
    <w:rsid w:val="003D47B1"/>
    <w:rsid w:val="003D4998"/>
    <w:rsid w:val="003D5A11"/>
    <w:rsid w:val="003D5D1F"/>
    <w:rsid w:val="003D62D3"/>
    <w:rsid w:val="003D6BF5"/>
    <w:rsid w:val="003D74C4"/>
    <w:rsid w:val="003D7FCD"/>
    <w:rsid w:val="003E0AC6"/>
    <w:rsid w:val="003E11CB"/>
    <w:rsid w:val="003E1369"/>
    <w:rsid w:val="003E1CE2"/>
    <w:rsid w:val="003E2272"/>
    <w:rsid w:val="003E2C1F"/>
    <w:rsid w:val="003E35D3"/>
    <w:rsid w:val="003E37F6"/>
    <w:rsid w:val="003E3865"/>
    <w:rsid w:val="003E3F10"/>
    <w:rsid w:val="003E40DF"/>
    <w:rsid w:val="003E434E"/>
    <w:rsid w:val="003E4779"/>
    <w:rsid w:val="003E4F2E"/>
    <w:rsid w:val="003E4FA4"/>
    <w:rsid w:val="003E5A7E"/>
    <w:rsid w:val="003E5DF8"/>
    <w:rsid w:val="003E67A8"/>
    <w:rsid w:val="003E69EE"/>
    <w:rsid w:val="003E6B5A"/>
    <w:rsid w:val="003E7483"/>
    <w:rsid w:val="003E7543"/>
    <w:rsid w:val="003E7828"/>
    <w:rsid w:val="003E7AE2"/>
    <w:rsid w:val="003F01E5"/>
    <w:rsid w:val="003F0510"/>
    <w:rsid w:val="003F0A52"/>
    <w:rsid w:val="003F0FE7"/>
    <w:rsid w:val="003F134B"/>
    <w:rsid w:val="003F13DD"/>
    <w:rsid w:val="003F17FA"/>
    <w:rsid w:val="003F1DF4"/>
    <w:rsid w:val="003F24B6"/>
    <w:rsid w:val="003F29F7"/>
    <w:rsid w:val="003F2AC9"/>
    <w:rsid w:val="003F2C7C"/>
    <w:rsid w:val="003F32A5"/>
    <w:rsid w:val="003F3D30"/>
    <w:rsid w:val="003F499B"/>
    <w:rsid w:val="003F4DA3"/>
    <w:rsid w:val="003F4EEA"/>
    <w:rsid w:val="003F524E"/>
    <w:rsid w:val="003F56D0"/>
    <w:rsid w:val="003F5B41"/>
    <w:rsid w:val="003F6683"/>
    <w:rsid w:val="003F679C"/>
    <w:rsid w:val="003F69FE"/>
    <w:rsid w:val="003F6CB9"/>
    <w:rsid w:val="003F7887"/>
    <w:rsid w:val="003F7D85"/>
    <w:rsid w:val="00400300"/>
    <w:rsid w:val="00400E22"/>
    <w:rsid w:val="0040110E"/>
    <w:rsid w:val="004016E1"/>
    <w:rsid w:val="00401C31"/>
    <w:rsid w:val="00401CB9"/>
    <w:rsid w:val="0040238E"/>
    <w:rsid w:val="00402640"/>
    <w:rsid w:val="0040281B"/>
    <w:rsid w:val="004028DD"/>
    <w:rsid w:val="00402E03"/>
    <w:rsid w:val="00402FFA"/>
    <w:rsid w:val="00403383"/>
    <w:rsid w:val="00403502"/>
    <w:rsid w:val="00404580"/>
    <w:rsid w:val="0040468D"/>
    <w:rsid w:val="004046EE"/>
    <w:rsid w:val="00404C8C"/>
    <w:rsid w:val="00404DF6"/>
    <w:rsid w:val="004058C6"/>
    <w:rsid w:val="004058D0"/>
    <w:rsid w:val="0040595B"/>
    <w:rsid w:val="004067C3"/>
    <w:rsid w:val="00406A03"/>
    <w:rsid w:val="00406D4E"/>
    <w:rsid w:val="00406DA2"/>
    <w:rsid w:val="004072B7"/>
    <w:rsid w:val="004073F4"/>
    <w:rsid w:val="00407B97"/>
    <w:rsid w:val="00407BF8"/>
    <w:rsid w:val="00407E76"/>
    <w:rsid w:val="00407F81"/>
    <w:rsid w:val="00410775"/>
    <w:rsid w:val="00410D04"/>
    <w:rsid w:val="0041128C"/>
    <w:rsid w:val="00411A76"/>
    <w:rsid w:val="00411B38"/>
    <w:rsid w:val="004120E5"/>
    <w:rsid w:val="00412385"/>
    <w:rsid w:val="0041239F"/>
    <w:rsid w:val="0041269B"/>
    <w:rsid w:val="00412A65"/>
    <w:rsid w:val="00412B93"/>
    <w:rsid w:val="00412DD3"/>
    <w:rsid w:val="0041399A"/>
    <w:rsid w:val="0041465D"/>
    <w:rsid w:val="0041488E"/>
    <w:rsid w:val="00414961"/>
    <w:rsid w:val="00414B33"/>
    <w:rsid w:val="0041511D"/>
    <w:rsid w:val="004153E4"/>
    <w:rsid w:val="00415795"/>
    <w:rsid w:val="0041579F"/>
    <w:rsid w:val="00415AB8"/>
    <w:rsid w:val="00416B04"/>
    <w:rsid w:val="00416CFF"/>
    <w:rsid w:val="00416D51"/>
    <w:rsid w:val="00417873"/>
    <w:rsid w:val="00417B82"/>
    <w:rsid w:val="00417C63"/>
    <w:rsid w:val="00417C7A"/>
    <w:rsid w:val="00417E57"/>
    <w:rsid w:val="004208F4"/>
    <w:rsid w:val="0042091F"/>
    <w:rsid w:val="00421006"/>
    <w:rsid w:val="004210A1"/>
    <w:rsid w:val="00421326"/>
    <w:rsid w:val="00421AD1"/>
    <w:rsid w:val="00421EB0"/>
    <w:rsid w:val="004224D0"/>
    <w:rsid w:val="004226B1"/>
    <w:rsid w:val="00422787"/>
    <w:rsid w:val="00422974"/>
    <w:rsid w:val="00422B28"/>
    <w:rsid w:val="0042341D"/>
    <w:rsid w:val="00423449"/>
    <w:rsid w:val="004234AB"/>
    <w:rsid w:val="004237EA"/>
    <w:rsid w:val="00423F23"/>
    <w:rsid w:val="00423F2A"/>
    <w:rsid w:val="004249FC"/>
    <w:rsid w:val="00424ACB"/>
    <w:rsid w:val="00424E4D"/>
    <w:rsid w:val="00425104"/>
    <w:rsid w:val="00425112"/>
    <w:rsid w:val="0042534A"/>
    <w:rsid w:val="0042549B"/>
    <w:rsid w:val="00425606"/>
    <w:rsid w:val="00425F0F"/>
    <w:rsid w:val="00426560"/>
    <w:rsid w:val="0042696C"/>
    <w:rsid w:val="00426D0B"/>
    <w:rsid w:val="00426EEA"/>
    <w:rsid w:val="0042740B"/>
    <w:rsid w:val="0042764C"/>
    <w:rsid w:val="00427D2E"/>
    <w:rsid w:val="004300D7"/>
    <w:rsid w:val="0043049A"/>
    <w:rsid w:val="0043059B"/>
    <w:rsid w:val="00430792"/>
    <w:rsid w:val="0043096A"/>
    <w:rsid w:val="00430A40"/>
    <w:rsid w:val="00430D67"/>
    <w:rsid w:val="00431C73"/>
    <w:rsid w:val="00432908"/>
    <w:rsid w:val="00432A54"/>
    <w:rsid w:val="00432EE3"/>
    <w:rsid w:val="00433089"/>
    <w:rsid w:val="00433699"/>
    <w:rsid w:val="00433715"/>
    <w:rsid w:val="00433773"/>
    <w:rsid w:val="004337B5"/>
    <w:rsid w:val="00433962"/>
    <w:rsid w:val="00433FBB"/>
    <w:rsid w:val="00433FE3"/>
    <w:rsid w:val="004347DA"/>
    <w:rsid w:val="00434929"/>
    <w:rsid w:val="00434F56"/>
    <w:rsid w:val="004351E2"/>
    <w:rsid w:val="00435362"/>
    <w:rsid w:val="00435375"/>
    <w:rsid w:val="00435767"/>
    <w:rsid w:val="00435FD2"/>
    <w:rsid w:val="0043609B"/>
    <w:rsid w:val="00436497"/>
    <w:rsid w:val="004364EF"/>
    <w:rsid w:val="004365DB"/>
    <w:rsid w:val="00436E28"/>
    <w:rsid w:val="00437815"/>
    <w:rsid w:val="00440444"/>
    <w:rsid w:val="004408EB"/>
    <w:rsid w:val="00440934"/>
    <w:rsid w:val="00441B04"/>
    <w:rsid w:val="00441C39"/>
    <w:rsid w:val="0044240B"/>
    <w:rsid w:val="004425AA"/>
    <w:rsid w:val="00444059"/>
    <w:rsid w:val="00444887"/>
    <w:rsid w:val="004448CA"/>
    <w:rsid w:val="00444985"/>
    <w:rsid w:val="00444B45"/>
    <w:rsid w:val="00444CCD"/>
    <w:rsid w:val="00444FC8"/>
    <w:rsid w:val="00445193"/>
    <w:rsid w:val="00445300"/>
    <w:rsid w:val="00445569"/>
    <w:rsid w:val="00445765"/>
    <w:rsid w:val="00445851"/>
    <w:rsid w:val="00445903"/>
    <w:rsid w:val="00445B87"/>
    <w:rsid w:val="004463F3"/>
    <w:rsid w:val="0044641A"/>
    <w:rsid w:val="004468C1"/>
    <w:rsid w:val="00446B7D"/>
    <w:rsid w:val="00446B93"/>
    <w:rsid w:val="00446D90"/>
    <w:rsid w:val="00446DAA"/>
    <w:rsid w:val="00446DC6"/>
    <w:rsid w:val="004472DC"/>
    <w:rsid w:val="00447A75"/>
    <w:rsid w:val="00447E98"/>
    <w:rsid w:val="00450014"/>
    <w:rsid w:val="0045003C"/>
    <w:rsid w:val="004504F3"/>
    <w:rsid w:val="00450907"/>
    <w:rsid w:val="00450E2B"/>
    <w:rsid w:val="00450F34"/>
    <w:rsid w:val="00451214"/>
    <w:rsid w:val="004513F7"/>
    <w:rsid w:val="00451936"/>
    <w:rsid w:val="00451D00"/>
    <w:rsid w:val="0045336E"/>
    <w:rsid w:val="0045478C"/>
    <w:rsid w:val="004548D3"/>
    <w:rsid w:val="00454B78"/>
    <w:rsid w:val="00454CCF"/>
    <w:rsid w:val="004552CE"/>
    <w:rsid w:val="0045561B"/>
    <w:rsid w:val="00455ACE"/>
    <w:rsid w:val="00455C00"/>
    <w:rsid w:val="00455CE2"/>
    <w:rsid w:val="00455E46"/>
    <w:rsid w:val="0045627D"/>
    <w:rsid w:val="004566E9"/>
    <w:rsid w:val="0045673F"/>
    <w:rsid w:val="00457467"/>
    <w:rsid w:val="004577B3"/>
    <w:rsid w:val="00457B60"/>
    <w:rsid w:val="00457BD9"/>
    <w:rsid w:val="00457D20"/>
    <w:rsid w:val="00457EB2"/>
    <w:rsid w:val="004606FC"/>
    <w:rsid w:val="0046076C"/>
    <w:rsid w:val="00460810"/>
    <w:rsid w:val="00461296"/>
    <w:rsid w:val="0046175B"/>
    <w:rsid w:val="004619BB"/>
    <w:rsid w:val="00461F14"/>
    <w:rsid w:val="00461F4C"/>
    <w:rsid w:val="00461FA0"/>
    <w:rsid w:val="004625AE"/>
    <w:rsid w:val="00462863"/>
    <w:rsid w:val="00462884"/>
    <w:rsid w:val="00462B1A"/>
    <w:rsid w:val="00463569"/>
    <w:rsid w:val="00463B34"/>
    <w:rsid w:val="00463C0A"/>
    <w:rsid w:val="00463DAA"/>
    <w:rsid w:val="00463F5B"/>
    <w:rsid w:val="00464564"/>
    <w:rsid w:val="004649CB"/>
    <w:rsid w:val="00464B2B"/>
    <w:rsid w:val="00465053"/>
    <w:rsid w:val="004656D2"/>
    <w:rsid w:val="004659E0"/>
    <w:rsid w:val="00465EFA"/>
    <w:rsid w:val="004665E3"/>
    <w:rsid w:val="004668D5"/>
    <w:rsid w:val="00466C6F"/>
    <w:rsid w:val="0046764F"/>
    <w:rsid w:val="00467763"/>
    <w:rsid w:val="0047011E"/>
    <w:rsid w:val="004704A2"/>
    <w:rsid w:val="00470754"/>
    <w:rsid w:val="00470C25"/>
    <w:rsid w:val="00470F2B"/>
    <w:rsid w:val="004712CF"/>
    <w:rsid w:val="00471612"/>
    <w:rsid w:val="004720F0"/>
    <w:rsid w:val="004728EB"/>
    <w:rsid w:val="004729B5"/>
    <w:rsid w:val="00472D64"/>
    <w:rsid w:val="00472ED4"/>
    <w:rsid w:val="004733AA"/>
    <w:rsid w:val="00473855"/>
    <w:rsid w:val="00473A8F"/>
    <w:rsid w:val="00473AC6"/>
    <w:rsid w:val="00473E6F"/>
    <w:rsid w:val="004740FE"/>
    <w:rsid w:val="00474272"/>
    <w:rsid w:val="004747FA"/>
    <w:rsid w:val="00474E62"/>
    <w:rsid w:val="00475705"/>
    <w:rsid w:val="00475960"/>
    <w:rsid w:val="00476A81"/>
    <w:rsid w:val="00476B40"/>
    <w:rsid w:val="00476ED9"/>
    <w:rsid w:val="00477A95"/>
    <w:rsid w:val="00477AE6"/>
    <w:rsid w:val="00477B99"/>
    <w:rsid w:val="00480112"/>
    <w:rsid w:val="004806FA"/>
    <w:rsid w:val="00480BCE"/>
    <w:rsid w:val="0048148B"/>
    <w:rsid w:val="00481887"/>
    <w:rsid w:val="004818CA"/>
    <w:rsid w:val="00482448"/>
    <w:rsid w:val="004827AE"/>
    <w:rsid w:val="00482CE1"/>
    <w:rsid w:val="00483B13"/>
    <w:rsid w:val="00483D13"/>
    <w:rsid w:val="004841A0"/>
    <w:rsid w:val="0048435F"/>
    <w:rsid w:val="004844CE"/>
    <w:rsid w:val="0048479D"/>
    <w:rsid w:val="00484915"/>
    <w:rsid w:val="00484E80"/>
    <w:rsid w:val="00485262"/>
    <w:rsid w:val="004853F4"/>
    <w:rsid w:val="00485CAA"/>
    <w:rsid w:val="004865FE"/>
    <w:rsid w:val="00486B4F"/>
    <w:rsid w:val="00486D66"/>
    <w:rsid w:val="00486DAA"/>
    <w:rsid w:val="00486E96"/>
    <w:rsid w:val="00487539"/>
    <w:rsid w:val="0048777B"/>
    <w:rsid w:val="004878E4"/>
    <w:rsid w:val="00487A91"/>
    <w:rsid w:val="00487FE2"/>
    <w:rsid w:val="004907DD"/>
    <w:rsid w:val="00490B9E"/>
    <w:rsid w:val="00490CF6"/>
    <w:rsid w:val="00490F56"/>
    <w:rsid w:val="00490FD7"/>
    <w:rsid w:val="0049136D"/>
    <w:rsid w:val="00491E38"/>
    <w:rsid w:val="00492324"/>
    <w:rsid w:val="004923A8"/>
    <w:rsid w:val="004933C9"/>
    <w:rsid w:val="00493EE8"/>
    <w:rsid w:val="00494D47"/>
    <w:rsid w:val="004950A4"/>
    <w:rsid w:val="00495399"/>
    <w:rsid w:val="004956D4"/>
    <w:rsid w:val="0049579A"/>
    <w:rsid w:val="0049599E"/>
    <w:rsid w:val="004963CB"/>
    <w:rsid w:val="004967C5"/>
    <w:rsid w:val="00496A44"/>
    <w:rsid w:val="00496BEE"/>
    <w:rsid w:val="004A04CE"/>
    <w:rsid w:val="004A06A3"/>
    <w:rsid w:val="004A0D38"/>
    <w:rsid w:val="004A16C7"/>
    <w:rsid w:val="004A1721"/>
    <w:rsid w:val="004A1853"/>
    <w:rsid w:val="004A2649"/>
    <w:rsid w:val="004A2663"/>
    <w:rsid w:val="004A267B"/>
    <w:rsid w:val="004A32F7"/>
    <w:rsid w:val="004A3557"/>
    <w:rsid w:val="004A37D2"/>
    <w:rsid w:val="004A388D"/>
    <w:rsid w:val="004A3FDF"/>
    <w:rsid w:val="004A475F"/>
    <w:rsid w:val="004A4771"/>
    <w:rsid w:val="004A4E23"/>
    <w:rsid w:val="004A4F13"/>
    <w:rsid w:val="004A5048"/>
    <w:rsid w:val="004A5078"/>
    <w:rsid w:val="004A53DD"/>
    <w:rsid w:val="004A5B4B"/>
    <w:rsid w:val="004A5BBA"/>
    <w:rsid w:val="004A6A52"/>
    <w:rsid w:val="004A6C03"/>
    <w:rsid w:val="004A6D78"/>
    <w:rsid w:val="004B011F"/>
    <w:rsid w:val="004B0A98"/>
    <w:rsid w:val="004B0B2F"/>
    <w:rsid w:val="004B0B56"/>
    <w:rsid w:val="004B0BC5"/>
    <w:rsid w:val="004B1433"/>
    <w:rsid w:val="004B151D"/>
    <w:rsid w:val="004B16A8"/>
    <w:rsid w:val="004B1923"/>
    <w:rsid w:val="004B2228"/>
    <w:rsid w:val="004B317C"/>
    <w:rsid w:val="004B3457"/>
    <w:rsid w:val="004B3900"/>
    <w:rsid w:val="004B3B30"/>
    <w:rsid w:val="004B3BD9"/>
    <w:rsid w:val="004B3E09"/>
    <w:rsid w:val="004B3E3F"/>
    <w:rsid w:val="004B40F5"/>
    <w:rsid w:val="004B4420"/>
    <w:rsid w:val="004B46B6"/>
    <w:rsid w:val="004B4B29"/>
    <w:rsid w:val="004B4C16"/>
    <w:rsid w:val="004B4EBE"/>
    <w:rsid w:val="004B500D"/>
    <w:rsid w:val="004B5441"/>
    <w:rsid w:val="004B555B"/>
    <w:rsid w:val="004B591D"/>
    <w:rsid w:val="004B63DE"/>
    <w:rsid w:val="004B6878"/>
    <w:rsid w:val="004B6E7B"/>
    <w:rsid w:val="004B6FEF"/>
    <w:rsid w:val="004B7CEE"/>
    <w:rsid w:val="004B7E29"/>
    <w:rsid w:val="004C0429"/>
    <w:rsid w:val="004C0528"/>
    <w:rsid w:val="004C07E7"/>
    <w:rsid w:val="004C0AB2"/>
    <w:rsid w:val="004C0D1C"/>
    <w:rsid w:val="004C0F08"/>
    <w:rsid w:val="004C12AE"/>
    <w:rsid w:val="004C1C87"/>
    <w:rsid w:val="004C209A"/>
    <w:rsid w:val="004C251D"/>
    <w:rsid w:val="004C25CD"/>
    <w:rsid w:val="004C272F"/>
    <w:rsid w:val="004C29B1"/>
    <w:rsid w:val="004C35ED"/>
    <w:rsid w:val="004C3805"/>
    <w:rsid w:val="004C3A73"/>
    <w:rsid w:val="004C542D"/>
    <w:rsid w:val="004C596F"/>
    <w:rsid w:val="004C5ABD"/>
    <w:rsid w:val="004C676F"/>
    <w:rsid w:val="004C6914"/>
    <w:rsid w:val="004C691E"/>
    <w:rsid w:val="004C6E1C"/>
    <w:rsid w:val="004C721D"/>
    <w:rsid w:val="004C7820"/>
    <w:rsid w:val="004D1318"/>
    <w:rsid w:val="004D1C90"/>
    <w:rsid w:val="004D1D61"/>
    <w:rsid w:val="004D3084"/>
    <w:rsid w:val="004D347A"/>
    <w:rsid w:val="004D35EE"/>
    <w:rsid w:val="004D40C8"/>
    <w:rsid w:val="004D4789"/>
    <w:rsid w:val="004D4E1D"/>
    <w:rsid w:val="004D53A0"/>
    <w:rsid w:val="004D5455"/>
    <w:rsid w:val="004D5EE8"/>
    <w:rsid w:val="004D6C7D"/>
    <w:rsid w:val="004D6EB7"/>
    <w:rsid w:val="004D6F1E"/>
    <w:rsid w:val="004D738F"/>
    <w:rsid w:val="004D7546"/>
    <w:rsid w:val="004D76F9"/>
    <w:rsid w:val="004D7BC9"/>
    <w:rsid w:val="004E0A8A"/>
    <w:rsid w:val="004E0D80"/>
    <w:rsid w:val="004E0E9E"/>
    <w:rsid w:val="004E14AC"/>
    <w:rsid w:val="004E1884"/>
    <w:rsid w:val="004E1BEB"/>
    <w:rsid w:val="004E1CF3"/>
    <w:rsid w:val="004E2406"/>
    <w:rsid w:val="004E2C2B"/>
    <w:rsid w:val="004E359E"/>
    <w:rsid w:val="004E3836"/>
    <w:rsid w:val="004E3D66"/>
    <w:rsid w:val="004E3EA4"/>
    <w:rsid w:val="004E40D4"/>
    <w:rsid w:val="004E44C4"/>
    <w:rsid w:val="004E4587"/>
    <w:rsid w:val="004E4E3E"/>
    <w:rsid w:val="004E5549"/>
    <w:rsid w:val="004E56B5"/>
    <w:rsid w:val="004E5C0B"/>
    <w:rsid w:val="004E5E07"/>
    <w:rsid w:val="004E6361"/>
    <w:rsid w:val="004E67FC"/>
    <w:rsid w:val="004E6E61"/>
    <w:rsid w:val="004E6F8D"/>
    <w:rsid w:val="004E7779"/>
    <w:rsid w:val="004E7B40"/>
    <w:rsid w:val="004E7CAC"/>
    <w:rsid w:val="004F01D6"/>
    <w:rsid w:val="004F057C"/>
    <w:rsid w:val="004F06DE"/>
    <w:rsid w:val="004F075F"/>
    <w:rsid w:val="004F0A06"/>
    <w:rsid w:val="004F0BBC"/>
    <w:rsid w:val="004F0D00"/>
    <w:rsid w:val="004F0D8D"/>
    <w:rsid w:val="004F0E96"/>
    <w:rsid w:val="004F0F44"/>
    <w:rsid w:val="004F131C"/>
    <w:rsid w:val="004F14D5"/>
    <w:rsid w:val="004F15C9"/>
    <w:rsid w:val="004F1783"/>
    <w:rsid w:val="004F1BB6"/>
    <w:rsid w:val="004F1F3D"/>
    <w:rsid w:val="004F1F59"/>
    <w:rsid w:val="004F2414"/>
    <w:rsid w:val="004F24CA"/>
    <w:rsid w:val="004F26E2"/>
    <w:rsid w:val="004F26EC"/>
    <w:rsid w:val="004F3233"/>
    <w:rsid w:val="004F37DA"/>
    <w:rsid w:val="004F3EE9"/>
    <w:rsid w:val="004F4203"/>
    <w:rsid w:val="004F422E"/>
    <w:rsid w:val="004F427E"/>
    <w:rsid w:val="004F44C7"/>
    <w:rsid w:val="004F47C1"/>
    <w:rsid w:val="004F507D"/>
    <w:rsid w:val="004F5124"/>
    <w:rsid w:val="004F527E"/>
    <w:rsid w:val="004F5418"/>
    <w:rsid w:val="004F547B"/>
    <w:rsid w:val="004F5BCA"/>
    <w:rsid w:val="004F5C72"/>
    <w:rsid w:val="004F62CA"/>
    <w:rsid w:val="004F6474"/>
    <w:rsid w:val="004F688A"/>
    <w:rsid w:val="004F691F"/>
    <w:rsid w:val="004F6C7C"/>
    <w:rsid w:val="004F73F4"/>
    <w:rsid w:val="004F7573"/>
    <w:rsid w:val="004F79EE"/>
    <w:rsid w:val="004F7B2D"/>
    <w:rsid w:val="004F7E39"/>
    <w:rsid w:val="005007A1"/>
    <w:rsid w:val="00500861"/>
    <w:rsid w:val="00501318"/>
    <w:rsid w:val="005015FD"/>
    <w:rsid w:val="00501660"/>
    <w:rsid w:val="00501EA9"/>
    <w:rsid w:val="00502222"/>
    <w:rsid w:val="005032D7"/>
    <w:rsid w:val="005033BB"/>
    <w:rsid w:val="005033CE"/>
    <w:rsid w:val="00503771"/>
    <w:rsid w:val="005041F5"/>
    <w:rsid w:val="0050444F"/>
    <w:rsid w:val="00504662"/>
    <w:rsid w:val="0050534A"/>
    <w:rsid w:val="00505841"/>
    <w:rsid w:val="00505CB5"/>
    <w:rsid w:val="00505D4D"/>
    <w:rsid w:val="005061CF"/>
    <w:rsid w:val="005067DB"/>
    <w:rsid w:val="005079D6"/>
    <w:rsid w:val="00507FF0"/>
    <w:rsid w:val="00510183"/>
    <w:rsid w:val="005102DE"/>
    <w:rsid w:val="0051043A"/>
    <w:rsid w:val="00510AE8"/>
    <w:rsid w:val="00510CD0"/>
    <w:rsid w:val="00510E11"/>
    <w:rsid w:val="005110E2"/>
    <w:rsid w:val="005115E2"/>
    <w:rsid w:val="00511DCD"/>
    <w:rsid w:val="00511DDB"/>
    <w:rsid w:val="00511F44"/>
    <w:rsid w:val="00512426"/>
    <w:rsid w:val="00512DD7"/>
    <w:rsid w:val="005131E9"/>
    <w:rsid w:val="00513EF6"/>
    <w:rsid w:val="00513FCA"/>
    <w:rsid w:val="005145C0"/>
    <w:rsid w:val="005149E5"/>
    <w:rsid w:val="00514FC4"/>
    <w:rsid w:val="0051562E"/>
    <w:rsid w:val="00515897"/>
    <w:rsid w:val="00515AFF"/>
    <w:rsid w:val="0051644C"/>
    <w:rsid w:val="005169E7"/>
    <w:rsid w:val="00516AB6"/>
    <w:rsid w:val="00516B33"/>
    <w:rsid w:val="00516F49"/>
    <w:rsid w:val="005171D1"/>
    <w:rsid w:val="00517368"/>
    <w:rsid w:val="00517558"/>
    <w:rsid w:val="005175FA"/>
    <w:rsid w:val="00517640"/>
    <w:rsid w:val="00517991"/>
    <w:rsid w:val="0052066C"/>
    <w:rsid w:val="0052098A"/>
    <w:rsid w:val="00520E8A"/>
    <w:rsid w:val="00520F07"/>
    <w:rsid w:val="00521279"/>
    <w:rsid w:val="005215C9"/>
    <w:rsid w:val="0052183E"/>
    <w:rsid w:val="00521E57"/>
    <w:rsid w:val="00521ED5"/>
    <w:rsid w:val="005223B6"/>
    <w:rsid w:val="0052250C"/>
    <w:rsid w:val="005226DC"/>
    <w:rsid w:val="00522B2C"/>
    <w:rsid w:val="005234B7"/>
    <w:rsid w:val="00523550"/>
    <w:rsid w:val="00523813"/>
    <w:rsid w:val="005239BC"/>
    <w:rsid w:val="00523C29"/>
    <w:rsid w:val="00524091"/>
    <w:rsid w:val="0052433D"/>
    <w:rsid w:val="005247DB"/>
    <w:rsid w:val="005249C4"/>
    <w:rsid w:val="00524B96"/>
    <w:rsid w:val="00524CB3"/>
    <w:rsid w:val="0052527E"/>
    <w:rsid w:val="005254DD"/>
    <w:rsid w:val="00525787"/>
    <w:rsid w:val="005258E6"/>
    <w:rsid w:val="005259AB"/>
    <w:rsid w:val="00525D19"/>
    <w:rsid w:val="0052663E"/>
    <w:rsid w:val="005268DB"/>
    <w:rsid w:val="00526C77"/>
    <w:rsid w:val="0052737F"/>
    <w:rsid w:val="00527467"/>
    <w:rsid w:val="00527BA4"/>
    <w:rsid w:val="0053024F"/>
    <w:rsid w:val="00530750"/>
    <w:rsid w:val="005308B0"/>
    <w:rsid w:val="00530BB9"/>
    <w:rsid w:val="00530BF4"/>
    <w:rsid w:val="00530E64"/>
    <w:rsid w:val="00531627"/>
    <w:rsid w:val="00531D14"/>
    <w:rsid w:val="00532184"/>
    <w:rsid w:val="00533EA0"/>
    <w:rsid w:val="00534340"/>
    <w:rsid w:val="00534929"/>
    <w:rsid w:val="005349E3"/>
    <w:rsid w:val="00534B61"/>
    <w:rsid w:val="00534EEC"/>
    <w:rsid w:val="00535536"/>
    <w:rsid w:val="0053572B"/>
    <w:rsid w:val="005358FA"/>
    <w:rsid w:val="0053599E"/>
    <w:rsid w:val="0053611F"/>
    <w:rsid w:val="005364A5"/>
    <w:rsid w:val="00536E8A"/>
    <w:rsid w:val="00536F8B"/>
    <w:rsid w:val="00537237"/>
    <w:rsid w:val="005378AD"/>
    <w:rsid w:val="00537F89"/>
    <w:rsid w:val="00540170"/>
    <w:rsid w:val="00540202"/>
    <w:rsid w:val="00540857"/>
    <w:rsid w:val="00540937"/>
    <w:rsid w:val="00541238"/>
    <w:rsid w:val="00541417"/>
    <w:rsid w:val="005417D0"/>
    <w:rsid w:val="00542236"/>
    <w:rsid w:val="00542785"/>
    <w:rsid w:val="005427CA"/>
    <w:rsid w:val="00542BED"/>
    <w:rsid w:val="00542C12"/>
    <w:rsid w:val="00542D78"/>
    <w:rsid w:val="00542EF3"/>
    <w:rsid w:val="00542FEE"/>
    <w:rsid w:val="005431B0"/>
    <w:rsid w:val="005436D9"/>
    <w:rsid w:val="0054374C"/>
    <w:rsid w:val="00543C7D"/>
    <w:rsid w:val="00544229"/>
    <w:rsid w:val="0054429B"/>
    <w:rsid w:val="005449B6"/>
    <w:rsid w:val="00544D0F"/>
    <w:rsid w:val="00545270"/>
    <w:rsid w:val="00545E84"/>
    <w:rsid w:val="005465D4"/>
    <w:rsid w:val="00546E1A"/>
    <w:rsid w:val="005471CA"/>
    <w:rsid w:val="005479AE"/>
    <w:rsid w:val="00547F41"/>
    <w:rsid w:val="005501D3"/>
    <w:rsid w:val="005505E3"/>
    <w:rsid w:val="00550746"/>
    <w:rsid w:val="00550F7C"/>
    <w:rsid w:val="005513F4"/>
    <w:rsid w:val="00551643"/>
    <w:rsid w:val="005517F7"/>
    <w:rsid w:val="00551866"/>
    <w:rsid w:val="00551E01"/>
    <w:rsid w:val="00551FF1"/>
    <w:rsid w:val="00552238"/>
    <w:rsid w:val="0055286F"/>
    <w:rsid w:val="00552E7B"/>
    <w:rsid w:val="005532FD"/>
    <w:rsid w:val="005534B1"/>
    <w:rsid w:val="00553526"/>
    <w:rsid w:val="0055400F"/>
    <w:rsid w:val="005542E5"/>
    <w:rsid w:val="00554472"/>
    <w:rsid w:val="0055473B"/>
    <w:rsid w:val="0055493A"/>
    <w:rsid w:val="00554ACA"/>
    <w:rsid w:val="00555717"/>
    <w:rsid w:val="00556802"/>
    <w:rsid w:val="0055699A"/>
    <w:rsid w:val="00556A1C"/>
    <w:rsid w:val="00556CFD"/>
    <w:rsid w:val="005570DA"/>
    <w:rsid w:val="00557267"/>
    <w:rsid w:val="00557B0A"/>
    <w:rsid w:val="00557EDF"/>
    <w:rsid w:val="00560185"/>
    <w:rsid w:val="005607C0"/>
    <w:rsid w:val="00560A05"/>
    <w:rsid w:val="005612F3"/>
    <w:rsid w:val="00562182"/>
    <w:rsid w:val="00562350"/>
    <w:rsid w:val="005624DA"/>
    <w:rsid w:val="00562B57"/>
    <w:rsid w:val="0056314A"/>
    <w:rsid w:val="00563AF2"/>
    <w:rsid w:val="00564034"/>
    <w:rsid w:val="005640B6"/>
    <w:rsid w:val="0056432F"/>
    <w:rsid w:val="00564749"/>
    <w:rsid w:val="005648DF"/>
    <w:rsid w:val="00564916"/>
    <w:rsid w:val="00564DFC"/>
    <w:rsid w:val="00564FC0"/>
    <w:rsid w:val="005651A0"/>
    <w:rsid w:val="0056548A"/>
    <w:rsid w:val="00565B65"/>
    <w:rsid w:val="00565EA5"/>
    <w:rsid w:val="00566259"/>
    <w:rsid w:val="0056662C"/>
    <w:rsid w:val="00566913"/>
    <w:rsid w:val="0056696E"/>
    <w:rsid w:val="00567277"/>
    <w:rsid w:val="00567914"/>
    <w:rsid w:val="00567BF9"/>
    <w:rsid w:val="00567C4F"/>
    <w:rsid w:val="00567E23"/>
    <w:rsid w:val="005701B1"/>
    <w:rsid w:val="0057040B"/>
    <w:rsid w:val="0057064F"/>
    <w:rsid w:val="0057066A"/>
    <w:rsid w:val="00570E2F"/>
    <w:rsid w:val="0057148C"/>
    <w:rsid w:val="005715D0"/>
    <w:rsid w:val="005715F5"/>
    <w:rsid w:val="00571C2E"/>
    <w:rsid w:val="00572361"/>
    <w:rsid w:val="005724DA"/>
    <w:rsid w:val="00572D59"/>
    <w:rsid w:val="00572DB0"/>
    <w:rsid w:val="005732C2"/>
    <w:rsid w:val="0057343B"/>
    <w:rsid w:val="00573676"/>
    <w:rsid w:val="00573867"/>
    <w:rsid w:val="005741E6"/>
    <w:rsid w:val="00574489"/>
    <w:rsid w:val="00574B3A"/>
    <w:rsid w:val="00575486"/>
    <w:rsid w:val="00575550"/>
    <w:rsid w:val="00575553"/>
    <w:rsid w:val="00575BFF"/>
    <w:rsid w:val="0057670B"/>
    <w:rsid w:val="00576777"/>
    <w:rsid w:val="00576DEF"/>
    <w:rsid w:val="0057748D"/>
    <w:rsid w:val="00577FF8"/>
    <w:rsid w:val="00583121"/>
    <w:rsid w:val="00583466"/>
    <w:rsid w:val="005837A3"/>
    <w:rsid w:val="005839BB"/>
    <w:rsid w:val="00583BD0"/>
    <w:rsid w:val="00583D35"/>
    <w:rsid w:val="00583F9B"/>
    <w:rsid w:val="005841E8"/>
    <w:rsid w:val="005849A5"/>
    <w:rsid w:val="00584B91"/>
    <w:rsid w:val="00585F6A"/>
    <w:rsid w:val="0058714E"/>
    <w:rsid w:val="0058759B"/>
    <w:rsid w:val="00590474"/>
    <w:rsid w:val="00590580"/>
    <w:rsid w:val="00590E60"/>
    <w:rsid w:val="00591119"/>
    <w:rsid w:val="00591386"/>
    <w:rsid w:val="00591577"/>
    <w:rsid w:val="005915C2"/>
    <w:rsid w:val="00591A4D"/>
    <w:rsid w:val="00591EEA"/>
    <w:rsid w:val="005920E2"/>
    <w:rsid w:val="005931B9"/>
    <w:rsid w:val="005932AF"/>
    <w:rsid w:val="0059398C"/>
    <w:rsid w:val="00593D04"/>
    <w:rsid w:val="005941FA"/>
    <w:rsid w:val="00594361"/>
    <w:rsid w:val="005945F8"/>
    <w:rsid w:val="00594661"/>
    <w:rsid w:val="0059468A"/>
    <w:rsid w:val="005946A6"/>
    <w:rsid w:val="00594A0A"/>
    <w:rsid w:val="00594A13"/>
    <w:rsid w:val="00594CFC"/>
    <w:rsid w:val="00594F0C"/>
    <w:rsid w:val="0059581E"/>
    <w:rsid w:val="00595BBB"/>
    <w:rsid w:val="00595D24"/>
    <w:rsid w:val="00595FA0"/>
    <w:rsid w:val="00596E85"/>
    <w:rsid w:val="00597196"/>
    <w:rsid w:val="00597231"/>
    <w:rsid w:val="00597242"/>
    <w:rsid w:val="0059776C"/>
    <w:rsid w:val="00597BDE"/>
    <w:rsid w:val="00597E43"/>
    <w:rsid w:val="005A0074"/>
    <w:rsid w:val="005A0192"/>
    <w:rsid w:val="005A0445"/>
    <w:rsid w:val="005A0448"/>
    <w:rsid w:val="005A04E2"/>
    <w:rsid w:val="005A05BA"/>
    <w:rsid w:val="005A07E1"/>
    <w:rsid w:val="005A0A39"/>
    <w:rsid w:val="005A0DF8"/>
    <w:rsid w:val="005A0EE4"/>
    <w:rsid w:val="005A0FED"/>
    <w:rsid w:val="005A1242"/>
    <w:rsid w:val="005A135A"/>
    <w:rsid w:val="005A19F6"/>
    <w:rsid w:val="005A1D9A"/>
    <w:rsid w:val="005A1EF2"/>
    <w:rsid w:val="005A27C3"/>
    <w:rsid w:val="005A38D3"/>
    <w:rsid w:val="005A39E9"/>
    <w:rsid w:val="005A4033"/>
    <w:rsid w:val="005A40C6"/>
    <w:rsid w:val="005A41F3"/>
    <w:rsid w:val="005A4821"/>
    <w:rsid w:val="005A4BA2"/>
    <w:rsid w:val="005A4EF9"/>
    <w:rsid w:val="005A5259"/>
    <w:rsid w:val="005A55A9"/>
    <w:rsid w:val="005A63B8"/>
    <w:rsid w:val="005A64B8"/>
    <w:rsid w:val="005A6B27"/>
    <w:rsid w:val="005A6CA4"/>
    <w:rsid w:val="005A6F91"/>
    <w:rsid w:val="005B0371"/>
    <w:rsid w:val="005B0D02"/>
    <w:rsid w:val="005B1092"/>
    <w:rsid w:val="005B1312"/>
    <w:rsid w:val="005B1A8A"/>
    <w:rsid w:val="005B1AF0"/>
    <w:rsid w:val="005B1EF7"/>
    <w:rsid w:val="005B230D"/>
    <w:rsid w:val="005B25A9"/>
    <w:rsid w:val="005B4410"/>
    <w:rsid w:val="005B4683"/>
    <w:rsid w:val="005B4A7F"/>
    <w:rsid w:val="005B5467"/>
    <w:rsid w:val="005B6141"/>
    <w:rsid w:val="005B63A7"/>
    <w:rsid w:val="005B6573"/>
    <w:rsid w:val="005B7277"/>
    <w:rsid w:val="005B76D4"/>
    <w:rsid w:val="005B7771"/>
    <w:rsid w:val="005B79D2"/>
    <w:rsid w:val="005B7A13"/>
    <w:rsid w:val="005B7BF8"/>
    <w:rsid w:val="005C0353"/>
    <w:rsid w:val="005C0473"/>
    <w:rsid w:val="005C0475"/>
    <w:rsid w:val="005C04D1"/>
    <w:rsid w:val="005C06E4"/>
    <w:rsid w:val="005C0A83"/>
    <w:rsid w:val="005C0C55"/>
    <w:rsid w:val="005C1C24"/>
    <w:rsid w:val="005C20A1"/>
    <w:rsid w:val="005C2624"/>
    <w:rsid w:val="005C2A69"/>
    <w:rsid w:val="005C3F90"/>
    <w:rsid w:val="005C5238"/>
    <w:rsid w:val="005C5E2C"/>
    <w:rsid w:val="005C5E48"/>
    <w:rsid w:val="005C6220"/>
    <w:rsid w:val="005C6635"/>
    <w:rsid w:val="005C68C5"/>
    <w:rsid w:val="005C6B4A"/>
    <w:rsid w:val="005C7004"/>
    <w:rsid w:val="005C73AE"/>
    <w:rsid w:val="005C74DA"/>
    <w:rsid w:val="005C7591"/>
    <w:rsid w:val="005C7EE6"/>
    <w:rsid w:val="005C7F73"/>
    <w:rsid w:val="005C7FC9"/>
    <w:rsid w:val="005D0576"/>
    <w:rsid w:val="005D0680"/>
    <w:rsid w:val="005D0E51"/>
    <w:rsid w:val="005D1352"/>
    <w:rsid w:val="005D17DC"/>
    <w:rsid w:val="005D18B2"/>
    <w:rsid w:val="005D2334"/>
    <w:rsid w:val="005D2400"/>
    <w:rsid w:val="005D26C7"/>
    <w:rsid w:val="005D2DC7"/>
    <w:rsid w:val="005D33BF"/>
    <w:rsid w:val="005D3DA5"/>
    <w:rsid w:val="005D4395"/>
    <w:rsid w:val="005D451A"/>
    <w:rsid w:val="005D4848"/>
    <w:rsid w:val="005D507E"/>
    <w:rsid w:val="005D536C"/>
    <w:rsid w:val="005D5506"/>
    <w:rsid w:val="005D602F"/>
    <w:rsid w:val="005D6057"/>
    <w:rsid w:val="005D6408"/>
    <w:rsid w:val="005D66DE"/>
    <w:rsid w:val="005D6816"/>
    <w:rsid w:val="005D72D5"/>
    <w:rsid w:val="005E0064"/>
    <w:rsid w:val="005E23B0"/>
    <w:rsid w:val="005E2665"/>
    <w:rsid w:val="005E2A32"/>
    <w:rsid w:val="005E2C63"/>
    <w:rsid w:val="005E3C33"/>
    <w:rsid w:val="005E431B"/>
    <w:rsid w:val="005E4588"/>
    <w:rsid w:val="005E4597"/>
    <w:rsid w:val="005E467D"/>
    <w:rsid w:val="005E49A6"/>
    <w:rsid w:val="005E4AFE"/>
    <w:rsid w:val="005E4B2D"/>
    <w:rsid w:val="005E4FA1"/>
    <w:rsid w:val="005E4FB8"/>
    <w:rsid w:val="005E5261"/>
    <w:rsid w:val="005E5290"/>
    <w:rsid w:val="005E5AF6"/>
    <w:rsid w:val="005E5CA0"/>
    <w:rsid w:val="005E6193"/>
    <w:rsid w:val="005E61D3"/>
    <w:rsid w:val="005E6DC6"/>
    <w:rsid w:val="005E78AC"/>
    <w:rsid w:val="005F020E"/>
    <w:rsid w:val="005F096D"/>
    <w:rsid w:val="005F0B62"/>
    <w:rsid w:val="005F1389"/>
    <w:rsid w:val="005F1511"/>
    <w:rsid w:val="005F1866"/>
    <w:rsid w:val="005F187E"/>
    <w:rsid w:val="005F198E"/>
    <w:rsid w:val="005F1E40"/>
    <w:rsid w:val="005F240E"/>
    <w:rsid w:val="005F2CC0"/>
    <w:rsid w:val="005F31BE"/>
    <w:rsid w:val="005F3241"/>
    <w:rsid w:val="005F355F"/>
    <w:rsid w:val="005F3697"/>
    <w:rsid w:val="005F3F47"/>
    <w:rsid w:val="005F3F98"/>
    <w:rsid w:val="005F4CA7"/>
    <w:rsid w:val="005F5AAA"/>
    <w:rsid w:val="005F606C"/>
    <w:rsid w:val="005F6197"/>
    <w:rsid w:val="005F629C"/>
    <w:rsid w:val="005F6386"/>
    <w:rsid w:val="005F70C1"/>
    <w:rsid w:val="005F72DF"/>
    <w:rsid w:val="005F730D"/>
    <w:rsid w:val="00600401"/>
    <w:rsid w:val="0060058C"/>
    <w:rsid w:val="00600665"/>
    <w:rsid w:val="00600AA0"/>
    <w:rsid w:val="00600D1D"/>
    <w:rsid w:val="00600DC3"/>
    <w:rsid w:val="00600DF4"/>
    <w:rsid w:val="00601068"/>
    <w:rsid w:val="006011C1"/>
    <w:rsid w:val="00601409"/>
    <w:rsid w:val="00601778"/>
    <w:rsid w:val="006018ED"/>
    <w:rsid w:val="006019FB"/>
    <w:rsid w:val="00602693"/>
    <w:rsid w:val="00602ACD"/>
    <w:rsid w:val="00603167"/>
    <w:rsid w:val="0060327A"/>
    <w:rsid w:val="0060375D"/>
    <w:rsid w:val="00603772"/>
    <w:rsid w:val="006042F3"/>
    <w:rsid w:val="0060531A"/>
    <w:rsid w:val="00605583"/>
    <w:rsid w:val="006074E5"/>
    <w:rsid w:val="00607815"/>
    <w:rsid w:val="00607E98"/>
    <w:rsid w:val="00611121"/>
    <w:rsid w:val="0061203B"/>
    <w:rsid w:val="00612161"/>
    <w:rsid w:val="0061248F"/>
    <w:rsid w:val="00612856"/>
    <w:rsid w:val="00612FFD"/>
    <w:rsid w:val="0061336E"/>
    <w:rsid w:val="00613823"/>
    <w:rsid w:val="00613E15"/>
    <w:rsid w:val="0061403B"/>
    <w:rsid w:val="00614A19"/>
    <w:rsid w:val="006159BB"/>
    <w:rsid w:val="00615C6B"/>
    <w:rsid w:val="00615DC1"/>
    <w:rsid w:val="006161E2"/>
    <w:rsid w:val="00617159"/>
    <w:rsid w:val="00617244"/>
    <w:rsid w:val="006175E9"/>
    <w:rsid w:val="00617654"/>
    <w:rsid w:val="00617A20"/>
    <w:rsid w:val="0061BEBA"/>
    <w:rsid w:val="006205E6"/>
    <w:rsid w:val="006206FC"/>
    <w:rsid w:val="00620C27"/>
    <w:rsid w:val="0062170D"/>
    <w:rsid w:val="006218C5"/>
    <w:rsid w:val="00621A02"/>
    <w:rsid w:val="0062211C"/>
    <w:rsid w:val="00622242"/>
    <w:rsid w:val="00622503"/>
    <w:rsid w:val="00622637"/>
    <w:rsid w:val="00622973"/>
    <w:rsid w:val="00623013"/>
    <w:rsid w:val="00623202"/>
    <w:rsid w:val="00623984"/>
    <w:rsid w:val="00623AC4"/>
    <w:rsid w:val="00623B92"/>
    <w:rsid w:val="00623BEA"/>
    <w:rsid w:val="00623CED"/>
    <w:rsid w:val="00623EDC"/>
    <w:rsid w:val="006245A3"/>
    <w:rsid w:val="006245D2"/>
    <w:rsid w:val="0062482A"/>
    <w:rsid w:val="00624ADD"/>
    <w:rsid w:val="00624F60"/>
    <w:rsid w:val="006252F1"/>
    <w:rsid w:val="00625588"/>
    <w:rsid w:val="00625902"/>
    <w:rsid w:val="00625C53"/>
    <w:rsid w:val="00625CC7"/>
    <w:rsid w:val="00625F19"/>
    <w:rsid w:val="006260AF"/>
    <w:rsid w:val="00626662"/>
    <w:rsid w:val="00627D1B"/>
    <w:rsid w:val="00627D5D"/>
    <w:rsid w:val="00630893"/>
    <w:rsid w:val="00630A6E"/>
    <w:rsid w:val="0063125D"/>
    <w:rsid w:val="006313ED"/>
    <w:rsid w:val="006314CB"/>
    <w:rsid w:val="006316F3"/>
    <w:rsid w:val="0063187B"/>
    <w:rsid w:val="00631C46"/>
    <w:rsid w:val="00631E84"/>
    <w:rsid w:val="00632041"/>
    <w:rsid w:val="00632120"/>
    <w:rsid w:val="0063212A"/>
    <w:rsid w:val="00632166"/>
    <w:rsid w:val="0063218B"/>
    <w:rsid w:val="00632274"/>
    <w:rsid w:val="0063253B"/>
    <w:rsid w:val="00633418"/>
    <w:rsid w:val="006335C0"/>
    <w:rsid w:val="0063371E"/>
    <w:rsid w:val="00633BC6"/>
    <w:rsid w:val="00633C3D"/>
    <w:rsid w:val="00633D4F"/>
    <w:rsid w:val="00633DC4"/>
    <w:rsid w:val="006343B5"/>
    <w:rsid w:val="0063455E"/>
    <w:rsid w:val="00634EA1"/>
    <w:rsid w:val="006354F6"/>
    <w:rsid w:val="00635980"/>
    <w:rsid w:val="00635CCD"/>
    <w:rsid w:val="00635FA4"/>
    <w:rsid w:val="00636532"/>
    <w:rsid w:val="006366D7"/>
    <w:rsid w:val="006367BF"/>
    <w:rsid w:val="006367CE"/>
    <w:rsid w:val="0063711F"/>
    <w:rsid w:val="0063713E"/>
    <w:rsid w:val="0063747F"/>
    <w:rsid w:val="00637A83"/>
    <w:rsid w:val="00637E46"/>
    <w:rsid w:val="0064089A"/>
    <w:rsid w:val="0064089D"/>
    <w:rsid w:val="00641A46"/>
    <w:rsid w:val="0064218C"/>
    <w:rsid w:val="00642DDB"/>
    <w:rsid w:val="00643FD4"/>
    <w:rsid w:val="0064458F"/>
    <w:rsid w:val="00644716"/>
    <w:rsid w:val="00644926"/>
    <w:rsid w:val="006449AA"/>
    <w:rsid w:val="00644E19"/>
    <w:rsid w:val="0064512A"/>
    <w:rsid w:val="0064550A"/>
    <w:rsid w:val="00645CE7"/>
    <w:rsid w:val="00645D41"/>
    <w:rsid w:val="00646013"/>
    <w:rsid w:val="006464EA"/>
    <w:rsid w:val="00646A77"/>
    <w:rsid w:val="00646BC9"/>
    <w:rsid w:val="00647821"/>
    <w:rsid w:val="00647CA0"/>
    <w:rsid w:val="006502E8"/>
    <w:rsid w:val="0065053D"/>
    <w:rsid w:val="00650573"/>
    <w:rsid w:val="00650A9D"/>
    <w:rsid w:val="00651380"/>
    <w:rsid w:val="00651969"/>
    <w:rsid w:val="006526FE"/>
    <w:rsid w:val="0065301B"/>
    <w:rsid w:val="00653441"/>
    <w:rsid w:val="00653661"/>
    <w:rsid w:val="006539EB"/>
    <w:rsid w:val="00653B7D"/>
    <w:rsid w:val="00653EC9"/>
    <w:rsid w:val="006542CD"/>
    <w:rsid w:val="00654394"/>
    <w:rsid w:val="0065454D"/>
    <w:rsid w:val="0065464B"/>
    <w:rsid w:val="00654F74"/>
    <w:rsid w:val="006550F5"/>
    <w:rsid w:val="00655408"/>
    <w:rsid w:val="00655A98"/>
    <w:rsid w:val="00655FF2"/>
    <w:rsid w:val="00656021"/>
    <w:rsid w:val="00656151"/>
    <w:rsid w:val="006566DC"/>
    <w:rsid w:val="00656720"/>
    <w:rsid w:val="00657144"/>
    <w:rsid w:val="00657417"/>
    <w:rsid w:val="00657430"/>
    <w:rsid w:val="00657582"/>
    <w:rsid w:val="006577EE"/>
    <w:rsid w:val="006578D3"/>
    <w:rsid w:val="00660324"/>
    <w:rsid w:val="00661B6E"/>
    <w:rsid w:val="00661DAA"/>
    <w:rsid w:val="00662485"/>
    <w:rsid w:val="006629AA"/>
    <w:rsid w:val="006632D2"/>
    <w:rsid w:val="0066331F"/>
    <w:rsid w:val="00663488"/>
    <w:rsid w:val="00664477"/>
    <w:rsid w:val="00664E16"/>
    <w:rsid w:val="00666593"/>
    <w:rsid w:val="00666931"/>
    <w:rsid w:val="00666A34"/>
    <w:rsid w:val="00667EE5"/>
    <w:rsid w:val="0067087F"/>
    <w:rsid w:val="006710CF"/>
    <w:rsid w:val="0067130F"/>
    <w:rsid w:val="0067148B"/>
    <w:rsid w:val="00672805"/>
    <w:rsid w:val="00672D6D"/>
    <w:rsid w:val="00672DDB"/>
    <w:rsid w:val="00672F05"/>
    <w:rsid w:val="006742F0"/>
    <w:rsid w:val="00674668"/>
    <w:rsid w:val="006746A5"/>
    <w:rsid w:val="0067478B"/>
    <w:rsid w:val="00674AAC"/>
    <w:rsid w:val="0067593A"/>
    <w:rsid w:val="00676888"/>
    <w:rsid w:val="00676B9A"/>
    <w:rsid w:val="006778D0"/>
    <w:rsid w:val="00677955"/>
    <w:rsid w:val="00680E86"/>
    <w:rsid w:val="00681031"/>
    <w:rsid w:val="006810F8"/>
    <w:rsid w:val="0068140A"/>
    <w:rsid w:val="006820F1"/>
    <w:rsid w:val="006824E7"/>
    <w:rsid w:val="00682822"/>
    <w:rsid w:val="00682A6A"/>
    <w:rsid w:val="00682AEE"/>
    <w:rsid w:val="006836FB"/>
    <w:rsid w:val="00683F32"/>
    <w:rsid w:val="00684045"/>
    <w:rsid w:val="00684368"/>
    <w:rsid w:val="006844F1"/>
    <w:rsid w:val="006847F9"/>
    <w:rsid w:val="006855D4"/>
    <w:rsid w:val="00685888"/>
    <w:rsid w:val="00685913"/>
    <w:rsid w:val="00685DA0"/>
    <w:rsid w:val="00685EF7"/>
    <w:rsid w:val="006862F3"/>
    <w:rsid w:val="00686A00"/>
    <w:rsid w:val="00686B9C"/>
    <w:rsid w:val="00687553"/>
    <w:rsid w:val="00687CC5"/>
    <w:rsid w:val="00690423"/>
    <w:rsid w:val="0069062B"/>
    <w:rsid w:val="00691EDA"/>
    <w:rsid w:val="00692F31"/>
    <w:rsid w:val="00693182"/>
    <w:rsid w:val="006932CB"/>
    <w:rsid w:val="0069340E"/>
    <w:rsid w:val="00693598"/>
    <w:rsid w:val="00693979"/>
    <w:rsid w:val="00693C53"/>
    <w:rsid w:val="00693FDF"/>
    <w:rsid w:val="006941AD"/>
    <w:rsid w:val="00694449"/>
    <w:rsid w:val="00694BAD"/>
    <w:rsid w:val="00694DBD"/>
    <w:rsid w:val="00695030"/>
    <w:rsid w:val="00695045"/>
    <w:rsid w:val="00695418"/>
    <w:rsid w:val="00695489"/>
    <w:rsid w:val="00695B80"/>
    <w:rsid w:val="00696483"/>
    <w:rsid w:val="00696935"/>
    <w:rsid w:val="00696B34"/>
    <w:rsid w:val="00696F45"/>
    <w:rsid w:val="006972BB"/>
    <w:rsid w:val="0069759A"/>
    <w:rsid w:val="00697C2B"/>
    <w:rsid w:val="00697DA3"/>
    <w:rsid w:val="006A072F"/>
    <w:rsid w:val="006A0A3F"/>
    <w:rsid w:val="006A16D6"/>
    <w:rsid w:val="006A1DBB"/>
    <w:rsid w:val="006A31BA"/>
    <w:rsid w:val="006A33F7"/>
    <w:rsid w:val="006A39EB"/>
    <w:rsid w:val="006A3ACB"/>
    <w:rsid w:val="006A409D"/>
    <w:rsid w:val="006A443F"/>
    <w:rsid w:val="006A46F7"/>
    <w:rsid w:val="006A4885"/>
    <w:rsid w:val="006A4C6F"/>
    <w:rsid w:val="006A4EF7"/>
    <w:rsid w:val="006A544C"/>
    <w:rsid w:val="006A5C9B"/>
    <w:rsid w:val="006A76FD"/>
    <w:rsid w:val="006A78EC"/>
    <w:rsid w:val="006A795C"/>
    <w:rsid w:val="006A79CD"/>
    <w:rsid w:val="006A7F5B"/>
    <w:rsid w:val="006B03CF"/>
    <w:rsid w:val="006B06CF"/>
    <w:rsid w:val="006B0CDF"/>
    <w:rsid w:val="006B0D06"/>
    <w:rsid w:val="006B0DDE"/>
    <w:rsid w:val="006B1F3E"/>
    <w:rsid w:val="006B1FDB"/>
    <w:rsid w:val="006B212A"/>
    <w:rsid w:val="006B24B2"/>
    <w:rsid w:val="006B2532"/>
    <w:rsid w:val="006B26BC"/>
    <w:rsid w:val="006B27E4"/>
    <w:rsid w:val="006B31E4"/>
    <w:rsid w:val="006B3868"/>
    <w:rsid w:val="006B3884"/>
    <w:rsid w:val="006B3A84"/>
    <w:rsid w:val="006B4285"/>
    <w:rsid w:val="006B4864"/>
    <w:rsid w:val="006B549F"/>
    <w:rsid w:val="006B5AD4"/>
    <w:rsid w:val="006B5D69"/>
    <w:rsid w:val="006B601E"/>
    <w:rsid w:val="006B6C2A"/>
    <w:rsid w:val="006B7151"/>
    <w:rsid w:val="006B76B9"/>
    <w:rsid w:val="006B78FA"/>
    <w:rsid w:val="006B7BBD"/>
    <w:rsid w:val="006B7EA7"/>
    <w:rsid w:val="006C0BB7"/>
    <w:rsid w:val="006C11F3"/>
    <w:rsid w:val="006C1E50"/>
    <w:rsid w:val="006C244F"/>
    <w:rsid w:val="006C2AF8"/>
    <w:rsid w:val="006C2AFE"/>
    <w:rsid w:val="006C2CC4"/>
    <w:rsid w:val="006C31AD"/>
    <w:rsid w:val="006C3260"/>
    <w:rsid w:val="006C3ADB"/>
    <w:rsid w:val="006C3E3D"/>
    <w:rsid w:val="006C49DE"/>
    <w:rsid w:val="006C4B65"/>
    <w:rsid w:val="006C4D14"/>
    <w:rsid w:val="006C54FE"/>
    <w:rsid w:val="006C5834"/>
    <w:rsid w:val="006C5848"/>
    <w:rsid w:val="006C5BC4"/>
    <w:rsid w:val="006C6178"/>
    <w:rsid w:val="006C655E"/>
    <w:rsid w:val="006C65FE"/>
    <w:rsid w:val="006C6BDF"/>
    <w:rsid w:val="006C6C2F"/>
    <w:rsid w:val="006C6D75"/>
    <w:rsid w:val="006C6FE5"/>
    <w:rsid w:val="006C700A"/>
    <w:rsid w:val="006C7331"/>
    <w:rsid w:val="006C794F"/>
    <w:rsid w:val="006C79A0"/>
    <w:rsid w:val="006D0709"/>
    <w:rsid w:val="006D0FEE"/>
    <w:rsid w:val="006D1009"/>
    <w:rsid w:val="006D1253"/>
    <w:rsid w:val="006D128D"/>
    <w:rsid w:val="006D2137"/>
    <w:rsid w:val="006D36D3"/>
    <w:rsid w:val="006D3905"/>
    <w:rsid w:val="006D3B86"/>
    <w:rsid w:val="006D3EAD"/>
    <w:rsid w:val="006D439A"/>
    <w:rsid w:val="006D456F"/>
    <w:rsid w:val="006D462A"/>
    <w:rsid w:val="006D49AA"/>
    <w:rsid w:val="006D4DCF"/>
    <w:rsid w:val="006D4DD0"/>
    <w:rsid w:val="006D4E6E"/>
    <w:rsid w:val="006D5D5C"/>
    <w:rsid w:val="006D5E92"/>
    <w:rsid w:val="006D62FD"/>
    <w:rsid w:val="006D7461"/>
    <w:rsid w:val="006D75D1"/>
    <w:rsid w:val="006E06AF"/>
    <w:rsid w:val="006E0B79"/>
    <w:rsid w:val="006E13EE"/>
    <w:rsid w:val="006E2189"/>
    <w:rsid w:val="006E22E4"/>
    <w:rsid w:val="006E2469"/>
    <w:rsid w:val="006E2852"/>
    <w:rsid w:val="006E2CE5"/>
    <w:rsid w:val="006E350D"/>
    <w:rsid w:val="006E3F1E"/>
    <w:rsid w:val="006E440E"/>
    <w:rsid w:val="006E5454"/>
    <w:rsid w:val="006E56DD"/>
    <w:rsid w:val="006E6202"/>
    <w:rsid w:val="006E63F1"/>
    <w:rsid w:val="006E6441"/>
    <w:rsid w:val="006E69B2"/>
    <w:rsid w:val="006E6C1C"/>
    <w:rsid w:val="006E74AC"/>
    <w:rsid w:val="006E74CF"/>
    <w:rsid w:val="006E7698"/>
    <w:rsid w:val="006E780E"/>
    <w:rsid w:val="006E7E47"/>
    <w:rsid w:val="006E7F8A"/>
    <w:rsid w:val="006E7FE1"/>
    <w:rsid w:val="006F0BDD"/>
    <w:rsid w:val="006F0D2F"/>
    <w:rsid w:val="006F10D9"/>
    <w:rsid w:val="006F1A2E"/>
    <w:rsid w:val="006F1A83"/>
    <w:rsid w:val="006F1EB7"/>
    <w:rsid w:val="006F29ED"/>
    <w:rsid w:val="006F2C49"/>
    <w:rsid w:val="006F2D6D"/>
    <w:rsid w:val="006F3480"/>
    <w:rsid w:val="006F3875"/>
    <w:rsid w:val="006F4462"/>
    <w:rsid w:val="006F49F3"/>
    <w:rsid w:val="006F4D29"/>
    <w:rsid w:val="006F501E"/>
    <w:rsid w:val="006F5603"/>
    <w:rsid w:val="006F5902"/>
    <w:rsid w:val="006F595E"/>
    <w:rsid w:val="006F5B0F"/>
    <w:rsid w:val="006F67D1"/>
    <w:rsid w:val="006F6DCC"/>
    <w:rsid w:val="006F6F91"/>
    <w:rsid w:val="006F7062"/>
    <w:rsid w:val="006F7161"/>
    <w:rsid w:val="006F7974"/>
    <w:rsid w:val="00700184"/>
    <w:rsid w:val="00700AAB"/>
    <w:rsid w:val="0070139A"/>
    <w:rsid w:val="007028E8"/>
    <w:rsid w:val="00702CEF"/>
    <w:rsid w:val="00702E5B"/>
    <w:rsid w:val="00703669"/>
    <w:rsid w:val="00703728"/>
    <w:rsid w:val="00703AA3"/>
    <w:rsid w:val="00703C07"/>
    <w:rsid w:val="00703EC6"/>
    <w:rsid w:val="007045DE"/>
    <w:rsid w:val="0070482D"/>
    <w:rsid w:val="00705223"/>
    <w:rsid w:val="007055BC"/>
    <w:rsid w:val="00705618"/>
    <w:rsid w:val="0070562D"/>
    <w:rsid w:val="00705B28"/>
    <w:rsid w:val="00705CFB"/>
    <w:rsid w:val="00705FC8"/>
    <w:rsid w:val="007062A7"/>
    <w:rsid w:val="00706B34"/>
    <w:rsid w:val="007071A0"/>
    <w:rsid w:val="007076D8"/>
    <w:rsid w:val="00707709"/>
    <w:rsid w:val="00707C3C"/>
    <w:rsid w:val="00710635"/>
    <w:rsid w:val="007109D2"/>
    <w:rsid w:val="00710ABE"/>
    <w:rsid w:val="00710D50"/>
    <w:rsid w:val="00710FEE"/>
    <w:rsid w:val="0071139F"/>
    <w:rsid w:val="007114C3"/>
    <w:rsid w:val="00711533"/>
    <w:rsid w:val="007115F0"/>
    <w:rsid w:val="00711715"/>
    <w:rsid w:val="00711E3C"/>
    <w:rsid w:val="00712219"/>
    <w:rsid w:val="00712464"/>
    <w:rsid w:val="00712683"/>
    <w:rsid w:val="007129FC"/>
    <w:rsid w:val="00713149"/>
    <w:rsid w:val="00713B36"/>
    <w:rsid w:val="00713F76"/>
    <w:rsid w:val="0071446A"/>
    <w:rsid w:val="007147D9"/>
    <w:rsid w:val="007148B7"/>
    <w:rsid w:val="00714EE5"/>
    <w:rsid w:val="0071505F"/>
    <w:rsid w:val="00715FE5"/>
    <w:rsid w:val="007160BC"/>
    <w:rsid w:val="00716298"/>
    <w:rsid w:val="00716C93"/>
    <w:rsid w:val="007175EE"/>
    <w:rsid w:val="00717678"/>
    <w:rsid w:val="00717F01"/>
    <w:rsid w:val="00720267"/>
    <w:rsid w:val="007205C2"/>
    <w:rsid w:val="00720A9E"/>
    <w:rsid w:val="00720AC3"/>
    <w:rsid w:val="00721090"/>
    <w:rsid w:val="0072160E"/>
    <w:rsid w:val="00721690"/>
    <w:rsid w:val="00721EF1"/>
    <w:rsid w:val="007227B8"/>
    <w:rsid w:val="007229CB"/>
    <w:rsid w:val="00722DC1"/>
    <w:rsid w:val="00723126"/>
    <w:rsid w:val="007237D3"/>
    <w:rsid w:val="00723915"/>
    <w:rsid w:val="00724505"/>
    <w:rsid w:val="007248B7"/>
    <w:rsid w:val="0072495C"/>
    <w:rsid w:val="0072496D"/>
    <w:rsid w:val="007250F4"/>
    <w:rsid w:val="00725194"/>
    <w:rsid w:val="00725312"/>
    <w:rsid w:val="00725378"/>
    <w:rsid w:val="007253A1"/>
    <w:rsid w:val="00725671"/>
    <w:rsid w:val="00725944"/>
    <w:rsid w:val="00725BE7"/>
    <w:rsid w:val="00725E9A"/>
    <w:rsid w:val="007260CA"/>
    <w:rsid w:val="00726403"/>
    <w:rsid w:val="00726C4A"/>
    <w:rsid w:val="007270F1"/>
    <w:rsid w:val="0072713A"/>
    <w:rsid w:val="00727740"/>
    <w:rsid w:val="0072774F"/>
    <w:rsid w:val="00727FBB"/>
    <w:rsid w:val="007307D5"/>
    <w:rsid w:val="00730D5F"/>
    <w:rsid w:val="00730E79"/>
    <w:rsid w:val="00730EDE"/>
    <w:rsid w:val="00731A1D"/>
    <w:rsid w:val="00731D33"/>
    <w:rsid w:val="00731EDC"/>
    <w:rsid w:val="00732027"/>
    <w:rsid w:val="00732472"/>
    <w:rsid w:val="00732834"/>
    <w:rsid w:val="00732D81"/>
    <w:rsid w:val="00732F2D"/>
    <w:rsid w:val="00732F6A"/>
    <w:rsid w:val="00733161"/>
    <w:rsid w:val="007332CA"/>
    <w:rsid w:val="0073355C"/>
    <w:rsid w:val="007337A8"/>
    <w:rsid w:val="00733940"/>
    <w:rsid w:val="00733976"/>
    <w:rsid w:val="007341DE"/>
    <w:rsid w:val="007342FC"/>
    <w:rsid w:val="00734476"/>
    <w:rsid w:val="007344B0"/>
    <w:rsid w:val="0073462A"/>
    <w:rsid w:val="00734B36"/>
    <w:rsid w:val="007352F6"/>
    <w:rsid w:val="007353D7"/>
    <w:rsid w:val="0073567A"/>
    <w:rsid w:val="00735A7A"/>
    <w:rsid w:val="00735A99"/>
    <w:rsid w:val="007378E8"/>
    <w:rsid w:val="00737BB4"/>
    <w:rsid w:val="00740413"/>
    <w:rsid w:val="007406BE"/>
    <w:rsid w:val="007407A2"/>
    <w:rsid w:val="007407CE"/>
    <w:rsid w:val="00740E32"/>
    <w:rsid w:val="00741047"/>
    <w:rsid w:val="0074126C"/>
    <w:rsid w:val="00741A36"/>
    <w:rsid w:val="00741F5F"/>
    <w:rsid w:val="0074289F"/>
    <w:rsid w:val="00743298"/>
    <w:rsid w:val="00743580"/>
    <w:rsid w:val="00743865"/>
    <w:rsid w:val="00743867"/>
    <w:rsid w:val="0074395E"/>
    <w:rsid w:val="007439D0"/>
    <w:rsid w:val="00743D62"/>
    <w:rsid w:val="00743EE1"/>
    <w:rsid w:val="00743EF3"/>
    <w:rsid w:val="00743F11"/>
    <w:rsid w:val="0074407E"/>
    <w:rsid w:val="00744A41"/>
    <w:rsid w:val="00745856"/>
    <w:rsid w:val="00745B9D"/>
    <w:rsid w:val="00745BEF"/>
    <w:rsid w:val="00746442"/>
    <w:rsid w:val="007464A9"/>
    <w:rsid w:val="007464AE"/>
    <w:rsid w:val="00746AF5"/>
    <w:rsid w:val="00746FC2"/>
    <w:rsid w:val="007472E0"/>
    <w:rsid w:val="0075030A"/>
    <w:rsid w:val="007503E4"/>
    <w:rsid w:val="00750A48"/>
    <w:rsid w:val="00750F07"/>
    <w:rsid w:val="00751020"/>
    <w:rsid w:val="00751366"/>
    <w:rsid w:val="00752206"/>
    <w:rsid w:val="007522F1"/>
    <w:rsid w:val="007527C9"/>
    <w:rsid w:val="00752C54"/>
    <w:rsid w:val="007531B7"/>
    <w:rsid w:val="0075371E"/>
    <w:rsid w:val="007538DF"/>
    <w:rsid w:val="00753E0E"/>
    <w:rsid w:val="0075410A"/>
    <w:rsid w:val="00754AF8"/>
    <w:rsid w:val="00754C79"/>
    <w:rsid w:val="00754D74"/>
    <w:rsid w:val="00754DB2"/>
    <w:rsid w:val="00754F2D"/>
    <w:rsid w:val="00755198"/>
    <w:rsid w:val="0075564D"/>
    <w:rsid w:val="00755A66"/>
    <w:rsid w:val="00755C4C"/>
    <w:rsid w:val="0075633E"/>
    <w:rsid w:val="007567AE"/>
    <w:rsid w:val="007569E6"/>
    <w:rsid w:val="00756BF8"/>
    <w:rsid w:val="00757249"/>
    <w:rsid w:val="007575F7"/>
    <w:rsid w:val="007579C3"/>
    <w:rsid w:val="00757BDA"/>
    <w:rsid w:val="00760366"/>
    <w:rsid w:val="007605C6"/>
    <w:rsid w:val="007606C2"/>
    <w:rsid w:val="00760779"/>
    <w:rsid w:val="00760B07"/>
    <w:rsid w:val="00761057"/>
    <w:rsid w:val="00761080"/>
    <w:rsid w:val="007610E5"/>
    <w:rsid w:val="00762119"/>
    <w:rsid w:val="007622AA"/>
    <w:rsid w:val="00762374"/>
    <w:rsid w:val="00762C77"/>
    <w:rsid w:val="00762FE4"/>
    <w:rsid w:val="00762FEC"/>
    <w:rsid w:val="00763190"/>
    <w:rsid w:val="00763ADE"/>
    <w:rsid w:val="0076408D"/>
    <w:rsid w:val="007645A9"/>
    <w:rsid w:val="007646A2"/>
    <w:rsid w:val="0076484D"/>
    <w:rsid w:val="00764EC8"/>
    <w:rsid w:val="007652B7"/>
    <w:rsid w:val="007661D2"/>
    <w:rsid w:val="007662D0"/>
    <w:rsid w:val="00766823"/>
    <w:rsid w:val="007668D6"/>
    <w:rsid w:val="00766B3D"/>
    <w:rsid w:val="00766ED4"/>
    <w:rsid w:val="00767FC4"/>
    <w:rsid w:val="0077016A"/>
    <w:rsid w:val="00770441"/>
    <w:rsid w:val="00770539"/>
    <w:rsid w:val="0077168F"/>
    <w:rsid w:val="00771E00"/>
    <w:rsid w:val="00772A50"/>
    <w:rsid w:val="00772E83"/>
    <w:rsid w:val="00772FB3"/>
    <w:rsid w:val="0077309C"/>
    <w:rsid w:val="007733B2"/>
    <w:rsid w:val="007733D9"/>
    <w:rsid w:val="00773CD5"/>
    <w:rsid w:val="00773D0B"/>
    <w:rsid w:val="00773F98"/>
    <w:rsid w:val="00774491"/>
    <w:rsid w:val="00774AAB"/>
    <w:rsid w:val="00774CAD"/>
    <w:rsid w:val="007751EA"/>
    <w:rsid w:val="00775B7E"/>
    <w:rsid w:val="00775D4C"/>
    <w:rsid w:val="00775E4C"/>
    <w:rsid w:val="007762FE"/>
    <w:rsid w:val="0077660C"/>
    <w:rsid w:val="00776B27"/>
    <w:rsid w:val="00777135"/>
    <w:rsid w:val="00777369"/>
    <w:rsid w:val="007774B1"/>
    <w:rsid w:val="007777E0"/>
    <w:rsid w:val="007807F0"/>
    <w:rsid w:val="00780D0D"/>
    <w:rsid w:val="007811BB"/>
    <w:rsid w:val="007813FC"/>
    <w:rsid w:val="0078192C"/>
    <w:rsid w:val="00781B5D"/>
    <w:rsid w:val="007824B1"/>
    <w:rsid w:val="00782692"/>
    <w:rsid w:val="00782BED"/>
    <w:rsid w:val="00782CC2"/>
    <w:rsid w:val="00782D36"/>
    <w:rsid w:val="00783E42"/>
    <w:rsid w:val="0078433A"/>
    <w:rsid w:val="007843C6"/>
    <w:rsid w:val="00784500"/>
    <w:rsid w:val="007845E1"/>
    <w:rsid w:val="007847DC"/>
    <w:rsid w:val="007857DF"/>
    <w:rsid w:val="00785BA1"/>
    <w:rsid w:val="007860EE"/>
    <w:rsid w:val="0078638A"/>
    <w:rsid w:val="00786881"/>
    <w:rsid w:val="00786A75"/>
    <w:rsid w:val="00786C23"/>
    <w:rsid w:val="007874AC"/>
    <w:rsid w:val="007878C1"/>
    <w:rsid w:val="00787BAB"/>
    <w:rsid w:val="00787D9C"/>
    <w:rsid w:val="00787FEA"/>
    <w:rsid w:val="0079070E"/>
    <w:rsid w:val="007909A8"/>
    <w:rsid w:val="00791981"/>
    <w:rsid w:val="00791AD2"/>
    <w:rsid w:val="00791DB4"/>
    <w:rsid w:val="00792060"/>
    <w:rsid w:val="007921C8"/>
    <w:rsid w:val="00792435"/>
    <w:rsid w:val="0079249D"/>
    <w:rsid w:val="007925AC"/>
    <w:rsid w:val="007929A6"/>
    <w:rsid w:val="00792D5B"/>
    <w:rsid w:val="0079301C"/>
    <w:rsid w:val="007930EF"/>
    <w:rsid w:val="00793B02"/>
    <w:rsid w:val="00793B2D"/>
    <w:rsid w:val="00794459"/>
    <w:rsid w:val="00794E15"/>
    <w:rsid w:val="00795093"/>
    <w:rsid w:val="007951B5"/>
    <w:rsid w:val="00795CAC"/>
    <w:rsid w:val="007960BE"/>
    <w:rsid w:val="00796870"/>
    <w:rsid w:val="00796A91"/>
    <w:rsid w:val="00796ECA"/>
    <w:rsid w:val="00797157"/>
    <w:rsid w:val="00797426"/>
    <w:rsid w:val="00797474"/>
    <w:rsid w:val="007974D2"/>
    <w:rsid w:val="00797C66"/>
    <w:rsid w:val="00797DF0"/>
    <w:rsid w:val="00797F81"/>
    <w:rsid w:val="007A00F2"/>
    <w:rsid w:val="007A0299"/>
    <w:rsid w:val="007A0691"/>
    <w:rsid w:val="007A08E5"/>
    <w:rsid w:val="007A0A5C"/>
    <w:rsid w:val="007A0E35"/>
    <w:rsid w:val="007A0EF0"/>
    <w:rsid w:val="007A0EFB"/>
    <w:rsid w:val="007A0F21"/>
    <w:rsid w:val="007A11E5"/>
    <w:rsid w:val="007A153A"/>
    <w:rsid w:val="007A1D0D"/>
    <w:rsid w:val="007A27E1"/>
    <w:rsid w:val="007A2FC8"/>
    <w:rsid w:val="007A36A8"/>
    <w:rsid w:val="007A38EE"/>
    <w:rsid w:val="007A3A32"/>
    <w:rsid w:val="007A3D45"/>
    <w:rsid w:val="007A3D50"/>
    <w:rsid w:val="007A4745"/>
    <w:rsid w:val="007A48CF"/>
    <w:rsid w:val="007A4D5D"/>
    <w:rsid w:val="007A4DEF"/>
    <w:rsid w:val="007A4E46"/>
    <w:rsid w:val="007A53CC"/>
    <w:rsid w:val="007A550B"/>
    <w:rsid w:val="007A5641"/>
    <w:rsid w:val="007A6849"/>
    <w:rsid w:val="007A6957"/>
    <w:rsid w:val="007A6CD5"/>
    <w:rsid w:val="007A6CE3"/>
    <w:rsid w:val="007A6EEB"/>
    <w:rsid w:val="007A789E"/>
    <w:rsid w:val="007B02CA"/>
    <w:rsid w:val="007B042D"/>
    <w:rsid w:val="007B05BE"/>
    <w:rsid w:val="007B07D9"/>
    <w:rsid w:val="007B101B"/>
    <w:rsid w:val="007B1503"/>
    <w:rsid w:val="007B1C77"/>
    <w:rsid w:val="007B2075"/>
    <w:rsid w:val="007B2208"/>
    <w:rsid w:val="007B22C2"/>
    <w:rsid w:val="007B2688"/>
    <w:rsid w:val="007B32F2"/>
    <w:rsid w:val="007B3F45"/>
    <w:rsid w:val="007B44A0"/>
    <w:rsid w:val="007B4733"/>
    <w:rsid w:val="007B4CB8"/>
    <w:rsid w:val="007B51A4"/>
    <w:rsid w:val="007B53AF"/>
    <w:rsid w:val="007B5DCD"/>
    <w:rsid w:val="007B5FA5"/>
    <w:rsid w:val="007B660A"/>
    <w:rsid w:val="007B6695"/>
    <w:rsid w:val="007B7B3C"/>
    <w:rsid w:val="007B7FD2"/>
    <w:rsid w:val="007B872B"/>
    <w:rsid w:val="007C01FC"/>
    <w:rsid w:val="007C021D"/>
    <w:rsid w:val="007C04EC"/>
    <w:rsid w:val="007C09A0"/>
    <w:rsid w:val="007C09C1"/>
    <w:rsid w:val="007C0E80"/>
    <w:rsid w:val="007C186B"/>
    <w:rsid w:val="007C20B0"/>
    <w:rsid w:val="007C253D"/>
    <w:rsid w:val="007C37D8"/>
    <w:rsid w:val="007C4263"/>
    <w:rsid w:val="007C482D"/>
    <w:rsid w:val="007C4F21"/>
    <w:rsid w:val="007C60C8"/>
    <w:rsid w:val="007C6201"/>
    <w:rsid w:val="007C6465"/>
    <w:rsid w:val="007C6745"/>
    <w:rsid w:val="007C68A1"/>
    <w:rsid w:val="007C6A0C"/>
    <w:rsid w:val="007C7184"/>
    <w:rsid w:val="007C7C10"/>
    <w:rsid w:val="007C7DF8"/>
    <w:rsid w:val="007C7F96"/>
    <w:rsid w:val="007D046D"/>
    <w:rsid w:val="007D061C"/>
    <w:rsid w:val="007D0621"/>
    <w:rsid w:val="007D0F81"/>
    <w:rsid w:val="007D15AC"/>
    <w:rsid w:val="007D1B54"/>
    <w:rsid w:val="007D1BB8"/>
    <w:rsid w:val="007D25F0"/>
    <w:rsid w:val="007D2817"/>
    <w:rsid w:val="007D2E5D"/>
    <w:rsid w:val="007D2F60"/>
    <w:rsid w:val="007D3062"/>
    <w:rsid w:val="007D33D6"/>
    <w:rsid w:val="007D3894"/>
    <w:rsid w:val="007D39AD"/>
    <w:rsid w:val="007D3EE0"/>
    <w:rsid w:val="007D3F70"/>
    <w:rsid w:val="007D3FCD"/>
    <w:rsid w:val="007D433B"/>
    <w:rsid w:val="007D495C"/>
    <w:rsid w:val="007D5379"/>
    <w:rsid w:val="007D56B8"/>
    <w:rsid w:val="007D5ACF"/>
    <w:rsid w:val="007D605C"/>
    <w:rsid w:val="007D6240"/>
    <w:rsid w:val="007D666D"/>
    <w:rsid w:val="007D66D1"/>
    <w:rsid w:val="007D67C2"/>
    <w:rsid w:val="007D6CD1"/>
    <w:rsid w:val="007D7112"/>
    <w:rsid w:val="007D7B7D"/>
    <w:rsid w:val="007D7F51"/>
    <w:rsid w:val="007E049E"/>
    <w:rsid w:val="007E0519"/>
    <w:rsid w:val="007E092D"/>
    <w:rsid w:val="007E1922"/>
    <w:rsid w:val="007E1D98"/>
    <w:rsid w:val="007E21AB"/>
    <w:rsid w:val="007E2720"/>
    <w:rsid w:val="007E2968"/>
    <w:rsid w:val="007E2C16"/>
    <w:rsid w:val="007E2C27"/>
    <w:rsid w:val="007E3468"/>
    <w:rsid w:val="007E3612"/>
    <w:rsid w:val="007E3E8D"/>
    <w:rsid w:val="007E4422"/>
    <w:rsid w:val="007E47E4"/>
    <w:rsid w:val="007E550A"/>
    <w:rsid w:val="007E5587"/>
    <w:rsid w:val="007E623C"/>
    <w:rsid w:val="007E6B5E"/>
    <w:rsid w:val="007E6C80"/>
    <w:rsid w:val="007E6D33"/>
    <w:rsid w:val="007E6ED2"/>
    <w:rsid w:val="007E701F"/>
    <w:rsid w:val="007E734F"/>
    <w:rsid w:val="007E761F"/>
    <w:rsid w:val="007EB4E4"/>
    <w:rsid w:val="007F015F"/>
    <w:rsid w:val="007F050A"/>
    <w:rsid w:val="007F0A2F"/>
    <w:rsid w:val="007F0DC9"/>
    <w:rsid w:val="007F1FBA"/>
    <w:rsid w:val="007F200F"/>
    <w:rsid w:val="007F2065"/>
    <w:rsid w:val="007F20A4"/>
    <w:rsid w:val="007F215A"/>
    <w:rsid w:val="007F258A"/>
    <w:rsid w:val="007F2A33"/>
    <w:rsid w:val="007F2B62"/>
    <w:rsid w:val="007F317C"/>
    <w:rsid w:val="007F31C3"/>
    <w:rsid w:val="007F31FE"/>
    <w:rsid w:val="007F3528"/>
    <w:rsid w:val="007F3755"/>
    <w:rsid w:val="007F4238"/>
    <w:rsid w:val="007F497C"/>
    <w:rsid w:val="007F4999"/>
    <w:rsid w:val="007F4CF7"/>
    <w:rsid w:val="007F4D10"/>
    <w:rsid w:val="007F5593"/>
    <w:rsid w:val="007F5730"/>
    <w:rsid w:val="007F5A46"/>
    <w:rsid w:val="007F629E"/>
    <w:rsid w:val="007F65B7"/>
    <w:rsid w:val="007F667D"/>
    <w:rsid w:val="007F694D"/>
    <w:rsid w:val="007F703C"/>
    <w:rsid w:val="007F704C"/>
    <w:rsid w:val="00800853"/>
    <w:rsid w:val="00800A1C"/>
    <w:rsid w:val="00801598"/>
    <w:rsid w:val="008028A3"/>
    <w:rsid w:val="0080378F"/>
    <w:rsid w:val="00803A0C"/>
    <w:rsid w:val="0080495B"/>
    <w:rsid w:val="00804A9C"/>
    <w:rsid w:val="00805025"/>
    <w:rsid w:val="0080511E"/>
    <w:rsid w:val="008056F6"/>
    <w:rsid w:val="00805916"/>
    <w:rsid w:val="00805E2A"/>
    <w:rsid w:val="008073D0"/>
    <w:rsid w:val="00807471"/>
    <w:rsid w:val="00810AD7"/>
    <w:rsid w:val="00810D81"/>
    <w:rsid w:val="00811145"/>
    <w:rsid w:val="008115FA"/>
    <w:rsid w:val="00811833"/>
    <w:rsid w:val="0081191F"/>
    <w:rsid w:val="00812072"/>
    <w:rsid w:val="00812120"/>
    <w:rsid w:val="008130E7"/>
    <w:rsid w:val="00813537"/>
    <w:rsid w:val="00813AFB"/>
    <w:rsid w:val="00813E2E"/>
    <w:rsid w:val="00814102"/>
    <w:rsid w:val="00814B13"/>
    <w:rsid w:val="00814D8B"/>
    <w:rsid w:val="00815550"/>
    <w:rsid w:val="008163AE"/>
    <w:rsid w:val="00816A6B"/>
    <w:rsid w:val="00816B49"/>
    <w:rsid w:val="00816BB1"/>
    <w:rsid w:val="00817001"/>
    <w:rsid w:val="00817448"/>
    <w:rsid w:val="00817596"/>
    <w:rsid w:val="0081784A"/>
    <w:rsid w:val="00817942"/>
    <w:rsid w:val="00817B92"/>
    <w:rsid w:val="00821138"/>
    <w:rsid w:val="00821609"/>
    <w:rsid w:val="0082173B"/>
    <w:rsid w:val="00822022"/>
    <w:rsid w:val="0082214D"/>
    <w:rsid w:val="00822303"/>
    <w:rsid w:val="0082238C"/>
    <w:rsid w:val="00822837"/>
    <w:rsid w:val="0082285E"/>
    <w:rsid w:val="00822A37"/>
    <w:rsid w:val="00822CFD"/>
    <w:rsid w:val="008230B4"/>
    <w:rsid w:val="0082364D"/>
    <w:rsid w:val="00823672"/>
    <w:rsid w:val="0082402E"/>
    <w:rsid w:val="008240CA"/>
    <w:rsid w:val="008245F0"/>
    <w:rsid w:val="008246A9"/>
    <w:rsid w:val="00824927"/>
    <w:rsid w:val="00824C4D"/>
    <w:rsid w:val="00825666"/>
    <w:rsid w:val="00825A9C"/>
    <w:rsid w:val="00825D81"/>
    <w:rsid w:val="00825F1C"/>
    <w:rsid w:val="00825F6B"/>
    <w:rsid w:val="00825F6F"/>
    <w:rsid w:val="00825F87"/>
    <w:rsid w:val="0082653F"/>
    <w:rsid w:val="00826B32"/>
    <w:rsid w:val="00826BDC"/>
    <w:rsid w:val="00826C64"/>
    <w:rsid w:val="00826CBB"/>
    <w:rsid w:val="00830319"/>
    <w:rsid w:val="00830A7C"/>
    <w:rsid w:val="008318A3"/>
    <w:rsid w:val="00832144"/>
    <w:rsid w:val="00832CA7"/>
    <w:rsid w:val="008330D6"/>
    <w:rsid w:val="008333E2"/>
    <w:rsid w:val="008335EF"/>
    <w:rsid w:val="0083370A"/>
    <w:rsid w:val="00833A29"/>
    <w:rsid w:val="00833AAC"/>
    <w:rsid w:val="0083406B"/>
    <w:rsid w:val="00834548"/>
    <w:rsid w:val="0083472D"/>
    <w:rsid w:val="00834B8E"/>
    <w:rsid w:val="00835339"/>
    <w:rsid w:val="008354FF"/>
    <w:rsid w:val="0083569E"/>
    <w:rsid w:val="008359D7"/>
    <w:rsid w:val="00835BCE"/>
    <w:rsid w:val="0083607E"/>
    <w:rsid w:val="008360F7"/>
    <w:rsid w:val="0083654A"/>
    <w:rsid w:val="0083703E"/>
    <w:rsid w:val="00840070"/>
    <w:rsid w:val="0084008C"/>
    <w:rsid w:val="00840235"/>
    <w:rsid w:val="00840331"/>
    <w:rsid w:val="00840353"/>
    <w:rsid w:val="008407AC"/>
    <w:rsid w:val="00840D3C"/>
    <w:rsid w:val="00841051"/>
    <w:rsid w:val="00841633"/>
    <w:rsid w:val="00841815"/>
    <w:rsid w:val="00841976"/>
    <w:rsid w:val="00841C2A"/>
    <w:rsid w:val="00841FD5"/>
    <w:rsid w:val="00842A75"/>
    <w:rsid w:val="00843109"/>
    <w:rsid w:val="008433DD"/>
    <w:rsid w:val="008437DA"/>
    <w:rsid w:val="00843BA6"/>
    <w:rsid w:val="0084470C"/>
    <w:rsid w:val="008457B6"/>
    <w:rsid w:val="00845CD0"/>
    <w:rsid w:val="00845EDB"/>
    <w:rsid w:val="00846055"/>
    <w:rsid w:val="0084617B"/>
    <w:rsid w:val="0084654E"/>
    <w:rsid w:val="008468F3"/>
    <w:rsid w:val="008469EE"/>
    <w:rsid w:val="00846C02"/>
    <w:rsid w:val="008472DE"/>
    <w:rsid w:val="00850564"/>
    <w:rsid w:val="008507CD"/>
    <w:rsid w:val="00850B51"/>
    <w:rsid w:val="00850E04"/>
    <w:rsid w:val="00851075"/>
    <w:rsid w:val="008529AF"/>
    <w:rsid w:val="00852D43"/>
    <w:rsid w:val="0085317D"/>
    <w:rsid w:val="008532BB"/>
    <w:rsid w:val="00853702"/>
    <w:rsid w:val="00854C85"/>
    <w:rsid w:val="00854E47"/>
    <w:rsid w:val="00854FCA"/>
    <w:rsid w:val="00855030"/>
    <w:rsid w:val="00855369"/>
    <w:rsid w:val="008555A5"/>
    <w:rsid w:val="008558C4"/>
    <w:rsid w:val="00855C33"/>
    <w:rsid w:val="00855D35"/>
    <w:rsid w:val="00855E1F"/>
    <w:rsid w:val="0085606F"/>
    <w:rsid w:val="00856A8A"/>
    <w:rsid w:val="00856AE6"/>
    <w:rsid w:val="00857233"/>
    <w:rsid w:val="0085764D"/>
    <w:rsid w:val="00857E2D"/>
    <w:rsid w:val="00861391"/>
    <w:rsid w:val="00861B15"/>
    <w:rsid w:val="00861C23"/>
    <w:rsid w:val="00862797"/>
    <w:rsid w:val="00862C6A"/>
    <w:rsid w:val="00862C6D"/>
    <w:rsid w:val="00862CF0"/>
    <w:rsid w:val="008638B3"/>
    <w:rsid w:val="008640D6"/>
    <w:rsid w:val="008642B8"/>
    <w:rsid w:val="0086445D"/>
    <w:rsid w:val="00864BC7"/>
    <w:rsid w:val="00864CB1"/>
    <w:rsid w:val="008650CC"/>
    <w:rsid w:val="00865301"/>
    <w:rsid w:val="00865779"/>
    <w:rsid w:val="00865C4B"/>
    <w:rsid w:val="00865E1A"/>
    <w:rsid w:val="00865E36"/>
    <w:rsid w:val="00866266"/>
    <w:rsid w:val="00866756"/>
    <w:rsid w:val="008672DA"/>
    <w:rsid w:val="0086740E"/>
    <w:rsid w:val="00867CC3"/>
    <w:rsid w:val="00867E1A"/>
    <w:rsid w:val="0087007C"/>
    <w:rsid w:val="008700CC"/>
    <w:rsid w:val="008709A9"/>
    <w:rsid w:val="00870BFD"/>
    <w:rsid w:val="00871860"/>
    <w:rsid w:val="008719F1"/>
    <w:rsid w:val="00871C44"/>
    <w:rsid w:val="00871E4F"/>
    <w:rsid w:val="00872229"/>
    <w:rsid w:val="008722E4"/>
    <w:rsid w:val="008726A5"/>
    <w:rsid w:val="00872BEE"/>
    <w:rsid w:val="00873268"/>
    <w:rsid w:val="0087364F"/>
    <w:rsid w:val="008737C1"/>
    <w:rsid w:val="00873910"/>
    <w:rsid w:val="00873B1B"/>
    <w:rsid w:val="0087455F"/>
    <w:rsid w:val="00875A00"/>
    <w:rsid w:val="00876BBA"/>
    <w:rsid w:val="00876DEF"/>
    <w:rsid w:val="00876EF1"/>
    <w:rsid w:val="00877163"/>
    <w:rsid w:val="008772F7"/>
    <w:rsid w:val="00877DE0"/>
    <w:rsid w:val="00877F36"/>
    <w:rsid w:val="008800B1"/>
    <w:rsid w:val="00881BF1"/>
    <w:rsid w:val="0088280C"/>
    <w:rsid w:val="00882918"/>
    <w:rsid w:val="00882BEF"/>
    <w:rsid w:val="00882D8F"/>
    <w:rsid w:val="00882F0E"/>
    <w:rsid w:val="0088327B"/>
    <w:rsid w:val="00883438"/>
    <w:rsid w:val="00883750"/>
    <w:rsid w:val="0088380D"/>
    <w:rsid w:val="00883911"/>
    <w:rsid w:val="00883E99"/>
    <w:rsid w:val="00884033"/>
    <w:rsid w:val="0088455F"/>
    <w:rsid w:val="008847D0"/>
    <w:rsid w:val="008848A9"/>
    <w:rsid w:val="008848E1"/>
    <w:rsid w:val="00884A6A"/>
    <w:rsid w:val="00884B0E"/>
    <w:rsid w:val="00884BB8"/>
    <w:rsid w:val="00884D14"/>
    <w:rsid w:val="008850D5"/>
    <w:rsid w:val="008850ED"/>
    <w:rsid w:val="0088541D"/>
    <w:rsid w:val="008854D8"/>
    <w:rsid w:val="0088566D"/>
    <w:rsid w:val="00885A11"/>
    <w:rsid w:val="00885F4E"/>
    <w:rsid w:val="00886276"/>
    <w:rsid w:val="00886667"/>
    <w:rsid w:val="008869E9"/>
    <w:rsid w:val="00886CD9"/>
    <w:rsid w:val="008876FB"/>
    <w:rsid w:val="00887A5E"/>
    <w:rsid w:val="008903BD"/>
    <w:rsid w:val="00890F02"/>
    <w:rsid w:val="0089112E"/>
    <w:rsid w:val="00891300"/>
    <w:rsid w:val="008919FF"/>
    <w:rsid w:val="00891AA5"/>
    <w:rsid w:val="00891BCB"/>
    <w:rsid w:val="00891CDB"/>
    <w:rsid w:val="008921FD"/>
    <w:rsid w:val="008922AA"/>
    <w:rsid w:val="00892352"/>
    <w:rsid w:val="00892CF4"/>
    <w:rsid w:val="00892FCF"/>
    <w:rsid w:val="00893157"/>
    <w:rsid w:val="008931F2"/>
    <w:rsid w:val="0089327A"/>
    <w:rsid w:val="0089346C"/>
    <w:rsid w:val="00893E4F"/>
    <w:rsid w:val="00894161"/>
    <w:rsid w:val="00894608"/>
    <w:rsid w:val="00894AE5"/>
    <w:rsid w:val="00895EFB"/>
    <w:rsid w:val="00896461"/>
    <w:rsid w:val="008966FC"/>
    <w:rsid w:val="00896B6A"/>
    <w:rsid w:val="00896FA1"/>
    <w:rsid w:val="00897DA1"/>
    <w:rsid w:val="00897F6E"/>
    <w:rsid w:val="008A0CDA"/>
    <w:rsid w:val="008A0ECE"/>
    <w:rsid w:val="008A1A0C"/>
    <w:rsid w:val="008A249C"/>
    <w:rsid w:val="008A2F6C"/>
    <w:rsid w:val="008A31BB"/>
    <w:rsid w:val="008A3564"/>
    <w:rsid w:val="008A36DA"/>
    <w:rsid w:val="008A3854"/>
    <w:rsid w:val="008A3CD4"/>
    <w:rsid w:val="008A3CF4"/>
    <w:rsid w:val="008A427B"/>
    <w:rsid w:val="008A4447"/>
    <w:rsid w:val="008A486E"/>
    <w:rsid w:val="008A497C"/>
    <w:rsid w:val="008A4B95"/>
    <w:rsid w:val="008A4EB2"/>
    <w:rsid w:val="008A5186"/>
    <w:rsid w:val="008A5E43"/>
    <w:rsid w:val="008A6634"/>
    <w:rsid w:val="008A6BD6"/>
    <w:rsid w:val="008A7302"/>
    <w:rsid w:val="008A7700"/>
    <w:rsid w:val="008A7968"/>
    <w:rsid w:val="008A7CE5"/>
    <w:rsid w:val="008A7D83"/>
    <w:rsid w:val="008B0148"/>
    <w:rsid w:val="008B024D"/>
    <w:rsid w:val="008B0903"/>
    <w:rsid w:val="008B09BE"/>
    <w:rsid w:val="008B0B0A"/>
    <w:rsid w:val="008B1755"/>
    <w:rsid w:val="008B18F7"/>
    <w:rsid w:val="008B1AB4"/>
    <w:rsid w:val="008B2631"/>
    <w:rsid w:val="008B2A1A"/>
    <w:rsid w:val="008B2FC7"/>
    <w:rsid w:val="008B318D"/>
    <w:rsid w:val="008B34C8"/>
    <w:rsid w:val="008B3615"/>
    <w:rsid w:val="008B3773"/>
    <w:rsid w:val="008B408A"/>
    <w:rsid w:val="008B41FF"/>
    <w:rsid w:val="008B4336"/>
    <w:rsid w:val="008B438C"/>
    <w:rsid w:val="008B4522"/>
    <w:rsid w:val="008B47AD"/>
    <w:rsid w:val="008B4856"/>
    <w:rsid w:val="008B5096"/>
    <w:rsid w:val="008B543D"/>
    <w:rsid w:val="008B5574"/>
    <w:rsid w:val="008B5A07"/>
    <w:rsid w:val="008B6054"/>
    <w:rsid w:val="008B6606"/>
    <w:rsid w:val="008B6BC4"/>
    <w:rsid w:val="008B6CC2"/>
    <w:rsid w:val="008B6D66"/>
    <w:rsid w:val="008B6EBF"/>
    <w:rsid w:val="008B7CAB"/>
    <w:rsid w:val="008B7D48"/>
    <w:rsid w:val="008B7EFA"/>
    <w:rsid w:val="008C03C2"/>
    <w:rsid w:val="008C0687"/>
    <w:rsid w:val="008C0CCA"/>
    <w:rsid w:val="008C0D79"/>
    <w:rsid w:val="008C10E4"/>
    <w:rsid w:val="008C2097"/>
    <w:rsid w:val="008C2B32"/>
    <w:rsid w:val="008C2BCC"/>
    <w:rsid w:val="008C310C"/>
    <w:rsid w:val="008C3721"/>
    <w:rsid w:val="008C3BB0"/>
    <w:rsid w:val="008C3BC3"/>
    <w:rsid w:val="008C4189"/>
    <w:rsid w:val="008C452A"/>
    <w:rsid w:val="008C48F7"/>
    <w:rsid w:val="008C531E"/>
    <w:rsid w:val="008C5381"/>
    <w:rsid w:val="008C5D54"/>
    <w:rsid w:val="008C5E6F"/>
    <w:rsid w:val="008C602E"/>
    <w:rsid w:val="008C7009"/>
    <w:rsid w:val="008C700A"/>
    <w:rsid w:val="008C787A"/>
    <w:rsid w:val="008C7972"/>
    <w:rsid w:val="008C7FB1"/>
    <w:rsid w:val="008C7FCE"/>
    <w:rsid w:val="008D0296"/>
    <w:rsid w:val="008D02E3"/>
    <w:rsid w:val="008D0600"/>
    <w:rsid w:val="008D067C"/>
    <w:rsid w:val="008D107E"/>
    <w:rsid w:val="008D1187"/>
    <w:rsid w:val="008D13DC"/>
    <w:rsid w:val="008D1AA7"/>
    <w:rsid w:val="008D1CB3"/>
    <w:rsid w:val="008D23CB"/>
    <w:rsid w:val="008D2A64"/>
    <w:rsid w:val="008D37EB"/>
    <w:rsid w:val="008D3B15"/>
    <w:rsid w:val="008D3F95"/>
    <w:rsid w:val="008D40E4"/>
    <w:rsid w:val="008D46A0"/>
    <w:rsid w:val="008D4AEA"/>
    <w:rsid w:val="008D5082"/>
    <w:rsid w:val="008D524A"/>
    <w:rsid w:val="008D5299"/>
    <w:rsid w:val="008D593C"/>
    <w:rsid w:val="008D6AA0"/>
    <w:rsid w:val="008D75D1"/>
    <w:rsid w:val="008E0C8C"/>
    <w:rsid w:val="008E0D03"/>
    <w:rsid w:val="008E1184"/>
    <w:rsid w:val="008E1272"/>
    <w:rsid w:val="008E1635"/>
    <w:rsid w:val="008E19A6"/>
    <w:rsid w:val="008E1BF4"/>
    <w:rsid w:val="008E2183"/>
    <w:rsid w:val="008E254C"/>
    <w:rsid w:val="008E2C40"/>
    <w:rsid w:val="008E2E3A"/>
    <w:rsid w:val="008E3182"/>
    <w:rsid w:val="008E3402"/>
    <w:rsid w:val="008E3D82"/>
    <w:rsid w:val="008E3F77"/>
    <w:rsid w:val="008E44C8"/>
    <w:rsid w:val="008E4885"/>
    <w:rsid w:val="008E52E4"/>
    <w:rsid w:val="008E671F"/>
    <w:rsid w:val="008E674A"/>
    <w:rsid w:val="008E6869"/>
    <w:rsid w:val="008E6DF0"/>
    <w:rsid w:val="008F00B7"/>
    <w:rsid w:val="008F00D5"/>
    <w:rsid w:val="008F00D9"/>
    <w:rsid w:val="008F0773"/>
    <w:rsid w:val="008F077B"/>
    <w:rsid w:val="008F0E08"/>
    <w:rsid w:val="008F139E"/>
    <w:rsid w:val="008F16AD"/>
    <w:rsid w:val="008F1A95"/>
    <w:rsid w:val="008F1AF7"/>
    <w:rsid w:val="008F1B28"/>
    <w:rsid w:val="008F1C00"/>
    <w:rsid w:val="008F1D50"/>
    <w:rsid w:val="008F1EA0"/>
    <w:rsid w:val="008F206A"/>
    <w:rsid w:val="008F3514"/>
    <w:rsid w:val="008F364A"/>
    <w:rsid w:val="008F38A0"/>
    <w:rsid w:val="008F466B"/>
    <w:rsid w:val="008F5110"/>
    <w:rsid w:val="008F5E40"/>
    <w:rsid w:val="008F5FAD"/>
    <w:rsid w:val="008F687B"/>
    <w:rsid w:val="008F6C02"/>
    <w:rsid w:val="008F6DB8"/>
    <w:rsid w:val="008F7A12"/>
    <w:rsid w:val="008F7ACB"/>
    <w:rsid w:val="008F7EB5"/>
    <w:rsid w:val="009001D0"/>
    <w:rsid w:val="009001EE"/>
    <w:rsid w:val="00900419"/>
    <w:rsid w:val="0090067B"/>
    <w:rsid w:val="00900E05"/>
    <w:rsid w:val="009012FF"/>
    <w:rsid w:val="00901677"/>
    <w:rsid w:val="0090186E"/>
    <w:rsid w:val="00901896"/>
    <w:rsid w:val="00901A7C"/>
    <w:rsid w:val="00901D32"/>
    <w:rsid w:val="00902024"/>
    <w:rsid w:val="009021F9"/>
    <w:rsid w:val="009023DB"/>
    <w:rsid w:val="00903320"/>
    <w:rsid w:val="0090388B"/>
    <w:rsid w:val="009042F9"/>
    <w:rsid w:val="00904C04"/>
    <w:rsid w:val="00905A52"/>
    <w:rsid w:val="00905F2E"/>
    <w:rsid w:val="00905FC4"/>
    <w:rsid w:val="0090610C"/>
    <w:rsid w:val="009063A2"/>
    <w:rsid w:val="0090648D"/>
    <w:rsid w:val="00906576"/>
    <w:rsid w:val="009068D1"/>
    <w:rsid w:val="00906B85"/>
    <w:rsid w:val="0090753C"/>
    <w:rsid w:val="0090759F"/>
    <w:rsid w:val="00907821"/>
    <w:rsid w:val="00907C6D"/>
    <w:rsid w:val="009105D1"/>
    <w:rsid w:val="009106E1"/>
    <w:rsid w:val="009111BF"/>
    <w:rsid w:val="00911488"/>
    <w:rsid w:val="00911843"/>
    <w:rsid w:val="00911AFB"/>
    <w:rsid w:val="009125C4"/>
    <w:rsid w:val="009127AE"/>
    <w:rsid w:val="00912900"/>
    <w:rsid w:val="00912EC8"/>
    <w:rsid w:val="00913747"/>
    <w:rsid w:val="00913968"/>
    <w:rsid w:val="0091435C"/>
    <w:rsid w:val="009143BA"/>
    <w:rsid w:val="00914609"/>
    <w:rsid w:val="0091497F"/>
    <w:rsid w:val="00914B4F"/>
    <w:rsid w:val="00914DFC"/>
    <w:rsid w:val="0091562B"/>
    <w:rsid w:val="0091578B"/>
    <w:rsid w:val="00915BAB"/>
    <w:rsid w:val="00915F1F"/>
    <w:rsid w:val="009160FC"/>
    <w:rsid w:val="00916557"/>
    <w:rsid w:val="009167BA"/>
    <w:rsid w:val="00916848"/>
    <w:rsid w:val="00916CBB"/>
    <w:rsid w:val="00916D49"/>
    <w:rsid w:val="009174C9"/>
    <w:rsid w:val="00917604"/>
    <w:rsid w:val="00917797"/>
    <w:rsid w:val="00917DBB"/>
    <w:rsid w:val="00917E01"/>
    <w:rsid w:val="0092020C"/>
    <w:rsid w:val="0092032C"/>
    <w:rsid w:val="009208C4"/>
    <w:rsid w:val="00920934"/>
    <w:rsid w:val="00920B42"/>
    <w:rsid w:val="009216B6"/>
    <w:rsid w:val="00921E32"/>
    <w:rsid w:val="00922175"/>
    <w:rsid w:val="009221DC"/>
    <w:rsid w:val="00922688"/>
    <w:rsid w:val="00922BD0"/>
    <w:rsid w:val="00923762"/>
    <w:rsid w:val="00923814"/>
    <w:rsid w:val="00923AFA"/>
    <w:rsid w:val="00923B37"/>
    <w:rsid w:val="0092420B"/>
    <w:rsid w:val="009243F5"/>
    <w:rsid w:val="009247E1"/>
    <w:rsid w:val="00924898"/>
    <w:rsid w:val="009249AD"/>
    <w:rsid w:val="00925531"/>
    <w:rsid w:val="0092554C"/>
    <w:rsid w:val="00925999"/>
    <w:rsid w:val="00925BF3"/>
    <w:rsid w:val="009262B5"/>
    <w:rsid w:val="009262B6"/>
    <w:rsid w:val="009265B0"/>
    <w:rsid w:val="00926ECC"/>
    <w:rsid w:val="009270DC"/>
    <w:rsid w:val="00927181"/>
    <w:rsid w:val="009304F7"/>
    <w:rsid w:val="0093077D"/>
    <w:rsid w:val="009307EF"/>
    <w:rsid w:val="00930ACD"/>
    <w:rsid w:val="00930C9D"/>
    <w:rsid w:val="00930E34"/>
    <w:rsid w:val="00931DE9"/>
    <w:rsid w:val="00932217"/>
    <w:rsid w:val="009324E8"/>
    <w:rsid w:val="009326AC"/>
    <w:rsid w:val="009337DC"/>
    <w:rsid w:val="009339E8"/>
    <w:rsid w:val="00933DAB"/>
    <w:rsid w:val="009342C9"/>
    <w:rsid w:val="00935655"/>
    <w:rsid w:val="00936095"/>
    <w:rsid w:val="00936A52"/>
    <w:rsid w:val="00936B8F"/>
    <w:rsid w:val="00936CA7"/>
    <w:rsid w:val="00936D01"/>
    <w:rsid w:val="00936EA3"/>
    <w:rsid w:val="009377EA"/>
    <w:rsid w:val="00937AA6"/>
    <w:rsid w:val="00937C29"/>
    <w:rsid w:val="009401FA"/>
    <w:rsid w:val="00940337"/>
    <w:rsid w:val="00940D18"/>
    <w:rsid w:val="009411C1"/>
    <w:rsid w:val="0094178A"/>
    <w:rsid w:val="00941C25"/>
    <w:rsid w:val="009422C8"/>
    <w:rsid w:val="009424CD"/>
    <w:rsid w:val="009427CB"/>
    <w:rsid w:val="009428F0"/>
    <w:rsid w:val="00942AC9"/>
    <w:rsid w:val="0094341C"/>
    <w:rsid w:val="0094347C"/>
    <w:rsid w:val="00943B51"/>
    <w:rsid w:val="00944454"/>
    <w:rsid w:val="00944492"/>
    <w:rsid w:val="009446E3"/>
    <w:rsid w:val="00944F8E"/>
    <w:rsid w:val="00945769"/>
    <w:rsid w:val="0094588B"/>
    <w:rsid w:val="00945D39"/>
    <w:rsid w:val="00946245"/>
    <w:rsid w:val="00946CB4"/>
    <w:rsid w:val="00946E0A"/>
    <w:rsid w:val="0094702A"/>
    <w:rsid w:val="00947368"/>
    <w:rsid w:val="009475F0"/>
    <w:rsid w:val="00947993"/>
    <w:rsid w:val="00947D54"/>
    <w:rsid w:val="009501B8"/>
    <w:rsid w:val="00950444"/>
    <w:rsid w:val="00951056"/>
    <w:rsid w:val="009516A5"/>
    <w:rsid w:val="00951B60"/>
    <w:rsid w:val="00951B7D"/>
    <w:rsid w:val="00951C8E"/>
    <w:rsid w:val="0095264F"/>
    <w:rsid w:val="00952C4E"/>
    <w:rsid w:val="00953127"/>
    <w:rsid w:val="0095333D"/>
    <w:rsid w:val="0095341A"/>
    <w:rsid w:val="009535D4"/>
    <w:rsid w:val="009542F7"/>
    <w:rsid w:val="00954591"/>
    <w:rsid w:val="0095465F"/>
    <w:rsid w:val="009551C4"/>
    <w:rsid w:val="009556FE"/>
    <w:rsid w:val="00955B4C"/>
    <w:rsid w:val="00955DFF"/>
    <w:rsid w:val="0095608C"/>
    <w:rsid w:val="00956FF3"/>
    <w:rsid w:val="00957A56"/>
    <w:rsid w:val="00957AC2"/>
    <w:rsid w:val="00957DAB"/>
    <w:rsid w:val="009601FC"/>
    <w:rsid w:val="009605FF"/>
    <w:rsid w:val="00960D7B"/>
    <w:rsid w:val="00960E1A"/>
    <w:rsid w:val="00961372"/>
    <w:rsid w:val="00961C55"/>
    <w:rsid w:val="00961CE5"/>
    <w:rsid w:val="00961DBB"/>
    <w:rsid w:val="00962298"/>
    <w:rsid w:val="00962587"/>
    <w:rsid w:val="00962EE3"/>
    <w:rsid w:val="009631A3"/>
    <w:rsid w:val="009631A6"/>
    <w:rsid w:val="00963BA4"/>
    <w:rsid w:val="00963C44"/>
    <w:rsid w:val="00963E8D"/>
    <w:rsid w:val="00964105"/>
    <w:rsid w:val="0096515C"/>
    <w:rsid w:val="0096570E"/>
    <w:rsid w:val="00965DCF"/>
    <w:rsid w:val="00965FF2"/>
    <w:rsid w:val="00966398"/>
    <w:rsid w:val="00966A92"/>
    <w:rsid w:val="009670A0"/>
    <w:rsid w:val="009672FE"/>
    <w:rsid w:val="009702EF"/>
    <w:rsid w:val="00970382"/>
    <w:rsid w:val="00970601"/>
    <w:rsid w:val="009719DC"/>
    <w:rsid w:val="00971B42"/>
    <w:rsid w:val="009725D6"/>
    <w:rsid w:val="009728CD"/>
    <w:rsid w:val="009728F7"/>
    <w:rsid w:val="00972F64"/>
    <w:rsid w:val="00972FE7"/>
    <w:rsid w:val="009731C8"/>
    <w:rsid w:val="00973EB0"/>
    <w:rsid w:val="009744E9"/>
    <w:rsid w:val="00974B44"/>
    <w:rsid w:val="00974C3A"/>
    <w:rsid w:val="00974D75"/>
    <w:rsid w:val="00974F36"/>
    <w:rsid w:val="00975184"/>
    <w:rsid w:val="009753C8"/>
    <w:rsid w:val="009761EE"/>
    <w:rsid w:val="00976223"/>
    <w:rsid w:val="009765E7"/>
    <w:rsid w:val="00976F52"/>
    <w:rsid w:val="00977DE5"/>
    <w:rsid w:val="00980192"/>
    <w:rsid w:val="00980801"/>
    <w:rsid w:val="00980982"/>
    <w:rsid w:val="00980E31"/>
    <w:rsid w:val="00980E63"/>
    <w:rsid w:val="009816F9"/>
    <w:rsid w:val="00981C5C"/>
    <w:rsid w:val="00982731"/>
    <w:rsid w:val="00982F5C"/>
    <w:rsid w:val="00982FD4"/>
    <w:rsid w:val="009836E0"/>
    <w:rsid w:val="00983C4D"/>
    <w:rsid w:val="009844CB"/>
    <w:rsid w:val="009848D9"/>
    <w:rsid w:val="00985325"/>
    <w:rsid w:val="0098631D"/>
    <w:rsid w:val="009865C8"/>
    <w:rsid w:val="00986670"/>
    <w:rsid w:val="009866E2"/>
    <w:rsid w:val="00986971"/>
    <w:rsid w:val="0098767C"/>
    <w:rsid w:val="0099020E"/>
    <w:rsid w:val="00990541"/>
    <w:rsid w:val="009907F5"/>
    <w:rsid w:val="00990C43"/>
    <w:rsid w:val="00991519"/>
    <w:rsid w:val="009916B3"/>
    <w:rsid w:val="00991E06"/>
    <w:rsid w:val="00992012"/>
    <w:rsid w:val="0099233F"/>
    <w:rsid w:val="00992514"/>
    <w:rsid w:val="00992D5B"/>
    <w:rsid w:val="00993461"/>
    <w:rsid w:val="00993733"/>
    <w:rsid w:val="00993BC5"/>
    <w:rsid w:val="00994439"/>
    <w:rsid w:val="00994998"/>
    <w:rsid w:val="00994B8E"/>
    <w:rsid w:val="00994CD0"/>
    <w:rsid w:val="009952FF"/>
    <w:rsid w:val="00995691"/>
    <w:rsid w:val="009956A7"/>
    <w:rsid w:val="0099576D"/>
    <w:rsid w:val="00996B7F"/>
    <w:rsid w:val="00996C20"/>
    <w:rsid w:val="009970E1"/>
    <w:rsid w:val="00997482"/>
    <w:rsid w:val="00997C94"/>
    <w:rsid w:val="009A060A"/>
    <w:rsid w:val="009A07CB"/>
    <w:rsid w:val="009A084F"/>
    <w:rsid w:val="009A0C55"/>
    <w:rsid w:val="009A15BC"/>
    <w:rsid w:val="009A17CF"/>
    <w:rsid w:val="009A1F59"/>
    <w:rsid w:val="009A2604"/>
    <w:rsid w:val="009A2C2D"/>
    <w:rsid w:val="009A2DAE"/>
    <w:rsid w:val="009A3EEB"/>
    <w:rsid w:val="009A40DC"/>
    <w:rsid w:val="009A4180"/>
    <w:rsid w:val="009A4CB8"/>
    <w:rsid w:val="009A4E43"/>
    <w:rsid w:val="009A5082"/>
    <w:rsid w:val="009A64FC"/>
    <w:rsid w:val="009A6E38"/>
    <w:rsid w:val="009A70BE"/>
    <w:rsid w:val="009A766D"/>
    <w:rsid w:val="009A771C"/>
    <w:rsid w:val="009A7DF8"/>
    <w:rsid w:val="009B0739"/>
    <w:rsid w:val="009B0C1D"/>
    <w:rsid w:val="009B0DA7"/>
    <w:rsid w:val="009B16A2"/>
    <w:rsid w:val="009B17E2"/>
    <w:rsid w:val="009B18F7"/>
    <w:rsid w:val="009B2250"/>
    <w:rsid w:val="009B23E1"/>
    <w:rsid w:val="009B292B"/>
    <w:rsid w:val="009B2D74"/>
    <w:rsid w:val="009B310B"/>
    <w:rsid w:val="009B33D4"/>
    <w:rsid w:val="009B387B"/>
    <w:rsid w:val="009B3CA0"/>
    <w:rsid w:val="009B41F6"/>
    <w:rsid w:val="009B4492"/>
    <w:rsid w:val="009B4937"/>
    <w:rsid w:val="009B494C"/>
    <w:rsid w:val="009B4D91"/>
    <w:rsid w:val="009B4F21"/>
    <w:rsid w:val="009B5ACA"/>
    <w:rsid w:val="009B5E86"/>
    <w:rsid w:val="009B5F7D"/>
    <w:rsid w:val="009B606A"/>
    <w:rsid w:val="009B6219"/>
    <w:rsid w:val="009B67E6"/>
    <w:rsid w:val="009B6B98"/>
    <w:rsid w:val="009B6FA5"/>
    <w:rsid w:val="009B7043"/>
    <w:rsid w:val="009B7073"/>
    <w:rsid w:val="009B78DC"/>
    <w:rsid w:val="009B7A90"/>
    <w:rsid w:val="009B7C23"/>
    <w:rsid w:val="009C0183"/>
    <w:rsid w:val="009C091B"/>
    <w:rsid w:val="009C0978"/>
    <w:rsid w:val="009C0D30"/>
    <w:rsid w:val="009C0FC3"/>
    <w:rsid w:val="009C1887"/>
    <w:rsid w:val="009C1C1D"/>
    <w:rsid w:val="009C20CE"/>
    <w:rsid w:val="009C2636"/>
    <w:rsid w:val="009C29FF"/>
    <w:rsid w:val="009C33F3"/>
    <w:rsid w:val="009C3406"/>
    <w:rsid w:val="009C3A79"/>
    <w:rsid w:val="009C3AA0"/>
    <w:rsid w:val="009C3E09"/>
    <w:rsid w:val="009C3E58"/>
    <w:rsid w:val="009C3F39"/>
    <w:rsid w:val="009C470F"/>
    <w:rsid w:val="009C49B4"/>
    <w:rsid w:val="009C4B15"/>
    <w:rsid w:val="009C4CF9"/>
    <w:rsid w:val="009C4EBE"/>
    <w:rsid w:val="009C5411"/>
    <w:rsid w:val="009C546C"/>
    <w:rsid w:val="009C5860"/>
    <w:rsid w:val="009C5A52"/>
    <w:rsid w:val="009C5A5C"/>
    <w:rsid w:val="009C5BCC"/>
    <w:rsid w:val="009C5CDE"/>
    <w:rsid w:val="009C5F8C"/>
    <w:rsid w:val="009C5FBC"/>
    <w:rsid w:val="009C5FFC"/>
    <w:rsid w:val="009C609D"/>
    <w:rsid w:val="009C6761"/>
    <w:rsid w:val="009C6E84"/>
    <w:rsid w:val="009C7191"/>
    <w:rsid w:val="009C7737"/>
    <w:rsid w:val="009C7792"/>
    <w:rsid w:val="009C7D1D"/>
    <w:rsid w:val="009D03BD"/>
    <w:rsid w:val="009D0D95"/>
    <w:rsid w:val="009D1434"/>
    <w:rsid w:val="009D1B59"/>
    <w:rsid w:val="009D1F46"/>
    <w:rsid w:val="009D20A5"/>
    <w:rsid w:val="009D2691"/>
    <w:rsid w:val="009D2AF1"/>
    <w:rsid w:val="009D2FD8"/>
    <w:rsid w:val="009D33F7"/>
    <w:rsid w:val="009D3419"/>
    <w:rsid w:val="009D35EA"/>
    <w:rsid w:val="009D3A65"/>
    <w:rsid w:val="009D3FC6"/>
    <w:rsid w:val="009D486F"/>
    <w:rsid w:val="009D4C72"/>
    <w:rsid w:val="009D51DF"/>
    <w:rsid w:val="009D52FD"/>
    <w:rsid w:val="009D5A11"/>
    <w:rsid w:val="009D7E26"/>
    <w:rsid w:val="009E0284"/>
    <w:rsid w:val="009E0C25"/>
    <w:rsid w:val="009E104C"/>
    <w:rsid w:val="009E17AF"/>
    <w:rsid w:val="009E2937"/>
    <w:rsid w:val="009E2A08"/>
    <w:rsid w:val="009E2D94"/>
    <w:rsid w:val="009E3025"/>
    <w:rsid w:val="009E310F"/>
    <w:rsid w:val="009E317C"/>
    <w:rsid w:val="009E38E6"/>
    <w:rsid w:val="009E47CB"/>
    <w:rsid w:val="009E488E"/>
    <w:rsid w:val="009E48F4"/>
    <w:rsid w:val="009E49B4"/>
    <w:rsid w:val="009E49CD"/>
    <w:rsid w:val="009E4BA5"/>
    <w:rsid w:val="009E57CA"/>
    <w:rsid w:val="009E58E9"/>
    <w:rsid w:val="009E5D17"/>
    <w:rsid w:val="009E5FC6"/>
    <w:rsid w:val="009E60A1"/>
    <w:rsid w:val="009E65F8"/>
    <w:rsid w:val="009E6ABD"/>
    <w:rsid w:val="009E6BD5"/>
    <w:rsid w:val="009E6D24"/>
    <w:rsid w:val="009E709C"/>
    <w:rsid w:val="009E71B1"/>
    <w:rsid w:val="009E7F08"/>
    <w:rsid w:val="009F0071"/>
    <w:rsid w:val="009F050A"/>
    <w:rsid w:val="009F090C"/>
    <w:rsid w:val="009F0E57"/>
    <w:rsid w:val="009F1167"/>
    <w:rsid w:val="009F148B"/>
    <w:rsid w:val="009F172C"/>
    <w:rsid w:val="009F1754"/>
    <w:rsid w:val="009F180B"/>
    <w:rsid w:val="009F1859"/>
    <w:rsid w:val="009F1A92"/>
    <w:rsid w:val="009F1C0A"/>
    <w:rsid w:val="009F1CFD"/>
    <w:rsid w:val="009F2537"/>
    <w:rsid w:val="009F256D"/>
    <w:rsid w:val="009F2806"/>
    <w:rsid w:val="009F29C0"/>
    <w:rsid w:val="009F2B33"/>
    <w:rsid w:val="009F2ECA"/>
    <w:rsid w:val="009F3011"/>
    <w:rsid w:val="009F3252"/>
    <w:rsid w:val="009F37F0"/>
    <w:rsid w:val="009F385F"/>
    <w:rsid w:val="009F3A6E"/>
    <w:rsid w:val="009F3D68"/>
    <w:rsid w:val="009F4219"/>
    <w:rsid w:val="009F44A3"/>
    <w:rsid w:val="009F44F5"/>
    <w:rsid w:val="009F5024"/>
    <w:rsid w:val="009F5A68"/>
    <w:rsid w:val="009F5BED"/>
    <w:rsid w:val="009F64FB"/>
    <w:rsid w:val="009F6513"/>
    <w:rsid w:val="009F6719"/>
    <w:rsid w:val="009F6B9D"/>
    <w:rsid w:val="009F6BE6"/>
    <w:rsid w:val="009F6C86"/>
    <w:rsid w:val="009F6CB9"/>
    <w:rsid w:val="009F6F17"/>
    <w:rsid w:val="009F7860"/>
    <w:rsid w:val="00A003D2"/>
    <w:rsid w:val="00A00640"/>
    <w:rsid w:val="00A00B78"/>
    <w:rsid w:val="00A00E5F"/>
    <w:rsid w:val="00A00E86"/>
    <w:rsid w:val="00A00F5F"/>
    <w:rsid w:val="00A011A7"/>
    <w:rsid w:val="00A01971"/>
    <w:rsid w:val="00A01BFA"/>
    <w:rsid w:val="00A01D8F"/>
    <w:rsid w:val="00A01F52"/>
    <w:rsid w:val="00A02085"/>
    <w:rsid w:val="00A029CC"/>
    <w:rsid w:val="00A02EF6"/>
    <w:rsid w:val="00A02F60"/>
    <w:rsid w:val="00A03198"/>
    <w:rsid w:val="00A0322A"/>
    <w:rsid w:val="00A03462"/>
    <w:rsid w:val="00A03568"/>
    <w:rsid w:val="00A03785"/>
    <w:rsid w:val="00A03CFF"/>
    <w:rsid w:val="00A03D57"/>
    <w:rsid w:val="00A050D6"/>
    <w:rsid w:val="00A06B1E"/>
    <w:rsid w:val="00A07206"/>
    <w:rsid w:val="00A077C3"/>
    <w:rsid w:val="00A07E0A"/>
    <w:rsid w:val="00A10A37"/>
    <w:rsid w:val="00A10EDA"/>
    <w:rsid w:val="00A1166B"/>
    <w:rsid w:val="00A11CF8"/>
    <w:rsid w:val="00A1252D"/>
    <w:rsid w:val="00A1267F"/>
    <w:rsid w:val="00A12973"/>
    <w:rsid w:val="00A12C23"/>
    <w:rsid w:val="00A13DBA"/>
    <w:rsid w:val="00A13E4F"/>
    <w:rsid w:val="00A14AEA"/>
    <w:rsid w:val="00A158CF"/>
    <w:rsid w:val="00A15AB7"/>
    <w:rsid w:val="00A160A5"/>
    <w:rsid w:val="00A16214"/>
    <w:rsid w:val="00A1635F"/>
    <w:rsid w:val="00A163E2"/>
    <w:rsid w:val="00A165B3"/>
    <w:rsid w:val="00A169D7"/>
    <w:rsid w:val="00A16FCF"/>
    <w:rsid w:val="00A17C38"/>
    <w:rsid w:val="00A17C3F"/>
    <w:rsid w:val="00A2081F"/>
    <w:rsid w:val="00A20A54"/>
    <w:rsid w:val="00A20CDA"/>
    <w:rsid w:val="00A210E0"/>
    <w:rsid w:val="00A21733"/>
    <w:rsid w:val="00A222EA"/>
    <w:rsid w:val="00A226E0"/>
    <w:rsid w:val="00A22867"/>
    <w:rsid w:val="00A22AF2"/>
    <w:rsid w:val="00A22B49"/>
    <w:rsid w:val="00A22B6C"/>
    <w:rsid w:val="00A22DDE"/>
    <w:rsid w:val="00A22E16"/>
    <w:rsid w:val="00A23225"/>
    <w:rsid w:val="00A235C7"/>
    <w:rsid w:val="00A2368E"/>
    <w:rsid w:val="00A2379A"/>
    <w:rsid w:val="00A238D4"/>
    <w:rsid w:val="00A23A0E"/>
    <w:rsid w:val="00A24318"/>
    <w:rsid w:val="00A24477"/>
    <w:rsid w:val="00A26B7A"/>
    <w:rsid w:val="00A26C91"/>
    <w:rsid w:val="00A26F56"/>
    <w:rsid w:val="00A27538"/>
    <w:rsid w:val="00A275C7"/>
    <w:rsid w:val="00A2760A"/>
    <w:rsid w:val="00A27A96"/>
    <w:rsid w:val="00A27E3F"/>
    <w:rsid w:val="00A27EA6"/>
    <w:rsid w:val="00A307BA"/>
    <w:rsid w:val="00A30826"/>
    <w:rsid w:val="00A30ACB"/>
    <w:rsid w:val="00A31AB5"/>
    <w:rsid w:val="00A31BCD"/>
    <w:rsid w:val="00A31EFB"/>
    <w:rsid w:val="00A323FB"/>
    <w:rsid w:val="00A32605"/>
    <w:rsid w:val="00A326BA"/>
    <w:rsid w:val="00A32782"/>
    <w:rsid w:val="00A327E8"/>
    <w:rsid w:val="00A32B71"/>
    <w:rsid w:val="00A32BA3"/>
    <w:rsid w:val="00A3354A"/>
    <w:rsid w:val="00A33892"/>
    <w:rsid w:val="00A33B81"/>
    <w:rsid w:val="00A33C8D"/>
    <w:rsid w:val="00A34536"/>
    <w:rsid w:val="00A346A6"/>
    <w:rsid w:val="00A34B91"/>
    <w:rsid w:val="00A35987"/>
    <w:rsid w:val="00A35C8F"/>
    <w:rsid w:val="00A35FA3"/>
    <w:rsid w:val="00A36893"/>
    <w:rsid w:val="00A371AA"/>
    <w:rsid w:val="00A37225"/>
    <w:rsid w:val="00A402C7"/>
    <w:rsid w:val="00A409C6"/>
    <w:rsid w:val="00A40F61"/>
    <w:rsid w:val="00A41049"/>
    <w:rsid w:val="00A41836"/>
    <w:rsid w:val="00A41A3C"/>
    <w:rsid w:val="00A41CD3"/>
    <w:rsid w:val="00A41FA4"/>
    <w:rsid w:val="00A42441"/>
    <w:rsid w:val="00A429DA"/>
    <w:rsid w:val="00A42A4D"/>
    <w:rsid w:val="00A42F10"/>
    <w:rsid w:val="00A43070"/>
    <w:rsid w:val="00A43A04"/>
    <w:rsid w:val="00A44778"/>
    <w:rsid w:val="00A44A9A"/>
    <w:rsid w:val="00A45938"/>
    <w:rsid w:val="00A45AC1"/>
    <w:rsid w:val="00A45BFB"/>
    <w:rsid w:val="00A45EDB"/>
    <w:rsid w:val="00A4610C"/>
    <w:rsid w:val="00A462EE"/>
    <w:rsid w:val="00A46732"/>
    <w:rsid w:val="00A46943"/>
    <w:rsid w:val="00A469FD"/>
    <w:rsid w:val="00A46A3D"/>
    <w:rsid w:val="00A472EE"/>
    <w:rsid w:val="00A47312"/>
    <w:rsid w:val="00A47398"/>
    <w:rsid w:val="00A50015"/>
    <w:rsid w:val="00A502DF"/>
    <w:rsid w:val="00A504FF"/>
    <w:rsid w:val="00A5063F"/>
    <w:rsid w:val="00A50D9E"/>
    <w:rsid w:val="00A50F07"/>
    <w:rsid w:val="00A510D6"/>
    <w:rsid w:val="00A5152A"/>
    <w:rsid w:val="00A516DD"/>
    <w:rsid w:val="00A51948"/>
    <w:rsid w:val="00A51A14"/>
    <w:rsid w:val="00A52C34"/>
    <w:rsid w:val="00A532F8"/>
    <w:rsid w:val="00A53583"/>
    <w:rsid w:val="00A5387E"/>
    <w:rsid w:val="00A53BB6"/>
    <w:rsid w:val="00A53E07"/>
    <w:rsid w:val="00A53F87"/>
    <w:rsid w:val="00A5407D"/>
    <w:rsid w:val="00A543CC"/>
    <w:rsid w:val="00A54737"/>
    <w:rsid w:val="00A549D3"/>
    <w:rsid w:val="00A54AF5"/>
    <w:rsid w:val="00A54C77"/>
    <w:rsid w:val="00A54C9C"/>
    <w:rsid w:val="00A54CCC"/>
    <w:rsid w:val="00A553E6"/>
    <w:rsid w:val="00A554F0"/>
    <w:rsid w:val="00A55F37"/>
    <w:rsid w:val="00A55FC6"/>
    <w:rsid w:val="00A56A52"/>
    <w:rsid w:val="00A56E61"/>
    <w:rsid w:val="00A57AAE"/>
    <w:rsid w:val="00A57B9C"/>
    <w:rsid w:val="00A57E50"/>
    <w:rsid w:val="00A60324"/>
    <w:rsid w:val="00A60D8F"/>
    <w:rsid w:val="00A6165B"/>
    <w:rsid w:val="00A622EF"/>
    <w:rsid w:val="00A62651"/>
    <w:rsid w:val="00A62EBF"/>
    <w:rsid w:val="00A6303C"/>
    <w:rsid w:val="00A6356A"/>
    <w:rsid w:val="00A63DCD"/>
    <w:rsid w:val="00A63F4F"/>
    <w:rsid w:val="00A64144"/>
    <w:rsid w:val="00A64B2C"/>
    <w:rsid w:val="00A661A9"/>
    <w:rsid w:val="00A66AB1"/>
    <w:rsid w:val="00A66D91"/>
    <w:rsid w:val="00A67BD5"/>
    <w:rsid w:val="00A702C4"/>
    <w:rsid w:val="00A702DC"/>
    <w:rsid w:val="00A708C9"/>
    <w:rsid w:val="00A70D7A"/>
    <w:rsid w:val="00A71027"/>
    <w:rsid w:val="00A7104B"/>
    <w:rsid w:val="00A71201"/>
    <w:rsid w:val="00A71460"/>
    <w:rsid w:val="00A716D4"/>
    <w:rsid w:val="00A71B03"/>
    <w:rsid w:val="00A71EFF"/>
    <w:rsid w:val="00A72251"/>
    <w:rsid w:val="00A72260"/>
    <w:rsid w:val="00A728A0"/>
    <w:rsid w:val="00A73CA8"/>
    <w:rsid w:val="00A73F97"/>
    <w:rsid w:val="00A74075"/>
    <w:rsid w:val="00A74116"/>
    <w:rsid w:val="00A741EA"/>
    <w:rsid w:val="00A743C4"/>
    <w:rsid w:val="00A748BB"/>
    <w:rsid w:val="00A748D6"/>
    <w:rsid w:val="00A74A2E"/>
    <w:rsid w:val="00A74A80"/>
    <w:rsid w:val="00A74B8C"/>
    <w:rsid w:val="00A74D2D"/>
    <w:rsid w:val="00A74ECA"/>
    <w:rsid w:val="00A75155"/>
    <w:rsid w:val="00A7543A"/>
    <w:rsid w:val="00A75541"/>
    <w:rsid w:val="00A76609"/>
    <w:rsid w:val="00A76A04"/>
    <w:rsid w:val="00A76B9A"/>
    <w:rsid w:val="00A772DF"/>
    <w:rsid w:val="00A773B7"/>
    <w:rsid w:val="00A7765B"/>
    <w:rsid w:val="00A77846"/>
    <w:rsid w:val="00A7788F"/>
    <w:rsid w:val="00A77E60"/>
    <w:rsid w:val="00A80499"/>
    <w:rsid w:val="00A8049A"/>
    <w:rsid w:val="00A817B2"/>
    <w:rsid w:val="00A818D9"/>
    <w:rsid w:val="00A81A29"/>
    <w:rsid w:val="00A8207D"/>
    <w:rsid w:val="00A8247B"/>
    <w:rsid w:val="00A82E37"/>
    <w:rsid w:val="00A82FF2"/>
    <w:rsid w:val="00A83055"/>
    <w:rsid w:val="00A83412"/>
    <w:rsid w:val="00A83565"/>
    <w:rsid w:val="00A83655"/>
    <w:rsid w:val="00A8369C"/>
    <w:rsid w:val="00A83B4C"/>
    <w:rsid w:val="00A83D3E"/>
    <w:rsid w:val="00A845CF"/>
    <w:rsid w:val="00A847D6"/>
    <w:rsid w:val="00A84906"/>
    <w:rsid w:val="00A84AC5"/>
    <w:rsid w:val="00A85867"/>
    <w:rsid w:val="00A85D38"/>
    <w:rsid w:val="00A85EED"/>
    <w:rsid w:val="00A86646"/>
    <w:rsid w:val="00A87FF9"/>
    <w:rsid w:val="00A9067B"/>
    <w:rsid w:val="00A90B0B"/>
    <w:rsid w:val="00A90B80"/>
    <w:rsid w:val="00A90D2B"/>
    <w:rsid w:val="00A91AAB"/>
    <w:rsid w:val="00A91D9A"/>
    <w:rsid w:val="00A91EDB"/>
    <w:rsid w:val="00A938F2"/>
    <w:rsid w:val="00A93957"/>
    <w:rsid w:val="00A93C4A"/>
    <w:rsid w:val="00A94037"/>
    <w:rsid w:val="00A9469E"/>
    <w:rsid w:val="00A94833"/>
    <w:rsid w:val="00A94A5D"/>
    <w:rsid w:val="00A95021"/>
    <w:rsid w:val="00A95B52"/>
    <w:rsid w:val="00A95E81"/>
    <w:rsid w:val="00A95EEE"/>
    <w:rsid w:val="00A960FA"/>
    <w:rsid w:val="00A9633E"/>
    <w:rsid w:val="00A96F15"/>
    <w:rsid w:val="00A96FAB"/>
    <w:rsid w:val="00A973F3"/>
    <w:rsid w:val="00A977EF"/>
    <w:rsid w:val="00A9790D"/>
    <w:rsid w:val="00A97CA3"/>
    <w:rsid w:val="00AA066B"/>
    <w:rsid w:val="00AA1B3A"/>
    <w:rsid w:val="00AA1C21"/>
    <w:rsid w:val="00AA1F48"/>
    <w:rsid w:val="00AA2650"/>
    <w:rsid w:val="00AA26E1"/>
    <w:rsid w:val="00AA2759"/>
    <w:rsid w:val="00AA320A"/>
    <w:rsid w:val="00AA3457"/>
    <w:rsid w:val="00AA3472"/>
    <w:rsid w:val="00AA3A53"/>
    <w:rsid w:val="00AA3CEE"/>
    <w:rsid w:val="00AA3FEA"/>
    <w:rsid w:val="00AA4219"/>
    <w:rsid w:val="00AA44AB"/>
    <w:rsid w:val="00AA4530"/>
    <w:rsid w:val="00AA46AA"/>
    <w:rsid w:val="00AA48B7"/>
    <w:rsid w:val="00AA4C72"/>
    <w:rsid w:val="00AA5BE8"/>
    <w:rsid w:val="00AA5D65"/>
    <w:rsid w:val="00AA5FFC"/>
    <w:rsid w:val="00AA653E"/>
    <w:rsid w:val="00AA68D1"/>
    <w:rsid w:val="00AA6D12"/>
    <w:rsid w:val="00AA7945"/>
    <w:rsid w:val="00AA7964"/>
    <w:rsid w:val="00AB0559"/>
    <w:rsid w:val="00AB05CF"/>
    <w:rsid w:val="00AB07FA"/>
    <w:rsid w:val="00AB0D44"/>
    <w:rsid w:val="00AB1366"/>
    <w:rsid w:val="00AB1458"/>
    <w:rsid w:val="00AB1C77"/>
    <w:rsid w:val="00AB1FD8"/>
    <w:rsid w:val="00AB2539"/>
    <w:rsid w:val="00AB26F5"/>
    <w:rsid w:val="00AB3245"/>
    <w:rsid w:val="00AB3FE9"/>
    <w:rsid w:val="00AB4392"/>
    <w:rsid w:val="00AB47FC"/>
    <w:rsid w:val="00AB483C"/>
    <w:rsid w:val="00AB4DE6"/>
    <w:rsid w:val="00AB52E2"/>
    <w:rsid w:val="00AB5A1D"/>
    <w:rsid w:val="00AB5D41"/>
    <w:rsid w:val="00AB637E"/>
    <w:rsid w:val="00AB64D4"/>
    <w:rsid w:val="00AB6884"/>
    <w:rsid w:val="00AB74C4"/>
    <w:rsid w:val="00AB7658"/>
    <w:rsid w:val="00AB774D"/>
    <w:rsid w:val="00AB79C2"/>
    <w:rsid w:val="00AB7D51"/>
    <w:rsid w:val="00AC0540"/>
    <w:rsid w:val="00AC0D31"/>
    <w:rsid w:val="00AC0DBD"/>
    <w:rsid w:val="00AC0F97"/>
    <w:rsid w:val="00AC10BC"/>
    <w:rsid w:val="00AC1F94"/>
    <w:rsid w:val="00AC2415"/>
    <w:rsid w:val="00AC291A"/>
    <w:rsid w:val="00AC31F2"/>
    <w:rsid w:val="00AC3614"/>
    <w:rsid w:val="00AC3BD3"/>
    <w:rsid w:val="00AC3DA7"/>
    <w:rsid w:val="00AC4694"/>
    <w:rsid w:val="00AC4C3D"/>
    <w:rsid w:val="00AC4D0A"/>
    <w:rsid w:val="00AC5355"/>
    <w:rsid w:val="00AC55DB"/>
    <w:rsid w:val="00AC5979"/>
    <w:rsid w:val="00AC5E7F"/>
    <w:rsid w:val="00AC60A8"/>
    <w:rsid w:val="00AC7845"/>
    <w:rsid w:val="00AC7AC0"/>
    <w:rsid w:val="00AC7B1E"/>
    <w:rsid w:val="00AD0D8E"/>
    <w:rsid w:val="00AD1598"/>
    <w:rsid w:val="00AD1A7F"/>
    <w:rsid w:val="00AD1B0E"/>
    <w:rsid w:val="00AD29F9"/>
    <w:rsid w:val="00AD2FE7"/>
    <w:rsid w:val="00AD34E8"/>
    <w:rsid w:val="00AD36A7"/>
    <w:rsid w:val="00AD373F"/>
    <w:rsid w:val="00AD3EB8"/>
    <w:rsid w:val="00AD59BE"/>
    <w:rsid w:val="00AD5AE0"/>
    <w:rsid w:val="00AD5B54"/>
    <w:rsid w:val="00AD6422"/>
    <w:rsid w:val="00AD6889"/>
    <w:rsid w:val="00AD6E0D"/>
    <w:rsid w:val="00AD740C"/>
    <w:rsid w:val="00AD7609"/>
    <w:rsid w:val="00AD7891"/>
    <w:rsid w:val="00AD798A"/>
    <w:rsid w:val="00AD7FD0"/>
    <w:rsid w:val="00AE0166"/>
    <w:rsid w:val="00AE0CBA"/>
    <w:rsid w:val="00AE14AA"/>
    <w:rsid w:val="00AE1AD3"/>
    <w:rsid w:val="00AE2195"/>
    <w:rsid w:val="00AE23E8"/>
    <w:rsid w:val="00AE2929"/>
    <w:rsid w:val="00AE2A47"/>
    <w:rsid w:val="00AE2D85"/>
    <w:rsid w:val="00AE322E"/>
    <w:rsid w:val="00AE3447"/>
    <w:rsid w:val="00AE367D"/>
    <w:rsid w:val="00AE36A7"/>
    <w:rsid w:val="00AE38D6"/>
    <w:rsid w:val="00AE39ED"/>
    <w:rsid w:val="00AE414A"/>
    <w:rsid w:val="00AE420D"/>
    <w:rsid w:val="00AE449F"/>
    <w:rsid w:val="00AE46E7"/>
    <w:rsid w:val="00AE49C5"/>
    <w:rsid w:val="00AE4AF4"/>
    <w:rsid w:val="00AE4C04"/>
    <w:rsid w:val="00AE4D66"/>
    <w:rsid w:val="00AE5C62"/>
    <w:rsid w:val="00AE6108"/>
    <w:rsid w:val="00AE6398"/>
    <w:rsid w:val="00AE6633"/>
    <w:rsid w:val="00AE6AF2"/>
    <w:rsid w:val="00AE728D"/>
    <w:rsid w:val="00AE733B"/>
    <w:rsid w:val="00AE7DC2"/>
    <w:rsid w:val="00AE7FDF"/>
    <w:rsid w:val="00AE7FF7"/>
    <w:rsid w:val="00AF0F4E"/>
    <w:rsid w:val="00AF15F1"/>
    <w:rsid w:val="00AF1687"/>
    <w:rsid w:val="00AF1A52"/>
    <w:rsid w:val="00AF1EC9"/>
    <w:rsid w:val="00AF21C5"/>
    <w:rsid w:val="00AF2771"/>
    <w:rsid w:val="00AF27A9"/>
    <w:rsid w:val="00AF2A3A"/>
    <w:rsid w:val="00AF2C40"/>
    <w:rsid w:val="00AF31C1"/>
    <w:rsid w:val="00AF36CB"/>
    <w:rsid w:val="00AF37CA"/>
    <w:rsid w:val="00AF49B3"/>
    <w:rsid w:val="00AF4E5F"/>
    <w:rsid w:val="00AF5515"/>
    <w:rsid w:val="00AF5991"/>
    <w:rsid w:val="00AF5AEA"/>
    <w:rsid w:val="00AF5E2C"/>
    <w:rsid w:val="00AF756E"/>
    <w:rsid w:val="00AF7A8A"/>
    <w:rsid w:val="00AF7CBE"/>
    <w:rsid w:val="00AF7F41"/>
    <w:rsid w:val="00AF7FF3"/>
    <w:rsid w:val="00B00407"/>
    <w:rsid w:val="00B004C7"/>
    <w:rsid w:val="00B00619"/>
    <w:rsid w:val="00B00731"/>
    <w:rsid w:val="00B0081F"/>
    <w:rsid w:val="00B0085E"/>
    <w:rsid w:val="00B00B22"/>
    <w:rsid w:val="00B00B4D"/>
    <w:rsid w:val="00B00B6C"/>
    <w:rsid w:val="00B00E38"/>
    <w:rsid w:val="00B01017"/>
    <w:rsid w:val="00B012D5"/>
    <w:rsid w:val="00B01303"/>
    <w:rsid w:val="00B01564"/>
    <w:rsid w:val="00B01776"/>
    <w:rsid w:val="00B01F49"/>
    <w:rsid w:val="00B02140"/>
    <w:rsid w:val="00B02532"/>
    <w:rsid w:val="00B0278A"/>
    <w:rsid w:val="00B039EB"/>
    <w:rsid w:val="00B03D0C"/>
    <w:rsid w:val="00B03D63"/>
    <w:rsid w:val="00B041C9"/>
    <w:rsid w:val="00B0424D"/>
    <w:rsid w:val="00B04747"/>
    <w:rsid w:val="00B04BD0"/>
    <w:rsid w:val="00B050FB"/>
    <w:rsid w:val="00B050FD"/>
    <w:rsid w:val="00B05437"/>
    <w:rsid w:val="00B054A4"/>
    <w:rsid w:val="00B0583B"/>
    <w:rsid w:val="00B06638"/>
    <w:rsid w:val="00B06A69"/>
    <w:rsid w:val="00B06B8D"/>
    <w:rsid w:val="00B0759A"/>
    <w:rsid w:val="00B07E5A"/>
    <w:rsid w:val="00B10489"/>
    <w:rsid w:val="00B10C69"/>
    <w:rsid w:val="00B11308"/>
    <w:rsid w:val="00B118B9"/>
    <w:rsid w:val="00B11AD0"/>
    <w:rsid w:val="00B121A5"/>
    <w:rsid w:val="00B129DB"/>
    <w:rsid w:val="00B12DFC"/>
    <w:rsid w:val="00B13147"/>
    <w:rsid w:val="00B13960"/>
    <w:rsid w:val="00B13A1B"/>
    <w:rsid w:val="00B13BCB"/>
    <w:rsid w:val="00B13ECF"/>
    <w:rsid w:val="00B142D2"/>
    <w:rsid w:val="00B144A5"/>
    <w:rsid w:val="00B1465A"/>
    <w:rsid w:val="00B14842"/>
    <w:rsid w:val="00B14CFD"/>
    <w:rsid w:val="00B15B33"/>
    <w:rsid w:val="00B15C1B"/>
    <w:rsid w:val="00B15F56"/>
    <w:rsid w:val="00B16131"/>
    <w:rsid w:val="00B1645E"/>
    <w:rsid w:val="00B16686"/>
    <w:rsid w:val="00B16ED6"/>
    <w:rsid w:val="00B17352"/>
    <w:rsid w:val="00B17970"/>
    <w:rsid w:val="00B17D89"/>
    <w:rsid w:val="00B17F46"/>
    <w:rsid w:val="00B203EB"/>
    <w:rsid w:val="00B2046D"/>
    <w:rsid w:val="00B2072F"/>
    <w:rsid w:val="00B20772"/>
    <w:rsid w:val="00B20CA9"/>
    <w:rsid w:val="00B212EF"/>
    <w:rsid w:val="00B2158E"/>
    <w:rsid w:val="00B21B40"/>
    <w:rsid w:val="00B21BA9"/>
    <w:rsid w:val="00B226B0"/>
    <w:rsid w:val="00B22B2D"/>
    <w:rsid w:val="00B22DB9"/>
    <w:rsid w:val="00B22F30"/>
    <w:rsid w:val="00B23398"/>
    <w:rsid w:val="00B23818"/>
    <w:rsid w:val="00B23BD5"/>
    <w:rsid w:val="00B23C12"/>
    <w:rsid w:val="00B248B1"/>
    <w:rsid w:val="00B24C93"/>
    <w:rsid w:val="00B24C94"/>
    <w:rsid w:val="00B2558F"/>
    <w:rsid w:val="00B25A99"/>
    <w:rsid w:val="00B25ADD"/>
    <w:rsid w:val="00B26CA7"/>
    <w:rsid w:val="00B26EA9"/>
    <w:rsid w:val="00B302F9"/>
    <w:rsid w:val="00B30323"/>
    <w:rsid w:val="00B3059E"/>
    <w:rsid w:val="00B30613"/>
    <w:rsid w:val="00B30B41"/>
    <w:rsid w:val="00B3143B"/>
    <w:rsid w:val="00B31470"/>
    <w:rsid w:val="00B31C0A"/>
    <w:rsid w:val="00B31CAF"/>
    <w:rsid w:val="00B31E01"/>
    <w:rsid w:val="00B322BB"/>
    <w:rsid w:val="00B32C30"/>
    <w:rsid w:val="00B33FE9"/>
    <w:rsid w:val="00B34076"/>
    <w:rsid w:val="00B3425B"/>
    <w:rsid w:val="00B34639"/>
    <w:rsid w:val="00B34795"/>
    <w:rsid w:val="00B34905"/>
    <w:rsid w:val="00B34D52"/>
    <w:rsid w:val="00B34F9C"/>
    <w:rsid w:val="00B34FC6"/>
    <w:rsid w:val="00B35A8C"/>
    <w:rsid w:val="00B35C5D"/>
    <w:rsid w:val="00B35C67"/>
    <w:rsid w:val="00B36041"/>
    <w:rsid w:val="00B364A9"/>
    <w:rsid w:val="00B364AF"/>
    <w:rsid w:val="00B365C1"/>
    <w:rsid w:val="00B36AC9"/>
    <w:rsid w:val="00B36E0D"/>
    <w:rsid w:val="00B37000"/>
    <w:rsid w:val="00B370D4"/>
    <w:rsid w:val="00B3717D"/>
    <w:rsid w:val="00B371A6"/>
    <w:rsid w:val="00B371BB"/>
    <w:rsid w:val="00B37D19"/>
    <w:rsid w:val="00B37DBF"/>
    <w:rsid w:val="00B37E2F"/>
    <w:rsid w:val="00B4018C"/>
    <w:rsid w:val="00B401B3"/>
    <w:rsid w:val="00B401CD"/>
    <w:rsid w:val="00B40607"/>
    <w:rsid w:val="00B409EA"/>
    <w:rsid w:val="00B41B05"/>
    <w:rsid w:val="00B41D53"/>
    <w:rsid w:val="00B41DEB"/>
    <w:rsid w:val="00B41F8F"/>
    <w:rsid w:val="00B42159"/>
    <w:rsid w:val="00B425AC"/>
    <w:rsid w:val="00B43061"/>
    <w:rsid w:val="00B4318D"/>
    <w:rsid w:val="00B4318E"/>
    <w:rsid w:val="00B432E2"/>
    <w:rsid w:val="00B43423"/>
    <w:rsid w:val="00B43CE2"/>
    <w:rsid w:val="00B43D06"/>
    <w:rsid w:val="00B43F46"/>
    <w:rsid w:val="00B44FA4"/>
    <w:rsid w:val="00B450F1"/>
    <w:rsid w:val="00B45323"/>
    <w:rsid w:val="00B45778"/>
    <w:rsid w:val="00B45BE5"/>
    <w:rsid w:val="00B45C5A"/>
    <w:rsid w:val="00B461E6"/>
    <w:rsid w:val="00B46AC7"/>
    <w:rsid w:val="00B46AF3"/>
    <w:rsid w:val="00B46E4F"/>
    <w:rsid w:val="00B47418"/>
    <w:rsid w:val="00B47B1D"/>
    <w:rsid w:val="00B50333"/>
    <w:rsid w:val="00B50861"/>
    <w:rsid w:val="00B515BA"/>
    <w:rsid w:val="00B5244C"/>
    <w:rsid w:val="00B52BE2"/>
    <w:rsid w:val="00B532DB"/>
    <w:rsid w:val="00B533E3"/>
    <w:rsid w:val="00B53A93"/>
    <w:rsid w:val="00B53B50"/>
    <w:rsid w:val="00B53B99"/>
    <w:rsid w:val="00B53CFD"/>
    <w:rsid w:val="00B53FE4"/>
    <w:rsid w:val="00B54021"/>
    <w:rsid w:val="00B541FB"/>
    <w:rsid w:val="00B544C0"/>
    <w:rsid w:val="00B54A79"/>
    <w:rsid w:val="00B54B84"/>
    <w:rsid w:val="00B54CE2"/>
    <w:rsid w:val="00B54F00"/>
    <w:rsid w:val="00B551F4"/>
    <w:rsid w:val="00B55DE2"/>
    <w:rsid w:val="00B55F32"/>
    <w:rsid w:val="00B563FC"/>
    <w:rsid w:val="00B56741"/>
    <w:rsid w:val="00B56AEE"/>
    <w:rsid w:val="00B56BD5"/>
    <w:rsid w:val="00B5712F"/>
    <w:rsid w:val="00B57372"/>
    <w:rsid w:val="00B5789E"/>
    <w:rsid w:val="00B57E5E"/>
    <w:rsid w:val="00B57FA6"/>
    <w:rsid w:val="00B603EA"/>
    <w:rsid w:val="00B60943"/>
    <w:rsid w:val="00B60C22"/>
    <w:rsid w:val="00B60D32"/>
    <w:rsid w:val="00B613EC"/>
    <w:rsid w:val="00B614A7"/>
    <w:rsid w:val="00B61E7B"/>
    <w:rsid w:val="00B61F5A"/>
    <w:rsid w:val="00B625A8"/>
    <w:rsid w:val="00B62EED"/>
    <w:rsid w:val="00B62FB0"/>
    <w:rsid w:val="00B63832"/>
    <w:rsid w:val="00B64692"/>
    <w:rsid w:val="00B6478F"/>
    <w:rsid w:val="00B6540A"/>
    <w:rsid w:val="00B65E5E"/>
    <w:rsid w:val="00B6614C"/>
    <w:rsid w:val="00B6637A"/>
    <w:rsid w:val="00B66B05"/>
    <w:rsid w:val="00B66B66"/>
    <w:rsid w:val="00B675E9"/>
    <w:rsid w:val="00B7017C"/>
    <w:rsid w:val="00B70821"/>
    <w:rsid w:val="00B729E7"/>
    <w:rsid w:val="00B72EE5"/>
    <w:rsid w:val="00B72F00"/>
    <w:rsid w:val="00B72F4A"/>
    <w:rsid w:val="00B749AF"/>
    <w:rsid w:val="00B751B7"/>
    <w:rsid w:val="00B751BD"/>
    <w:rsid w:val="00B75430"/>
    <w:rsid w:val="00B754C9"/>
    <w:rsid w:val="00B75827"/>
    <w:rsid w:val="00B75EE1"/>
    <w:rsid w:val="00B75F28"/>
    <w:rsid w:val="00B75F6C"/>
    <w:rsid w:val="00B75F8E"/>
    <w:rsid w:val="00B764E6"/>
    <w:rsid w:val="00B768F8"/>
    <w:rsid w:val="00B769B9"/>
    <w:rsid w:val="00B76B7F"/>
    <w:rsid w:val="00B77110"/>
    <w:rsid w:val="00B77B96"/>
    <w:rsid w:val="00B77EDA"/>
    <w:rsid w:val="00B800C4"/>
    <w:rsid w:val="00B807AE"/>
    <w:rsid w:val="00B80CF6"/>
    <w:rsid w:val="00B81032"/>
    <w:rsid w:val="00B8160A"/>
    <w:rsid w:val="00B816E8"/>
    <w:rsid w:val="00B819A8"/>
    <w:rsid w:val="00B81DC5"/>
    <w:rsid w:val="00B81E2F"/>
    <w:rsid w:val="00B81F16"/>
    <w:rsid w:val="00B83127"/>
    <w:rsid w:val="00B831DF"/>
    <w:rsid w:val="00B832B2"/>
    <w:rsid w:val="00B8399E"/>
    <w:rsid w:val="00B83CA2"/>
    <w:rsid w:val="00B83D30"/>
    <w:rsid w:val="00B83D65"/>
    <w:rsid w:val="00B8408C"/>
    <w:rsid w:val="00B8528E"/>
    <w:rsid w:val="00B85571"/>
    <w:rsid w:val="00B859BF"/>
    <w:rsid w:val="00B85A77"/>
    <w:rsid w:val="00B867DC"/>
    <w:rsid w:val="00B86E29"/>
    <w:rsid w:val="00B874C3"/>
    <w:rsid w:val="00B8794F"/>
    <w:rsid w:val="00B87DEE"/>
    <w:rsid w:val="00B90116"/>
    <w:rsid w:val="00B907B6"/>
    <w:rsid w:val="00B90D7D"/>
    <w:rsid w:val="00B91413"/>
    <w:rsid w:val="00B91453"/>
    <w:rsid w:val="00B920C6"/>
    <w:rsid w:val="00B92BBD"/>
    <w:rsid w:val="00B92D39"/>
    <w:rsid w:val="00B93941"/>
    <w:rsid w:val="00B93ACF"/>
    <w:rsid w:val="00B93CF3"/>
    <w:rsid w:val="00B93E2A"/>
    <w:rsid w:val="00B93EBD"/>
    <w:rsid w:val="00B941AF"/>
    <w:rsid w:val="00B9479F"/>
    <w:rsid w:val="00B94A0A"/>
    <w:rsid w:val="00B94C3D"/>
    <w:rsid w:val="00B94E60"/>
    <w:rsid w:val="00B9517D"/>
    <w:rsid w:val="00B955E6"/>
    <w:rsid w:val="00B95E7C"/>
    <w:rsid w:val="00B96046"/>
    <w:rsid w:val="00B967E6"/>
    <w:rsid w:val="00B969CA"/>
    <w:rsid w:val="00B9729D"/>
    <w:rsid w:val="00B97643"/>
    <w:rsid w:val="00B97B12"/>
    <w:rsid w:val="00B97E0D"/>
    <w:rsid w:val="00B97E5A"/>
    <w:rsid w:val="00B97EF5"/>
    <w:rsid w:val="00BA0147"/>
    <w:rsid w:val="00BA03A3"/>
    <w:rsid w:val="00BA0693"/>
    <w:rsid w:val="00BA0875"/>
    <w:rsid w:val="00BA10CC"/>
    <w:rsid w:val="00BA14B0"/>
    <w:rsid w:val="00BA230E"/>
    <w:rsid w:val="00BA2365"/>
    <w:rsid w:val="00BA25A6"/>
    <w:rsid w:val="00BA2C99"/>
    <w:rsid w:val="00BA2CB2"/>
    <w:rsid w:val="00BA4440"/>
    <w:rsid w:val="00BA4A6C"/>
    <w:rsid w:val="00BA4B3A"/>
    <w:rsid w:val="00BA4CE8"/>
    <w:rsid w:val="00BA4E1D"/>
    <w:rsid w:val="00BA513A"/>
    <w:rsid w:val="00BA5AA9"/>
    <w:rsid w:val="00BA5C81"/>
    <w:rsid w:val="00BA601D"/>
    <w:rsid w:val="00BA6117"/>
    <w:rsid w:val="00BA6D6E"/>
    <w:rsid w:val="00BB0FFA"/>
    <w:rsid w:val="00BB135D"/>
    <w:rsid w:val="00BB19E8"/>
    <w:rsid w:val="00BB1CCD"/>
    <w:rsid w:val="00BB2250"/>
    <w:rsid w:val="00BB2413"/>
    <w:rsid w:val="00BB262D"/>
    <w:rsid w:val="00BB3174"/>
    <w:rsid w:val="00BB3B4C"/>
    <w:rsid w:val="00BB4201"/>
    <w:rsid w:val="00BB43F8"/>
    <w:rsid w:val="00BB4ADD"/>
    <w:rsid w:val="00BB4DAB"/>
    <w:rsid w:val="00BB4E22"/>
    <w:rsid w:val="00BB4F80"/>
    <w:rsid w:val="00BB5222"/>
    <w:rsid w:val="00BB5FD1"/>
    <w:rsid w:val="00BB612E"/>
    <w:rsid w:val="00BB6737"/>
    <w:rsid w:val="00BB69C9"/>
    <w:rsid w:val="00BB6B1F"/>
    <w:rsid w:val="00BB7242"/>
    <w:rsid w:val="00BB7AC2"/>
    <w:rsid w:val="00BB7C1D"/>
    <w:rsid w:val="00BB7E1A"/>
    <w:rsid w:val="00BC09B1"/>
    <w:rsid w:val="00BC1656"/>
    <w:rsid w:val="00BC17DE"/>
    <w:rsid w:val="00BC1B31"/>
    <w:rsid w:val="00BC1B7F"/>
    <w:rsid w:val="00BC235D"/>
    <w:rsid w:val="00BC249D"/>
    <w:rsid w:val="00BC2819"/>
    <w:rsid w:val="00BC2E66"/>
    <w:rsid w:val="00BC3791"/>
    <w:rsid w:val="00BC393D"/>
    <w:rsid w:val="00BC3EC2"/>
    <w:rsid w:val="00BC4056"/>
    <w:rsid w:val="00BC43FD"/>
    <w:rsid w:val="00BC45E5"/>
    <w:rsid w:val="00BC4B0D"/>
    <w:rsid w:val="00BC5BF1"/>
    <w:rsid w:val="00BC6757"/>
    <w:rsid w:val="00BC685C"/>
    <w:rsid w:val="00BC7356"/>
    <w:rsid w:val="00BC77EE"/>
    <w:rsid w:val="00BC79A2"/>
    <w:rsid w:val="00BC7C71"/>
    <w:rsid w:val="00BD064D"/>
    <w:rsid w:val="00BD0A5B"/>
    <w:rsid w:val="00BD0CBA"/>
    <w:rsid w:val="00BD0D08"/>
    <w:rsid w:val="00BD0DDD"/>
    <w:rsid w:val="00BD2154"/>
    <w:rsid w:val="00BD21DE"/>
    <w:rsid w:val="00BD2348"/>
    <w:rsid w:val="00BD23B3"/>
    <w:rsid w:val="00BD2E0C"/>
    <w:rsid w:val="00BD3363"/>
    <w:rsid w:val="00BD3B2E"/>
    <w:rsid w:val="00BD3F60"/>
    <w:rsid w:val="00BD40D0"/>
    <w:rsid w:val="00BD4648"/>
    <w:rsid w:val="00BD4794"/>
    <w:rsid w:val="00BD4D04"/>
    <w:rsid w:val="00BD5032"/>
    <w:rsid w:val="00BD503A"/>
    <w:rsid w:val="00BD5668"/>
    <w:rsid w:val="00BD5B68"/>
    <w:rsid w:val="00BD5ED6"/>
    <w:rsid w:val="00BD6320"/>
    <w:rsid w:val="00BD6CEB"/>
    <w:rsid w:val="00BD7CF8"/>
    <w:rsid w:val="00BE0008"/>
    <w:rsid w:val="00BE02D4"/>
    <w:rsid w:val="00BE04AF"/>
    <w:rsid w:val="00BE069F"/>
    <w:rsid w:val="00BE06EA"/>
    <w:rsid w:val="00BE0814"/>
    <w:rsid w:val="00BE0A55"/>
    <w:rsid w:val="00BE0C49"/>
    <w:rsid w:val="00BE0E10"/>
    <w:rsid w:val="00BE0F59"/>
    <w:rsid w:val="00BE1098"/>
    <w:rsid w:val="00BE18A8"/>
    <w:rsid w:val="00BE19D2"/>
    <w:rsid w:val="00BE1EF7"/>
    <w:rsid w:val="00BE2079"/>
    <w:rsid w:val="00BE27A5"/>
    <w:rsid w:val="00BE2B39"/>
    <w:rsid w:val="00BE2EC8"/>
    <w:rsid w:val="00BE3A7F"/>
    <w:rsid w:val="00BE3AD6"/>
    <w:rsid w:val="00BE3B59"/>
    <w:rsid w:val="00BE3D0A"/>
    <w:rsid w:val="00BE3D4E"/>
    <w:rsid w:val="00BE4957"/>
    <w:rsid w:val="00BE4B19"/>
    <w:rsid w:val="00BE4F06"/>
    <w:rsid w:val="00BE4F7A"/>
    <w:rsid w:val="00BE57AB"/>
    <w:rsid w:val="00BE589A"/>
    <w:rsid w:val="00BE598E"/>
    <w:rsid w:val="00BE59A1"/>
    <w:rsid w:val="00BE5CBA"/>
    <w:rsid w:val="00BE5E23"/>
    <w:rsid w:val="00BE5E38"/>
    <w:rsid w:val="00BE5E7A"/>
    <w:rsid w:val="00BE641A"/>
    <w:rsid w:val="00BE6982"/>
    <w:rsid w:val="00BE6B0A"/>
    <w:rsid w:val="00BE731E"/>
    <w:rsid w:val="00BE7512"/>
    <w:rsid w:val="00BE7F4F"/>
    <w:rsid w:val="00BF0456"/>
    <w:rsid w:val="00BF090D"/>
    <w:rsid w:val="00BF0A34"/>
    <w:rsid w:val="00BF0A85"/>
    <w:rsid w:val="00BF11B4"/>
    <w:rsid w:val="00BF1672"/>
    <w:rsid w:val="00BF16B8"/>
    <w:rsid w:val="00BF1C6C"/>
    <w:rsid w:val="00BF1CCA"/>
    <w:rsid w:val="00BF20C6"/>
    <w:rsid w:val="00BF260A"/>
    <w:rsid w:val="00BF26D3"/>
    <w:rsid w:val="00BF2F32"/>
    <w:rsid w:val="00BF359F"/>
    <w:rsid w:val="00BF3911"/>
    <w:rsid w:val="00BF438C"/>
    <w:rsid w:val="00BF4435"/>
    <w:rsid w:val="00BF4655"/>
    <w:rsid w:val="00BF4724"/>
    <w:rsid w:val="00BF49D4"/>
    <w:rsid w:val="00BF636E"/>
    <w:rsid w:val="00BF6C5A"/>
    <w:rsid w:val="00BF75B8"/>
    <w:rsid w:val="00C0000D"/>
    <w:rsid w:val="00C0014A"/>
    <w:rsid w:val="00C002FB"/>
    <w:rsid w:val="00C00508"/>
    <w:rsid w:val="00C00621"/>
    <w:rsid w:val="00C00694"/>
    <w:rsid w:val="00C00DC3"/>
    <w:rsid w:val="00C0117B"/>
    <w:rsid w:val="00C011FD"/>
    <w:rsid w:val="00C017AB"/>
    <w:rsid w:val="00C017D6"/>
    <w:rsid w:val="00C01A19"/>
    <w:rsid w:val="00C0212E"/>
    <w:rsid w:val="00C02B39"/>
    <w:rsid w:val="00C02DB7"/>
    <w:rsid w:val="00C02FF7"/>
    <w:rsid w:val="00C034DB"/>
    <w:rsid w:val="00C037C4"/>
    <w:rsid w:val="00C03B0B"/>
    <w:rsid w:val="00C03FAF"/>
    <w:rsid w:val="00C040C7"/>
    <w:rsid w:val="00C048C2"/>
    <w:rsid w:val="00C04AD0"/>
    <w:rsid w:val="00C04FD3"/>
    <w:rsid w:val="00C0504D"/>
    <w:rsid w:val="00C050A3"/>
    <w:rsid w:val="00C0540B"/>
    <w:rsid w:val="00C05863"/>
    <w:rsid w:val="00C06044"/>
    <w:rsid w:val="00C06136"/>
    <w:rsid w:val="00C0625A"/>
    <w:rsid w:val="00C063AB"/>
    <w:rsid w:val="00C066F5"/>
    <w:rsid w:val="00C067B2"/>
    <w:rsid w:val="00C07875"/>
    <w:rsid w:val="00C10030"/>
    <w:rsid w:val="00C10308"/>
    <w:rsid w:val="00C10F4E"/>
    <w:rsid w:val="00C11032"/>
    <w:rsid w:val="00C113F4"/>
    <w:rsid w:val="00C11858"/>
    <w:rsid w:val="00C119B5"/>
    <w:rsid w:val="00C11C1E"/>
    <w:rsid w:val="00C11DFE"/>
    <w:rsid w:val="00C120F3"/>
    <w:rsid w:val="00C124E9"/>
    <w:rsid w:val="00C12D18"/>
    <w:rsid w:val="00C134FA"/>
    <w:rsid w:val="00C135C7"/>
    <w:rsid w:val="00C13C9A"/>
    <w:rsid w:val="00C13F83"/>
    <w:rsid w:val="00C14318"/>
    <w:rsid w:val="00C14AF6"/>
    <w:rsid w:val="00C168E2"/>
    <w:rsid w:val="00C16BBE"/>
    <w:rsid w:val="00C171ED"/>
    <w:rsid w:val="00C17566"/>
    <w:rsid w:val="00C17B0D"/>
    <w:rsid w:val="00C17E63"/>
    <w:rsid w:val="00C17ED0"/>
    <w:rsid w:val="00C20053"/>
    <w:rsid w:val="00C20491"/>
    <w:rsid w:val="00C20B9D"/>
    <w:rsid w:val="00C20C7A"/>
    <w:rsid w:val="00C20D18"/>
    <w:rsid w:val="00C210B1"/>
    <w:rsid w:val="00C2218A"/>
    <w:rsid w:val="00C22DD9"/>
    <w:rsid w:val="00C2315B"/>
    <w:rsid w:val="00C236EB"/>
    <w:rsid w:val="00C23C14"/>
    <w:rsid w:val="00C24149"/>
    <w:rsid w:val="00C2463A"/>
    <w:rsid w:val="00C24E62"/>
    <w:rsid w:val="00C25A05"/>
    <w:rsid w:val="00C25DB7"/>
    <w:rsid w:val="00C2603A"/>
    <w:rsid w:val="00C268D2"/>
    <w:rsid w:val="00C270AE"/>
    <w:rsid w:val="00C2748E"/>
    <w:rsid w:val="00C2784A"/>
    <w:rsid w:val="00C27DE0"/>
    <w:rsid w:val="00C30837"/>
    <w:rsid w:val="00C3162C"/>
    <w:rsid w:val="00C31BC1"/>
    <w:rsid w:val="00C31C2D"/>
    <w:rsid w:val="00C31FB5"/>
    <w:rsid w:val="00C3201A"/>
    <w:rsid w:val="00C32584"/>
    <w:rsid w:val="00C325C6"/>
    <w:rsid w:val="00C3276E"/>
    <w:rsid w:val="00C32E0A"/>
    <w:rsid w:val="00C32E42"/>
    <w:rsid w:val="00C340EA"/>
    <w:rsid w:val="00C343DF"/>
    <w:rsid w:val="00C3534C"/>
    <w:rsid w:val="00C35A9E"/>
    <w:rsid w:val="00C35F5D"/>
    <w:rsid w:val="00C3696A"/>
    <w:rsid w:val="00C36E2E"/>
    <w:rsid w:val="00C36EE2"/>
    <w:rsid w:val="00C377A9"/>
    <w:rsid w:val="00C37A05"/>
    <w:rsid w:val="00C400D1"/>
    <w:rsid w:val="00C403FD"/>
    <w:rsid w:val="00C40449"/>
    <w:rsid w:val="00C4081F"/>
    <w:rsid w:val="00C410CF"/>
    <w:rsid w:val="00C41109"/>
    <w:rsid w:val="00C41BFC"/>
    <w:rsid w:val="00C41F20"/>
    <w:rsid w:val="00C4269F"/>
    <w:rsid w:val="00C435EA"/>
    <w:rsid w:val="00C436B7"/>
    <w:rsid w:val="00C43797"/>
    <w:rsid w:val="00C43E00"/>
    <w:rsid w:val="00C43E03"/>
    <w:rsid w:val="00C43E7F"/>
    <w:rsid w:val="00C44896"/>
    <w:rsid w:val="00C44A7C"/>
    <w:rsid w:val="00C44AC8"/>
    <w:rsid w:val="00C44AE8"/>
    <w:rsid w:val="00C450AA"/>
    <w:rsid w:val="00C452AC"/>
    <w:rsid w:val="00C45C16"/>
    <w:rsid w:val="00C45E80"/>
    <w:rsid w:val="00C45F6E"/>
    <w:rsid w:val="00C46808"/>
    <w:rsid w:val="00C46847"/>
    <w:rsid w:val="00C46E77"/>
    <w:rsid w:val="00C479F3"/>
    <w:rsid w:val="00C47FF8"/>
    <w:rsid w:val="00C50149"/>
    <w:rsid w:val="00C503DD"/>
    <w:rsid w:val="00C50ACB"/>
    <w:rsid w:val="00C51715"/>
    <w:rsid w:val="00C52201"/>
    <w:rsid w:val="00C5237F"/>
    <w:rsid w:val="00C52757"/>
    <w:rsid w:val="00C52765"/>
    <w:rsid w:val="00C5308D"/>
    <w:rsid w:val="00C53B72"/>
    <w:rsid w:val="00C53BB2"/>
    <w:rsid w:val="00C53E28"/>
    <w:rsid w:val="00C53E6D"/>
    <w:rsid w:val="00C54AA6"/>
    <w:rsid w:val="00C55616"/>
    <w:rsid w:val="00C5593E"/>
    <w:rsid w:val="00C55AF6"/>
    <w:rsid w:val="00C562C6"/>
    <w:rsid w:val="00C56D01"/>
    <w:rsid w:val="00C57997"/>
    <w:rsid w:val="00C60002"/>
    <w:rsid w:val="00C6053F"/>
    <w:rsid w:val="00C60615"/>
    <w:rsid w:val="00C6092B"/>
    <w:rsid w:val="00C61189"/>
    <w:rsid w:val="00C6150F"/>
    <w:rsid w:val="00C6152B"/>
    <w:rsid w:val="00C61A61"/>
    <w:rsid w:val="00C622B7"/>
    <w:rsid w:val="00C623E3"/>
    <w:rsid w:val="00C6264B"/>
    <w:rsid w:val="00C63189"/>
    <w:rsid w:val="00C6352A"/>
    <w:rsid w:val="00C6397D"/>
    <w:rsid w:val="00C63AE5"/>
    <w:rsid w:val="00C63C1E"/>
    <w:rsid w:val="00C63CF1"/>
    <w:rsid w:val="00C63E1C"/>
    <w:rsid w:val="00C643FA"/>
    <w:rsid w:val="00C644A1"/>
    <w:rsid w:val="00C648B5"/>
    <w:rsid w:val="00C66140"/>
    <w:rsid w:val="00C671E9"/>
    <w:rsid w:val="00C674B8"/>
    <w:rsid w:val="00C67ADA"/>
    <w:rsid w:val="00C67E63"/>
    <w:rsid w:val="00C70C9D"/>
    <w:rsid w:val="00C70CBC"/>
    <w:rsid w:val="00C722DE"/>
    <w:rsid w:val="00C725B6"/>
    <w:rsid w:val="00C72F3A"/>
    <w:rsid w:val="00C72F92"/>
    <w:rsid w:val="00C7358C"/>
    <w:rsid w:val="00C73B50"/>
    <w:rsid w:val="00C73B53"/>
    <w:rsid w:val="00C74E25"/>
    <w:rsid w:val="00C75AA9"/>
    <w:rsid w:val="00C7600F"/>
    <w:rsid w:val="00C7639D"/>
    <w:rsid w:val="00C76451"/>
    <w:rsid w:val="00C76C5A"/>
    <w:rsid w:val="00C76D4B"/>
    <w:rsid w:val="00C76E3F"/>
    <w:rsid w:val="00C77096"/>
    <w:rsid w:val="00C7728C"/>
    <w:rsid w:val="00C77332"/>
    <w:rsid w:val="00C8086D"/>
    <w:rsid w:val="00C80980"/>
    <w:rsid w:val="00C80B98"/>
    <w:rsid w:val="00C80D7D"/>
    <w:rsid w:val="00C80DBA"/>
    <w:rsid w:val="00C80E89"/>
    <w:rsid w:val="00C80E93"/>
    <w:rsid w:val="00C815DA"/>
    <w:rsid w:val="00C81A04"/>
    <w:rsid w:val="00C81D70"/>
    <w:rsid w:val="00C81F28"/>
    <w:rsid w:val="00C82087"/>
    <w:rsid w:val="00C83706"/>
    <w:rsid w:val="00C83C61"/>
    <w:rsid w:val="00C83D0A"/>
    <w:rsid w:val="00C83E29"/>
    <w:rsid w:val="00C83EBC"/>
    <w:rsid w:val="00C843D5"/>
    <w:rsid w:val="00C8485F"/>
    <w:rsid w:val="00C84B76"/>
    <w:rsid w:val="00C84E1F"/>
    <w:rsid w:val="00C85108"/>
    <w:rsid w:val="00C85283"/>
    <w:rsid w:val="00C856AA"/>
    <w:rsid w:val="00C859D5"/>
    <w:rsid w:val="00C867AD"/>
    <w:rsid w:val="00C86D2A"/>
    <w:rsid w:val="00C86F50"/>
    <w:rsid w:val="00C87048"/>
    <w:rsid w:val="00C870F6"/>
    <w:rsid w:val="00C87FE5"/>
    <w:rsid w:val="00C9032C"/>
    <w:rsid w:val="00C90579"/>
    <w:rsid w:val="00C90BF6"/>
    <w:rsid w:val="00C90CC2"/>
    <w:rsid w:val="00C919E0"/>
    <w:rsid w:val="00C91F2B"/>
    <w:rsid w:val="00C92148"/>
    <w:rsid w:val="00C921E9"/>
    <w:rsid w:val="00C92929"/>
    <w:rsid w:val="00C92BD9"/>
    <w:rsid w:val="00C931A5"/>
    <w:rsid w:val="00C935B2"/>
    <w:rsid w:val="00C936A2"/>
    <w:rsid w:val="00C93C28"/>
    <w:rsid w:val="00C93CC6"/>
    <w:rsid w:val="00C93D87"/>
    <w:rsid w:val="00C944AB"/>
    <w:rsid w:val="00C94A1C"/>
    <w:rsid w:val="00C94B22"/>
    <w:rsid w:val="00C94CB3"/>
    <w:rsid w:val="00C951AF"/>
    <w:rsid w:val="00C953B9"/>
    <w:rsid w:val="00C953DE"/>
    <w:rsid w:val="00C954E1"/>
    <w:rsid w:val="00C9556B"/>
    <w:rsid w:val="00C956DF"/>
    <w:rsid w:val="00C96004"/>
    <w:rsid w:val="00C96033"/>
    <w:rsid w:val="00C969A7"/>
    <w:rsid w:val="00C96F08"/>
    <w:rsid w:val="00C97011"/>
    <w:rsid w:val="00C9725B"/>
    <w:rsid w:val="00C97290"/>
    <w:rsid w:val="00C97537"/>
    <w:rsid w:val="00C97A6E"/>
    <w:rsid w:val="00C97E9A"/>
    <w:rsid w:val="00CA000D"/>
    <w:rsid w:val="00CA142E"/>
    <w:rsid w:val="00CA1453"/>
    <w:rsid w:val="00CA1C02"/>
    <w:rsid w:val="00CA1C69"/>
    <w:rsid w:val="00CA1CC8"/>
    <w:rsid w:val="00CA2066"/>
    <w:rsid w:val="00CA20C2"/>
    <w:rsid w:val="00CA216C"/>
    <w:rsid w:val="00CA223C"/>
    <w:rsid w:val="00CA260E"/>
    <w:rsid w:val="00CA2DE5"/>
    <w:rsid w:val="00CA332C"/>
    <w:rsid w:val="00CA348B"/>
    <w:rsid w:val="00CA38DA"/>
    <w:rsid w:val="00CA3B20"/>
    <w:rsid w:val="00CA3BF2"/>
    <w:rsid w:val="00CA4BD2"/>
    <w:rsid w:val="00CA5074"/>
    <w:rsid w:val="00CA5391"/>
    <w:rsid w:val="00CA5402"/>
    <w:rsid w:val="00CA56D3"/>
    <w:rsid w:val="00CA56D6"/>
    <w:rsid w:val="00CA5714"/>
    <w:rsid w:val="00CA5C11"/>
    <w:rsid w:val="00CA640D"/>
    <w:rsid w:val="00CA662A"/>
    <w:rsid w:val="00CA69A0"/>
    <w:rsid w:val="00CA6FAF"/>
    <w:rsid w:val="00CA9965"/>
    <w:rsid w:val="00CB04AF"/>
    <w:rsid w:val="00CB07A5"/>
    <w:rsid w:val="00CB0B6B"/>
    <w:rsid w:val="00CB0EBB"/>
    <w:rsid w:val="00CB14CB"/>
    <w:rsid w:val="00CB1960"/>
    <w:rsid w:val="00CB1DCF"/>
    <w:rsid w:val="00CB24F8"/>
    <w:rsid w:val="00CB268E"/>
    <w:rsid w:val="00CB2C30"/>
    <w:rsid w:val="00CB2CCE"/>
    <w:rsid w:val="00CB2E44"/>
    <w:rsid w:val="00CB3566"/>
    <w:rsid w:val="00CB39E3"/>
    <w:rsid w:val="00CB3DBA"/>
    <w:rsid w:val="00CB4465"/>
    <w:rsid w:val="00CB4639"/>
    <w:rsid w:val="00CB463D"/>
    <w:rsid w:val="00CB56D3"/>
    <w:rsid w:val="00CB59A8"/>
    <w:rsid w:val="00CB5BC7"/>
    <w:rsid w:val="00CB5C58"/>
    <w:rsid w:val="00CB629D"/>
    <w:rsid w:val="00CB674D"/>
    <w:rsid w:val="00CB6D80"/>
    <w:rsid w:val="00CB6F13"/>
    <w:rsid w:val="00CB7131"/>
    <w:rsid w:val="00CB72CE"/>
    <w:rsid w:val="00CB74B6"/>
    <w:rsid w:val="00CB7724"/>
    <w:rsid w:val="00CC0019"/>
    <w:rsid w:val="00CC00EE"/>
    <w:rsid w:val="00CC036A"/>
    <w:rsid w:val="00CC0920"/>
    <w:rsid w:val="00CC0AE5"/>
    <w:rsid w:val="00CC0B21"/>
    <w:rsid w:val="00CC0B36"/>
    <w:rsid w:val="00CC0C80"/>
    <w:rsid w:val="00CC0E73"/>
    <w:rsid w:val="00CC1315"/>
    <w:rsid w:val="00CC1B42"/>
    <w:rsid w:val="00CC1B65"/>
    <w:rsid w:val="00CC202C"/>
    <w:rsid w:val="00CC212F"/>
    <w:rsid w:val="00CC2408"/>
    <w:rsid w:val="00CC24AE"/>
    <w:rsid w:val="00CC2A4D"/>
    <w:rsid w:val="00CC3059"/>
    <w:rsid w:val="00CC3A97"/>
    <w:rsid w:val="00CC4166"/>
    <w:rsid w:val="00CC428F"/>
    <w:rsid w:val="00CC5677"/>
    <w:rsid w:val="00CC56EA"/>
    <w:rsid w:val="00CC5B22"/>
    <w:rsid w:val="00CC618D"/>
    <w:rsid w:val="00CC6B84"/>
    <w:rsid w:val="00CC750B"/>
    <w:rsid w:val="00CC75AA"/>
    <w:rsid w:val="00CC7818"/>
    <w:rsid w:val="00CC7B6A"/>
    <w:rsid w:val="00CD09F1"/>
    <w:rsid w:val="00CD0CBC"/>
    <w:rsid w:val="00CD1313"/>
    <w:rsid w:val="00CD18C7"/>
    <w:rsid w:val="00CD3114"/>
    <w:rsid w:val="00CD346F"/>
    <w:rsid w:val="00CD43A1"/>
    <w:rsid w:val="00CD4937"/>
    <w:rsid w:val="00CD49CB"/>
    <w:rsid w:val="00CD5720"/>
    <w:rsid w:val="00CD6062"/>
    <w:rsid w:val="00CD6261"/>
    <w:rsid w:val="00CD653C"/>
    <w:rsid w:val="00CD6578"/>
    <w:rsid w:val="00CD6B3E"/>
    <w:rsid w:val="00CD722A"/>
    <w:rsid w:val="00CD75AF"/>
    <w:rsid w:val="00CD7DDD"/>
    <w:rsid w:val="00CE03A7"/>
    <w:rsid w:val="00CE0B89"/>
    <w:rsid w:val="00CE105D"/>
    <w:rsid w:val="00CE10A4"/>
    <w:rsid w:val="00CE14E0"/>
    <w:rsid w:val="00CE153A"/>
    <w:rsid w:val="00CE16C5"/>
    <w:rsid w:val="00CE177E"/>
    <w:rsid w:val="00CE1AB1"/>
    <w:rsid w:val="00CE2083"/>
    <w:rsid w:val="00CE25E6"/>
    <w:rsid w:val="00CE282A"/>
    <w:rsid w:val="00CE2EE7"/>
    <w:rsid w:val="00CE2FFA"/>
    <w:rsid w:val="00CE39A8"/>
    <w:rsid w:val="00CE3E18"/>
    <w:rsid w:val="00CE417E"/>
    <w:rsid w:val="00CE42F7"/>
    <w:rsid w:val="00CE432F"/>
    <w:rsid w:val="00CE447E"/>
    <w:rsid w:val="00CE45DC"/>
    <w:rsid w:val="00CE4783"/>
    <w:rsid w:val="00CE4F72"/>
    <w:rsid w:val="00CE5673"/>
    <w:rsid w:val="00CE5C3B"/>
    <w:rsid w:val="00CE5C40"/>
    <w:rsid w:val="00CE5C5C"/>
    <w:rsid w:val="00CE5F49"/>
    <w:rsid w:val="00CE64AB"/>
    <w:rsid w:val="00CE6733"/>
    <w:rsid w:val="00CE6770"/>
    <w:rsid w:val="00CE7623"/>
    <w:rsid w:val="00CE789B"/>
    <w:rsid w:val="00CE7DA1"/>
    <w:rsid w:val="00CE7EFC"/>
    <w:rsid w:val="00CF00AD"/>
    <w:rsid w:val="00CF0194"/>
    <w:rsid w:val="00CF06F0"/>
    <w:rsid w:val="00CF08CB"/>
    <w:rsid w:val="00CF0BB7"/>
    <w:rsid w:val="00CF0F21"/>
    <w:rsid w:val="00CF144E"/>
    <w:rsid w:val="00CF14ED"/>
    <w:rsid w:val="00CF1A59"/>
    <w:rsid w:val="00CF1E12"/>
    <w:rsid w:val="00CF217D"/>
    <w:rsid w:val="00CF2760"/>
    <w:rsid w:val="00CF285D"/>
    <w:rsid w:val="00CF2D53"/>
    <w:rsid w:val="00CF3574"/>
    <w:rsid w:val="00CF35CC"/>
    <w:rsid w:val="00CF3A0E"/>
    <w:rsid w:val="00CF3A66"/>
    <w:rsid w:val="00CF3D49"/>
    <w:rsid w:val="00CF45BD"/>
    <w:rsid w:val="00CF4EE6"/>
    <w:rsid w:val="00CF525E"/>
    <w:rsid w:val="00CF55E2"/>
    <w:rsid w:val="00CF590D"/>
    <w:rsid w:val="00CF5A0F"/>
    <w:rsid w:val="00CF60FF"/>
    <w:rsid w:val="00CF61D3"/>
    <w:rsid w:val="00CF632A"/>
    <w:rsid w:val="00CF65F0"/>
    <w:rsid w:val="00CF690B"/>
    <w:rsid w:val="00CF6FF8"/>
    <w:rsid w:val="00CF719C"/>
    <w:rsid w:val="00CF72D3"/>
    <w:rsid w:val="00CF7755"/>
    <w:rsid w:val="00CF77B5"/>
    <w:rsid w:val="00CF7CFD"/>
    <w:rsid w:val="00CFBC8E"/>
    <w:rsid w:val="00D001A3"/>
    <w:rsid w:val="00D00404"/>
    <w:rsid w:val="00D011D6"/>
    <w:rsid w:val="00D01850"/>
    <w:rsid w:val="00D0199D"/>
    <w:rsid w:val="00D01A7A"/>
    <w:rsid w:val="00D01FC3"/>
    <w:rsid w:val="00D030D3"/>
    <w:rsid w:val="00D033D7"/>
    <w:rsid w:val="00D03C54"/>
    <w:rsid w:val="00D03ED8"/>
    <w:rsid w:val="00D03EE1"/>
    <w:rsid w:val="00D043FB"/>
    <w:rsid w:val="00D04CCE"/>
    <w:rsid w:val="00D051DF"/>
    <w:rsid w:val="00D0564C"/>
    <w:rsid w:val="00D056FE"/>
    <w:rsid w:val="00D05CB2"/>
    <w:rsid w:val="00D06582"/>
    <w:rsid w:val="00D070E2"/>
    <w:rsid w:val="00D0776E"/>
    <w:rsid w:val="00D07B99"/>
    <w:rsid w:val="00D07C7D"/>
    <w:rsid w:val="00D07E2A"/>
    <w:rsid w:val="00D10354"/>
    <w:rsid w:val="00D10610"/>
    <w:rsid w:val="00D10BF2"/>
    <w:rsid w:val="00D10F31"/>
    <w:rsid w:val="00D11831"/>
    <w:rsid w:val="00D123C4"/>
    <w:rsid w:val="00D124FE"/>
    <w:rsid w:val="00D1257D"/>
    <w:rsid w:val="00D12633"/>
    <w:rsid w:val="00D1283B"/>
    <w:rsid w:val="00D12DEB"/>
    <w:rsid w:val="00D12F6D"/>
    <w:rsid w:val="00D133CD"/>
    <w:rsid w:val="00D13564"/>
    <w:rsid w:val="00D13575"/>
    <w:rsid w:val="00D136B3"/>
    <w:rsid w:val="00D13C70"/>
    <w:rsid w:val="00D13D6F"/>
    <w:rsid w:val="00D13EC0"/>
    <w:rsid w:val="00D141C0"/>
    <w:rsid w:val="00D14292"/>
    <w:rsid w:val="00D1432A"/>
    <w:rsid w:val="00D1459A"/>
    <w:rsid w:val="00D15311"/>
    <w:rsid w:val="00D157F6"/>
    <w:rsid w:val="00D15936"/>
    <w:rsid w:val="00D159E2"/>
    <w:rsid w:val="00D15E59"/>
    <w:rsid w:val="00D15F59"/>
    <w:rsid w:val="00D1723D"/>
    <w:rsid w:val="00D17D5C"/>
    <w:rsid w:val="00D17E12"/>
    <w:rsid w:val="00D2008E"/>
    <w:rsid w:val="00D20672"/>
    <w:rsid w:val="00D210D6"/>
    <w:rsid w:val="00D216BC"/>
    <w:rsid w:val="00D21897"/>
    <w:rsid w:val="00D2192D"/>
    <w:rsid w:val="00D21ACF"/>
    <w:rsid w:val="00D21BD3"/>
    <w:rsid w:val="00D21DFC"/>
    <w:rsid w:val="00D21FE9"/>
    <w:rsid w:val="00D22400"/>
    <w:rsid w:val="00D22539"/>
    <w:rsid w:val="00D22551"/>
    <w:rsid w:val="00D22A92"/>
    <w:rsid w:val="00D22D41"/>
    <w:rsid w:val="00D22F3A"/>
    <w:rsid w:val="00D23108"/>
    <w:rsid w:val="00D232F0"/>
    <w:rsid w:val="00D23536"/>
    <w:rsid w:val="00D23CCF"/>
    <w:rsid w:val="00D23CED"/>
    <w:rsid w:val="00D24008"/>
    <w:rsid w:val="00D242ED"/>
    <w:rsid w:val="00D24570"/>
    <w:rsid w:val="00D2467E"/>
    <w:rsid w:val="00D24CC9"/>
    <w:rsid w:val="00D25028"/>
    <w:rsid w:val="00D25D46"/>
    <w:rsid w:val="00D26091"/>
    <w:rsid w:val="00D260E5"/>
    <w:rsid w:val="00D26CC5"/>
    <w:rsid w:val="00D26F16"/>
    <w:rsid w:val="00D30083"/>
    <w:rsid w:val="00D3012D"/>
    <w:rsid w:val="00D30C7D"/>
    <w:rsid w:val="00D321F6"/>
    <w:rsid w:val="00D32558"/>
    <w:rsid w:val="00D32994"/>
    <w:rsid w:val="00D32DEB"/>
    <w:rsid w:val="00D333E6"/>
    <w:rsid w:val="00D33894"/>
    <w:rsid w:val="00D33E6C"/>
    <w:rsid w:val="00D3433F"/>
    <w:rsid w:val="00D346AA"/>
    <w:rsid w:val="00D34A86"/>
    <w:rsid w:val="00D35229"/>
    <w:rsid w:val="00D35264"/>
    <w:rsid w:val="00D35471"/>
    <w:rsid w:val="00D36113"/>
    <w:rsid w:val="00D3654D"/>
    <w:rsid w:val="00D36BD1"/>
    <w:rsid w:val="00D37134"/>
    <w:rsid w:val="00D371C6"/>
    <w:rsid w:val="00D37485"/>
    <w:rsid w:val="00D378BF"/>
    <w:rsid w:val="00D378FF"/>
    <w:rsid w:val="00D37E04"/>
    <w:rsid w:val="00D37E98"/>
    <w:rsid w:val="00D3DEA5"/>
    <w:rsid w:val="00D40319"/>
    <w:rsid w:val="00D40B4B"/>
    <w:rsid w:val="00D412C0"/>
    <w:rsid w:val="00D415CB"/>
    <w:rsid w:val="00D418C3"/>
    <w:rsid w:val="00D41E1E"/>
    <w:rsid w:val="00D41E91"/>
    <w:rsid w:val="00D432C0"/>
    <w:rsid w:val="00D437F1"/>
    <w:rsid w:val="00D43D44"/>
    <w:rsid w:val="00D43F1B"/>
    <w:rsid w:val="00D442D2"/>
    <w:rsid w:val="00D44E8E"/>
    <w:rsid w:val="00D45EB1"/>
    <w:rsid w:val="00D45ECD"/>
    <w:rsid w:val="00D46223"/>
    <w:rsid w:val="00D463C2"/>
    <w:rsid w:val="00D468B0"/>
    <w:rsid w:val="00D47635"/>
    <w:rsid w:val="00D478DD"/>
    <w:rsid w:val="00D50264"/>
    <w:rsid w:val="00D504C8"/>
    <w:rsid w:val="00D505BC"/>
    <w:rsid w:val="00D507DA"/>
    <w:rsid w:val="00D5089D"/>
    <w:rsid w:val="00D50A87"/>
    <w:rsid w:val="00D514A9"/>
    <w:rsid w:val="00D519BD"/>
    <w:rsid w:val="00D51E18"/>
    <w:rsid w:val="00D52026"/>
    <w:rsid w:val="00D5213B"/>
    <w:rsid w:val="00D52266"/>
    <w:rsid w:val="00D5329A"/>
    <w:rsid w:val="00D53792"/>
    <w:rsid w:val="00D5396C"/>
    <w:rsid w:val="00D53CDF"/>
    <w:rsid w:val="00D54F5E"/>
    <w:rsid w:val="00D55087"/>
    <w:rsid w:val="00D55808"/>
    <w:rsid w:val="00D55B0F"/>
    <w:rsid w:val="00D55B98"/>
    <w:rsid w:val="00D55E73"/>
    <w:rsid w:val="00D55E8E"/>
    <w:rsid w:val="00D56265"/>
    <w:rsid w:val="00D562CF"/>
    <w:rsid w:val="00D5662F"/>
    <w:rsid w:val="00D569F0"/>
    <w:rsid w:val="00D56D58"/>
    <w:rsid w:val="00D57650"/>
    <w:rsid w:val="00D576E7"/>
    <w:rsid w:val="00D57713"/>
    <w:rsid w:val="00D57D4E"/>
    <w:rsid w:val="00D609E5"/>
    <w:rsid w:val="00D612C3"/>
    <w:rsid w:val="00D61AFF"/>
    <w:rsid w:val="00D61B9B"/>
    <w:rsid w:val="00D628A6"/>
    <w:rsid w:val="00D63222"/>
    <w:rsid w:val="00D639F0"/>
    <w:rsid w:val="00D63C4A"/>
    <w:rsid w:val="00D63DAB"/>
    <w:rsid w:val="00D646F8"/>
    <w:rsid w:val="00D64A1D"/>
    <w:rsid w:val="00D64E74"/>
    <w:rsid w:val="00D655FB"/>
    <w:rsid w:val="00D65929"/>
    <w:rsid w:val="00D662FA"/>
    <w:rsid w:val="00D66713"/>
    <w:rsid w:val="00D66798"/>
    <w:rsid w:val="00D667C3"/>
    <w:rsid w:val="00D66BAA"/>
    <w:rsid w:val="00D67233"/>
    <w:rsid w:val="00D67475"/>
    <w:rsid w:val="00D7097E"/>
    <w:rsid w:val="00D709ED"/>
    <w:rsid w:val="00D70B33"/>
    <w:rsid w:val="00D70E40"/>
    <w:rsid w:val="00D70FE2"/>
    <w:rsid w:val="00D710FF"/>
    <w:rsid w:val="00D71660"/>
    <w:rsid w:val="00D71D26"/>
    <w:rsid w:val="00D71D95"/>
    <w:rsid w:val="00D7270B"/>
    <w:rsid w:val="00D728EB"/>
    <w:rsid w:val="00D72DE6"/>
    <w:rsid w:val="00D73754"/>
    <w:rsid w:val="00D73910"/>
    <w:rsid w:val="00D74119"/>
    <w:rsid w:val="00D751EA"/>
    <w:rsid w:val="00D755FC"/>
    <w:rsid w:val="00D76EE1"/>
    <w:rsid w:val="00D776DF"/>
    <w:rsid w:val="00D77882"/>
    <w:rsid w:val="00D80039"/>
    <w:rsid w:val="00D807F2"/>
    <w:rsid w:val="00D80F5C"/>
    <w:rsid w:val="00D8142B"/>
    <w:rsid w:val="00D8156B"/>
    <w:rsid w:val="00D815C4"/>
    <w:rsid w:val="00D81A32"/>
    <w:rsid w:val="00D81BA2"/>
    <w:rsid w:val="00D81E04"/>
    <w:rsid w:val="00D81E91"/>
    <w:rsid w:val="00D81FB8"/>
    <w:rsid w:val="00D823A8"/>
    <w:rsid w:val="00D82830"/>
    <w:rsid w:val="00D83605"/>
    <w:rsid w:val="00D837CC"/>
    <w:rsid w:val="00D8395A"/>
    <w:rsid w:val="00D839E0"/>
    <w:rsid w:val="00D83D9B"/>
    <w:rsid w:val="00D83FDE"/>
    <w:rsid w:val="00D846FC"/>
    <w:rsid w:val="00D84909"/>
    <w:rsid w:val="00D84F3A"/>
    <w:rsid w:val="00D85B15"/>
    <w:rsid w:val="00D85C67"/>
    <w:rsid w:val="00D868D4"/>
    <w:rsid w:val="00D86D73"/>
    <w:rsid w:val="00D86F05"/>
    <w:rsid w:val="00D8738D"/>
    <w:rsid w:val="00D873C9"/>
    <w:rsid w:val="00D87416"/>
    <w:rsid w:val="00D874A8"/>
    <w:rsid w:val="00D87B50"/>
    <w:rsid w:val="00D9066A"/>
    <w:rsid w:val="00D909DB"/>
    <w:rsid w:val="00D9153A"/>
    <w:rsid w:val="00D915FC"/>
    <w:rsid w:val="00D91778"/>
    <w:rsid w:val="00D91942"/>
    <w:rsid w:val="00D91C5A"/>
    <w:rsid w:val="00D91CAD"/>
    <w:rsid w:val="00D91D9C"/>
    <w:rsid w:val="00D920BA"/>
    <w:rsid w:val="00D92142"/>
    <w:rsid w:val="00D928A9"/>
    <w:rsid w:val="00D92A8E"/>
    <w:rsid w:val="00D939AD"/>
    <w:rsid w:val="00D93B53"/>
    <w:rsid w:val="00D93ED5"/>
    <w:rsid w:val="00D94233"/>
    <w:rsid w:val="00D94CD9"/>
    <w:rsid w:val="00D94E83"/>
    <w:rsid w:val="00D94ED2"/>
    <w:rsid w:val="00D95454"/>
    <w:rsid w:val="00D95CD2"/>
    <w:rsid w:val="00D95DB1"/>
    <w:rsid w:val="00D962E5"/>
    <w:rsid w:val="00D9693E"/>
    <w:rsid w:val="00D96990"/>
    <w:rsid w:val="00D96A95"/>
    <w:rsid w:val="00D96ED1"/>
    <w:rsid w:val="00D97095"/>
    <w:rsid w:val="00D97422"/>
    <w:rsid w:val="00D97BA6"/>
    <w:rsid w:val="00D97D02"/>
    <w:rsid w:val="00DA0B44"/>
    <w:rsid w:val="00DA0C0F"/>
    <w:rsid w:val="00DA139A"/>
    <w:rsid w:val="00DA171D"/>
    <w:rsid w:val="00DA1BD3"/>
    <w:rsid w:val="00DA23CC"/>
    <w:rsid w:val="00DA247A"/>
    <w:rsid w:val="00DA2874"/>
    <w:rsid w:val="00DA2D6D"/>
    <w:rsid w:val="00DA2E95"/>
    <w:rsid w:val="00DA3139"/>
    <w:rsid w:val="00DA327C"/>
    <w:rsid w:val="00DA3386"/>
    <w:rsid w:val="00DA3FD3"/>
    <w:rsid w:val="00DA43CF"/>
    <w:rsid w:val="00DA483F"/>
    <w:rsid w:val="00DA4B42"/>
    <w:rsid w:val="00DA4D51"/>
    <w:rsid w:val="00DA5078"/>
    <w:rsid w:val="00DA51F8"/>
    <w:rsid w:val="00DA520B"/>
    <w:rsid w:val="00DA5FC8"/>
    <w:rsid w:val="00DA5FD4"/>
    <w:rsid w:val="00DA6895"/>
    <w:rsid w:val="00DA6F03"/>
    <w:rsid w:val="00DA70D6"/>
    <w:rsid w:val="00DA7623"/>
    <w:rsid w:val="00DA790F"/>
    <w:rsid w:val="00DA7B89"/>
    <w:rsid w:val="00DA7EB8"/>
    <w:rsid w:val="00DB0547"/>
    <w:rsid w:val="00DB0CAF"/>
    <w:rsid w:val="00DB141C"/>
    <w:rsid w:val="00DB1742"/>
    <w:rsid w:val="00DB2477"/>
    <w:rsid w:val="00DB2963"/>
    <w:rsid w:val="00DB2D6C"/>
    <w:rsid w:val="00DB35F4"/>
    <w:rsid w:val="00DB37D7"/>
    <w:rsid w:val="00DB3C2C"/>
    <w:rsid w:val="00DB4540"/>
    <w:rsid w:val="00DB48B3"/>
    <w:rsid w:val="00DB48DC"/>
    <w:rsid w:val="00DB4A20"/>
    <w:rsid w:val="00DB4C63"/>
    <w:rsid w:val="00DB4D59"/>
    <w:rsid w:val="00DB500A"/>
    <w:rsid w:val="00DB559A"/>
    <w:rsid w:val="00DB57D6"/>
    <w:rsid w:val="00DB586C"/>
    <w:rsid w:val="00DB5AFD"/>
    <w:rsid w:val="00DB5C3C"/>
    <w:rsid w:val="00DB659E"/>
    <w:rsid w:val="00DB6879"/>
    <w:rsid w:val="00DB723A"/>
    <w:rsid w:val="00DC0401"/>
    <w:rsid w:val="00DC0457"/>
    <w:rsid w:val="00DC0D7A"/>
    <w:rsid w:val="00DC0DD3"/>
    <w:rsid w:val="00DC0F1B"/>
    <w:rsid w:val="00DC12B5"/>
    <w:rsid w:val="00DC1D79"/>
    <w:rsid w:val="00DC218A"/>
    <w:rsid w:val="00DC2205"/>
    <w:rsid w:val="00DC2A09"/>
    <w:rsid w:val="00DC2A9D"/>
    <w:rsid w:val="00DC2DCE"/>
    <w:rsid w:val="00DC303C"/>
    <w:rsid w:val="00DC30F5"/>
    <w:rsid w:val="00DC3269"/>
    <w:rsid w:val="00DC349A"/>
    <w:rsid w:val="00DC3BEB"/>
    <w:rsid w:val="00DC47E7"/>
    <w:rsid w:val="00DC497F"/>
    <w:rsid w:val="00DC49EC"/>
    <w:rsid w:val="00DC524D"/>
    <w:rsid w:val="00DC5720"/>
    <w:rsid w:val="00DC5917"/>
    <w:rsid w:val="00DC5AA5"/>
    <w:rsid w:val="00DC5CCD"/>
    <w:rsid w:val="00DC5D7F"/>
    <w:rsid w:val="00DC5DF1"/>
    <w:rsid w:val="00DC6044"/>
    <w:rsid w:val="00DC6464"/>
    <w:rsid w:val="00DC7635"/>
    <w:rsid w:val="00DC7899"/>
    <w:rsid w:val="00DD0116"/>
    <w:rsid w:val="00DD0540"/>
    <w:rsid w:val="00DD078C"/>
    <w:rsid w:val="00DD0A07"/>
    <w:rsid w:val="00DD10E4"/>
    <w:rsid w:val="00DD1101"/>
    <w:rsid w:val="00DD120C"/>
    <w:rsid w:val="00DD1753"/>
    <w:rsid w:val="00DD1A43"/>
    <w:rsid w:val="00DD1B26"/>
    <w:rsid w:val="00DD1C4E"/>
    <w:rsid w:val="00DD1CA2"/>
    <w:rsid w:val="00DD1D85"/>
    <w:rsid w:val="00DD2013"/>
    <w:rsid w:val="00DD21D0"/>
    <w:rsid w:val="00DD2682"/>
    <w:rsid w:val="00DD3BCB"/>
    <w:rsid w:val="00DD3EF2"/>
    <w:rsid w:val="00DD42D6"/>
    <w:rsid w:val="00DD42FC"/>
    <w:rsid w:val="00DD45AF"/>
    <w:rsid w:val="00DD496C"/>
    <w:rsid w:val="00DD4DD3"/>
    <w:rsid w:val="00DD4F46"/>
    <w:rsid w:val="00DD559D"/>
    <w:rsid w:val="00DD56C0"/>
    <w:rsid w:val="00DD57FB"/>
    <w:rsid w:val="00DD58E6"/>
    <w:rsid w:val="00DD5F7A"/>
    <w:rsid w:val="00DD6824"/>
    <w:rsid w:val="00DD764B"/>
    <w:rsid w:val="00DD794E"/>
    <w:rsid w:val="00DD7D26"/>
    <w:rsid w:val="00DD7F25"/>
    <w:rsid w:val="00DE020C"/>
    <w:rsid w:val="00DE0808"/>
    <w:rsid w:val="00DE1236"/>
    <w:rsid w:val="00DE1266"/>
    <w:rsid w:val="00DE1502"/>
    <w:rsid w:val="00DE2A4A"/>
    <w:rsid w:val="00DE2A62"/>
    <w:rsid w:val="00DE2A6E"/>
    <w:rsid w:val="00DE2C2D"/>
    <w:rsid w:val="00DE36D8"/>
    <w:rsid w:val="00DE3A76"/>
    <w:rsid w:val="00DE4067"/>
    <w:rsid w:val="00DE435B"/>
    <w:rsid w:val="00DE44A7"/>
    <w:rsid w:val="00DE45F3"/>
    <w:rsid w:val="00DE4EAE"/>
    <w:rsid w:val="00DE55A2"/>
    <w:rsid w:val="00DE5CA4"/>
    <w:rsid w:val="00DE6587"/>
    <w:rsid w:val="00DE65F7"/>
    <w:rsid w:val="00DE6772"/>
    <w:rsid w:val="00DE6CEB"/>
    <w:rsid w:val="00DE6D95"/>
    <w:rsid w:val="00DE749C"/>
    <w:rsid w:val="00DE7953"/>
    <w:rsid w:val="00DF00F9"/>
    <w:rsid w:val="00DF0446"/>
    <w:rsid w:val="00DF09E6"/>
    <w:rsid w:val="00DF0DD2"/>
    <w:rsid w:val="00DF15E2"/>
    <w:rsid w:val="00DF1C0C"/>
    <w:rsid w:val="00DF2045"/>
    <w:rsid w:val="00DF2459"/>
    <w:rsid w:val="00DF31DE"/>
    <w:rsid w:val="00DF347D"/>
    <w:rsid w:val="00DF3CAB"/>
    <w:rsid w:val="00DF40EB"/>
    <w:rsid w:val="00DF46CB"/>
    <w:rsid w:val="00DF4A27"/>
    <w:rsid w:val="00DF4A86"/>
    <w:rsid w:val="00DF4C16"/>
    <w:rsid w:val="00DF4C55"/>
    <w:rsid w:val="00DF5582"/>
    <w:rsid w:val="00DF5B69"/>
    <w:rsid w:val="00DF5C7A"/>
    <w:rsid w:val="00DF62A0"/>
    <w:rsid w:val="00DF6490"/>
    <w:rsid w:val="00DF668F"/>
    <w:rsid w:val="00DF6B55"/>
    <w:rsid w:val="00DF790E"/>
    <w:rsid w:val="00DF7E67"/>
    <w:rsid w:val="00E0042C"/>
    <w:rsid w:val="00E00486"/>
    <w:rsid w:val="00E00AD3"/>
    <w:rsid w:val="00E00BD3"/>
    <w:rsid w:val="00E00DAF"/>
    <w:rsid w:val="00E00DD9"/>
    <w:rsid w:val="00E00FBB"/>
    <w:rsid w:val="00E01576"/>
    <w:rsid w:val="00E017B3"/>
    <w:rsid w:val="00E01A5A"/>
    <w:rsid w:val="00E02611"/>
    <w:rsid w:val="00E02621"/>
    <w:rsid w:val="00E02653"/>
    <w:rsid w:val="00E02882"/>
    <w:rsid w:val="00E02C9E"/>
    <w:rsid w:val="00E02EC3"/>
    <w:rsid w:val="00E034C0"/>
    <w:rsid w:val="00E03F96"/>
    <w:rsid w:val="00E0403D"/>
    <w:rsid w:val="00E04A84"/>
    <w:rsid w:val="00E05D7B"/>
    <w:rsid w:val="00E0615A"/>
    <w:rsid w:val="00E068AD"/>
    <w:rsid w:val="00E06CB5"/>
    <w:rsid w:val="00E07107"/>
    <w:rsid w:val="00E07A7C"/>
    <w:rsid w:val="00E07BF3"/>
    <w:rsid w:val="00E10872"/>
    <w:rsid w:val="00E10937"/>
    <w:rsid w:val="00E10F82"/>
    <w:rsid w:val="00E1124F"/>
    <w:rsid w:val="00E112D5"/>
    <w:rsid w:val="00E11676"/>
    <w:rsid w:val="00E1185E"/>
    <w:rsid w:val="00E11A07"/>
    <w:rsid w:val="00E11BEB"/>
    <w:rsid w:val="00E12852"/>
    <w:rsid w:val="00E12905"/>
    <w:rsid w:val="00E12AF2"/>
    <w:rsid w:val="00E12FD8"/>
    <w:rsid w:val="00E1304E"/>
    <w:rsid w:val="00E1310F"/>
    <w:rsid w:val="00E131ED"/>
    <w:rsid w:val="00E13924"/>
    <w:rsid w:val="00E141A4"/>
    <w:rsid w:val="00E14414"/>
    <w:rsid w:val="00E1454A"/>
    <w:rsid w:val="00E14790"/>
    <w:rsid w:val="00E14EA1"/>
    <w:rsid w:val="00E15335"/>
    <w:rsid w:val="00E155AB"/>
    <w:rsid w:val="00E15A41"/>
    <w:rsid w:val="00E15B4C"/>
    <w:rsid w:val="00E163BB"/>
    <w:rsid w:val="00E16619"/>
    <w:rsid w:val="00E169CE"/>
    <w:rsid w:val="00E16F60"/>
    <w:rsid w:val="00E170AD"/>
    <w:rsid w:val="00E1719F"/>
    <w:rsid w:val="00E179D5"/>
    <w:rsid w:val="00E17A03"/>
    <w:rsid w:val="00E17F44"/>
    <w:rsid w:val="00E2044E"/>
    <w:rsid w:val="00E204B4"/>
    <w:rsid w:val="00E20727"/>
    <w:rsid w:val="00E21104"/>
    <w:rsid w:val="00E2189F"/>
    <w:rsid w:val="00E21935"/>
    <w:rsid w:val="00E21C89"/>
    <w:rsid w:val="00E223A3"/>
    <w:rsid w:val="00E22A59"/>
    <w:rsid w:val="00E22D5E"/>
    <w:rsid w:val="00E230A6"/>
    <w:rsid w:val="00E230ED"/>
    <w:rsid w:val="00E23A3D"/>
    <w:rsid w:val="00E23E9D"/>
    <w:rsid w:val="00E2499B"/>
    <w:rsid w:val="00E250AD"/>
    <w:rsid w:val="00E25269"/>
    <w:rsid w:val="00E26089"/>
    <w:rsid w:val="00E26868"/>
    <w:rsid w:val="00E2754D"/>
    <w:rsid w:val="00E27862"/>
    <w:rsid w:val="00E27A02"/>
    <w:rsid w:val="00E27B45"/>
    <w:rsid w:val="00E27CB4"/>
    <w:rsid w:val="00E30589"/>
    <w:rsid w:val="00E30733"/>
    <w:rsid w:val="00E307E5"/>
    <w:rsid w:val="00E30A2A"/>
    <w:rsid w:val="00E30C0C"/>
    <w:rsid w:val="00E323B1"/>
    <w:rsid w:val="00E326DC"/>
    <w:rsid w:val="00E32CC3"/>
    <w:rsid w:val="00E32CC5"/>
    <w:rsid w:val="00E32E85"/>
    <w:rsid w:val="00E32E86"/>
    <w:rsid w:val="00E33156"/>
    <w:rsid w:val="00E334ED"/>
    <w:rsid w:val="00E3356F"/>
    <w:rsid w:val="00E33EF7"/>
    <w:rsid w:val="00E34A30"/>
    <w:rsid w:val="00E35158"/>
    <w:rsid w:val="00E3572B"/>
    <w:rsid w:val="00E35C0B"/>
    <w:rsid w:val="00E36323"/>
    <w:rsid w:val="00E363EE"/>
    <w:rsid w:val="00E36B20"/>
    <w:rsid w:val="00E36D09"/>
    <w:rsid w:val="00E36D61"/>
    <w:rsid w:val="00E36DD3"/>
    <w:rsid w:val="00E36E0A"/>
    <w:rsid w:val="00E36EFD"/>
    <w:rsid w:val="00E374EE"/>
    <w:rsid w:val="00E37DEC"/>
    <w:rsid w:val="00E4037E"/>
    <w:rsid w:val="00E41138"/>
    <w:rsid w:val="00E412B4"/>
    <w:rsid w:val="00E41BBA"/>
    <w:rsid w:val="00E420AF"/>
    <w:rsid w:val="00E4214F"/>
    <w:rsid w:val="00E421C6"/>
    <w:rsid w:val="00E42702"/>
    <w:rsid w:val="00E428BE"/>
    <w:rsid w:val="00E4294C"/>
    <w:rsid w:val="00E42A92"/>
    <w:rsid w:val="00E42B47"/>
    <w:rsid w:val="00E432B4"/>
    <w:rsid w:val="00E4388B"/>
    <w:rsid w:val="00E43B8E"/>
    <w:rsid w:val="00E44249"/>
    <w:rsid w:val="00E4491F"/>
    <w:rsid w:val="00E44969"/>
    <w:rsid w:val="00E44DC1"/>
    <w:rsid w:val="00E45307"/>
    <w:rsid w:val="00E4539F"/>
    <w:rsid w:val="00E453E4"/>
    <w:rsid w:val="00E457B1"/>
    <w:rsid w:val="00E45A9D"/>
    <w:rsid w:val="00E4618E"/>
    <w:rsid w:val="00E46217"/>
    <w:rsid w:val="00E4750F"/>
    <w:rsid w:val="00E475EA"/>
    <w:rsid w:val="00E47B12"/>
    <w:rsid w:val="00E504E2"/>
    <w:rsid w:val="00E50748"/>
    <w:rsid w:val="00E507DF"/>
    <w:rsid w:val="00E50982"/>
    <w:rsid w:val="00E51174"/>
    <w:rsid w:val="00E512E2"/>
    <w:rsid w:val="00E5176F"/>
    <w:rsid w:val="00E51779"/>
    <w:rsid w:val="00E517B0"/>
    <w:rsid w:val="00E51C51"/>
    <w:rsid w:val="00E52001"/>
    <w:rsid w:val="00E52002"/>
    <w:rsid w:val="00E52300"/>
    <w:rsid w:val="00E5257C"/>
    <w:rsid w:val="00E53561"/>
    <w:rsid w:val="00E536B2"/>
    <w:rsid w:val="00E5414F"/>
    <w:rsid w:val="00E54F0E"/>
    <w:rsid w:val="00E55177"/>
    <w:rsid w:val="00E5561E"/>
    <w:rsid w:val="00E55CF2"/>
    <w:rsid w:val="00E55D61"/>
    <w:rsid w:val="00E560DB"/>
    <w:rsid w:val="00E56480"/>
    <w:rsid w:val="00E565A6"/>
    <w:rsid w:val="00E5697C"/>
    <w:rsid w:val="00E56C93"/>
    <w:rsid w:val="00E56D03"/>
    <w:rsid w:val="00E56FA0"/>
    <w:rsid w:val="00E5762C"/>
    <w:rsid w:val="00E57C06"/>
    <w:rsid w:val="00E57C9B"/>
    <w:rsid w:val="00E602B5"/>
    <w:rsid w:val="00E604E9"/>
    <w:rsid w:val="00E60BBB"/>
    <w:rsid w:val="00E62A82"/>
    <w:rsid w:val="00E62BC3"/>
    <w:rsid w:val="00E63068"/>
    <w:rsid w:val="00E635F9"/>
    <w:rsid w:val="00E6446A"/>
    <w:rsid w:val="00E6449D"/>
    <w:rsid w:val="00E64CE6"/>
    <w:rsid w:val="00E65060"/>
    <w:rsid w:val="00E650C5"/>
    <w:rsid w:val="00E6572C"/>
    <w:rsid w:val="00E66CD7"/>
    <w:rsid w:val="00E671DD"/>
    <w:rsid w:val="00E67365"/>
    <w:rsid w:val="00E675E3"/>
    <w:rsid w:val="00E678A4"/>
    <w:rsid w:val="00E67ED7"/>
    <w:rsid w:val="00E70BF8"/>
    <w:rsid w:val="00E70C2B"/>
    <w:rsid w:val="00E70E86"/>
    <w:rsid w:val="00E7132F"/>
    <w:rsid w:val="00E71572"/>
    <w:rsid w:val="00E715F7"/>
    <w:rsid w:val="00E719F8"/>
    <w:rsid w:val="00E724F3"/>
    <w:rsid w:val="00E727A2"/>
    <w:rsid w:val="00E72D90"/>
    <w:rsid w:val="00E72FE0"/>
    <w:rsid w:val="00E73134"/>
    <w:rsid w:val="00E73357"/>
    <w:rsid w:val="00E73DA3"/>
    <w:rsid w:val="00E74124"/>
    <w:rsid w:val="00E7444B"/>
    <w:rsid w:val="00E74618"/>
    <w:rsid w:val="00E748C6"/>
    <w:rsid w:val="00E753A1"/>
    <w:rsid w:val="00E761F3"/>
    <w:rsid w:val="00E7639C"/>
    <w:rsid w:val="00E76531"/>
    <w:rsid w:val="00E76CDF"/>
    <w:rsid w:val="00E773B3"/>
    <w:rsid w:val="00E80025"/>
    <w:rsid w:val="00E805A4"/>
    <w:rsid w:val="00E80812"/>
    <w:rsid w:val="00E80C27"/>
    <w:rsid w:val="00E811C8"/>
    <w:rsid w:val="00E814F1"/>
    <w:rsid w:val="00E81525"/>
    <w:rsid w:val="00E8177A"/>
    <w:rsid w:val="00E81C37"/>
    <w:rsid w:val="00E81D04"/>
    <w:rsid w:val="00E825F5"/>
    <w:rsid w:val="00E827DB"/>
    <w:rsid w:val="00E82CDA"/>
    <w:rsid w:val="00E82E00"/>
    <w:rsid w:val="00E82F46"/>
    <w:rsid w:val="00E83711"/>
    <w:rsid w:val="00E83981"/>
    <w:rsid w:val="00E83BAC"/>
    <w:rsid w:val="00E83C48"/>
    <w:rsid w:val="00E83FB1"/>
    <w:rsid w:val="00E84225"/>
    <w:rsid w:val="00E84489"/>
    <w:rsid w:val="00E8455D"/>
    <w:rsid w:val="00E846D3"/>
    <w:rsid w:val="00E84C9F"/>
    <w:rsid w:val="00E8502C"/>
    <w:rsid w:val="00E85113"/>
    <w:rsid w:val="00E85130"/>
    <w:rsid w:val="00E85DD4"/>
    <w:rsid w:val="00E85DD9"/>
    <w:rsid w:val="00E85EEF"/>
    <w:rsid w:val="00E8605A"/>
    <w:rsid w:val="00E8618B"/>
    <w:rsid w:val="00E861F0"/>
    <w:rsid w:val="00E86786"/>
    <w:rsid w:val="00E86E6D"/>
    <w:rsid w:val="00E87814"/>
    <w:rsid w:val="00E87A88"/>
    <w:rsid w:val="00E907D4"/>
    <w:rsid w:val="00E9124C"/>
    <w:rsid w:val="00E915DC"/>
    <w:rsid w:val="00E91708"/>
    <w:rsid w:val="00E91D3B"/>
    <w:rsid w:val="00E927FC"/>
    <w:rsid w:val="00E92B0B"/>
    <w:rsid w:val="00E92CDD"/>
    <w:rsid w:val="00E9314A"/>
    <w:rsid w:val="00E93762"/>
    <w:rsid w:val="00E93BD6"/>
    <w:rsid w:val="00E93BFE"/>
    <w:rsid w:val="00E93C8E"/>
    <w:rsid w:val="00E93CCF"/>
    <w:rsid w:val="00E94039"/>
    <w:rsid w:val="00E946C2"/>
    <w:rsid w:val="00E9567A"/>
    <w:rsid w:val="00E95AF7"/>
    <w:rsid w:val="00E95DF6"/>
    <w:rsid w:val="00E960CB"/>
    <w:rsid w:val="00E961FF"/>
    <w:rsid w:val="00E96684"/>
    <w:rsid w:val="00E96939"/>
    <w:rsid w:val="00E97409"/>
    <w:rsid w:val="00E9781F"/>
    <w:rsid w:val="00E97965"/>
    <w:rsid w:val="00E97AB2"/>
    <w:rsid w:val="00E97C62"/>
    <w:rsid w:val="00EA03B6"/>
    <w:rsid w:val="00EA058A"/>
    <w:rsid w:val="00EA09A3"/>
    <w:rsid w:val="00EA0C03"/>
    <w:rsid w:val="00EA130D"/>
    <w:rsid w:val="00EA1397"/>
    <w:rsid w:val="00EA17BD"/>
    <w:rsid w:val="00EA1985"/>
    <w:rsid w:val="00EA1B10"/>
    <w:rsid w:val="00EA2056"/>
    <w:rsid w:val="00EA26AB"/>
    <w:rsid w:val="00EA294C"/>
    <w:rsid w:val="00EA2C6C"/>
    <w:rsid w:val="00EA2F7E"/>
    <w:rsid w:val="00EA31E1"/>
    <w:rsid w:val="00EA3301"/>
    <w:rsid w:val="00EA34D5"/>
    <w:rsid w:val="00EA38C3"/>
    <w:rsid w:val="00EA41D3"/>
    <w:rsid w:val="00EA4412"/>
    <w:rsid w:val="00EA46B8"/>
    <w:rsid w:val="00EA4F3A"/>
    <w:rsid w:val="00EA5099"/>
    <w:rsid w:val="00EA50A9"/>
    <w:rsid w:val="00EA5125"/>
    <w:rsid w:val="00EA561A"/>
    <w:rsid w:val="00EA5922"/>
    <w:rsid w:val="00EA5985"/>
    <w:rsid w:val="00EA5D6A"/>
    <w:rsid w:val="00EA63CD"/>
    <w:rsid w:val="00EA6750"/>
    <w:rsid w:val="00EA68CD"/>
    <w:rsid w:val="00EA71BF"/>
    <w:rsid w:val="00EA7B56"/>
    <w:rsid w:val="00EA7C39"/>
    <w:rsid w:val="00EA7D58"/>
    <w:rsid w:val="00EA7EA9"/>
    <w:rsid w:val="00EA7EB1"/>
    <w:rsid w:val="00EB0331"/>
    <w:rsid w:val="00EB055D"/>
    <w:rsid w:val="00EB0ECF"/>
    <w:rsid w:val="00EB10BE"/>
    <w:rsid w:val="00EB11F1"/>
    <w:rsid w:val="00EB122F"/>
    <w:rsid w:val="00EB169E"/>
    <w:rsid w:val="00EB1747"/>
    <w:rsid w:val="00EB1EE8"/>
    <w:rsid w:val="00EB2F10"/>
    <w:rsid w:val="00EB31EE"/>
    <w:rsid w:val="00EB34CD"/>
    <w:rsid w:val="00EB3FC1"/>
    <w:rsid w:val="00EB4E14"/>
    <w:rsid w:val="00EB56A0"/>
    <w:rsid w:val="00EB57E5"/>
    <w:rsid w:val="00EB5903"/>
    <w:rsid w:val="00EB595E"/>
    <w:rsid w:val="00EB6044"/>
    <w:rsid w:val="00EB6A99"/>
    <w:rsid w:val="00EB76F5"/>
    <w:rsid w:val="00EB7D7F"/>
    <w:rsid w:val="00EB7DB2"/>
    <w:rsid w:val="00EB7EC7"/>
    <w:rsid w:val="00EC024B"/>
    <w:rsid w:val="00EC0462"/>
    <w:rsid w:val="00EC0835"/>
    <w:rsid w:val="00EC0BF2"/>
    <w:rsid w:val="00EC0C0A"/>
    <w:rsid w:val="00EC0C63"/>
    <w:rsid w:val="00EC0DF9"/>
    <w:rsid w:val="00EC1659"/>
    <w:rsid w:val="00EC1AC2"/>
    <w:rsid w:val="00EC1BE3"/>
    <w:rsid w:val="00EC20FC"/>
    <w:rsid w:val="00EC2268"/>
    <w:rsid w:val="00EC24C8"/>
    <w:rsid w:val="00EC28A8"/>
    <w:rsid w:val="00EC3662"/>
    <w:rsid w:val="00EC4590"/>
    <w:rsid w:val="00EC4BB1"/>
    <w:rsid w:val="00EC548A"/>
    <w:rsid w:val="00EC57A8"/>
    <w:rsid w:val="00EC5EE4"/>
    <w:rsid w:val="00EC5F08"/>
    <w:rsid w:val="00EC61AA"/>
    <w:rsid w:val="00EC62D5"/>
    <w:rsid w:val="00EC653F"/>
    <w:rsid w:val="00EC6CE1"/>
    <w:rsid w:val="00EC6D23"/>
    <w:rsid w:val="00EC7654"/>
    <w:rsid w:val="00EC771A"/>
    <w:rsid w:val="00EC78B2"/>
    <w:rsid w:val="00EC7A70"/>
    <w:rsid w:val="00ED00D5"/>
    <w:rsid w:val="00ED03BE"/>
    <w:rsid w:val="00ED066F"/>
    <w:rsid w:val="00ED07F6"/>
    <w:rsid w:val="00ED1D57"/>
    <w:rsid w:val="00ED1DA7"/>
    <w:rsid w:val="00ED24AA"/>
    <w:rsid w:val="00ED24FC"/>
    <w:rsid w:val="00ED2794"/>
    <w:rsid w:val="00ED2CFD"/>
    <w:rsid w:val="00ED2E59"/>
    <w:rsid w:val="00ED4306"/>
    <w:rsid w:val="00ED446A"/>
    <w:rsid w:val="00ED4709"/>
    <w:rsid w:val="00ED4A52"/>
    <w:rsid w:val="00ED4DA0"/>
    <w:rsid w:val="00ED509B"/>
    <w:rsid w:val="00ED56B1"/>
    <w:rsid w:val="00ED5F9A"/>
    <w:rsid w:val="00ED5FA6"/>
    <w:rsid w:val="00ED6034"/>
    <w:rsid w:val="00ED6687"/>
    <w:rsid w:val="00ED6801"/>
    <w:rsid w:val="00ED6867"/>
    <w:rsid w:val="00ED6D44"/>
    <w:rsid w:val="00ED7384"/>
    <w:rsid w:val="00ED7634"/>
    <w:rsid w:val="00ED7B28"/>
    <w:rsid w:val="00ED7FC2"/>
    <w:rsid w:val="00EE04DC"/>
    <w:rsid w:val="00EE097F"/>
    <w:rsid w:val="00EE1649"/>
    <w:rsid w:val="00EE1CD6"/>
    <w:rsid w:val="00EE240A"/>
    <w:rsid w:val="00EE2AAF"/>
    <w:rsid w:val="00EE2B45"/>
    <w:rsid w:val="00EE2C85"/>
    <w:rsid w:val="00EE2EE2"/>
    <w:rsid w:val="00EE3317"/>
    <w:rsid w:val="00EE349F"/>
    <w:rsid w:val="00EE3A5B"/>
    <w:rsid w:val="00EE3A9B"/>
    <w:rsid w:val="00EE3D98"/>
    <w:rsid w:val="00EE420F"/>
    <w:rsid w:val="00EE4723"/>
    <w:rsid w:val="00EE4B7F"/>
    <w:rsid w:val="00EE5025"/>
    <w:rsid w:val="00EE5654"/>
    <w:rsid w:val="00EE5A35"/>
    <w:rsid w:val="00EE5BD5"/>
    <w:rsid w:val="00EE5D8D"/>
    <w:rsid w:val="00EE5DE7"/>
    <w:rsid w:val="00EE625D"/>
    <w:rsid w:val="00EE691E"/>
    <w:rsid w:val="00EE6BB7"/>
    <w:rsid w:val="00EE7699"/>
    <w:rsid w:val="00EE7906"/>
    <w:rsid w:val="00EF0605"/>
    <w:rsid w:val="00EF1044"/>
    <w:rsid w:val="00EF1316"/>
    <w:rsid w:val="00EF1921"/>
    <w:rsid w:val="00EF1C75"/>
    <w:rsid w:val="00EF241C"/>
    <w:rsid w:val="00EF2A7A"/>
    <w:rsid w:val="00EF2ACF"/>
    <w:rsid w:val="00EF2B29"/>
    <w:rsid w:val="00EF335C"/>
    <w:rsid w:val="00EF383B"/>
    <w:rsid w:val="00EF46A5"/>
    <w:rsid w:val="00EF48F8"/>
    <w:rsid w:val="00EF4FEF"/>
    <w:rsid w:val="00EF5A91"/>
    <w:rsid w:val="00EF5B19"/>
    <w:rsid w:val="00EF65A4"/>
    <w:rsid w:val="00EF74B9"/>
    <w:rsid w:val="00EF763A"/>
    <w:rsid w:val="00EF77A6"/>
    <w:rsid w:val="00EF7CE8"/>
    <w:rsid w:val="00F00209"/>
    <w:rsid w:val="00F00ADF"/>
    <w:rsid w:val="00F00B98"/>
    <w:rsid w:val="00F010BE"/>
    <w:rsid w:val="00F01318"/>
    <w:rsid w:val="00F013CE"/>
    <w:rsid w:val="00F01423"/>
    <w:rsid w:val="00F017FB"/>
    <w:rsid w:val="00F020F2"/>
    <w:rsid w:val="00F02F77"/>
    <w:rsid w:val="00F034F6"/>
    <w:rsid w:val="00F03E4C"/>
    <w:rsid w:val="00F046E4"/>
    <w:rsid w:val="00F048A1"/>
    <w:rsid w:val="00F04920"/>
    <w:rsid w:val="00F04A53"/>
    <w:rsid w:val="00F04B6E"/>
    <w:rsid w:val="00F04DC8"/>
    <w:rsid w:val="00F0509A"/>
    <w:rsid w:val="00F05308"/>
    <w:rsid w:val="00F056E1"/>
    <w:rsid w:val="00F05928"/>
    <w:rsid w:val="00F05E7F"/>
    <w:rsid w:val="00F062D6"/>
    <w:rsid w:val="00F065FD"/>
    <w:rsid w:val="00F06611"/>
    <w:rsid w:val="00F06DDA"/>
    <w:rsid w:val="00F06F53"/>
    <w:rsid w:val="00F071E9"/>
    <w:rsid w:val="00F0724F"/>
    <w:rsid w:val="00F0739B"/>
    <w:rsid w:val="00F078E1"/>
    <w:rsid w:val="00F07D9D"/>
    <w:rsid w:val="00F100CD"/>
    <w:rsid w:val="00F10A96"/>
    <w:rsid w:val="00F11740"/>
    <w:rsid w:val="00F1177E"/>
    <w:rsid w:val="00F1210D"/>
    <w:rsid w:val="00F125D0"/>
    <w:rsid w:val="00F12D41"/>
    <w:rsid w:val="00F131C1"/>
    <w:rsid w:val="00F132D8"/>
    <w:rsid w:val="00F1331D"/>
    <w:rsid w:val="00F13C98"/>
    <w:rsid w:val="00F14322"/>
    <w:rsid w:val="00F14BC5"/>
    <w:rsid w:val="00F14F88"/>
    <w:rsid w:val="00F15F3C"/>
    <w:rsid w:val="00F163DF"/>
    <w:rsid w:val="00F1643B"/>
    <w:rsid w:val="00F1651F"/>
    <w:rsid w:val="00F16720"/>
    <w:rsid w:val="00F167BE"/>
    <w:rsid w:val="00F16823"/>
    <w:rsid w:val="00F16B24"/>
    <w:rsid w:val="00F16D70"/>
    <w:rsid w:val="00F171E1"/>
    <w:rsid w:val="00F17342"/>
    <w:rsid w:val="00F17C86"/>
    <w:rsid w:val="00F2021C"/>
    <w:rsid w:val="00F20AE3"/>
    <w:rsid w:val="00F20F0C"/>
    <w:rsid w:val="00F21146"/>
    <w:rsid w:val="00F21BE7"/>
    <w:rsid w:val="00F21EDE"/>
    <w:rsid w:val="00F21FA5"/>
    <w:rsid w:val="00F22133"/>
    <w:rsid w:val="00F224AD"/>
    <w:rsid w:val="00F2273A"/>
    <w:rsid w:val="00F227A2"/>
    <w:rsid w:val="00F227CB"/>
    <w:rsid w:val="00F229B7"/>
    <w:rsid w:val="00F22F3F"/>
    <w:rsid w:val="00F23708"/>
    <w:rsid w:val="00F238DF"/>
    <w:rsid w:val="00F23971"/>
    <w:rsid w:val="00F24324"/>
    <w:rsid w:val="00F24A6B"/>
    <w:rsid w:val="00F24C04"/>
    <w:rsid w:val="00F24D92"/>
    <w:rsid w:val="00F24EC5"/>
    <w:rsid w:val="00F2528A"/>
    <w:rsid w:val="00F25980"/>
    <w:rsid w:val="00F25A31"/>
    <w:rsid w:val="00F26392"/>
    <w:rsid w:val="00F26555"/>
    <w:rsid w:val="00F26EF1"/>
    <w:rsid w:val="00F27D2B"/>
    <w:rsid w:val="00F27FE4"/>
    <w:rsid w:val="00F2EFB8"/>
    <w:rsid w:val="00F30293"/>
    <w:rsid w:val="00F30BC3"/>
    <w:rsid w:val="00F30D5C"/>
    <w:rsid w:val="00F30E4F"/>
    <w:rsid w:val="00F31176"/>
    <w:rsid w:val="00F3192C"/>
    <w:rsid w:val="00F31967"/>
    <w:rsid w:val="00F320E1"/>
    <w:rsid w:val="00F324ED"/>
    <w:rsid w:val="00F32750"/>
    <w:rsid w:val="00F32BA1"/>
    <w:rsid w:val="00F3317C"/>
    <w:rsid w:val="00F338DE"/>
    <w:rsid w:val="00F3397D"/>
    <w:rsid w:val="00F33BA9"/>
    <w:rsid w:val="00F3403A"/>
    <w:rsid w:val="00F3427A"/>
    <w:rsid w:val="00F34517"/>
    <w:rsid w:val="00F34D03"/>
    <w:rsid w:val="00F35031"/>
    <w:rsid w:val="00F350C6"/>
    <w:rsid w:val="00F35200"/>
    <w:rsid w:val="00F3539A"/>
    <w:rsid w:val="00F35B17"/>
    <w:rsid w:val="00F3655D"/>
    <w:rsid w:val="00F36F8B"/>
    <w:rsid w:val="00F37107"/>
    <w:rsid w:val="00F375AB"/>
    <w:rsid w:val="00F377E4"/>
    <w:rsid w:val="00F37A16"/>
    <w:rsid w:val="00F37EFF"/>
    <w:rsid w:val="00F40452"/>
    <w:rsid w:val="00F405AC"/>
    <w:rsid w:val="00F4082A"/>
    <w:rsid w:val="00F4085E"/>
    <w:rsid w:val="00F40C3F"/>
    <w:rsid w:val="00F413CB"/>
    <w:rsid w:val="00F41409"/>
    <w:rsid w:val="00F41AC5"/>
    <w:rsid w:val="00F4227B"/>
    <w:rsid w:val="00F42689"/>
    <w:rsid w:val="00F426FD"/>
    <w:rsid w:val="00F42BE9"/>
    <w:rsid w:val="00F42DEE"/>
    <w:rsid w:val="00F436D2"/>
    <w:rsid w:val="00F443FD"/>
    <w:rsid w:val="00F4491B"/>
    <w:rsid w:val="00F45A94"/>
    <w:rsid w:val="00F461A2"/>
    <w:rsid w:val="00F46570"/>
    <w:rsid w:val="00F4686E"/>
    <w:rsid w:val="00F469BD"/>
    <w:rsid w:val="00F46B10"/>
    <w:rsid w:val="00F46FD5"/>
    <w:rsid w:val="00F47311"/>
    <w:rsid w:val="00F47A12"/>
    <w:rsid w:val="00F47E16"/>
    <w:rsid w:val="00F47FCD"/>
    <w:rsid w:val="00F506AE"/>
    <w:rsid w:val="00F50BDF"/>
    <w:rsid w:val="00F517FD"/>
    <w:rsid w:val="00F51ED3"/>
    <w:rsid w:val="00F52583"/>
    <w:rsid w:val="00F52DDF"/>
    <w:rsid w:val="00F53026"/>
    <w:rsid w:val="00F53038"/>
    <w:rsid w:val="00F530B3"/>
    <w:rsid w:val="00F54249"/>
    <w:rsid w:val="00F542D7"/>
    <w:rsid w:val="00F547CF"/>
    <w:rsid w:val="00F54F4C"/>
    <w:rsid w:val="00F550E9"/>
    <w:rsid w:val="00F5553C"/>
    <w:rsid w:val="00F55674"/>
    <w:rsid w:val="00F55A67"/>
    <w:rsid w:val="00F55BC5"/>
    <w:rsid w:val="00F560B3"/>
    <w:rsid w:val="00F56219"/>
    <w:rsid w:val="00F5669F"/>
    <w:rsid w:val="00F5678E"/>
    <w:rsid w:val="00F56A50"/>
    <w:rsid w:val="00F56D12"/>
    <w:rsid w:val="00F56E2D"/>
    <w:rsid w:val="00F574CA"/>
    <w:rsid w:val="00F57B29"/>
    <w:rsid w:val="00F57D0E"/>
    <w:rsid w:val="00F57DD3"/>
    <w:rsid w:val="00F60151"/>
    <w:rsid w:val="00F60199"/>
    <w:rsid w:val="00F608DD"/>
    <w:rsid w:val="00F60AFC"/>
    <w:rsid w:val="00F60CBF"/>
    <w:rsid w:val="00F60DA7"/>
    <w:rsid w:val="00F61200"/>
    <w:rsid w:val="00F612EC"/>
    <w:rsid w:val="00F614BA"/>
    <w:rsid w:val="00F62200"/>
    <w:rsid w:val="00F625E7"/>
    <w:rsid w:val="00F638C0"/>
    <w:rsid w:val="00F63B7B"/>
    <w:rsid w:val="00F6409C"/>
    <w:rsid w:val="00F64867"/>
    <w:rsid w:val="00F64FD0"/>
    <w:rsid w:val="00F6519A"/>
    <w:rsid w:val="00F65743"/>
    <w:rsid w:val="00F657B1"/>
    <w:rsid w:val="00F657C8"/>
    <w:rsid w:val="00F65947"/>
    <w:rsid w:val="00F65A4D"/>
    <w:rsid w:val="00F65E4A"/>
    <w:rsid w:val="00F65F08"/>
    <w:rsid w:val="00F65F60"/>
    <w:rsid w:val="00F6629C"/>
    <w:rsid w:val="00F662C0"/>
    <w:rsid w:val="00F66442"/>
    <w:rsid w:val="00F66FC4"/>
    <w:rsid w:val="00F671BB"/>
    <w:rsid w:val="00F6721E"/>
    <w:rsid w:val="00F6756E"/>
    <w:rsid w:val="00F679A1"/>
    <w:rsid w:val="00F67A16"/>
    <w:rsid w:val="00F67B4E"/>
    <w:rsid w:val="00F71630"/>
    <w:rsid w:val="00F71BF3"/>
    <w:rsid w:val="00F71EA3"/>
    <w:rsid w:val="00F71ECF"/>
    <w:rsid w:val="00F72193"/>
    <w:rsid w:val="00F72717"/>
    <w:rsid w:val="00F73035"/>
    <w:rsid w:val="00F7404E"/>
    <w:rsid w:val="00F74407"/>
    <w:rsid w:val="00F74AB6"/>
    <w:rsid w:val="00F74D90"/>
    <w:rsid w:val="00F755D4"/>
    <w:rsid w:val="00F7562D"/>
    <w:rsid w:val="00F7585E"/>
    <w:rsid w:val="00F75877"/>
    <w:rsid w:val="00F7587E"/>
    <w:rsid w:val="00F75B3C"/>
    <w:rsid w:val="00F76579"/>
    <w:rsid w:val="00F76603"/>
    <w:rsid w:val="00F76B0B"/>
    <w:rsid w:val="00F77332"/>
    <w:rsid w:val="00F7775A"/>
    <w:rsid w:val="00F7791E"/>
    <w:rsid w:val="00F77BEA"/>
    <w:rsid w:val="00F77C18"/>
    <w:rsid w:val="00F77C63"/>
    <w:rsid w:val="00F77DB9"/>
    <w:rsid w:val="00F80C15"/>
    <w:rsid w:val="00F80D14"/>
    <w:rsid w:val="00F82441"/>
    <w:rsid w:val="00F824B8"/>
    <w:rsid w:val="00F82BBA"/>
    <w:rsid w:val="00F82E62"/>
    <w:rsid w:val="00F82E8E"/>
    <w:rsid w:val="00F83008"/>
    <w:rsid w:val="00F83581"/>
    <w:rsid w:val="00F83A59"/>
    <w:rsid w:val="00F83C7F"/>
    <w:rsid w:val="00F848BA"/>
    <w:rsid w:val="00F84C06"/>
    <w:rsid w:val="00F84E8A"/>
    <w:rsid w:val="00F851AA"/>
    <w:rsid w:val="00F856BE"/>
    <w:rsid w:val="00F8576A"/>
    <w:rsid w:val="00F85902"/>
    <w:rsid w:val="00F86BEB"/>
    <w:rsid w:val="00F87216"/>
    <w:rsid w:val="00F90009"/>
    <w:rsid w:val="00F902B8"/>
    <w:rsid w:val="00F902FF"/>
    <w:rsid w:val="00F90E43"/>
    <w:rsid w:val="00F91B67"/>
    <w:rsid w:val="00F91FC1"/>
    <w:rsid w:val="00F92772"/>
    <w:rsid w:val="00F92960"/>
    <w:rsid w:val="00F92F5B"/>
    <w:rsid w:val="00F93681"/>
    <w:rsid w:val="00F9378D"/>
    <w:rsid w:val="00F93938"/>
    <w:rsid w:val="00F93F2B"/>
    <w:rsid w:val="00F946DF"/>
    <w:rsid w:val="00F94FBB"/>
    <w:rsid w:val="00F95327"/>
    <w:rsid w:val="00F95D91"/>
    <w:rsid w:val="00F95E8B"/>
    <w:rsid w:val="00F96158"/>
    <w:rsid w:val="00F962F3"/>
    <w:rsid w:val="00F9693A"/>
    <w:rsid w:val="00F9703B"/>
    <w:rsid w:val="00F97061"/>
    <w:rsid w:val="00F97140"/>
    <w:rsid w:val="00F97799"/>
    <w:rsid w:val="00F977D3"/>
    <w:rsid w:val="00F978EB"/>
    <w:rsid w:val="00F97B83"/>
    <w:rsid w:val="00F97D37"/>
    <w:rsid w:val="00FA003F"/>
    <w:rsid w:val="00FA0162"/>
    <w:rsid w:val="00FA02EA"/>
    <w:rsid w:val="00FA04B0"/>
    <w:rsid w:val="00FA09D4"/>
    <w:rsid w:val="00FA0E7B"/>
    <w:rsid w:val="00FA1011"/>
    <w:rsid w:val="00FA135D"/>
    <w:rsid w:val="00FA1427"/>
    <w:rsid w:val="00FA14DF"/>
    <w:rsid w:val="00FA18A2"/>
    <w:rsid w:val="00FA1DE7"/>
    <w:rsid w:val="00FA21BB"/>
    <w:rsid w:val="00FA227E"/>
    <w:rsid w:val="00FA22B5"/>
    <w:rsid w:val="00FA28C4"/>
    <w:rsid w:val="00FA2CBA"/>
    <w:rsid w:val="00FA2E53"/>
    <w:rsid w:val="00FA2EF8"/>
    <w:rsid w:val="00FA2F0E"/>
    <w:rsid w:val="00FA2F4A"/>
    <w:rsid w:val="00FA353D"/>
    <w:rsid w:val="00FA36D0"/>
    <w:rsid w:val="00FA39C9"/>
    <w:rsid w:val="00FA3D47"/>
    <w:rsid w:val="00FA4665"/>
    <w:rsid w:val="00FA4E1C"/>
    <w:rsid w:val="00FA5111"/>
    <w:rsid w:val="00FA51E3"/>
    <w:rsid w:val="00FA5D5E"/>
    <w:rsid w:val="00FA5ECE"/>
    <w:rsid w:val="00FA5FCE"/>
    <w:rsid w:val="00FA6DA9"/>
    <w:rsid w:val="00FA723D"/>
    <w:rsid w:val="00FA7252"/>
    <w:rsid w:val="00FA73C5"/>
    <w:rsid w:val="00FAE184"/>
    <w:rsid w:val="00FB02AE"/>
    <w:rsid w:val="00FB059F"/>
    <w:rsid w:val="00FB0773"/>
    <w:rsid w:val="00FB07E0"/>
    <w:rsid w:val="00FB0C31"/>
    <w:rsid w:val="00FB1741"/>
    <w:rsid w:val="00FB1BF2"/>
    <w:rsid w:val="00FB1D3E"/>
    <w:rsid w:val="00FB21F3"/>
    <w:rsid w:val="00FB2341"/>
    <w:rsid w:val="00FB2436"/>
    <w:rsid w:val="00FB2A8F"/>
    <w:rsid w:val="00FB36D9"/>
    <w:rsid w:val="00FB386B"/>
    <w:rsid w:val="00FB423C"/>
    <w:rsid w:val="00FB4856"/>
    <w:rsid w:val="00FB4AC0"/>
    <w:rsid w:val="00FB4AC5"/>
    <w:rsid w:val="00FB4B20"/>
    <w:rsid w:val="00FB4C42"/>
    <w:rsid w:val="00FB5429"/>
    <w:rsid w:val="00FB568D"/>
    <w:rsid w:val="00FB608B"/>
    <w:rsid w:val="00FB61E2"/>
    <w:rsid w:val="00FB6343"/>
    <w:rsid w:val="00FB65CF"/>
    <w:rsid w:val="00FB6953"/>
    <w:rsid w:val="00FB6B1E"/>
    <w:rsid w:val="00FB7009"/>
    <w:rsid w:val="00FB72FC"/>
    <w:rsid w:val="00FC0717"/>
    <w:rsid w:val="00FC0A41"/>
    <w:rsid w:val="00FC100B"/>
    <w:rsid w:val="00FC1F31"/>
    <w:rsid w:val="00FC20A7"/>
    <w:rsid w:val="00FC2D86"/>
    <w:rsid w:val="00FC2EE0"/>
    <w:rsid w:val="00FC310E"/>
    <w:rsid w:val="00FC3E3F"/>
    <w:rsid w:val="00FC3F9B"/>
    <w:rsid w:val="00FC4995"/>
    <w:rsid w:val="00FC5112"/>
    <w:rsid w:val="00FC5445"/>
    <w:rsid w:val="00FC5878"/>
    <w:rsid w:val="00FC5BBB"/>
    <w:rsid w:val="00FC604A"/>
    <w:rsid w:val="00FC65B5"/>
    <w:rsid w:val="00FC6C58"/>
    <w:rsid w:val="00FC7257"/>
    <w:rsid w:val="00FC72D0"/>
    <w:rsid w:val="00FC785F"/>
    <w:rsid w:val="00FD09BE"/>
    <w:rsid w:val="00FD1B97"/>
    <w:rsid w:val="00FD202F"/>
    <w:rsid w:val="00FD2C38"/>
    <w:rsid w:val="00FD2C63"/>
    <w:rsid w:val="00FD2D21"/>
    <w:rsid w:val="00FD33DF"/>
    <w:rsid w:val="00FD3528"/>
    <w:rsid w:val="00FD4F6B"/>
    <w:rsid w:val="00FD522C"/>
    <w:rsid w:val="00FD5380"/>
    <w:rsid w:val="00FD641D"/>
    <w:rsid w:val="00FD66D4"/>
    <w:rsid w:val="00FD684E"/>
    <w:rsid w:val="00FD6A6F"/>
    <w:rsid w:val="00FD6D00"/>
    <w:rsid w:val="00FD6FE9"/>
    <w:rsid w:val="00FD7022"/>
    <w:rsid w:val="00FD70FF"/>
    <w:rsid w:val="00FD7310"/>
    <w:rsid w:val="00FD7C2F"/>
    <w:rsid w:val="00FE00E3"/>
    <w:rsid w:val="00FE02FA"/>
    <w:rsid w:val="00FE0947"/>
    <w:rsid w:val="00FE09A2"/>
    <w:rsid w:val="00FE0BD5"/>
    <w:rsid w:val="00FE0CE3"/>
    <w:rsid w:val="00FE0CF5"/>
    <w:rsid w:val="00FE0D92"/>
    <w:rsid w:val="00FE0EA6"/>
    <w:rsid w:val="00FE1BA7"/>
    <w:rsid w:val="00FE1F26"/>
    <w:rsid w:val="00FE2128"/>
    <w:rsid w:val="00FE2295"/>
    <w:rsid w:val="00FE22CB"/>
    <w:rsid w:val="00FE2643"/>
    <w:rsid w:val="00FE2719"/>
    <w:rsid w:val="00FE2805"/>
    <w:rsid w:val="00FE32A1"/>
    <w:rsid w:val="00FE3363"/>
    <w:rsid w:val="00FE339A"/>
    <w:rsid w:val="00FE3406"/>
    <w:rsid w:val="00FE3673"/>
    <w:rsid w:val="00FE3A97"/>
    <w:rsid w:val="00FE3AFA"/>
    <w:rsid w:val="00FE3CC0"/>
    <w:rsid w:val="00FE4195"/>
    <w:rsid w:val="00FE4B55"/>
    <w:rsid w:val="00FE4B90"/>
    <w:rsid w:val="00FE4FFE"/>
    <w:rsid w:val="00FE51DA"/>
    <w:rsid w:val="00FE5290"/>
    <w:rsid w:val="00FE5398"/>
    <w:rsid w:val="00FE5A37"/>
    <w:rsid w:val="00FE5A6E"/>
    <w:rsid w:val="00FE606B"/>
    <w:rsid w:val="00FE62A3"/>
    <w:rsid w:val="00FE69EC"/>
    <w:rsid w:val="00FE7A98"/>
    <w:rsid w:val="00FF0511"/>
    <w:rsid w:val="00FF0554"/>
    <w:rsid w:val="00FF0981"/>
    <w:rsid w:val="00FF120B"/>
    <w:rsid w:val="00FF14FD"/>
    <w:rsid w:val="00FF1C59"/>
    <w:rsid w:val="00FF1D88"/>
    <w:rsid w:val="00FF1EA0"/>
    <w:rsid w:val="00FF1F9F"/>
    <w:rsid w:val="00FF24A8"/>
    <w:rsid w:val="00FF2B38"/>
    <w:rsid w:val="00FF2EF2"/>
    <w:rsid w:val="00FF33B4"/>
    <w:rsid w:val="00FF3913"/>
    <w:rsid w:val="00FF39D2"/>
    <w:rsid w:val="00FF3CF0"/>
    <w:rsid w:val="00FF46A2"/>
    <w:rsid w:val="00FF59DA"/>
    <w:rsid w:val="00FF5F64"/>
    <w:rsid w:val="00FF6AC0"/>
    <w:rsid w:val="00FF6EAC"/>
    <w:rsid w:val="00FF6FB9"/>
    <w:rsid w:val="00FF748B"/>
    <w:rsid w:val="00FF7652"/>
    <w:rsid w:val="00FF7A7D"/>
    <w:rsid w:val="00FF7BBF"/>
    <w:rsid w:val="00FF7EDF"/>
    <w:rsid w:val="0101BBDD"/>
    <w:rsid w:val="01101EBA"/>
    <w:rsid w:val="0110F8B0"/>
    <w:rsid w:val="01158CC2"/>
    <w:rsid w:val="011E412D"/>
    <w:rsid w:val="0142E6E8"/>
    <w:rsid w:val="01495DB8"/>
    <w:rsid w:val="0177B69E"/>
    <w:rsid w:val="0187A4F1"/>
    <w:rsid w:val="019FBE0F"/>
    <w:rsid w:val="01A598A8"/>
    <w:rsid w:val="01BEE2DB"/>
    <w:rsid w:val="01C1DC93"/>
    <w:rsid w:val="01C2C66D"/>
    <w:rsid w:val="01C2ECA9"/>
    <w:rsid w:val="01CFA2B8"/>
    <w:rsid w:val="01EC4405"/>
    <w:rsid w:val="01F1AD19"/>
    <w:rsid w:val="01F55341"/>
    <w:rsid w:val="020793FA"/>
    <w:rsid w:val="02087545"/>
    <w:rsid w:val="0209E174"/>
    <w:rsid w:val="0217EF3F"/>
    <w:rsid w:val="021936F5"/>
    <w:rsid w:val="025FA155"/>
    <w:rsid w:val="02600758"/>
    <w:rsid w:val="0275C574"/>
    <w:rsid w:val="028DB4F3"/>
    <w:rsid w:val="02AA843C"/>
    <w:rsid w:val="02C3EEC0"/>
    <w:rsid w:val="02FBDC6A"/>
    <w:rsid w:val="02FD8ACF"/>
    <w:rsid w:val="0303A782"/>
    <w:rsid w:val="03266588"/>
    <w:rsid w:val="033DEEB8"/>
    <w:rsid w:val="033E20B7"/>
    <w:rsid w:val="03473D17"/>
    <w:rsid w:val="036AEAF7"/>
    <w:rsid w:val="03731CFB"/>
    <w:rsid w:val="0376C779"/>
    <w:rsid w:val="03873BC4"/>
    <w:rsid w:val="03A57EA4"/>
    <w:rsid w:val="03B82BDC"/>
    <w:rsid w:val="03CABD04"/>
    <w:rsid w:val="03ECA1B5"/>
    <w:rsid w:val="04033CF2"/>
    <w:rsid w:val="040463DC"/>
    <w:rsid w:val="0421BEEC"/>
    <w:rsid w:val="0432AC4F"/>
    <w:rsid w:val="045FE1E6"/>
    <w:rsid w:val="046D212C"/>
    <w:rsid w:val="0471E6DC"/>
    <w:rsid w:val="0492C126"/>
    <w:rsid w:val="04A76646"/>
    <w:rsid w:val="04B1D128"/>
    <w:rsid w:val="04F2245A"/>
    <w:rsid w:val="04F982B0"/>
    <w:rsid w:val="051FF19A"/>
    <w:rsid w:val="052C3E82"/>
    <w:rsid w:val="052ECDC9"/>
    <w:rsid w:val="0530BD08"/>
    <w:rsid w:val="0535DFC1"/>
    <w:rsid w:val="0547E0A5"/>
    <w:rsid w:val="0547E0D5"/>
    <w:rsid w:val="05679085"/>
    <w:rsid w:val="0577DD17"/>
    <w:rsid w:val="058AEE05"/>
    <w:rsid w:val="058CC780"/>
    <w:rsid w:val="0597E6DE"/>
    <w:rsid w:val="05A98757"/>
    <w:rsid w:val="05BA2AB6"/>
    <w:rsid w:val="05D8CEA9"/>
    <w:rsid w:val="05D91E98"/>
    <w:rsid w:val="05F87860"/>
    <w:rsid w:val="05F8FFA0"/>
    <w:rsid w:val="0626C9D9"/>
    <w:rsid w:val="06450B3D"/>
    <w:rsid w:val="0649D45C"/>
    <w:rsid w:val="0679B666"/>
    <w:rsid w:val="068139C6"/>
    <w:rsid w:val="0692092F"/>
    <w:rsid w:val="06C4F483"/>
    <w:rsid w:val="06D039D7"/>
    <w:rsid w:val="06D086CF"/>
    <w:rsid w:val="06DC2ED0"/>
    <w:rsid w:val="06F2D812"/>
    <w:rsid w:val="06FA4432"/>
    <w:rsid w:val="07108966"/>
    <w:rsid w:val="071BE312"/>
    <w:rsid w:val="0722CA92"/>
    <w:rsid w:val="0726508D"/>
    <w:rsid w:val="076A4F7A"/>
    <w:rsid w:val="0775CDDE"/>
    <w:rsid w:val="077D5F24"/>
    <w:rsid w:val="07932368"/>
    <w:rsid w:val="07A3A1B0"/>
    <w:rsid w:val="07A5A687"/>
    <w:rsid w:val="07D04B41"/>
    <w:rsid w:val="07ED0AD7"/>
    <w:rsid w:val="07F25BFC"/>
    <w:rsid w:val="07F57D9D"/>
    <w:rsid w:val="08052261"/>
    <w:rsid w:val="080D55A5"/>
    <w:rsid w:val="0817C2F1"/>
    <w:rsid w:val="08236617"/>
    <w:rsid w:val="08243126"/>
    <w:rsid w:val="08495B71"/>
    <w:rsid w:val="08529155"/>
    <w:rsid w:val="085887EC"/>
    <w:rsid w:val="086617D4"/>
    <w:rsid w:val="0894B3CD"/>
    <w:rsid w:val="08B9C2FB"/>
    <w:rsid w:val="08BFF567"/>
    <w:rsid w:val="08F964EB"/>
    <w:rsid w:val="09000728"/>
    <w:rsid w:val="090D35B2"/>
    <w:rsid w:val="0919A28B"/>
    <w:rsid w:val="093BA355"/>
    <w:rsid w:val="0946103A"/>
    <w:rsid w:val="095EBEE5"/>
    <w:rsid w:val="0966F432"/>
    <w:rsid w:val="097AD769"/>
    <w:rsid w:val="098349E8"/>
    <w:rsid w:val="0994C62D"/>
    <w:rsid w:val="09AFEA1C"/>
    <w:rsid w:val="09CE1E56"/>
    <w:rsid w:val="0A171926"/>
    <w:rsid w:val="0A1C0ED4"/>
    <w:rsid w:val="0A2AFA08"/>
    <w:rsid w:val="0A2B106D"/>
    <w:rsid w:val="0A3020E5"/>
    <w:rsid w:val="0A35D83E"/>
    <w:rsid w:val="0A58B8C6"/>
    <w:rsid w:val="0A6535A3"/>
    <w:rsid w:val="0A6696D7"/>
    <w:rsid w:val="0A95D969"/>
    <w:rsid w:val="0AA1E02C"/>
    <w:rsid w:val="0AAC5DA6"/>
    <w:rsid w:val="0AAEC09E"/>
    <w:rsid w:val="0ABC9E55"/>
    <w:rsid w:val="0AE69646"/>
    <w:rsid w:val="0B16A7CA"/>
    <w:rsid w:val="0B350F53"/>
    <w:rsid w:val="0B3A21E2"/>
    <w:rsid w:val="0B43DF6B"/>
    <w:rsid w:val="0B507542"/>
    <w:rsid w:val="0B57B882"/>
    <w:rsid w:val="0B60536B"/>
    <w:rsid w:val="0B8656FA"/>
    <w:rsid w:val="0BC6D89D"/>
    <w:rsid w:val="0BCAAA46"/>
    <w:rsid w:val="0BD5FFE1"/>
    <w:rsid w:val="0BD79BB2"/>
    <w:rsid w:val="0BE993C4"/>
    <w:rsid w:val="0BEE3E56"/>
    <w:rsid w:val="0BF9FFAF"/>
    <w:rsid w:val="0C09982B"/>
    <w:rsid w:val="0C140434"/>
    <w:rsid w:val="0C2088FF"/>
    <w:rsid w:val="0C320273"/>
    <w:rsid w:val="0C3E3542"/>
    <w:rsid w:val="0C4778B5"/>
    <w:rsid w:val="0C4C392C"/>
    <w:rsid w:val="0C5053A0"/>
    <w:rsid w:val="0C63D064"/>
    <w:rsid w:val="0C703774"/>
    <w:rsid w:val="0C9FFB11"/>
    <w:rsid w:val="0CC878A5"/>
    <w:rsid w:val="0CD1BE1E"/>
    <w:rsid w:val="0CDB47C8"/>
    <w:rsid w:val="0D02C49E"/>
    <w:rsid w:val="0D051FC1"/>
    <w:rsid w:val="0D5211E4"/>
    <w:rsid w:val="0D63B797"/>
    <w:rsid w:val="0D856425"/>
    <w:rsid w:val="0D92A6A5"/>
    <w:rsid w:val="0D9E3799"/>
    <w:rsid w:val="0DA47106"/>
    <w:rsid w:val="0DA72D12"/>
    <w:rsid w:val="0DA9A822"/>
    <w:rsid w:val="0DAB90D2"/>
    <w:rsid w:val="0DB06496"/>
    <w:rsid w:val="0DB56749"/>
    <w:rsid w:val="0DB8474E"/>
    <w:rsid w:val="0DC14BC6"/>
    <w:rsid w:val="0DCB5E48"/>
    <w:rsid w:val="0DD655A3"/>
    <w:rsid w:val="0DD9C7F9"/>
    <w:rsid w:val="0DEFAA67"/>
    <w:rsid w:val="0E02D360"/>
    <w:rsid w:val="0E05AC7A"/>
    <w:rsid w:val="0E10DFE9"/>
    <w:rsid w:val="0E16B949"/>
    <w:rsid w:val="0E1B40D5"/>
    <w:rsid w:val="0E1C61E9"/>
    <w:rsid w:val="0E29930C"/>
    <w:rsid w:val="0E4037A5"/>
    <w:rsid w:val="0E4CF4D2"/>
    <w:rsid w:val="0E58E87D"/>
    <w:rsid w:val="0E6770E9"/>
    <w:rsid w:val="0E93DE1B"/>
    <w:rsid w:val="0E96EE2E"/>
    <w:rsid w:val="0ED64CE3"/>
    <w:rsid w:val="0ED95B0B"/>
    <w:rsid w:val="0EDD39B6"/>
    <w:rsid w:val="0EE2D4A5"/>
    <w:rsid w:val="0EE348C9"/>
    <w:rsid w:val="0EF64E23"/>
    <w:rsid w:val="0F0A1427"/>
    <w:rsid w:val="0F0CE64E"/>
    <w:rsid w:val="0F120E7A"/>
    <w:rsid w:val="0F18CD3E"/>
    <w:rsid w:val="0F2DBA75"/>
    <w:rsid w:val="0F346E10"/>
    <w:rsid w:val="0F724D04"/>
    <w:rsid w:val="0F728944"/>
    <w:rsid w:val="0F83AA30"/>
    <w:rsid w:val="0F888BDA"/>
    <w:rsid w:val="0F986023"/>
    <w:rsid w:val="0FA68CAD"/>
    <w:rsid w:val="0FAB3769"/>
    <w:rsid w:val="0FABB4E0"/>
    <w:rsid w:val="0FB6948C"/>
    <w:rsid w:val="0FBA7ABB"/>
    <w:rsid w:val="0FC8BBEB"/>
    <w:rsid w:val="0FCB8843"/>
    <w:rsid w:val="0FCF3AAB"/>
    <w:rsid w:val="0FD34935"/>
    <w:rsid w:val="0FD87A15"/>
    <w:rsid w:val="0FE6F62A"/>
    <w:rsid w:val="0FF1F930"/>
    <w:rsid w:val="1004000E"/>
    <w:rsid w:val="1025E27B"/>
    <w:rsid w:val="102B0866"/>
    <w:rsid w:val="10792244"/>
    <w:rsid w:val="108F2158"/>
    <w:rsid w:val="10BF4F2A"/>
    <w:rsid w:val="10D0800F"/>
    <w:rsid w:val="10E8C893"/>
    <w:rsid w:val="10F00CA5"/>
    <w:rsid w:val="11030882"/>
    <w:rsid w:val="1116625E"/>
    <w:rsid w:val="11502ACD"/>
    <w:rsid w:val="11591476"/>
    <w:rsid w:val="11600BF6"/>
    <w:rsid w:val="1169685C"/>
    <w:rsid w:val="1186D675"/>
    <w:rsid w:val="119F11AB"/>
    <w:rsid w:val="11A045AD"/>
    <w:rsid w:val="11A7F02A"/>
    <w:rsid w:val="11AC550F"/>
    <w:rsid w:val="11BE7D5B"/>
    <w:rsid w:val="11C09F72"/>
    <w:rsid w:val="11C3232E"/>
    <w:rsid w:val="11CBA4C0"/>
    <w:rsid w:val="11E8D80C"/>
    <w:rsid w:val="11E9CF9B"/>
    <w:rsid w:val="11FAA0E9"/>
    <w:rsid w:val="120EF31E"/>
    <w:rsid w:val="1225ECD2"/>
    <w:rsid w:val="12528E3C"/>
    <w:rsid w:val="125A68DF"/>
    <w:rsid w:val="128B1A68"/>
    <w:rsid w:val="12995F2F"/>
    <w:rsid w:val="129C5045"/>
    <w:rsid w:val="12A5264B"/>
    <w:rsid w:val="12AE138E"/>
    <w:rsid w:val="12D2DCB7"/>
    <w:rsid w:val="12EAAA27"/>
    <w:rsid w:val="12F7D86B"/>
    <w:rsid w:val="13083AC6"/>
    <w:rsid w:val="13147291"/>
    <w:rsid w:val="131C67C7"/>
    <w:rsid w:val="131CBC73"/>
    <w:rsid w:val="1323D57D"/>
    <w:rsid w:val="1324CE96"/>
    <w:rsid w:val="1332253E"/>
    <w:rsid w:val="1333184A"/>
    <w:rsid w:val="1333FD96"/>
    <w:rsid w:val="133C58B2"/>
    <w:rsid w:val="13615274"/>
    <w:rsid w:val="1365854C"/>
    <w:rsid w:val="1365C73C"/>
    <w:rsid w:val="13678FAF"/>
    <w:rsid w:val="13760F0E"/>
    <w:rsid w:val="137B042F"/>
    <w:rsid w:val="139B421D"/>
    <w:rsid w:val="139F1D07"/>
    <w:rsid w:val="13E333AB"/>
    <w:rsid w:val="13E40FCA"/>
    <w:rsid w:val="140BB4EC"/>
    <w:rsid w:val="140DC060"/>
    <w:rsid w:val="14264FFD"/>
    <w:rsid w:val="143010B4"/>
    <w:rsid w:val="143BFF25"/>
    <w:rsid w:val="144BB653"/>
    <w:rsid w:val="14675A35"/>
    <w:rsid w:val="1477764D"/>
    <w:rsid w:val="1478EF54"/>
    <w:rsid w:val="14802698"/>
    <w:rsid w:val="1498E678"/>
    <w:rsid w:val="149DF009"/>
    <w:rsid w:val="14CD348D"/>
    <w:rsid w:val="14E13F54"/>
    <w:rsid w:val="150D8858"/>
    <w:rsid w:val="150F8039"/>
    <w:rsid w:val="153A7804"/>
    <w:rsid w:val="153E35A7"/>
    <w:rsid w:val="15493B52"/>
    <w:rsid w:val="155FBF57"/>
    <w:rsid w:val="156F240A"/>
    <w:rsid w:val="15790CC0"/>
    <w:rsid w:val="15A69942"/>
    <w:rsid w:val="15AC4080"/>
    <w:rsid w:val="15AF3D4C"/>
    <w:rsid w:val="15C1F6C2"/>
    <w:rsid w:val="15F6CE21"/>
    <w:rsid w:val="15FB2E66"/>
    <w:rsid w:val="160A965D"/>
    <w:rsid w:val="162AC51E"/>
    <w:rsid w:val="165510E0"/>
    <w:rsid w:val="1656914C"/>
    <w:rsid w:val="16595A71"/>
    <w:rsid w:val="1673612D"/>
    <w:rsid w:val="1693C4A7"/>
    <w:rsid w:val="1697FD4F"/>
    <w:rsid w:val="169CD856"/>
    <w:rsid w:val="16AE550F"/>
    <w:rsid w:val="16CD1EA5"/>
    <w:rsid w:val="171F0D7C"/>
    <w:rsid w:val="1733532C"/>
    <w:rsid w:val="17449E5E"/>
    <w:rsid w:val="17581ACF"/>
    <w:rsid w:val="17799D5F"/>
    <w:rsid w:val="177F888A"/>
    <w:rsid w:val="17820AB1"/>
    <w:rsid w:val="1788FD62"/>
    <w:rsid w:val="178D4A99"/>
    <w:rsid w:val="17A8EBAE"/>
    <w:rsid w:val="17A979F9"/>
    <w:rsid w:val="17BD6D98"/>
    <w:rsid w:val="17BFEF0C"/>
    <w:rsid w:val="17C985D4"/>
    <w:rsid w:val="17D4CBD1"/>
    <w:rsid w:val="17D7EC47"/>
    <w:rsid w:val="17E2456A"/>
    <w:rsid w:val="17E353E6"/>
    <w:rsid w:val="17FB3D2D"/>
    <w:rsid w:val="180479B6"/>
    <w:rsid w:val="180A2BA0"/>
    <w:rsid w:val="180BF02C"/>
    <w:rsid w:val="180EA957"/>
    <w:rsid w:val="18117032"/>
    <w:rsid w:val="18171BEA"/>
    <w:rsid w:val="183D0684"/>
    <w:rsid w:val="18436930"/>
    <w:rsid w:val="184BDEED"/>
    <w:rsid w:val="186214B8"/>
    <w:rsid w:val="18780441"/>
    <w:rsid w:val="187E6543"/>
    <w:rsid w:val="18860EA1"/>
    <w:rsid w:val="18ACB66A"/>
    <w:rsid w:val="18B0A1DF"/>
    <w:rsid w:val="18CFC568"/>
    <w:rsid w:val="18DE47AD"/>
    <w:rsid w:val="18E8217A"/>
    <w:rsid w:val="18EECD4F"/>
    <w:rsid w:val="19289E77"/>
    <w:rsid w:val="195CD41E"/>
    <w:rsid w:val="19665B9A"/>
    <w:rsid w:val="197E15CB"/>
    <w:rsid w:val="1981A6CB"/>
    <w:rsid w:val="198E27AF"/>
    <w:rsid w:val="199A84F7"/>
    <w:rsid w:val="199C7D29"/>
    <w:rsid w:val="19AF165C"/>
    <w:rsid w:val="19C9C79C"/>
    <w:rsid w:val="19CCC33F"/>
    <w:rsid w:val="19E25F4D"/>
    <w:rsid w:val="19FB1AEA"/>
    <w:rsid w:val="1A05F67A"/>
    <w:rsid w:val="1A242D32"/>
    <w:rsid w:val="1A259D1A"/>
    <w:rsid w:val="1A2931CD"/>
    <w:rsid w:val="1A392A96"/>
    <w:rsid w:val="1A43D2BE"/>
    <w:rsid w:val="1A442469"/>
    <w:rsid w:val="1A70148D"/>
    <w:rsid w:val="1A7BCA56"/>
    <w:rsid w:val="1A7CBAA1"/>
    <w:rsid w:val="1AABBDC4"/>
    <w:rsid w:val="1AACE456"/>
    <w:rsid w:val="1AB1FB53"/>
    <w:rsid w:val="1AB36757"/>
    <w:rsid w:val="1AE4D7E7"/>
    <w:rsid w:val="1AE7AE69"/>
    <w:rsid w:val="1AEE4CEB"/>
    <w:rsid w:val="1AFFD483"/>
    <w:rsid w:val="1B008E30"/>
    <w:rsid w:val="1B28A104"/>
    <w:rsid w:val="1B2D7357"/>
    <w:rsid w:val="1B366BE9"/>
    <w:rsid w:val="1B4EB870"/>
    <w:rsid w:val="1B5299D7"/>
    <w:rsid w:val="1B68661F"/>
    <w:rsid w:val="1B79231C"/>
    <w:rsid w:val="1B82E046"/>
    <w:rsid w:val="1B902AE2"/>
    <w:rsid w:val="1B9173D6"/>
    <w:rsid w:val="1B980892"/>
    <w:rsid w:val="1BAB1298"/>
    <w:rsid w:val="1BAD1BA6"/>
    <w:rsid w:val="1BAD2A0B"/>
    <w:rsid w:val="1BC5022E"/>
    <w:rsid w:val="1BD3FA6B"/>
    <w:rsid w:val="1BE18DF7"/>
    <w:rsid w:val="1BE480C8"/>
    <w:rsid w:val="1C188B02"/>
    <w:rsid w:val="1C1B6178"/>
    <w:rsid w:val="1C20E81E"/>
    <w:rsid w:val="1C232313"/>
    <w:rsid w:val="1C3AD25B"/>
    <w:rsid w:val="1C3BB06D"/>
    <w:rsid w:val="1C41C69B"/>
    <w:rsid w:val="1C45A325"/>
    <w:rsid w:val="1C7D362A"/>
    <w:rsid w:val="1C8B78F5"/>
    <w:rsid w:val="1C8FA6ED"/>
    <w:rsid w:val="1C918329"/>
    <w:rsid w:val="1C968296"/>
    <w:rsid w:val="1C9D6A66"/>
    <w:rsid w:val="1C9DF133"/>
    <w:rsid w:val="1CB0985D"/>
    <w:rsid w:val="1CB43E26"/>
    <w:rsid w:val="1CB4CA9F"/>
    <w:rsid w:val="1CB6F57D"/>
    <w:rsid w:val="1CC951E6"/>
    <w:rsid w:val="1D07093A"/>
    <w:rsid w:val="1D15C4FC"/>
    <w:rsid w:val="1D43BE22"/>
    <w:rsid w:val="1D4C66EB"/>
    <w:rsid w:val="1D5C38E6"/>
    <w:rsid w:val="1D6142CC"/>
    <w:rsid w:val="1D85E548"/>
    <w:rsid w:val="1D900C0C"/>
    <w:rsid w:val="1DA3C8CB"/>
    <w:rsid w:val="1DA3EAEC"/>
    <w:rsid w:val="1DAD70D5"/>
    <w:rsid w:val="1DAF34E0"/>
    <w:rsid w:val="1DB8206E"/>
    <w:rsid w:val="1DBBE914"/>
    <w:rsid w:val="1DBDEA19"/>
    <w:rsid w:val="1DC835A5"/>
    <w:rsid w:val="1DDBAEEC"/>
    <w:rsid w:val="1DE617D3"/>
    <w:rsid w:val="1DEC3BDA"/>
    <w:rsid w:val="1DF71878"/>
    <w:rsid w:val="1DF7E2AB"/>
    <w:rsid w:val="1DFEE3E4"/>
    <w:rsid w:val="1E12A75F"/>
    <w:rsid w:val="1E4321A5"/>
    <w:rsid w:val="1E4AFCDA"/>
    <w:rsid w:val="1E4FD5A8"/>
    <w:rsid w:val="1E562824"/>
    <w:rsid w:val="1E58906F"/>
    <w:rsid w:val="1E646C56"/>
    <w:rsid w:val="1E68B849"/>
    <w:rsid w:val="1E6E24A7"/>
    <w:rsid w:val="1E77F573"/>
    <w:rsid w:val="1E806CF0"/>
    <w:rsid w:val="1E8999DA"/>
    <w:rsid w:val="1E9A37FC"/>
    <w:rsid w:val="1EA2D99B"/>
    <w:rsid w:val="1EB57AFB"/>
    <w:rsid w:val="1EBB3E54"/>
    <w:rsid w:val="1EC617E4"/>
    <w:rsid w:val="1EDFE429"/>
    <w:rsid w:val="1EE68429"/>
    <w:rsid w:val="1EEA99B6"/>
    <w:rsid w:val="1EFCA2F0"/>
    <w:rsid w:val="1EFFE86F"/>
    <w:rsid w:val="1F011E77"/>
    <w:rsid w:val="1F0367F0"/>
    <w:rsid w:val="1F1448CC"/>
    <w:rsid w:val="1F1520FE"/>
    <w:rsid w:val="1F2401BE"/>
    <w:rsid w:val="1F323FE5"/>
    <w:rsid w:val="1F451947"/>
    <w:rsid w:val="1F47A2D3"/>
    <w:rsid w:val="1F4B1845"/>
    <w:rsid w:val="1F559257"/>
    <w:rsid w:val="1F5FAAFB"/>
    <w:rsid w:val="1F62F50C"/>
    <w:rsid w:val="1F708D5D"/>
    <w:rsid w:val="1FB6EC66"/>
    <w:rsid w:val="1FED0E2C"/>
    <w:rsid w:val="20033904"/>
    <w:rsid w:val="20070C1D"/>
    <w:rsid w:val="201F1A54"/>
    <w:rsid w:val="2052BBF0"/>
    <w:rsid w:val="206DF9B4"/>
    <w:rsid w:val="207CD0A0"/>
    <w:rsid w:val="2081002B"/>
    <w:rsid w:val="208E2206"/>
    <w:rsid w:val="209752BA"/>
    <w:rsid w:val="20987351"/>
    <w:rsid w:val="20A68FD6"/>
    <w:rsid w:val="20AB3E90"/>
    <w:rsid w:val="20B51664"/>
    <w:rsid w:val="20B6F559"/>
    <w:rsid w:val="20BE27F7"/>
    <w:rsid w:val="20CC30BB"/>
    <w:rsid w:val="20E7C88D"/>
    <w:rsid w:val="20F3335F"/>
    <w:rsid w:val="20F5D9C1"/>
    <w:rsid w:val="210C5DBE"/>
    <w:rsid w:val="21393C38"/>
    <w:rsid w:val="214C3369"/>
    <w:rsid w:val="214C3F6C"/>
    <w:rsid w:val="21549C13"/>
    <w:rsid w:val="2195AE70"/>
    <w:rsid w:val="219C0D18"/>
    <w:rsid w:val="219DF5BC"/>
    <w:rsid w:val="21ABB958"/>
    <w:rsid w:val="21C0ADF6"/>
    <w:rsid w:val="21C8865C"/>
    <w:rsid w:val="21D0F3CE"/>
    <w:rsid w:val="21DA7A5D"/>
    <w:rsid w:val="21DF01E7"/>
    <w:rsid w:val="21E53FC1"/>
    <w:rsid w:val="21ECA040"/>
    <w:rsid w:val="21FCCB1E"/>
    <w:rsid w:val="2213B2BB"/>
    <w:rsid w:val="22159201"/>
    <w:rsid w:val="22232270"/>
    <w:rsid w:val="2224E2BA"/>
    <w:rsid w:val="222962B1"/>
    <w:rsid w:val="2247E24B"/>
    <w:rsid w:val="22571C21"/>
    <w:rsid w:val="2258641B"/>
    <w:rsid w:val="225D890C"/>
    <w:rsid w:val="2267E06D"/>
    <w:rsid w:val="226A87F5"/>
    <w:rsid w:val="22726377"/>
    <w:rsid w:val="2284A725"/>
    <w:rsid w:val="22909A43"/>
    <w:rsid w:val="22A82E1F"/>
    <w:rsid w:val="22B79365"/>
    <w:rsid w:val="22CB5FA2"/>
    <w:rsid w:val="22D408CA"/>
    <w:rsid w:val="22E3A556"/>
    <w:rsid w:val="22E4256A"/>
    <w:rsid w:val="22F31AEE"/>
    <w:rsid w:val="22FD26CA"/>
    <w:rsid w:val="23093005"/>
    <w:rsid w:val="2341B47A"/>
    <w:rsid w:val="2344216F"/>
    <w:rsid w:val="234D3A07"/>
    <w:rsid w:val="23604ABF"/>
    <w:rsid w:val="2364A08F"/>
    <w:rsid w:val="236A0522"/>
    <w:rsid w:val="23851F20"/>
    <w:rsid w:val="239FC56E"/>
    <w:rsid w:val="23B6C324"/>
    <w:rsid w:val="23C43DB1"/>
    <w:rsid w:val="23D6DB85"/>
    <w:rsid w:val="23D6DE31"/>
    <w:rsid w:val="23E5B38D"/>
    <w:rsid w:val="23E705EE"/>
    <w:rsid w:val="240A748A"/>
    <w:rsid w:val="240CC322"/>
    <w:rsid w:val="24123051"/>
    <w:rsid w:val="241A8573"/>
    <w:rsid w:val="242611A4"/>
    <w:rsid w:val="242CBAA1"/>
    <w:rsid w:val="24537ADD"/>
    <w:rsid w:val="2453D045"/>
    <w:rsid w:val="24547ED7"/>
    <w:rsid w:val="245B1DB1"/>
    <w:rsid w:val="246F3155"/>
    <w:rsid w:val="24878488"/>
    <w:rsid w:val="24A8B8EF"/>
    <w:rsid w:val="24A8EE7A"/>
    <w:rsid w:val="24B7FE65"/>
    <w:rsid w:val="24E59E1E"/>
    <w:rsid w:val="24E7CE6F"/>
    <w:rsid w:val="24EB201E"/>
    <w:rsid w:val="24FEDFDC"/>
    <w:rsid w:val="252CD947"/>
    <w:rsid w:val="254184FC"/>
    <w:rsid w:val="25466144"/>
    <w:rsid w:val="25488428"/>
    <w:rsid w:val="25511A0A"/>
    <w:rsid w:val="255AA9B7"/>
    <w:rsid w:val="2579F716"/>
    <w:rsid w:val="25819A22"/>
    <w:rsid w:val="2584BBAC"/>
    <w:rsid w:val="259AA0A0"/>
    <w:rsid w:val="25A5451C"/>
    <w:rsid w:val="25AE4870"/>
    <w:rsid w:val="25C512BC"/>
    <w:rsid w:val="25C88A56"/>
    <w:rsid w:val="25E3634C"/>
    <w:rsid w:val="25F705C1"/>
    <w:rsid w:val="25FBEC67"/>
    <w:rsid w:val="2618C9E0"/>
    <w:rsid w:val="262E0F2C"/>
    <w:rsid w:val="263B1560"/>
    <w:rsid w:val="263EE8E9"/>
    <w:rsid w:val="265DDB50"/>
    <w:rsid w:val="265F9A90"/>
    <w:rsid w:val="267C9358"/>
    <w:rsid w:val="26AF5E7E"/>
    <w:rsid w:val="26D02170"/>
    <w:rsid w:val="26D08861"/>
    <w:rsid w:val="26D10757"/>
    <w:rsid w:val="26D28A69"/>
    <w:rsid w:val="26DB1ACA"/>
    <w:rsid w:val="26F02ABE"/>
    <w:rsid w:val="26F27A8E"/>
    <w:rsid w:val="26F42D77"/>
    <w:rsid w:val="26FB710A"/>
    <w:rsid w:val="26FD4E42"/>
    <w:rsid w:val="270A87B7"/>
    <w:rsid w:val="27100EA9"/>
    <w:rsid w:val="271E48EB"/>
    <w:rsid w:val="27333DAE"/>
    <w:rsid w:val="273A57E7"/>
    <w:rsid w:val="273A5B92"/>
    <w:rsid w:val="274A18D1"/>
    <w:rsid w:val="27584F01"/>
    <w:rsid w:val="275AB853"/>
    <w:rsid w:val="27633A08"/>
    <w:rsid w:val="27634FA3"/>
    <w:rsid w:val="2794A2FA"/>
    <w:rsid w:val="2799E479"/>
    <w:rsid w:val="27A1C3D1"/>
    <w:rsid w:val="27A4DB62"/>
    <w:rsid w:val="27B2F507"/>
    <w:rsid w:val="27BFCCEA"/>
    <w:rsid w:val="27CC2DE4"/>
    <w:rsid w:val="27CE771B"/>
    <w:rsid w:val="27E15ED1"/>
    <w:rsid w:val="27E4D72D"/>
    <w:rsid w:val="27E91AEF"/>
    <w:rsid w:val="27EA09A3"/>
    <w:rsid w:val="27F28F42"/>
    <w:rsid w:val="27F62171"/>
    <w:rsid w:val="27F9CC07"/>
    <w:rsid w:val="2801AAD7"/>
    <w:rsid w:val="28224E2C"/>
    <w:rsid w:val="282446CF"/>
    <w:rsid w:val="283F4134"/>
    <w:rsid w:val="284463EE"/>
    <w:rsid w:val="284BC263"/>
    <w:rsid w:val="2853B540"/>
    <w:rsid w:val="285AEC4A"/>
    <w:rsid w:val="286A9F61"/>
    <w:rsid w:val="28786DAF"/>
    <w:rsid w:val="288D1D00"/>
    <w:rsid w:val="289034B2"/>
    <w:rsid w:val="28A31BCF"/>
    <w:rsid w:val="28B1C8F9"/>
    <w:rsid w:val="28BA5A7C"/>
    <w:rsid w:val="28BEFE0B"/>
    <w:rsid w:val="28C4DE60"/>
    <w:rsid w:val="28E3C3BA"/>
    <w:rsid w:val="28F0AEF5"/>
    <w:rsid w:val="28F4A339"/>
    <w:rsid w:val="2928A48B"/>
    <w:rsid w:val="2976DABD"/>
    <w:rsid w:val="298203DB"/>
    <w:rsid w:val="2987F4CF"/>
    <w:rsid w:val="298FECB0"/>
    <w:rsid w:val="2991AC16"/>
    <w:rsid w:val="29B954B4"/>
    <w:rsid w:val="29CA6AC7"/>
    <w:rsid w:val="29DD09B6"/>
    <w:rsid w:val="29DEC9C5"/>
    <w:rsid w:val="29E4E685"/>
    <w:rsid w:val="29E5990B"/>
    <w:rsid w:val="29FA023B"/>
    <w:rsid w:val="2A0FBDC3"/>
    <w:rsid w:val="2A11B9E1"/>
    <w:rsid w:val="2A1A4C72"/>
    <w:rsid w:val="2A342DFB"/>
    <w:rsid w:val="2A45D968"/>
    <w:rsid w:val="2A4BC2EB"/>
    <w:rsid w:val="2A54475A"/>
    <w:rsid w:val="2A5D47DC"/>
    <w:rsid w:val="2A6DAE3E"/>
    <w:rsid w:val="2A75250D"/>
    <w:rsid w:val="2A7D73E3"/>
    <w:rsid w:val="2A886DD7"/>
    <w:rsid w:val="2A8BC794"/>
    <w:rsid w:val="2AB07803"/>
    <w:rsid w:val="2AB3755B"/>
    <w:rsid w:val="2AB88999"/>
    <w:rsid w:val="2ACF9AC4"/>
    <w:rsid w:val="2AE73CC0"/>
    <w:rsid w:val="2AF36BFD"/>
    <w:rsid w:val="2B0D35FF"/>
    <w:rsid w:val="2B263824"/>
    <w:rsid w:val="2B415092"/>
    <w:rsid w:val="2B45D538"/>
    <w:rsid w:val="2B56AF96"/>
    <w:rsid w:val="2B66F87A"/>
    <w:rsid w:val="2B6968FA"/>
    <w:rsid w:val="2B7561FE"/>
    <w:rsid w:val="2B76C5AF"/>
    <w:rsid w:val="2B7E292F"/>
    <w:rsid w:val="2B98312E"/>
    <w:rsid w:val="2BA16D93"/>
    <w:rsid w:val="2BA53ED4"/>
    <w:rsid w:val="2BB02C9E"/>
    <w:rsid w:val="2BB2BF71"/>
    <w:rsid w:val="2BC55C2A"/>
    <w:rsid w:val="2BC685ED"/>
    <w:rsid w:val="2BCEE22D"/>
    <w:rsid w:val="2BD985F4"/>
    <w:rsid w:val="2BF5F872"/>
    <w:rsid w:val="2C1AE04C"/>
    <w:rsid w:val="2C1E9935"/>
    <w:rsid w:val="2C21A342"/>
    <w:rsid w:val="2C284FB7"/>
    <w:rsid w:val="2C56CB87"/>
    <w:rsid w:val="2C604C98"/>
    <w:rsid w:val="2C7289D9"/>
    <w:rsid w:val="2C789E9F"/>
    <w:rsid w:val="2C9BDA23"/>
    <w:rsid w:val="2CE02492"/>
    <w:rsid w:val="2CEA69BC"/>
    <w:rsid w:val="2CF75B94"/>
    <w:rsid w:val="2CFF4409"/>
    <w:rsid w:val="2D027D2C"/>
    <w:rsid w:val="2D10A252"/>
    <w:rsid w:val="2D1EFF7D"/>
    <w:rsid w:val="2D203B75"/>
    <w:rsid w:val="2D639459"/>
    <w:rsid w:val="2D654A2A"/>
    <w:rsid w:val="2D6A0B92"/>
    <w:rsid w:val="2D740CAC"/>
    <w:rsid w:val="2D7922C2"/>
    <w:rsid w:val="2D92A61C"/>
    <w:rsid w:val="2D979585"/>
    <w:rsid w:val="2DB6AE56"/>
    <w:rsid w:val="2DD18037"/>
    <w:rsid w:val="2DD5849D"/>
    <w:rsid w:val="2DD89760"/>
    <w:rsid w:val="2DDEAB29"/>
    <w:rsid w:val="2DF3B489"/>
    <w:rsid w:val="2E212269"/>
    <w:rsid w:val="2E2A2422"/>
    <w:rsid w:val="2E4A8D9B"/>
    <w:rsid w:val="2E67D8A6"/>
    <w:rsid w:val="2E767F9B"/>
    <w:rsid w:val="2E854CEC"/>
    <w:rsid w:val="2E8EB587"/>
    <w:rsid w:val="2E9EB333"/>
    <w:rsid w:val="2EA85A06"/>
    <w:rsid w:val="2EC0E223"/>
    <w:rsid w:val="2EC9CC14"/>
    <w:rsid w:val="2ECB7438"/>
    <w:rsid w:val="2ECE8E84"/>
    <w:rsid w:val="2EEF9FA4"/>
    <w:rsid w:val="2EFB7058"/>
    <w:rsid w:val="2F026697"/>
    <w:rsid w:val="2F0D8BA1"/>
    <w:rsid w:val="2F0D8EC8"/>
    <w:rsid w:val="2F0F5047"/>
    <w:rsid w:val="2F175941"/>
    <w:rsid w:val="2F40F8ED"/>
    <w:rsid w:val="2F56CA66"/>
    <w:rsid w:val="2F8B3F3D"/>
    <w:rsid w:val="2FA1D22F"/>
    <w:rsid w:val="2FA782D1"/>
    <w:rsid w:val="2FA88D00"/>
    <w:rsid w:val="2FB2E123"/>
    <w:rsid w:val="2FBC1020"/>
    <w:rsid w:val="2FFCC4A2"/>
    <w:rsid w:val="300021B6"/>
    <w:rsid w:val="301E9F86"/>
    <w:rsid w:val="30291090"/>
    <w:rsid w:val="302F4470"/>
    <w:rsid w:val="303B19AB"/>
    <w:rsid w:val="30437B8B"/>
    <w:rsid w:val="30442A67"/>
    <w:rsid w:val="3048C1AA"/>
    <w:rsid w:val="305E2FAD"/>
    <w:rsid w:val="3066C3BC"/>
    <w:rsid w:val="306A5EE5"/>
    <w:rsid w:val="3083A54B"/>
    <w:rsid w:val="308745E5"/>
    <w:rsid w:val="309CA5C7"/>
    <w:rsid w:val="30A4695A"/>
    <w:rsid w:val="30C85C71"/>
    <w:rsid w:val="30D52E41"/>
    <w:rsid w:val="30DA97FC"/>
    <w:rsid w:val="30EF15B5"/>
    <w:rsid w:val="30F02679"/>
    <w:rsid w:val="30F25723"/>
    <w:rsid w:val="30FCFE12"/>
    <w:rsid w:val="31069479"/>
    <w:rsid w:val="3110C614"/>
    <w:rsid w:val="312954BB"/>
    <w:rsid w:val="313357E9"/>
    <w:rsid w:val="31348D90"/>
    <w:rsid w:val="31440506"/>
    <w:rsid w:val="3149B9DE"/>
    <w:rsid w:val="314AFFAC"/>
    <w:rsid w:val="31C8F190"/>
    <w:rsid w:val="31D08153"/>
    <w:rsid w:val="31D4CD36"/>
    <w:rsid w:val="31DB6593"/>
    <w:rsid w:val="31DFFAC8"/>
    <w:rsid w:val="31E415EC"/>
    <w:rsid w:val="3211FFF2"/>
    <w:rsid w:val="32168F95"/>
    <w:rsid w:val="3216ADBB"/>
    <w:rsid w:val="3223F489"/>
    <w:rsid w:val="3229A747"/>
    <w:rsid w:val="3286355E"/>
    <w:rsid w:val="32917C12"/>
    <w:rsid w:val="3297913B"/>
    <w:rsid w:val="32B1F8FC"/>
    <w:rsid w:val="32CE22CC"/>
    <w:rsid w:val="330646F0"/>
    <w:rsid w:val="330AF934"/>
    <w:rsid w:val="331B1E15"/>
    <w:rsid w:val="33418394"/>
    <w:rsid w:val="33474803"/>
    <w:rsid w:val="335CE412"/>
    <w:rsid w:val="3372BA6D"/>
    <w:rsid w:val="3374383F"/>
    <w:rsid w:val="337FC220"/>
    <w:rsid w:val="338252D5"/>
    <w:rsid w:val="338E2CC7"/>
    <w:rsid w:val="33C894AF"/>
    <w:rsid w:val="33CA1B26"/>
    <w:rsid w:val="33F0D6D5"/>
    <w:rsid w:val="3415180D"/>
    <w:rsid w:val="341C5D66"/>
    <w:rsid w:val="34275E9A"/>
    <w:rsid w:val="3433619C"/>
    <w:rsid w:val="3438169B"/>
    <w:rsid w:val="344500F0"/>
    <w:rsid w:val="34525D6A"/>
    <w:rsid w:val="3456E6A8"/>
    <w:rsid w:val="345EA0A6"/>
    <w:rsid w:val="346C6867"/>
    <w:rsid w:val="3472F25E"/>
    <w:rsid w:val="34815AA0"/>
    <w:rsid w:val="349161E4"/>
    <w:rsid w:val="3491BA9D"/>
    <w:rsid w:val="3498D3FB"/>
    <w:rsid w:val="34AA7429"/>
    <w:rsid w:val="34B83B88"/>
    <w:rsid w:val="34BD72C4"/>
    <w:rsid w:val="34C417D5"/>
    <w:rsid w:val="34D2A9AC"/>
    <w:rsid w:val="34D9B784"/>
    <w:rsid w:val="34E33807"/>
    <w:rsid w:val="34E771EE"/>
    <w:rsid w:val="34F23313"/>
    <w:rsid w:val="34F8D741"/>
    <w:rsid w:val="34FCC88A"/>
    <w:rsid w:val="350E8ACE"/>
    <w:rsid w:val="35218B93"/>
    <w:rsid w:val="352F7C74"/>
    <w:rsid w:val="35316CD8"/>
    <w:rsid w:val="353CCEB8"/>
    <w:rsid w:val="3546E43C"/>
    <w:rsid w:val="355AF2D2"/>
    <w:rsid w:val="355E4B6F"/>
    <w:rsid w:val="3577BE41"/>
    <w:rsid w:val="357D684A"/>
    <w:rsid w:val="3585224F"/>
    <w:rsid w:val="3587D646"/>
    <w:rsid w:val="3594B8C2"/>
    <w:rsid w:val="359E49D8"/>
    <w:rsid w:val="35AA197C"/>
    <w:rsid w:val="35CF5BF2"/>
    <w:rsid w:val="35DF2965"/>
    <w:rsid w:val="35DFEB01"/>
    <w:rsid w:val="35EDE779"/>
    <w:rsid w:val="3601470D"/>
    <w:rsid w:val="36179C8A"/>
    <w:rsid w:val="361E37AD"/>
    <w:rsid w:val="36646D2B"/>
    <w:rsid w:val="3690DA63"/>
    <w:rsid w:val="36B3AFCF"/>
    <w:rsid w:val="36C12742"/>
    <w:rsid w:val="36C42B4B"/>
    <w:rsid w:val="36D08D41"/>
    <w:rsid w:val="36D1701C"/>
    <w:rsid w:val="36DFC29E"/>
    <w:rsid w:val="36EABA7D"/>
    <w:rsid w:val="36EE3DFF"/>
    <w:rsid w:val="36F2C17F"/>
    <w:rsid w:val="37014FC5"/>
    <w:rsid w:val="3715BC2B"/>
    <w:rsid w:val="372E1085"/>
    <w:rsid w:val="373AE3F4"/>
    <w:rsid w:val="3760269C"/>
    <w:rsid w:val="3764E54D"/>
    <w:rsid w:val="376A0C6A"/>
    <w:rsid w:val="376F2C68"/>
    <w:rsid w:val="378122C1"/>
    <w:rsid w:val="37827935"/>
    <w:rsid w:val="379E1E22"/>
    <w:rsid w:val="37A6F253"/>
    <w:rsid w:val="37C1342E"/>
    <w:rsid w:val="37CB4E78"/>
    <w:rsid w:val="37D88E8F"/>
    <w:rsid w:val="37E137A4"/>
    <w:rsid w:val="37FBDE20"/>
    <w:rsid w:val="3807A399"/>
    <w:rsid w:val="3807A679"/>
    <w:rsid w:val="381FDF55"/>
    <w:rsid w:val="382BB27C"/>
    <w:rsid w:val="38406F61"/>
    <w:rsid w:val="384BE2EC"/>
    <w:rsid w:val="3853031F"/>
    <w:rsid w:val="38604FAC"/>
    <w:rsid w:val="386AB33F"/>
    <w:rsid w:val="387950D3"/>
    <w:rsid w:val="38820548"/>
    <w:rsid w:val="3896FB44"/>
    <w:rsid w:val="38A1A5FD"/>
    <w:rsid w:val="38A4A494"/>
    <w:rsid w:val="38A99231"/>
    <w:rsid w:val="38BC93C8"/>
    <w:rsid w:val="38C22CDC"/>
    <w:rsid w:val="38CD861E"/>
    <w:rsid w:val="38D0FC7B"/>
    <w:rsid w:val="38E3057C"/>
    <w:rsid w:val="38E494B3"/>
    <w:rsid w:val="38F3FBF7"/>
    <w:rsid w:val="38FA7C84"/>
    <w:rsid w:val="392177F7"/>
    <w:rsid w:val="392C2462"/>
    <w:rsid w:val="392C4B84"/>
    <w:rsid w:val="394C5CCC"/>
    <w:rsid w:val="394F8854"/>
    <w:rsid w:val="3961DCC3"/>
    <w:rsid w:val="39756F83"/>
    <w:rsid w:val="39A2C9E2"/>
    <w:rsid w:val="39B30360"/>
    <w:rsid w:val="39C87688"/>
    <w:rsid w:val="39D76775"/>
    <w:rsid w:val="39DB1C91"/>
    <w:rsid w:val="39EF2C16"/>
    <w:rsid w:val="39FF9FD5"/>
    <w:rsid w:val="3A2A2676"/>
    <w:rsid w:val="3A3ADD56"/>
    <w:rsid w:val="3A3CC51F"/>
    <w:rsid w:val="3A416F63"/>
    <w:rsid w:val="3A51A7D3"/>
    <w:rsid w:val="3A51AFB9"/>
    <w:rsid w:val="3A57F73B"/>
    <w:rsid w:val="3A5DBA79"/>
    <w:rsid w:val="3A74E7DB"/>
    <w:rsid w:val="3A752438"/>
    <w:rsid w:val="3A871484"/>
    <w:rsid w:val="3A87947A"/>
    <w:rsid w:val="3A898617"/>
    <w:rsid w:val="3A8E5F7D"/>
    <w:rsid w:val="3A996E84"/>
    <w:rsid w:val="3AB2A2F3"/>
    <w:rsid w:val="3AC7DC91"/>
    <w:rsid w:val="3ACF3EA2"/>
    <w:rsid w:val="3AD32DC3"/>
    <w:rsid w:val="3AD51909"/>
    <w:rsid w:val="3ADAB715"/>
    <w:rsid w:val="3AFF7FA3"/>
    <w:rsid w:val="3B002CAD"/>
    <w:rsid w:val="3B03547C"/>
    <w:rsid w:val="3B0A91EC"/>
    <w:rsid w:val="3B226855"/>
    <w:rsid w:val="3B2E0591"/>
    <w:rsid w:val="3B37233C"/>
    <w:rsid w:val="3B3C9CE5"/>
    <w:rsid w:val="3B424F8B"/>
    <w:rsid w:val="3B4A408D"/>
    <w:rsid w:val="3B50FFF6"/>
    <w:rsid w:val="3B77029A"/>
    <w:rsid w:val="3B99A10E"/>
    <w:rsid w:val="3B9D4F97"/>
    <w:rsid w:val="3BA03EE1"/>
    <w:rsid w:val="3BA94A26"/>
    <w:rsid w:val="3BAEE309"/>
    <w:rsid w:val="3BC9E550"/>
    <w:rsid w:val="3BD576FD"/>
    <w:rsid w:val="3BD68DBA"/>
    <w:rsid w:val="3BE2300A"/>
    <w:rsid w:val="3C027ABF"/>
    <w:rsid w:val="3C0722A6"/>
    <w:rsid w:val="3C0F7D5F"/>
    <w:rsid w:val="3C2328C1"/>
    <w:rsid w:val="3C30856A"/>
    <w:rsid w:val="3C3714B7"/>
    <w:rsid w:val="3C4F2C85"/>
    <w:rsid w:val="3C5E8B9F"/>
    <w:rsid w:val="3C79155D"/>
    <w:rsid w:val="3C83C78D"/>
    <w:rsid w:val="3CE09EEA"/>
    <w:rsid w:val="3CF73391"/>
    <w:rsid w:val="3D0C9A8B"/>
    <w:rsid w:val="3D0EA3CB"/>
    <w:rsid w:val="3D13D80E"/>
    <w:rsid w:val="3D23B54B"/>
    <w:rsid w:val="3D283B9D"/>
    <w:rsid w:val="3D2CDB5B"/>
    <w:rsid w:val="3D342EB2"/>
    <w:rsid w:val="3D3D3CC7"/>
    <w:rsid w:val="3D402110"/>
    <w:rsid w:val="3D7FBDEC"/>
    <w:rsid w:val="3D9749E4"/>
    <w:rsid w:val="3DA33D17"/>
    <w:rsid w:val="3DBC0160"/>
    <w:rsid w:val="3DBF2A72"/>
    <w:rsid w:val="3DC2C21F"/>
    <w:rsid w:val="3DD76BA5"/>
    <w:rsid w:val="3DE3FF9F"/>
    <w:rsid w:val="3E1CFD19"/>
    <w:rsid w:val="3E1F5A6E"/>
    <w:rsid w:val="3E234BCF"/>
    <w:rsid w:val="3E451934"/>
    <w:rsid w:val="3E6992F3"/>
    <w:rsid w:val="3E6D13F6"/>
    <w:rsid w:val="3E9296F0"/>
    <w:rsid w:val="3EB06331"/>
    <w:rsid w:val="3EB50966"/>
    <w:rsid w:val="3EB7C8BD"/>
    <w:rsid w:val="3EB8B2D3"/>
    <w:rsid w:val="3EBAA748"/>
    <w:rsid w:val="3EC36B3D"/>
    <w:rsid w:val="3EC8ABBC"/>
    <w:rsid w:val="3ECE06D5"/>
    <w:rsid w:val="3ECFA357"/>
    <w:rsid w:val="3EDC9126"/>
    <w:rsid w:val="3EE12CCA"/>
    <w:rsid w:val="3EE5DBB9"/>
    <w:rsid w:val="3EEEF55D"/>
    <w:rsid w:val="3F072951"/>
    <w:rsid w:val="3F0E2139"/>
    <w:rsid w:val="3F0ED59C"/>
    <w:rsid w:val="3F1F5B00"/>
    <w:rsid w:val="3F274A80"/>
    <w:rsid w:val="3F52C3B4"/>
    <w:rsid w:val="3F59CBEB"/>
    <w:rsid w:val="3F5CC7F0"/>
    <w:rsid w:val="3F5E6A22"/>
    <w:rsid w:val="3F6C404A"/>
    <w:rsid w:val="3F7684B3"/>
    <w:rsid w:val="3F8491F5"/>
    <w:rsid w:val="3F8DFC16"/>
    <w:rsid w:val="3FA25A6C"/>
    <w:rsid w:val="3FBCD0B0"/>
    <w:rsid w:val="3FBFDE26"/>
    <w:rsid w:val="3FC6B405"/>
    <w:rsid w:val="3FC990B8"/>
    <w:rsid w:val="3FD0CC0D"/>
    <w:rsid w:val="3FD5964E"/>
    <w:rsid w:val="3FDE20F7"/>
    <w:rsid w:val="3FE24191"/>
    <w:rsid w:val="401D7005"/>
    <w:rsid w:val="40264894"/>
    <w:rsid w:val="4036F155"/>
    <w:rsid w:val="403B4D3A"/>
    <w:rsid w:val="4041198E"/>
    <w:rsid w:val="40546B1A"/>
    <w:rsid w:val="406AC748"/>
    <w:rsid w:val="408046C4"/>
    <w:rsid w:val="409D0ED1"/>
    <w:rsid w:val="40AC0A03"/>
    <w:rsid w:val="40C0D17E"/>
    <w:rsid w:val="40D48708"/>
    <w:rsid w:val="40DA2B4E"/>
    <w:rsid w:val="40DAEC2E"/>
    <w:rsid w:val="40EBCE58"/>
    <w:rsid w:val="40EEC55C"/>
    <w:rsid w:val="41062751"/>
    <w:rsid w:val="410F6E17"/>
    <w:rsid w:val="411150BE"/>
    <w:rsid w:val="4119D70F"/>
    <w:rsid w:val="411D8A3C"/>
    <w:rsid w:val="41229DA8"/>
    <w:rsid w:val="412610A5"/>
    <w:rsid w:val="4131BC7A"/>
    <w:rsid w:val="41393F77"/>
    <w:rsid w:val="414387A2"/>
    <w:rsid w:val="415046CC"/>
    <w:rsid w:val="41580210"/>
    <w:rsid w:val="418CC913"/>
    <w:rsid w:val="418EE63F"/>
    <w:rsid w:val="41A69F6C"/>
    <w:rsid w:val="41AA5758"/>
    <w:rsid w:val="41AF7C09"/>
    <w:rsid w:val="41B4755C"/>
    <w:rsid w:val="41C6133F"/>
    <w:rsid w:val="41C8AF28"/>
    <w:rsid w:val="41CD00C4"/>
    <w:rsid w:val="41CF71A5"/>
    <w:rsid w:val="41D46E33"/>
    <w:rsid w:val="41EA2DCF"/>
    <w:rsid w:val="41F2FA31"/>
    <w:rsid w:val="41FE9868"/>
    <w:rsid w:val="4206EA6F"/>
    <w:rsid w:val="4210583E"/>
    <w:rsid w:val="421BCF65"/>
    <w:rsid w:val="423298AE"/>
    <w:rsid w:val="42344D2C"/>
    <w:rsid w:val="423CAFBD"/>
    <w:rsid w:val="4242A6D5"/>
    <w:rsid w:val="42521BA5"/>
    <w:rsid w:val="425CB9B8"/>
    <w:rsid w:val="4261F2D8"/>
    <w:rsid w:val="4276A8ED"/>
    <w:rsid w:val="427CF3C2"/>
    <w:rsid w:val="42886037"/>
    <w:rsid w:val="428CE4E3"/>
    <w:rsid w:val="428FA17F"/>
    <w:rsid w:val="42916CAD"/>
    <w:rsid w:val="42A1594C"/>
    <w:rsid w:val="42AADCC8"/>
    <w:rsid w:val="42DC263D"/>
    <w:rsid w:val="4302A292"/>
    <w:rsid w:val="430A0B8B"/>
    <w:rsid w:val="430CF107"/>
    <w:rsid w:val="431BFAC1"/>
    <w:rsid w:val="4343704C"/>
    <w:rsid w:val="435A5C89"/>
    <w:rsid w:val="437DCBF4"/>
    <w:rsid w:val="4380F361"/>
    <w:rsid w:val="4393C89A"/>
    <w:rsid w:val="43998BAD"/>
    <w:rsid w:val="43BA0C68"/>
    <w:rsid w:val="43C432FD"/>
    <w:rsid w:val="43CAC8C9"/>
    <w:rsid w:val="43CBDCE8"/>
    <w:rsid w:val="43D771F1"/>
    <w:rsid w:val="43E38EB1"/>
    <w:rsid w:val="441C1A64"/>
    <w:rsid w:val="4445B687"/>
    <w:rsid w:val="4464CFF6"/>
    <w:rsid w:val="44BA2534"/>
    <w:rsid w:val="44BC5268"/>
    <w:rsid w:val="44D07B64"/>
    <w:rsid w:val="44E380C0"/>
    <w:rsid w:val="44F605A9"/>
    <w:rsid w:val="44FA49A8"/>
    <w:rsid w:val="44FEB2B2"/>
    <w:rsid w:val="4508D732"/>
    <w:rsid w:val="4508ED3F"/>
    <w:rsid w:val="451DF039"/>
    <w:rsid w:val="451F604D"/>
    <w:rsid w:val="4520B6C2"/>
    <w:rsid w:val="4534B469"/>
    <w:rsid w:val="4547F7E4"/>
    <w:rsid w:val="4562419D"/>
    <w:rsid w:val="4567AD49"/>
    <w:rsid w:val="45734252"/>
    <w:rsid w:val="45A7F82B"/>
    <w:rsid w:val="45B254EC"/>
    <w:rsid w:val="45BA3390"/>
    <w:rsid w:val="45C17162"/>
    <w:rsid w:val="45CAD256"/>
    <w:rsid w:val="45E14E0A"/>
    <w:rsid w:val="46047EF7"/>
    <w:rsid w:val="460859EA"/>
    <w:rsid w:val="4621A42A"/>
    <w:rsid w:val="463AEA99"/>
    <w:rsid w:val="46466B37"/>
    <w:rsid w:val="46530512"/>
    <w:rsid w:val="465A2601"/>
    <w:rsid w:val="46686898"/>
    <w:rsid w:val="4672A023"/>
    <w:rsid w:val="467C464F"/>
    <w:rsid w:val="467E39FC"/>
    <w:rsid w:val="46BA3F2B"/>
    <w:rsid w:val="46BD0B4B"/>
    <w:rsid w:val="46C86C7F"/>
    <w:rsid w:val="46CCFA8C"/>
    <w:rsid w:val="46D59213"/>
    <w:rsid w:val="46D75FB7"/>
    <w:rsid w:val="46E3879D"/>
    <w:rsid w:val="46F80277"/>
    <w:rsid w:val="46FA2F5F"/>
    <w:rsid w:val="47037DAA"/>
    <w:rsid w:val="472B1ED8"/>
    <w:rsid w:val="47305900"/>
    <w:rsid w:val="47596772"/>
    <w:rsid w:val="4764C4E8"/>
    <w:rsid w:val="4769FF93"/>
    <w:rsid w:val="4793D765"/>
    <w:rsid w:val="47B36BA4"/>
    <w:rsid w:val="47B9FCB4"/>
    <w:rsid w:val="47D01F68"/>
    <w:rsid w:val="48106329"/>
    <w:rsid w:val="483047FD"/>
    <w:rsid w:val="48347DB3"/>
    <w:rsid w:val="4837C1ED"/>
    <w:rsid w:val="485BC0BE"/>
    <w:rsid w:val="4863C88C"/>
    <w:rsid w:val="486CBB83"/>
    <w:rsid w:val="486F8E02"/>
    <w:rsid w:val="488029CC"/>
    <w:rsid w:val="4885A21F"/>
    <w:rsid w:val="48AFA794"/>
    <w:rsid w:val="48B50469"/>
    <w:rsid w:val="48BB4D10"/>
    <w:rsid w:val="48D8360E"/>
    <w:rsid w:val="48DF10A4"/>
    <w:rsid w:val="48E93052"/>
    <w:rsid w:val="48FD9DF7"/>
    <w:rsid w:val="490211AE"/>
    <w:rsid w:val="490231C2"/>
    <w:rsid w:val="490DAC66"/>
    <w:rsid w:val="4927C649"/>
    <w:rsid w:val="492C8C23"/>
    <w:rsid w:val="49385824"/>
    <w:rsid w:val="494847C2"/>
    <w:rsid w:val="494D9099"/>
    <w:rsid w:val="4957F1A8"/>
    <w:rsid w:val="495A65D6"/>
    <w:rsid w:val="495E0EF1"/>
    <w:rsid w:val="4964C49E"/>
    <w:rsid w:val="496E2252"/>
    <w:rsid w:val="497646ED"/>
    <w:rsid w:val="4978D964"/>
    <w:rsid w:val="498AAE47"/>
    <w:rsid w:val="498EE476"/>
    <w:rsid w:val="49A18792"/>
    <w:rsid w:val="49ABA250"/>
    <w:rsid w:val="49BF0642"/>
    <w:rsid w:val="49F3C14B"/>
    <w:rsid w:val="49F4B8E2"/>
    <w:rsid w:val="49FC6BE7"/>
    <w:rsid w:val="49FC6C41"/>
    <w:rsid w:val="4A119495"/>
    <w:rsid w:val="4A2210E0"/>
    <w:rsid w:val="4A23A2FA"/>
    <w:rsid w:val="4A302B0D"/>
    <w:rsid w:val="4A3DDBDE"/>
    <w:rsid w:val="4A3E8FB8"/>
    <w:rsid w:val="4A47E007"/>
    <w:rsid w:val="4A604638"/>
    <w:rsid w:val="4A66EB44"/>
    <w:rsid w:val="4A6B0467"/>
    <w:rsid w:val="4A70398E"/>
    <w:rsid w:val="4A769282"/>
    <w:rsid w:val="4A7A8B63"/>
    <w:rsid w:val="4ACEACD7"/>
    <w:rsid w:val="4AE7F9F7"/>
    <w:rsid w:val="4AF1E0EA"/>
    <w:rsid w:val="4B007BBD"/>
    <w:rsid w:val="4B02FACD"/>
    <w:rsid w:val="4B0E692C"/>
    <w:rsid w:val="4B3A573B"/>
    <w:rsid w:val="4B3E0BF8"/>
    <w:rsid w:val="4B4C8F0F"/>
    <w:rsid w:val="4B4E2547"/>
    <w:rsid w:val="4B530439"/>
    <w:rsid w:val="4B5D92E7"/>
    <w:rsid w:val="4B6DA3E1"/>
    <w:rsid w:val="4B6EE63A"/>
    <w:rsid w:val="4B7502E6"/>
    <w:rsid w:val="4B7FD0DE"/>
    <w:rsid w:val="4B8CE53B"/>
    <w:rsid w:val="4B8FE288"/>
    <w:rsid w:val="4B9752F6"/>
    <w:rsid w:val="4BA1AE1B"/>
    <w:rsid w:val="4BAAA541"/>
    <w:rsid w:val="4BC75A1B"/>
    <w:rsid w:val="4BD34BD8"/>
    <w:rsid w:val="4BDB562A"/>
    <w:rsid w:val="4BE9A8BC"/>
    <w:rsid w:val="4C0677C8"/>
    <w:rsid w:val="4C12D77E"/>
    <w:rsid w:val="4C27EFA2"/>
    <w:rsid w:val="4C36F67F"/>
    <w:rsid w:val="4C4FFCBC"/>
    <w:rsid w:val="4C653947"/>
    <w:rsid w:val="4C6C4223"/>
    <w:rsid w:val="4C6D3DD5"/>
    <w:rsid w:val="4C74CD06"/>
    <w:rsid w:val="4C98B803"/>
    <w:rsid w:val="4C9A9B9E"/>
    <w:rsid w:val="4CADFEBE"/>
    <w:rsid w:val="4CBD2BCA"/>
    <w:rsid w:val="4CC24BAB"/>
    <w:rsid w:val="4CC340C4"/>
    <w:rsid w:val="4CC80799"/>
    <w:rsid w:val="4CCC61A4"/>
    <w:rsid w:val="4CFF85A5"/>
    <w:rsid w:val="4D2C59A4"/>
    <w:rsid w:val="4D310236"/>
    <w:rsid w:val="4D40F894"/>
    <w:rsid w:val="4D5362CB"/>
    <w:rsid w:val="4D653BD5"/>
    <w:rsid w:val="4D6A4D4F"/>
    <w:rsid w:val="4D749E18"/>
    <w:rsid w:val="4D77301D"/>
    <w:rsid w:val="4D7BCAFC"/>
    <w:rsid w:val="4DA19BB2"/>
    <w:rsid w:val="4DBDDA83"/>
    <w:rsid w:val="4DEC703D"/>
    <w:rsid w:val="4E15F15F"/>
    <w:rsid w:val="4E21DD44"/>
    <w:rsid w:val="4E31F6BE"/>
    <w:rsid w:val="4E641AFB"/>
    <w:rsid w:val="4E9554F3"/>
    <w:rsid w:val="4EB00F4B"/>
    <w:rsid w:val="4EB20BC3"/>
    <w:rsid w:val="4EB36C0D"/>
    <w:rsid w:val="4EBB97E5"/>
    <w:rsid w:val="4EBF4E38"/>
    <w:rsid w:val="4EC84B88"/>
    <w:rsid w:val="4EC86CEB"/>
    <w:rsid w:val="4ECB0242"/>
    <w:rsid w:val="4F13AE08"/>
    <w:rsid w:val="4F3749D0"/>
    <w:rsid w:val="4F39D8DF"/>
    <w:rsid w:val="4F5B388D"/>
    <w:rsid w:val="4F600BB4"/>
    <w:rsid w:val="4F64345B"/>
    <w:rsid w:val="4F6759E7"/>
    <w:rsid w:val="4F69484B"/>
    <w:rsid w:val="4F8D2AE2"/>
    <w:rsid w:val="4F9613D3"/>
    <w:rsid w:val="4F9662E9"/>
    <w:rsid w:val="4F97542F"/>
    <w:rsid w:val="4FA8E381"/>
    <w:rsid w:val="4FB780F2"/>
    <w:rsid w:val="4FC4E6A8"/>
    <w:rsid w:val="4FC78836"/>
    <w:rsid w:val="4FD1A8F3"/>
    <w:rsid w:val="4FDAC029"/>
    <w:rsid w:val="4FEADC59"/>
    <w:rsid w:val="4FECE663"/>
    <w:rsid w:val="50090823"/>
    <w:rsid w:val="5013D6D8"/>
    <w:rsid w:val="5026110A"/>
    <w:rsid w:val="502B315D"/>
    <w:rsid w:val="5035BA3D"/>
    <w:rsid w:val="505017D6"/>
    <w:rsid w:val="505B1E99"/>
    <w:rsid w:val="506A7168"/>
    <w:rsid w:val="507698D1"/>
    <w:rsid w:val="5087FE24"/>
    <w:rsid w:val="50A306EB"/>
    <w:rsid w:val="50FF4842"/>
    <w:rsid w:val="5102BE17"/>
    <w:rsid w:val="511C350D"/>
    <w:rsid w:val="512C1C1C"/>
    <w:rsid w:val="5135D904"/>
    <w:rsid w:val="513918BF"/>
    <w:rsid w:val="5186AE45"/>
    <w:rsid w:val="518A3044"/>
    <w:rsid w:val="51C0B2FE"/>
    <w:rsid w:val="51C5D2CE"/>
    <w:rsid w:val="51E043A3"/>
    <w:rsid w:val="51E063CA"/>
    <w:rsid w:val="51EC07B3"/>
    <w:rsid w:val="52077DC4"/>
    <w:rsid w:val="521E564C"/>
    <w:rsid w:val="52230260"/>
    <w:rsid w:val="52282B9C"/>
    <w:rsid w:val="5234E5A3"/>
    <w:rsid w:val="52364A86"/>
    <w:rsid w:val="52478D5D"/>
    <w:rsid w:val="52517646"/>
    <w:rsid w:val="526887E0"/>
    <w:rsid w:val="52808E90"/>
    <w:rsid w:val="52C857C0"/>
    <w:rsid w:val="52E38567"/>
    <w:rsid w:val="52F8A426"/>
    <w:rsid w:val="53030932"/>
    <w:rsid w:val="5309FEAE"/>
    <w:rsid w:val="530E9E62"/>
    <w:rsid w:val="53252B8F"/>
    <w:rsid w:val="5325EBA5"/>
    <w:rsid w:val="533DDFA6"/>
    <w:rsid w:val="534029C4"/>
    <w:rsid w:val="534134DC"/>
    <w:rsid w:val="5374A1FA"/>
    <w:rsid w:val="537C3DE9"/>
    <w:rsid w:val="537EBF0C"/>
    <w:rsid w:val="538272CB"/>
    <w:rsid w:val="5392BF5B"/>
    <w:rsid w:val="539A48EA"/>
    <w:rsid w:val="539C2875"/>
    <w:rsid w:val="53A2C7D7"/>
    <w:rsid w:val="53AD72FF"/>
    <w:rsid w:val="53AEF931"/>
    <w:rsid w:val="53B6C9EF"/>
    <w:rsid w:val="53BDE7C0"/>
    <w:rsid w:val="53C7A12C"/>
    <w:rsid w:val="53DB509F"/>
    <w:rsid w:val="53EA1579"/>
    <w:rsid w:val="53F42C05"/>
    <w:rsid w:val="541F2045"/>
    <w:rsid w:val="5420E7A7"/>
    <w:rsid w:val="542A391A"/>
    <w:rsid w:val="542F9DC0"/>
    <w:rsid w:val="5434826E"/>
    <w:rsid w:val="543D3CFB"/>
    <w:rsid w:val="544199EA"/>
    <w:rsid w:val="544468B4"/>
    <w:rsid w:val="544E8C4F"/>
    <w:rsid w:val="5451FE38"/>
    <w:rsid w:val="54761EC7"/>
    <w:rsid w:val="547A5EE8"/>
    <w:rsid w:val="5488409E"/>
    <w:rsid w:val="54A4AC4C"/>
    <w:rsid w:val="54A597C4"/>
    <w:rsid w:val="54AA41BA"/>
    <w:rsid w:val="54BF6752"/>
    <w:rsid w:val="54E8483D"/>
    <w:rsid w:val="54EBFF26"/>
    <w:rsid w:val="55026D70"/>
    <w:rsid w:val="550A7BFC"/>
    <w:rsid w:val="5511B422"/>
    <w:rsid w:val="551B4C33"/>
    <w:rsid w:val="55263BD0"/>
    <w:rsid w:val="552707DA"/>
    <w:rsid w:val="552C2F6C"/>
    <w:rsid w:val="553151E2"/>
    <w:rsid w:val="554346ED"/>
    <w:rsid w:val="5559BB96"/>
    <w:rsid w:val="555DA370"/>
    <w:rsid w:val="5567D35A"/>
    <w:rsid w:val="556CE4A2"/>
    <w:rsid w:val="556FCB3A"/>
    <w:rsid w:val="55772BB3"/>
    <w:rsid w:val="55945BE5"/>
    <w:rsid w:val="55A9ED47"/>
    <w:rsid w:val="55BA9B57"/>
    <w:rsid w:val="55C1486F"/>
    <w:rsid w:val="55CBC7D0"/>
    <w:rsid w:val="55D5516A"/>
    <w:rsid w:val="55F9EF11"/>
    <w:rsid w:val="55FCED4D"/>
    <w:rsid w:val="5624E265"/>
    <w:rsid w:val="56285587"/>
    <w:rsid w:val="5635896B"/>
    <w:rsid w:val="5640185F"/>
    <w:rsid w:val="564B5A5C"/>
    <w:rsid w:val="5650C32A"/>
    <w:rsid w:val="56638B78"/>
    <w:rsid w:val="5677AD9B"/>
    <w:rsid w:val="569BA843"/>
    <w:rsid w:val="56A1BF92"/>
    <w:rsid w:val="56C2B49A"/>
    <w:rsid w:val="56CC402E"/>
    <w:rsid w:val="56D19390"/>
    <w:rsid w:val="56E3E7F0"/>
    <w:rsid w:val="56FD49CE"/>
    <w:rsid w:val="5718ACD0"/>
    <w:rsid w:val="5720E967"/>
    <w:rsid w:val="5732F2F5"/>
    <w:rsid w:val="57339CF5"/>
    <w:rsid w:val="5733B269"/>
    <w:rsid w:val="573FA16F"/>
    <w:rsid w:val="5753E946"/>
    <w:rsid w:val="575FA0B4"/>
    <w:rsid w:val="57601FA8"/>
    <w:rsid w:val="5775AD42"/>
    <w:rsid w:val="578B75A5"/>
    <w:rsid w:val="57A125B8"/>
    <w:rsid w:val="57A5D532"/>
    <w:rsid w:val="57AF1697"/>
    <w:rsid w:val="57B702B5"/>
    <w:rsid w:val="57BA0DDE"/>
    <w:rsid w:val="57D3BA80"/>
    <w:rsid w:val="57DAB289"/>
    <w:rsid w:val="57F43C0A"/>
    <w:rsid w:val="5811D2A7"/>
    <w:rsid w:val="582738A3"/>
    <w:rsid w:val="5838E72A"/>
    <w:rsid w:val="58513CCC"/>
    <w:rsid w:val="5853A06F"/>
    <w:rsid w:val="5858A4E5"/>
    <w:rsid w:val="585CF268"/>
    <w:rsid w:val="586811B4"/>
    <w:rsid w:val="586D3EC6"/>
    <w:rsid w:val="5881416C"/>
    <w:rsid w:val="58829D8C"/>
    <w:rsid w:val="588D9F52"/>
    <w:rsid w:val="5899C48C"/>
    <w:rsid w:val="589B7222"/>
    <w:rsid w:val="58BE8748"/>
    <w:rsid w:val="58C47D78"/>
    <w:rsid w:val="58E228CA"/>
    <w:rsid w:val="58E7E6FD"/>
    <w:rsid w:val="58ECEE29"/>
    <w:rsid w:val="592AC2C6"/>
    <w:rsid w:val="5930BB45"/>
    <w:rsid w:val="5937D8C8"/>
    <w:rsid w:val="5954FB40"/>
    <w:rsid w:val="595CFE99"/>
    <w:rsid w:val="595FF649"/>
    <w:rsid w:val="596F0C77"/>
    <w:rsid w:val="59865D41"/>
    <w:rsid w:val="59BE43F5"/>
    <w:rsid w:val="59CCB678"/>
    <w:rsid w:val="59E36BE9"/>
    <w:rsid w:val="59E9AD92"/>
    <w:rsid w:val="59F1B44F"/>
    <w:rsid w:val="59FCFC74"/>
    <w:rsid w:val="5A006259"/>
    <w:rsid w:val="5A01AEAF"/>
    <w:rsid w:val="5A07B3A6"/>
    <w:rsid w:val="5A296FB3"/>
    <w:rsid w:val="5A2D56CC"/>
    <w:rsid w:val="5A4FDFE3"/>
    <w:rsid w:val="5A6027AD"/>
    <w:rsid w:val="5A6090C7"/>
    <w:rsid w:val="5A646D1B"/>
    <w:rsid w:val="5A7909FA"/>
    <w:rsid w:val="5A792A1B"/>
    <w:rsid w:val="5A863BEA"/>
    <w:rsid w:val="5A938F65"/>
    <w:rsid w:val="5ADFF537"/>
    <w:rsid w:val="5AE12C74"/>
    <w:rsid w:val="5AE4874E"/>
    <w:rsid w:val="5AE8F432"/>
    <w:rsid w:val="5AF0CBA1"/>
    <w:rsid w:val="5B0CAD68"/>
    <w:rsid w:val="5B21F423"/>
    <w:rsid w:val="5B27869F"/>
    <w:rsid w:val="5B2BDCCC"/>
    <w:rsid w:val="5B48C72C"/>
    <w:rsid w:val="5B4B5FAA"/>
    <w:rsid w:val="5B5AC8C9"/>
    <w:rsid w:val="5B655646"/>
    <w:rsid w:val="5B7C1A48"/>
    <w:rsid w:val="5B7C29A2"/>
    <w:rsid w:val="5B822B3B"/>
    <w:rsid w:val="5B831CF1"/>
    <w:rsid w:val="5B99BD04"/>
    <w:rsid w:val="5B9C4870"/>
    <w:rsid w:val="5BA2FA49"/>
    <w:rsid w:val="5BAC6DAC"/>
    <w:rsid w:val="5BB172D0"/>
    <w:rsid w:val="5BBBEA6E"/>
    <w:rsid w:val="5BBC735A"/>
    <w:rsid w:val="5BC54014"/>
    <w:rsid w:val="5BE0B42A"/>
    <w:rsid w:val="5BF117C5"/>
    <w:rsid w:val="5BF5B20F"/>
    <w:rsid w:val="5C01B87C"/>
    <w:rsid w:val="5C06D892"/>
    <w:rsid w:val="5C0F62BE"/>
    <w:rsid w:val="5C2006C1"/>
    <w:rsid w:val="5C2C2F2C"/>
    <w:rsid w:val="5C3CE31D"/>
    <w:rsid w:val="5C4380A4"/>
    <w:rsid w:val="5C49529F"/>
    <w:rsid w:val="5C5C7070"/>
    <w:rsid w:val="5C5D2108"/>
    <w:rsid w:val="5C696623"/>
    <w:rsid w:val="5C6CF793"/>
    <w:rsid w:val="5C6D426F"/>
    <w:rsid w:val="5C74DABF"/>
    <w:rsid w:val="5C805B65"/>
    <w:rsid w:val="5C829F39"/>
    <w:rsid w:val="5C88C55C"/>
    <w:rsid w:val="5C8C9C02"/>
    <w:rsid w:val="5CAA4C1D"/>
    <w:rsid w:val="5CBBBD07"/>
    <w:rsid w:val="5CBD0AC6"/>
    <w:rsid w:val="5CC87069"/>
    <w:rsid w:val="5CD05496"/>
    <w:rsid w:val="5CDFA14E"/>
    <w:rsid w:val="5CE29261"/>
    <w:rsid w:val="5CE70886"/>
    <w:rsid w:val="5CF43518"/>
    <w:rsid w:val="5CF7299B"/>
    <w:rsid w:val="5D0AB86A"/>
    <w:rsid w:val="5D241F7B"/>
    <w:rsid w:val="5D301C3A"/>
    <w:rsid w:val="5D3178FC"/>
    <w:rsid w:val="5D406BF6"/>
    <w:rsid w:val="5D47AD75"/>
    <w:rsid w:val="5D4963AF"/>
    <w:rsid w:val="5D66554A"/>
    <w:rsid w:val="5D6EBF75"/>
    <w:rsid w:val="5D7614EF"/>
    <w:rsid w:val="5D7E3DE1"/>
    <w:rsid w:val="5D874EDF"/>
    <w:rsid w:val="5DAEB923"/>
    <w:rsid w:val="5DCFA550"/>
    <w:rsid w:val="5DF6B50D"/>
    <w:rsid w:val="5E0323FA"/>
    <w:rsid w:val="5E13960A"/>
    <w:rsid w:val="5E15147F"/>
    <w:rsid w:val="5E151F57"/>
    <w:rsid w:val="5E25F913"/>
    <w:rsid w:val="5E4D7E53"/>
    <w:rsid w:val="5E5D91D0"/>
    <w:rsid w:val="5E61E0B1"/>
    <w:rsid w:val="5E6781B3"/>
    <w:rsid w:val="5E743DF8"/>
    <w:rsid w:val="5E799206"/>
    <w:rsid w:val="5E8DC353"/>
    <w:rsid w:val="5E8F7D35"/>
    <w:rsid w:val="5E9B2ACB"/>
    <w:rsid w:val="5EA71D86"/>
    <w:rsid w:val="5EAF9297"/>
    <w:rsid w:val="5EB4DEEB"/>
    <w:rsid w:val="5EBAC3FB"/>
    <w:rsid w:val="5EBFBE72"/>
    <w:rsid w:val="5EDE4DCF"/>
    <w:rsid w:val="5EE4611B"/>
    <w:rsid w:val="5EE572D3"/>
    <w:rsid w:val="5EE98509"/>
    <w:rsid w:val="5EF1DF10"/>
    <w:rsid w:val="5F0AA0C1"/>
    <w:rsid w:val="5F3AAC26"/>
    <w:rsid w:val="5F3D54D8"/>
    <w:rsid w:val="5F4E8B43"/>
    <w:rsid w:val="5F6D4633"/>
    <w:rsid w:val="5F76A6C4"/>
    <w:rsid w:val="5F79644D"/>
    <w:rsid w:val="5F9D3DF6"/>
    <w:rsid w:val="5FA0DCA4"/>
    <w:rsid w:val="5FB5FCE7"/>
    <w:rsid w:val="5FC4A49A"/>
    <w:rsid w:val="5FCC1CEB"/>
    <w:rsid w:val="5FD44549"/>
    <w:rsid w:val="5FE947F6"/>
    <w:rsid w:val="60036EF3"/>
    <w:rsid w:val="6008DD44"/>
    <w:rsid w:val="600944B1"/>
    <w:rsid w:val="600B9012"/>
    <w:rsid w:val="60201901"/>
    <w:rsid w:val="6038DFD9"/>
    <w:rsid w:val="60408E8E"/>
    <w:rsid w:val="604104BE"/>
    <w:rsid w:val="60444766"/>
    <w:rsid w:val="60488943"/>
    <w:rsid w:val="605867A5"/>
    <w:rsid w:val="606CD3E3"/>
    <w:rsid w:val="606D6B8D"/>
    <w:rsid w:val="607B93D0"/>
    <w:rsid w:val="608163A9"/>
    <w:rsid w:val="6086FC19"/>
    <w:rsid w:val="60874085"/>
    <w:rsid w:val="608D0F66"/>
    <w:rsid w:val="6090184B"/>
    <w:rsid w:val="6098F6D3"/>
    <w:rsid w:val="609986F8"/>
    <w:rsid w:val="609D6758"/>
    <w:rsid w:val="60A31009"/>
    <w:rsid w:val="60B66281"/>
    <w:rsid w:val="60BC9B49"/>
    <w:rsid w:val="60D1C7EE"/>
    <w:rsid w:val="60DCACB7"/>
    <w:rsid w:val="614CB541"/>
    <w:rsid w:val="615EC71A"/>
    <w:rsid w:val="6163D437"/>
    <w:rsid w:val="616FC96E"/>
    <w:rsid w:val="6192F5FD"/>
    <w:rsid w:val="619DD8D9"/>
    <w:rsid w:val="61A37EFB"/>
    <w:rsid w:val="61A9203F"/>
    <w:rsid w:val="61ACD57A"/>
    <w:rsid w:val="61B46A69"/>
    <w:rsid w:val="61D92988"/>
    <w:rsid w:val="61E04C6D"/>
    <w:rsid w:val="61E3C05E"/>
    <w:rsid w:val="61F17BB3"/>
    <w:rsid w:val="61F4F8AA"/>
    <w:rsid w:val="620088F5"/>
    <w:rsid w:val="620A9344"/>
    <w:rsid w:val="6231DED6"/>
    <w:rsid w:val="623725B5"/>
    <w:rsid w:val="624F4CCA"/>
    <w:rsid w:val="625A76AE"/>
    <w:rsid w:val="625A919C"/>
    <w:rsid w:val="6273A0A6"/>
    <w:rsid w:val="6281DC41"/>
    <w:rsid w:val="628A7EC6"/>
    <w:rsid w:val="62916664"/>
    <w:rsid w:val="62A4C310"/>
    <w:rsid w:val="62E44D04"/>
    <w:rsid w:val="62EFE423"/>
    <w:rsid w:val="631071CC"/>
    <w:rsid w:val="63231DB0"/>
    <w:rsid w:val="632B8020"/>
    <w:rsid w:val="632EFD23"/>
    <w:rsid w:val="63360FA2"/>
    <w:rsid w:val="633B00CA"/>
    <w:rsid w:val="633FF327"/>
    <w:rsid w:val="63439C55"/>
    <w:rsid w:val="6362F378"/>
    <w:rsid w:val="636500F0"/>
    <w:rsid w:val="636BB1DD"/>
    <w:rsid w:val="636CC3CA"/>
    <w:rsid w:val="638B4F77"/>
    <w:rsid w:val="638E4F3F"/>
    <w:rsid w:val="638F8698"/>
    <w:rsid w:val="63BC4CBF"/>
    <w:rsid w:val="63CD6A75"/>
    <w:rsid w:val="63D6EC76"/>
    <w:rsid w:val="63E3CF03"/>
    <w:rsid w:val="63FBFD6D"/>
    <w:rsid w:val="64013394"/>
    <w:rsid w:val="640F2A3D"/>
    <w:rsid w:val="64178A20"/>
    <w:rsid w:val="641DF303"/>
    <w:rsid w:val="64297969"/>
    <w:rsid w:val="6430319D"/>
    <w:rsid w:val="64418615"/>
    <w:rsid w:val="644D5ACC"/>
    <w:rsid w:val="6466D9BF"/>
    <w:rsid w:val="646EEADA"/>
    <w:rsid w:val="647BCC94"/>
    <w:rsid w:val="64845603"/>
    <w:rsid w:val="64A6A7CA"/>
    <w:rsid w:val="64C70382"/>
    <w:rsid w:val="64D2BF12"/>
    <w:rsid w:val="64D63A88"/>
    <w:rsid w:val="64D74E85"/>
    <w:rsid w:val="64DE1C3C"/>
    <w:rsid w:val="64E68103"/>
    <w:rsid w:val="64E98330"/>
    <w:rsid w:val="64F12495"/>
    <w:rsid w:val="65001337"/>
    <w:rsid w:val="6513CF10"/>
    <w:rsid w:val="65341F29"/>
    <w:rsid w:val="6534D975"/>
    <w:rsid w:val="653EDEB9"/>
    <w:rsid w:val="65417856"/>
    <w:rsid w:val="65543EC6"/>
    <w:rsid w:val="6557EC6C"/>
    <w:rsid w:val="6573E0E1"/>
    <w:rsid w:val="65825C9E"/>
    <w:rsid w:val="659CDED9"/>
    <w:rsid w:val="65A6B9C1"/>
    <w:rsid w:val="65A7723C"/>
    <w:rsid w:val="65AC6A15"/>
    <w:rsid w:val="660CD3C8"/>
    <w:rsid w:val="660F5A7E"/>
    <w:rsid w:val="66202664"/>
    <w:rsid w:val="6626824D"/>
    <w:rsid w:val="6627E252"/>
    <w:rsid w:val="66552325"/>
    <w:rsid w:val="66707AE0"/>
    <w:rsid w:val="6671C241"/>
    <w:rsid w:val="6676C865"/>
    <w:rsid w:val="667B9363"/>
    <w:rsid w:val="668A66D0"/>
    <w:rsid w:val="66919DEB"/>
    <w:rsid w:val="66A114B2"/>
    <w:rsid w:val="66A35A75"/>
    <w:rsid w:val="66A530DB"/>
    <w:rsid w:val="66A940EA"/>
    <w:rsid w:val="66B46B7C"/>
    <w:rsid w:val="66B5FFF0"/>
    <w:rsid w:val="66B75A6A"/>
    <w:rsid w:val="66BD664A"/>
    <w:rsid w:val="66CC62B2"/>
    <w:rsid w:val="66DFAF06"/>
    <w:rsid w:val="66E37FE6"/>
    <w:rsid w:val="66E5A4A2"/>
    <w:rsid w:val="66E95FB4"/>
    <w:rsid w:val="66F8991F"/>
    <w:rsid w:val="6717CB08"/>
    <w:rsid w:val="671FF719"/>
    <w:rsid w:val="67202D8A"/>
    <w:rsid w:val="672855A4"/>
    <w:rsid w:val="672B4C02"/>
    <w:rsid w:val="6749702D"/>
    <w:rsid w:val="67536A32"/>
    <w:rsid w:val="6757995E"/>
    <w:rsid w:val="676512BB"/>
    <w:rsid w:val="67655DE7"/>
    <w:rsid w:val="6774BB28"/>
    <w:rsid w:val="67781DB3"/>
    <w:rsid w:val="677A0F36"/>
    <w:rsid w:val="67974BFC"/>
    <w:rsid w:val="6798B222"/>
    <w:rsid w:val="67AF6B4A"/>
    <w:rsid w:val="67B00905"/>
    <w:rsid w:val="67B9EDCE"/>
    <w:rsid w:val="67BBF6C5"/>
    <w:rsid w:val="67C07231"/>
    <w:rsid w:val="67CB4C78"/>
    <w:rsid w:val="67D4F920"/>
    <w:rsid w:val="67D8F90F"/>
    <w:rsid w:val="67EA845E"/>
    <w:rsid w:val="67EADC78"/>
    <w:rsid w:val="67ED42D0"/>
    <w:rsid w:val="6854B317"/>
    <w:rsid w:val="6856B10B"/>
    <w:rsid w:val="6860F90B"/>
    <w:rsid w:val="68650EB6"/>
    <w:rsid w:val="686E3607"/>
    <w:rsid w:val="688E8499"/>
    <w:rsid w:val="68A64B8E"/>
    <w:rsid w:val="68D490D0"/>
    <w:rsid w:val="68F4388E"/>
    <w:rsid w:val="6900E94D"/>
    <w:rsid w:val="6914EC2C"/>
    <w:rsid w:val="69204F4E"/>
    <w:rsid w:val="6920BE01"/>
    <w:rsid w:val="692675BD"/>
    <w:rsid w:val="693FD1C8"/>
    <w:rsid w:val="694A63A4"/>
    <w:rsid w:val="6956FA4A"/>
    <w:rsid w:val="695EFE60"/>
    <w:rsid w:val="698D273E"/>
    <w:rsid w:val="698E7A4D"/>
    <w:rsid w:val="6991E9F1"/>
    <w:rsid w:val="69975437"/>
    <w:rsid w:val="6999C747"/>
    <w:rsid w:val="699FA818"/>
    <w:rsid w:val="69AD8D4B"/>
    <w:rsid w:val="69AE1DBB"/>
    <w:rsid w:val="69AFBF29"/>
    <w:rsid w:val="69C55B46"/>
    <w:rsid w:val="69D1E138"/>
    <w:rsid w:val="69DEF597"/>
    <w:rsid w:val="69E8C788"/>
    <w:rsid w:val="69F8CF28"/>
    <w:rsid w:val="6A0F9EE7"/>
    <w:rsid w:val="6A1FD724"/>
    <w:rsid w:val="6A3723DC"/>
    <w:rsid w:val="6A47592D"/>
    <w:rsid w:val="6A65B29E"/>
    <w:rsid w:val="6A68F875"/>
    <w:rsid w:val="6A6A0980"/>
    <w:rsid w:val="6A761910"/>
    <w:rsid w:val="6AA2851F"/>
    <w:rsid w:val="6AAD0F38"/>
    <w:rsid w:val="6AADD641"/>
    <w:rsid w:val="6AAFD24E"/>
    <w:rsid w:val="6AB15103"/>
    <w:rsid w:val="6AC6325C"/>
    <w:rsid w:val="6AC939D1"/>
    <w:rsid w:val="6AF2BF3F"/>
    <w:rsid w:val="6AF4EE7A"/>
    <w:rsid w:val="6AF90819"/>
    <w:rsid w:val="6B40377D"/>
    <w:rsid w:val="6B49EE1C"/>
    <w:rsid w:val="6B56B45A"/>
    <w:rsid w:val="6B77F91F"/>
    <w:rsid w:val="6B87A782"/>
    <w:rsid w:val="6B93CEF2"/>
    <w:rsid w:val="6BA778CC"/>
    <w:rsid w:val="6BB63578"/>
    <w:rsid w:val="6BB63A01"/>
    <w:rsid w:val="6BB9B23F"/>
    <w:rsid w:val="6BCF22AF"/>
    <w:rsid w:val="6BD21508"/>
    <w:rsid w:val="6BD84F9E"/>
    <w:rsid w:val="6BD99DD7"/>
    <w:rsid w:val="6BE5CD0C"/>
    <w:rsid w:val="6BF86F4F"/>
    <w:rsid w:val="6C2234D6"/>
    <w:rsid w:val="6C3650A3"/>
    <w:rsid w:val="6C39732B"/>
    <w:rsid w:val="6C3BAE90"/>
    <w:rsid w:val="6C5E9880"/>
    <w:rsid w:val="6C62B7C5"/>
    <w:rsid w:val="6C7A6EC9"/>
    <w:rsid w:val="6C88E277"/>
    <w:rsid w:val="6C89DA0F"/>
    <w:rsid w:val="6CC21348"/>
    <w:rsid w:val="6CC5B5B3"/>
    <w:rsid w:val="6CC76972"/>
    <w:rsid w:val="6CCDC735"/>
    <w:rsid w:val="6CD95C48"/>
    <w:rsid w:val="6CDBFF35"/>
    <w:rsid w:val="6CE29498"/>
    <w:rsid w:val="6CFF4C24"/>
    <w:rsid w:val="6D0BE09C"/>
    <w:rsid w:val="6D11CE04"/>
    <w:rsid w:val="6D3D4ADF"/>
    <w:rsid w:val="6D3F78DB"/>
    <w:rsid w:val="6D44A688"/>
    <w:rsid w:val="6D454670"/>
    <w:rsid w:val="6D83B2C0"/>
    <w:rsid w:val="6D92F94D"/>
    <w:rsid w:val="6D946CB6"/>
    <w:rsid w:val="6DA0D8E9"/>
    <w:rsid w:val="6DAC7073"/>
    <w:rsid w:val="6DC8467D"/>
    <w:rsid w:val="6DCE0640"/>
    <w:rsid w:val="6DDB5F5D"/>
    <w:rsid w:val="6DE246AF"/>
    <w:rsid w:val="6DE3BF87"/>
    <w:rsid w:val="6DEE100F"/>
    <w:rsid w:val="6E0D2CE7"/>
    <w:rsid w:val="6E17EEDC"/>
    <w:rsid w:val="6E184C5A"/>
    <w:rsid w:val="6E2C6EC5"/>
    <w:rsid w:val="6E2F9D0E"/>
    <w:rsid w:val="6E326F83"/>
    <w:rsid w:val="6E40A411"/>
    <w:rsid w:val="6E431004"/>
    <w:rsid w:val="6E4E74EF"/>
    <w:rsid w:val="6E51CED5"/>
    <w:rsid w:val="6E6C210D"/>
    <w:rsid w:val="6E6E9A5F"/>
    <w:rsid w:val="6E89C3DA"/>
    <w:rsid w:val="6E8B9FF7"/>
    <w:rsid w:val="6E8FBD04"/>
    <w:rsid w:val="6E909353"/>
    <w:rsid w:val="6EB662C3"/>
    <w:rsid w:val="6EC1D9F1"/>
    <w:rsid w:val="6EC557CE"/>
    <w:rsid w:val="6ECC4409"/>
    <w:rsid w:val="6EDF7F69"/>
    <w:rsid w:val="6EE869AE"/>
    <w:rsid w:val="6EF9A310"/>
    <w:rsid w:val="6F0091D1"/>
    <w:rsid w:val="6F1E1433"/>
    <w:rsid w:val="6F2C9B05"/>
    <w:rsid w:val="6F647CD4"/>
    <w:rsid w:val="6F6F0124"/>
    <w:rsid w:val="6F7A01C5"/>
    <w:rsid w:val="6F8756BE"/>
    <w:rsid w:val="6F88420B"/>
    <w:rsid w:val="6F925628"/>
    <w:rsid w:val="6F9932B6"/>
    <w:rsid w:val="6FA00C6A"/>
    <w:rsid w:val="6FA21935"/>
    <w:rsid w:val="6FC43758"/>
    <w:rsid w:val="6FCE3FE4"/>
    <w:rsid w:val="6FD35475"/>
    <w:rsid w:val="6FE077B9"/>
    <w:rsid w:val="6FEA068F"/>
    <w:rsid w:val="700DF660"/>
    <w:rsid w:val="70113777"/>
    <w:rsid w:val="70125478"/>
    <w:rsid w:val="70292384"/>
    <w:rsid w:val="704AD323"/>
    <w:rsid w:val="7057FCAE"/>
    <w:rsid w:val="7061FB2C"/>
    <w:rsid w:val="70854A18"/>
    <w:rsid w:val="708CBAAF"/>
    <w:rsid w:val="70A1F9BD"/>
    <w:rsid w:val="70ABC0C1"/>
    <w:rsid w:val="70C15818"/>
    <w:rsid w:val="70C29045"/>
    <w:rsid w:val="70CDE103"/>
    <w:rsid w:val="70D78AC1"/>
    <w:rsid w:val="70DB75BD"/>
    <w:rsid w:val="70E4B4C8"/>
    <w:rsid w:val="70E82A8E"/>
    <w:rsid w:val="7100C4FF"/>
    <w:rsid w:val="711C34C9"/>
    <w:rsid w:val="711DC58C"/>
    <w:rsid w:val="712A4CA0"/>
    <w:rsid w:val="712BF839"/>
    <w:rsid w:val="713DB856"/>
    <w:rsid w:val="713F4493"/>
    <w:rsid w:val="715921A8"/>
    <w:rsid w:val="7160FA7F"/>
    <w:rsid w:val="7162854F"/>
    <w:rsid w:val="716A1045"/>
    <w:rsid w:val="71712B67"/>
    <w:rsid w:val="7180021F"/>
    <w:rsid w:val="71A00743"/>
    <w:rsid w:val="71B39AE5"/>
    <w:rsid w:val="71E8C9F1"/>
    <w:rsid w:val="71EAD404"/>
    <w:rsid w:val="71ECE2E1"/>
    <w:rsid w:val="71F717B9"/>
    <w:rsid w:val="71F97A82"/>
    <w:rsid w:val="72091738"/>
    <w:rsid w:val="720DC0FF"/>
    <w:rsid w:val="721947EB"/>
    <w:rsid w:val="721C4347"/>
    <w:rsid w:val="7230CD8D"/>
    <w:rsid w:val="7241D611"/>
    <w:rsid w:val="72479122"/>
    <w:rsid w:val="724C2332"/>
    <w:rsid w:val="72584A5F"/>
    <w:rsid w:val="7264D625"/>
    <w:rsid w:val="7275D336"/>
    <w:rsid w:val="728760DF"/>
    <w:rsid w:val="728E72B7"/>
    <w:rsid w:val="7290CA22"/>
    <w:rsid w:val="72A364B8"/>
    <w:rsid w:val="72BC16C2"/>
    <w:rsid w:val="72D065B2"/>
    <w:rsid w:val="72D40E74"/>
    <w:rsid w:val="72EAFE5F"/>
    <w:rsid w:val="72FA8E08"/>
    <w:rsid w:val="731413C7"/>
    <w:rsid w:val="7314D939"/>
    <w:rsid w:val="7323620F"/>
    <w:rsid w:val="733D661C"/>
    <w:rsid w:val="735C2AD0"/>
    <w:rsid w:val="736315B0"/>
    <w:rsid w:val="737E38CC"/>
    <w:rsid w:val="7387CB0F"/>
    <w:rsid w:val="73897615"/>
    <w:rsid w:val="73ACE44C"/>
    <w:rsid w:val="73BED77F"/>
    <w:rsid w:val="73C674F0"/>
    <w:rsid w:val="73FDA4F2"/>
    <w:rsid w:val="73FF5E00"/>
    <w:rsid w:val="7401AB21"/>
    <w:rsid w:val="740E866B"/>
    <w:rsid w:val="741BE120"/>
    <w:rsid w:val="741CE7C7"/>
    <w:rsid w:val="7426A7AC"/>
    <w:rsid w:val="742F1DF0"/>
    <w:rsid w:val="744EDB3D"/>
    <w:rsid w:val="74665FF8"/>
    <w:rsid w:val="7485ECF3"/>
    <w:rsid w:val="74948C72"/>
    <w:rsid w:val="749BE762"/>
    <w:rsid w:val="74A33827"/>
    <w:rsid w:val="74A7CB60"/>
    <w:rsid w:val="74AAB033"/>
    <w:rsid w:val="74BD6423"/>
    <w:rsid w:val="74C2900D"/>
    <w:rsid w:val="74C3EDB8"/>
    <w:rsid w:val="74C57398"/>
    <w:rsid w:val="74C6C665"/>
    <w:rsid w:val="74D84076"/>
    <w:rsid w:val="75311B44"/>
    <w:rsid w:val="7566A07A"/>
    <w:rsid w:val="75709D63"/>
    <w:rsid w:val="757F282F"/>
    <w:rsid w:val="757F8DDF"/>
    <w:rsid w:val="7588F805"/>
    <w:rsid w:val="75AD1044"/>
    <w:rsid w:val="75AD3302"/>
    <w:rsid w:val="75B92F55"/>
    <w:rsid w:val="75C1FE31"/>
    <w:rsid w:val="760D560C"/>
    <w:rsid w:val="761AA5F0"/>
    <w:rsid w:val="7626270B"/>
    <w:rsid w:val="763538B3"/>
    <w:rsid w:val="763A769D"/>
    <w:rsid w:val="76521F8F"/>
    <w:rsid w:val="765AB2F4"/>
    <w:rsid w:val="7677DAA7"/>
    <w:rsid w:val="7684B13B"/>
    <w:rsid w:val="76970C7A"/>
    <w:rsid w:val="76A7012B"/>
    <w:rsid w:val="76BBED19"/>
    <w:rsid w:val="76D538E9"/>
    <w:rsid w:val="76DEAC7F"/>
    <w:rsid w:val="76E10189"/>
    <w:rsid w:val="76E13F83"/>
    <w:rsid w:val="76E7D35F"/>
    <w:rsid w:val="76F5F80C"/>
    <w:rsid w:val="76F703CF"/>
    <w:rsid w:val="76FAB049"/>
    <w:rsid w:val="771BF39D"/>
    <w:rsid w:val="771DEDF9"/>
    <w:rsid w:val="7720D0B1"/>
    <w:rsid w:val="7724C866"/>
    <w:rsid w:val="772E5DE4"/>
    <w:rsid w:val="774B7064"/>
    <w:rsid w:val="774F0F22"/>
    <w:rsid w:val="7755CACF"/>
    <w:rsid w:val="77869AAC"/>
    <w:rsid w:val="7796A07D"/>
    <w:rsid w:val="77A2D493"/>
    <w:rsid w:val="77B07543"/>
    <w:rsid w:val="77C101DA"/>
    <w:rsid w:val="77C14696"/>
    <w:rsid w:val="77C67E02"/>
    <w:rsid w:val="77CB9D2E"/>
    <w:rsid w:val="77DA0815"/>
    <w:rsid w:val="77ECC25C"/>
    <w:rsid w:val="77F0E95E"/>
    <w:rsid w:val="77F1F61C"/>
    <w:rsid w:val="7809B83C"/>
    <w:rsid w:val="781BC2B2"/>
    <w:rsid w:val="781DE613"/>
    <w:rsid w:val="7825E400"/>
    <w:rsid w:val="78287124"/>
    <w:rsid w:val="7829F76C"/>
    <w:rsid w:val="782CB35F"/>
    <w:rsid w:val="78319C98"/>
    <w:rsid w:val="7844E42D"/>
    <w:rsid w:val="78554165"/>
    <w:rsid w:val="7857E891"/>
    <w:rsid w:val="786F69AD"/>
    <w:rsid w:val="7880D477"/>
    <w:rsid w:val="788E537F"/>
    <w:rsid w:val="788E64FB"/>
    <w:rsid w:val="7891B820"/>
    <w:rsid w:val="78976F6D"/>
    <w:rsid w:val="789A4D74"/>
    <w:rsid w:val="78A8C36C"/>
    <w:rsid w:val="78CAA3F1"/>
    <w:rsid w:val="78CD10C0"/>
    <w:rsid w:val="78CDBD43"/>
    <w:rsid w:val="78E67527"/>
    <w:rsid w:val="78F73787"/>
    <w:rsid w:val="78F7A576"/>
    <w:rsid w:val="790589EB"/>
    <w:rsid w:val="790B0D4E"/>
    <w:rsid w:val="793DFCD2"/>
    <w:rsid w:val="7946A64E"/>
    <w:rsid w:val="7997D3DE"/>
    <w:rsid w:val="799AFDF1"/>
    <w:rsid w:val="79AEB2E9"/>
    <w:rsid w:val="79CEAD3C"/>
    <w:rsid w:val="79D4EA5B"/>
    <w:rsid w:val="79D7E6AE"/>
    <w:rsid w:val="79DA64C8"/>
    <w:rsid w:val="79FE48B4"/>
    <w:rsid w:val="7A055A2C"/>
    <w:rsid w:val="7A0BB202"/>
    <w:rsid w:val="7A18DE2A"/>
    <w:rsid w:val="7A4A58BD"/>
    <w:rsid w:val="7A4BD0CE"/>
    <w:rsid w:val="7A6F49E5"/>
    <w:rsid w:val="7A852E31"/>
    <w:rsid w:val="7A9B5BD7"/>
    <w:rsid w:val="7AC0282D"/>
    <w:rsid w:val="7AD8DCC8"/>
    <w:rsid w:val="7AEA59EC"/>
    <w:rsid w:val="7AEB8778"/>
    <w:rsid w:val="7AEDD59C"/>
    <w:rsid w:val="7B4DF82F"/>
    <w:rsid w:val="7B58FE37"/>
    <w:rsid w:val="7B598882"/>
    <w:rsid w:val="7B60D8CC"/>
    <w:rsid w:val="7B6172AF"/>
    <w:rsid w:val="7B635802"/>
    <w:rsid w:val="7B65B6ED"/>
    <w:rsid w:val="7B78AB37"/>
    <w:rsid w:val="7BA5DA2A"/>
    <w:rsid w:val="7BE7962A"/>
    <w:rsid w:val="7BFCC7FE"/>
    <w:rsid w:val="7C015B85"/>
    <w:rsid w:val="7C2FE823"/>
    <w:rsid w:val="7C3D8454"/>
    <w:rsid w:val="7C96D0D3"/>
    <w:rsid w:val="7C99BC81"/>
    <w:rsid w:val="7CA58F9B"/>
    <w:rsid w:val="7CBADB63"/>
    <w:rsid w:val="7CC1C64E"/>
    <w:rsid w:val="7CDBA2F9"/>
    <w:rsid w:val="7CE6B4E6"/>
    <w:rsid w:val="7D060F43"/>
    <w:rsid w:val="7D0845DF"/>
    <w:rsid w:val="7D10C1E3"/>
    <w:rsid w:val="7D388398"/>
    <w:rsid w:val="7D426825"/>
    <w:rsid w:val="7D58626C"/>
    <w:rsid w:val="7D5B6597"/>
    <w:rsid w:val="7D82D911"/>
    <w:rsid w:val="7DCC7481"/>
    <w:rsid w:val="7DDA0416"/>
    <w:rsid w:val="7E132C69"/>
    <w:rsid w:val="7E2D578D"/>
    <w:rsid w:val="7E495C95"/>
    <w:rsid w:val="7E930EFF"/>
    <w:rsid w:val="7EAD95BC"/>
    <w:rsid w:val="7EB4F193"/>
    <w:rsid w:val="7EBCBEE9"/>
    <w:rsid w:val="7F1EC946"/>
    <w:rsid w:val="7F23C1F3"/>
    <w:rsid w:val="7F5B242C"/>
    <w:rsid w:val="7F5D2BBA"/>
    <w:rsid w:val="7F77B793"/>
    <w:rsid w:val="7F9C90CE"/>
    <w:rsid w:val="7FA77844"/>
    <w:rsid w:val="7FB80FBA"/>
    <w:rsid w:val="7FBBA22C"/>
    <w:rsid w:val="7FBDCD1E"/>
    <w:rsid w:val="7FCDA90B"/>
    <w:rsid w:val="7FE6AAAE"/>
    <w:rsid w:val="7FF9E196"/>
    <w:rsid w:val="7FFFA80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428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DB7"/>
    <w:pPr>
      <w:spacing w:after="0" w:line="240" w:lineRule="auto"/>
    </w:pPr>
    <w:rPr>
      <w:rFonts w:eastAsia="Times New Roman"/>
      <w:sz w:val="24"/>
      <w:szCs w:val="24"/>
    </w:rPr>
  </w:style>
  <w:style w:type="paragraph" w:styleId="Heading1">
    <w:name w:val="heading 1"/>
    <w:basedOn w:val="Normal"/>
    <w:next w:val="Normal"/>
    <w:link w:val="Heading1Char"/>
    <w:uiPriority w:val="9"/>
    <w:qFormat/>
    <w:rsid w:val="00376960"/>
    <w:pPr>
      <w:spacing w:before="360"/>
      <w:jc w:val="center"/>
      <w:outlineLvl w:val="0"/>
    </w:pPr>
    <w:rPr>
      <w:sz w:val="36"/>
      <w:szCs w:val="36"/>
    </w:rPr>
  </w:style>
  <w:style w:type="paragraph" w:styleId="Heading2">
    <w:name w:val="heading 2"/>
    <w:basedOn w:val="Normal"/>
    <w:next w:val="Normal"/>
    <w:link w:val="Heading2Char"/>
    <w:uiPriority w:val="9"/>
    <w:unhideWhenUsed/>
    <w:qFormat/>
    <w:rsid w:val="00376960"/>
    <w:pPr>
      <w:spacing w:line="276" w:lineRule="auto"/>
      <w:outlineLvl w:val="1"/>
    </w:pPr>
    <w:rPr>
      <w:rFonts w:cstheme="minorHAnsi"/>
      <w:b/>
      <w:bCs/>
    </w:rPr>
  </w:style>
  <w:style w:type="paragraph" w:styleId="Heading3">
    <w:name w:val="heading 3"/>
    <w:basedOn w:val="Normal"/>
    <w:next w:val="Normal"/>
    <w:link w:val="Heading3Char"/>
    <w:uiPriority w:val="9"/>
    <w:unhideWhenUsed/>
    <w:qFormat/>
    <w:rsid w:val="00376960"/>
    <w:pPr>
      <w:spacing w:after="200" w:line="276" w:lineRule="auto"/>
      <w:outlineLvl w:val="2"/>
    </w:pPr>
    <w:rPr>
      <w:rFonts w:cstheme="minorHAnsi"/>
      <w:b/>
      <w:bCs/>
      <w:i/>
      <w:iCs/>
    </w:rPr>
  </w:style>
  <w:style w:type="paragraph" w:styleId="Heading4">
    <w:name w:val="heading 4"/>
    <w:basedOn w:val="Normal"/>
    <w:next w:val="Normal"/>
    <w:link w:val="Heading4Char"/>
    <w:uiPriority w:val="9"/>
    <w:unhideWhenUsed/>
    <w:qFormat/>
    <w:rsid w:val="003910F7"/>
    <w:pPr>
      <w:ind w:firstLine="357"/>
      <w:outlineLvl w:val="3"/>
    </w:pPr>
    <w:rPr>
      <w:i/>
      <w:iCs/>
    </w:rPr>
  </w:style>
  <w:style w:type="paragraph" w:styleId="Heading6">
    <w:name w:val="heading 6"/>
    <w:basedOn w:val="Normal"/>
    <w:next w:val="Normal"/>
    <w:link w:val="Heading6Char"/>
    <w:uiPriority w:val="9"/>
    <w:unhideWhenUsed/>
    <w:qFormat/>
    <w:rsid w:val="00376960"/>
    <w:pPr>
      <w:outlineLvl w:val="5"/>
    </w:pPr>
    <w:rPr>
      <w:rFonts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GBBodyText">
    <w:name w:val="IGB_Body Text"/>
    <w:basedOn w:val="Normal"/>
    <w:rsid w:val="00A75541"/>
    <w:pPr>
      <w:suppressAutoHyphens/>
      <w:autoSpaceDE w:val="0"/>
      <w:autoSpaceDN w:val="0"/>
      <w:adjustRightInd w:val="0"/>
      <w:spacing w:after="120" w:line="240" w:lineRule="atLeast"/>
      <w:textAlignment w:val="center"/>
    </w:pPr>
    <w:rPr>
      <w:rFonts w:ascii="Calibri" w:hAnsi="Calibri" w:cs="Garamond"/>
      <w:color w:val="000000"/>
      <w:sz w:val="21"/>
      <w:szCs w:val="22"/>
      <w:lang w:val="en-GB" w:eastAsia="en-AU"/>
    </w:rPr>
  </w:style>
  <w:style w:type="paragraph" w:customStyle="1" w:styleId="Default">
    <w:name w:val="Default"/>
    <w:rsid w:val="007A6CE3"/>
    <w:pPr>
      <w:autoSpaceDE w:val="0"/>
      <w:autoSpaceDN w:val="0"/>
      <w:adjustRightInd w:val="0"/>
      <w:spacing w:after="0" w:line="240" w:lineRule="auto"/>
    </w:pPr>
    <w:rPr>
      <w:rFonts w:ascii="Arial" w:hAnsi="Arial" w:cs="Arial"/>
      <w:color w:val="000000"/>
      <w:sz w:val="24"/>
      <w:szCs w:val="24"/>
    </w:rPr>
  </w:style>
  <w:style w:type="character" w:customStyle="1" w:styleId="Heading6Char">
    <w:name w:val="Heading 6 Char"/>
    <w:basedOn w:val="DefaultParagraphFont"/>
    <w:link w:val="Heading6"/>
    <w:uiPriority w:val="9"/>
    <w:rsid w:val="00376960"/>
    <w:rPr>
      <w:rFonts w:eastAsia="Times New Roman" w:cstheme="minorHAnsi"/>
      <w:b/>
      <w:bCs/>
      <w:sz w:val="24"/>
      <w:szCs w:val="24"/>
    </w:rPr>
  </w:style>
  <w:style w:type="paragraph" w:styleId="ListParagraph">
    <w:name w:val="List Paragraph"/>
    <w:aliases w:val="Bullet Point,Bullet point,Bullet points,CV text,Content descriptions,Dot pt,F5 List Paragraph,L,List Paragraph1,List Paragraph11,List Paragraph111,Main,Medium Grid 1 - Accent 21,NFP GP Bulleted List,Numbered Paragraph,Recommendation,Table"/>
    <w:basedOn w:val="Normal"/>
    <w:link w:val="ListParagraphChar"/>
    <w:uiPriority w:val="34"/>
    <w:qFormat/>
    <w:rsid w:val="00DF0446"/>
    <w:pPr>
      <w:ind w:left="720"/>
      <w:contextualSpacing/>
    </w:pPr>
    <w:rPr>
      <w:sz w:val="20"/>
      <w:szCs w:val="20"/>
    </w:rPr>
  </w:style>
  <w:style w:type="character" w:styleId="Hyperlink">
    <w:name w:val="Hyperlink"/>
    <w:basedOn w:val="DefaultParagraphFont"/>
    <w:uiPriority w:val="99"/>
    <w:unhideWhenUsed/>
    <w:rPr>
      <w:color w:val="0000FF" w:themeColor="hyperlink"/>
      <w:u w:val="single"/>
    </w:rPr>
  </w:style>
  <w:style w:type="character" w:customStyle="1" w:styleId="normaltextrun">
    <w:name w:val="normaltextrun"/>
    <w:basedOn w:val="DefaultParagraphFont"/>
    <w:rsid w:val="49ABA250"/>
  </w:style>
  <w:style w:type="character" w:customStyle="1" w:styleId="eop">
    <w:name w:val="eop"/>
    <w:basedOn w:val="DefaultParagraphFont"/>
    <w:rsid w:val="0057148C"/>
  </w:style>
  <w:style w:type="paragraph" w:customStyle="1" w:styleId="paragraph">
    <w:name w:val="paragraph"/>
    <w:basedOn w:val="Normal"/>
    <w:rsid w:val="00B43423"/>
    <w:pPr>
      <w:spacing w:before="100" w:beforeAutospacing="1" w:after="100" w:afterAutospacing="1"/>
    </w:pPr>
    <w:rPr>
      <w:lang w:eastAsia="en-AU"/>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D4937"/>
    <w:pPr>
      <w:tabs>
        <w:tab w:val="center" w:pos="4513"/>
        <w:tab w:val="right" w:pos="9026"/>
      </w:tabs>
    </w:pPr>
    <w:rPr>
      <w:rFonts w:eastAsiaTheme="minorHAnsi"/>
      <w:sz w:val="22"/>
      <w:szCs w:val="22"/>
    </w:rPr>
  </w:style>
  <w:style w:type="character" w:customStyle="1" w:styleId="HeaderChar">
    <w:name w:val="Header Char"/>
    <w:basedOn w:val="DefaultParagraphFont"/>
    <w:link w:val="Header"/>
    <w:uiPriority w:val="99"/>
    <w:rsid w:val="00CD4937"/>
  </w:style>
  <w:style w:type="character" w:customStyle="1" w:styleId="Heading1Char">
    <w:name w:val="Heading 1 Char"/>
    <w:basedOn w:val="DefaultParagraphFont"/>
    <w:link w:val="Heading1"/>
    <w:uiPriority w:val="9"/>
    <w:rsid w:val="00376960"/>
    <w:rPr>
      <w:rFonts w:eastAsia="Times New Roman"/>
      <w:sz w:val="36"/>
      <w:szCs w:val="36"/>
    </w:rPr>
  </w:style>
  <w:style w:type="character" w:customStyle="1" w:styleId="Heading2Char">
    <w:name w:val="Heading 2 Char"/>
    <w:basedOn w:val="DefaultParagraphFont"/>
    <w:link w:val="Heading2"/>
    <w:uiPriority w:val="9"/>
    <w:rsid w:val="00376960"/>
    <w:rPr>
      <w:rFonts w:eastAsia="Times New Roman" w:cstheme="minorHAnsi"/>
      <w:b/>
      <w:bCs/>
      <w:sz w:val="24"/>
      <w:szCs w:val="24"/>
    </w:rPr>
  </w:style>
  <w:style w:type="character" w:customStyle="1" w:styleId="Heading3Char">
    <w:name w:val="Heading 3 Char"/>
    <w:basedOn w:val="DefaultParagraphFont"/>
    <w:link w:val="Heading3"/>
    <w:uiPriority w:val="9"/>
    <w:rsid w:val="00376960"/>
    <w:rPr>
      <w:rFonts w:eastAsia="Times New Roman" w:cstheme="minorHAnsi"/>
      <w:b/>
      <w:bCs/>
      <w:i/>
      <w:iCs/>
      <w:sz w:val="24"/>
      <w:szCs w:val="24"/>
    </w:rPr>
  </w:style>
  <w:style w:type="paragraph" w:styleId="TOCHeading">
    <w:name w:val="TOC Heading"/>
    <w:basedOn w:val="Heading1"/>
    <w:next w:val="Normal"/>
    <w:uiPriority w:val="39"/>
    <w:unhideWhenUsed/>
    <w:qFormat/>
    <w:rsid w:val="00460810"/>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53024F"/>
    <w:pPr>
      <w:tabs>
        <w:tab w:val="right" w:leader="dot" w:pos="9016"/>
      </w:tabs>
      <w:spacing w:after="100"/>
    </w:pPr>
  </w:style>
  <w:style w:type="paragraph" w:styleId="TOC2">
    <w:name w:val="toc 2"/>
    <w:basedOn w:val="Normal"/>
    <w:next w:val="Normal"/>
    <w:autoRedefine/>
    <w:uiPriority w:val="39"/>
    <w:unhideWhenUsed/>
    <w:rsid w:val="0053024F"/>
    <w:pPr>
      <w:tabs>
        <w:tab w:val="right" w:leader="dot" w:pos="9015"/>
      </w:tabs>
      <w:spacing w:after="100"/>
      <w:ind w:left="240"/>
    </w:pPr>
  </w:style>
  <w:style w:type="paragraph" w:styleId="TOC3">
    <w:name w:val="toc 3"/>
    <w:basedOn w:val="Normal"/>
    <w:next w:val="Normal"/>
    <w:autoRedefine/>
    <w:uiPriority w:val="39"/>
    <w:unhideWhenUsed/>
    <w:rsid w:val="0053024F"/>
    <w:pPr>
      <w:tabs>
        <w:tab w:val="right" w:leader="dot" w:pos="9015"/>
      </w:tabs>
      <w:spacing w:after="100"/>
      <w:ind w:left="480"/>
    </w:pPr>
  </w:style>
  <w:style w:type="paragraph" w:styleId="Footer">
    <w:name w:val="footer"/>
    <w:basedOn w:val="Normal"/>
    <w:link w:val="FooterChar"/>
    <w:uiPriority w:val="99"/>
    <w:unhideWhenUsed/>
    <w:rsid w:val="00855030"/>
    <w:pPr>
      <w:tabs>
        <w:tab w:val="center" w:pos="4513"/>
        <w:tab w:val="right" w:pos="9026"/>
      </w:tabs>
    </w:pPr>
  </w:style>
  <w:style w:type="character" w:customStyle="1" w:styleId="FooterChar">
    <w:name w:val="Footer Char"/>
    <w:basedOn w:val="DefaultParagraphFont"/>
    <w:link w:val="Footer"/>
    <w:uiPriority w:val="99"/>
    <w:rsid w:val="00855030"/>
    <w:rPr>
      <w:rFonts w:eastAsia="Times New Roman"/>
      <w:sz w:val="24"/>
      <w:szCs w:val="24"/>
    </w:rPr>
  </w:style>
  <w:style w:type="paragraph" w:styleId="FootnoteText">
    <w:name w:val="footnote text"/>
    <w:basedOn w:val="Normal"/>
    <w:link w:val="FootnoteTextChar"/>
    <w:uiPriority w:val="99"/>
    <w:semiHidden/>
    <w:unhideWhenUsed/>
    <w:rsid w:val="00873910"/>
    <w:rPr>
      <w:rFonts w:ascii="Calibri" w:eastAsiaTheme="minorHAnsi" w:hAnsi="Calibri" w:cs="Calibri"/>
      <w:sz w:val="20"/>
      <w:szCs w:val="20"/>
    </w:rPr>
  </w:style>
  <w:style w:type="character" w:customStyle="1" w:styleId="FootnoteTextChar">
    <w:name w:val="Footnote Text Char"/>
    <w:basedOn w:val="DefaultParagraphFont"/>
    <w:link w:val="FootnoteText"/>
    <w:uiPriority w:val="99"/>
    <w:semiHidden/>
    <w:rsid w:val="00873910"/>
    <w:rPr>
      <w:rFonts w:ascii="Calibri" w:hAnsi="Calibri" w:cs="Calibri"/>
      <w:sz w:val="20"/>
      <w:szCs w:val="20"/>
    </w:rPr>
  </w:style>
  <w:style w:type="character" w:styleId="FootnoteReference">
    <w:name w:val="footnote reference"/>
    <w:aliases w:val="fr"/>
    <w:basedOn w:val="DefaultParagraphFont"/>
    <w:uiPriority w:val="99"/>
    <w:semiHidden/>
    <w:unhideWhenUsed/>
    <w:rsid w:val="00873910"/>
    <w:rPr>
      <w:vertAlign w:val="superscript"/>
    </w:rPr>
  </w:style>
  <w:style w:type="paragraph" w:styleId="Revision">
    <w:name w:val="Revision"/>
    <w:hidden/>
    <w:uiPriority w:val="99"/>
    <w:semiHidden/>
    <w:rsid w:val="00D873C9"/>
    <w:pPr>
      <w:spacing w:after="0" w:line="240" w:lineRule="auto"/>
    </w:pPr>
    <w:rPr>
      <w:rFonts w:eastAsia="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eastAsia="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87FE2"/>
    <w:rPr>
      <w:b/>
      <w:bCs/>
    </w:rPr>
  </w:style>
  <w:style w:type="character" w:customStyle="1" w:styleId="CommentSubjectChar">
    <w:name w:val="Comment Subject Char"/>
    <w:basedOn w:val="CommentTextChar"/>
    <w:link w:val="CommentSubject"/>
    <w:uiPriority w:val="99"/>
    <w:semiHidden/>
    <w:rsid w:val="00487FE2"/>
    <w:rPr>
      <w:rFonts w:eastAsia="Times New Roman"/>
      <w:b/>
      <w:bCs/>
      <w:sz w:val="20"/>
      <w:szCs w:val="20"/>
    </w:rPr>
  </w:style>
  <w:style w:type="character" w:styleId="UnresolvedMention">
    <w:name w:val="Unresolved Mention"/>
    <w:basedOn w:val="DefaultParagraphFont"/>
    <w:uiPriority w:val="99"/>
    <w:rsid w:val="00E27B45"/>
    <w:rPr>
      <w:color w:val="605E5C"/>
      <w:shd w:val="clear" w:color="auto" w:fill="E1DFDD"/>
    </w:rPr>
  </w:style>
  <w:style w:type="paragraph" w:styleId="NormalWeb">
    <w:name w:val="Normal (Web)"/>
    <w:basedOn w:val="Normal"/>
    <w:uiPriority w:val="99"/>
    <w:unhideWhenUsed/>
    <w:rsid w:val="00FE02FA"/>
    <w:pPr>
      <w:spacing w:before="100" w:beforeAutospacing="1" w:after="100" w:afterAutospacing="1"/>
    </w:pPr>
    <w:rPr>
      <w:rFonts w:ascii="Times New Roman" w:hAnsi="Times New Roman" w:cs="Times New Roman"/>
      <w:lang w:eastAsia="en-AU"/>
    </w:rPr>
  </w:style>
  <w:style w:type="character" w:customStyle="1" w:styleId="ui-provider">
    <w:name w:val="ui-provider"/>
    <w:basedOn w:val="DefaultParagraphFont"/>
    <w:rsid w:val="00A22DDE"/>
  </w:style>
  <w:style w:type="paragraph" w:styleId="BodyText3">
    <w:name w:val="Body Text 3"/>
    <w:basedOn w:val="Normal"/>
    <w:link w:val="BodyText3Char"/>
    <w:rsid w:val="004208F4"/>
    <w:pPr>
      <w:spacing w:after="120"/>
    </w:pPr>
    <w:rPr>
      <w:rFonts w:ascii="Times New Roman" w:hAnsi="Times New Roman" w:cs="Times New Roman"/>
      <w:sz w:val="28"/>
      <w:szCs w:val="20"/>
    </w:rPr>
  </w:style>
  <w:style w:type="character" w:customStyle="1" w:styleId="BodyText3Char">
    <w:name w:val="Body Text 3 Char"/>
    <w:basedOn w:val="DefaultParagraphFont"/>
    <w:link w:val="BodyText3"/>
    <w:rsid w:val="004208F4"/>
    <w:rPr>
      <w:rFonts w:ascii="Times New Roman" w:eastAsia="Times New Roman" w:hAnsi="Times New Roman" w:cs="Times New Roman"/>
      <w:sz w:val="28"/>
      <w:szCs w:val="20"/>
    </w:rPr>
  </w:style>
  <w:style w:type="character" w:customStyle="1" w:styleId="cf01">
    <w:name w:val="cf01"/>
    <w:basedOn w:val="DefaultParagraphFont"/>
    <w:rsid w:val="00AC4694"/>
    <w:rPr>
      <w:rFonts w:ascii="Segoe UI" w:hAnsi="Segoe UI" w:cs="Segoe UI" w:hint="default"/>
      <w:sz w:val="18"/>
      <w:szCs w:val="18"/>
    </w:rPr>
  </w:style>
  <w:style w:type="character" w:customStyle="1" w:styleId="cf11">
    <w:name w:val="cf11"/>
    <w:basedOn w:val="DefaultParagraphFont"/>
    <w:rsid w:val="00AC4694"/>
    <w:rPr>
      <w:rFonts w:ascii="Segoe UI" w:hAnsi="Segoe UI" w:cs="Segoe UI" w:hint="default"/>
      <w:sz w:val="18"/>
      <w:szCs w:val="18"/>
      <w:shd w:val="clear" w:color="auto" w:fill="FFFF00"/>
    </w:rPr>
  </w:style>
  <w:style w:type="character" w:customStyle="1" w:styleId="ListParagraphChar">
    <w:name w:val="List Paragraph Char"/>
    <w:aliases w:val="Bullet Point Char,Bullet point Char,Bullet points Char,CV text Char,Content descriptions Char,Dot pt Char,F5 List Paragraph Char,L Char,List Paragraph1 Char,List Paragraph11 Char,List Paragraph111 Char,Main Char,Recommendation Char"/>
    <w:basedOn w:val="DefaultParagraphFont"/>
    <w:link w:val="ListParagraph"/>
    <w:uiPriority w:val="34"/>
    <w:qFormat/>
    <w:locked/>
    <w:rsid w:val="00B365C1"/>
    <w:rPr>
      <w:rFonts w:eastAsia="Times New Roman"/>
      <w:sz w:val="20"/>
      <w:szCs w:val="20"/>
    </w:rPr>
  </w:style>
  <w:style w:type="paragraph" w:customStyle="1" w:styleId="pf0">
    <w:name w:val="pf0"/>
    <w:basedOn w:val="Normal"/>
    <w:rsid w:val="00F65A4D"/>
    <w:pPr>
      <w:spacing w:before="100" w:beforeAutospacing="1" w:after="100" w:afterAutospacing="1"/>
    </w:pPr>
    <w:rPr>
      <w:rFonts w:ascii="Times New Roman" w:hAnsi="Times New Roman" w:cs="Times New Roman"/>
      <w:lang w:eastAsia="en-AU"/>
    </w:rPr>
  </w:style>
  <w:style w:type="character" w:customStyle="1" w:styleId="Heading4Char">
    <w:name w:val="Heading 4 Char"/>
    <w:basedOn w:val="DefaultParagraphFont"/>
    <w:link w:val="Heading4"/>
    <w:uiPriority w:val="9"/>
    <w:rsid w:val="003910F7"/>
    <w:rPr>
      <w:rFonts w:eastAsia="Times New Roman"/>
      <w:i/>
      <w:iCs/>
      <w:sz w:val="24"/>
      <w:szCs w:val="24"/>
    </w:rPr>
  </w:style>
  <w:style w:type="character" w:customStyle="1" w:styleId="cf21">
    <w:name w:val="cf21"/>
    <w:basedOn w:val="DefaultParagraphFont"/>
    <w:rsid w:val="00A03785"/>
    <w:rPr>
      <w:rFonts w:ascii="Segoe UI" w:hAnsi="Segoe UI" w:cs="Segoe UI" w:hint="default"/>
      <w:sz w:val="18"/>
      <w:szCs w:val="18"/>
      <w:shd w:val="clear" w:color="auto" w:fill="FFFFFF"/>
    </w:rPr>
  </w:style>
  <w:style w:type="character" w:customStyle="1" w:styleId="BulletChar">
    <w:name w:val="Bullet Char"/>
    <w:basedOn w:val="DefaultParagraphFont"/>
    <w:link w:val="Bullet"/>
    <w:locked/>
    <w:rsid w:val="008E2E3A"/>
    <w:rPr>
      <w:rFonts w:eastAsia="Times New Roman" w:cs="Times New Roman"/>
      <w:color w:val="000000" w:themeColor="text1"/>
      <w:szCs w:val="20"/>
      <w:lang w:eastAsia="en-AU"/>
    </w:rPr>
  </w:style>
  <w:style w:type="paragraph" w:customStyle="1" w:styleId="Bullet">
    <w:name w:val="Bullet"/>
    <w:aliases w:val="Body,Bullet + line,b,b + line,b1,level 1,BodyNum,Bullet Char1,Bullet Char1 Char Char Char,Bullet Char1 Char Char Char Char,Bullet Char1 Char Char Char Char Char,b1 Char Char Char,bulleted"/>
    <w:basedOn w:val="Normal"/>
    <w:link w:val="BulletChar"/>
    <w:qFormat/>
    <w:rsid w:val="008E2E3A"/>
    <w:pPr>
      <w:numPr>
        <w:numId w:val="41"/>
      </w:numPr>
      <w:tabs>
        <w:tab w:val="clear" w:pos="520"/>
      </w:tabs>
      <w:spacing w:before="120" w:after="60" w:line="276" w:lineRule="auto"/>
    </w:pPr>
    <w:rPr>
      <w:rFonts w:cs="Times New Roman"/>
      <w:color w:val="000000" w:themeColor="text1"/>
      <w:sz w:val="22"/>
      <w:szCs w:val="20"/>
      <w:lang w:eastAsia="en-AU"/>
    </w:rPr>
  </w:style>
  <w:style w:type="paragraph" w:customStyle="1" w:styleId="Dash">
    <w:name w:val="Dash"/>
    <w:basedOn w:val="Normal"/>
    <w:qFormat/>
    <w:rsid w:val="008E2E3A"/>
    <w:pPr>
      <w:numPr>
        <w:ilvl w:val="1"/>
        <w:numId w:val="41"/>
      </w:numPr>
      <w:tabs>
        <w:tab w:val="clear" w:pos="804"/>
      </w:tabs>
      <w:spacing w:before="120" w:after="120"/>
    </w:pPr>
    <w:rPr>
      <w:rFonts w:cs="Times New Roman"/>
      <w:color w:val="000000" w:themeColor="text1"/>
      <w:sz w:val="22"/>
      <w:szCs w:val="20"/>
      <w:lang w:eastAsia="en-AU"/>
    </w:rPr>
  </w:style>
  <w:style w:type="paragraph" w:customStyle="1" w:styleId="DoubleDot">
    <w:name w:val="Double Dot"/>
    <w:basedOn w:val="Normal"/>
    <w:qFormat/>
    <w:rsid w:val="008E2E3A"/>
    <w:pPr>
      <w:numPr>
        <w:ilvl w:val="2"/>
        <w:numId w:val="41"/>
      </w:numPr>
      <w:tabs>
        <w:tab w:val="clear" w:pos="1088"/>
      </w:tabs>
      <w:spacing w:before="120" w:after="120"/>
    </w:pPr>
    <w:rPr>
      <w:rFonts w:cs="Times New Roman"/>
      <w:color w:val="000000" w:themeColor="text1"/>
      <w:sz w:val="22"/>
      <w:szCs w:val="20"/>
      <w:lang w:eastAsia="en-AU"/>
    </w:rPr>
  </w:style>
  <w:style w:type="character" w:customStyle="1" w:styleId="bumpedfont15">
    <w:name w:val="bumpedfont15"/>
    <w:basedOn w:val="DefaultParagraphFont"/>
    <w:rsid w:val="00146FC0"/>
  </w:style>
  <w:style w:type="character" w:customStyle="1" w:styleId="CABParagraphChar">
    <w:name w:val="CAB Paragraph Char"/>
    <w:basedOn w:val="DefaultParagraphFont"/>
    <w:link w:val="CABParagraph"/>
    <w:uiPriority w:val="98"/>
    <w:locked/>
    <w:rsid w:val="009B7073"/>
    <w:rPr>
      <w:rFonts w:ascii="Arial" w:hAnsi="Arial" w:cs="Arial"/>
    </w:rPr>
  </w:style>
  <w:style w:type="paragraph" w:customStyle="1" w:styleId="CABParagraph">
    <w:name w:val="CAB Paragraph"/>
    <w:basedOn w:val="Normal"/>
    <w:link w:val="CABParagraphChar"/>
    <w:uiPriority w:val="98"/>
    <w:qFormat/>
    <w:rsid w:val="009B7073"/>
    <w:pPr>
      <w:spacing w:before="120"/>
    </w:pPr>
    <w:rPr>
      <w:rFonts w:ascii="Arial" w:eastAsiaTheme="minorHAnsi"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24884">
      <w:bodyDiv w:val="1"/>
      <w:marLeft w:val="0"/>
      <w:marRight w:val="0"/>
      <w:marTop w:val="0"/>
      <w:marBottom w:val="0"/>
      <w:divBdr>
        <w:top w:val="none" w:sz="0" w:space="0" w:color="auto"/>
        <w:left w:val="none" w:sz="0" w:space="0" w:color="auto"/>
        <w:bottom w:val="none" w:sz="0" w:space="0" w:color="auto"/>
        <w:right w:val="none" w:sz="0" w:space="0" w:color="auto"/>
      </w:divBdr>
    </w:div>
    <w:div w:id="122500664">
      <w:bodyDiv w:val="1"/>
      <w:marLeft w:val="0"/>
      <w:marRight w:val="0"/>
      <w:marTop w:val="0"/>
      <w:marBottom w:val="0"/>
      <w:divBdr>
        <w:top w:val="none" w:sz="0" w:space="0" w:color="auto"/>
        <w:left w:val="none" w:sz="0" w:space="0" w:color="auto"/>
        <w:bottom w:val="none" w:sz="0" w:space="0" w:color="auto"/>
        <w:right w:val="none" w:sz="0" w:space="0" w:color="auto"/>
      </w:divBdr>
    </w:div>
    <w:div w:id="135336847">
      <w:bodyDiv w:val="1"/>
      <w:marLeft w:val="0"/>
      <w:marRight w:val="0"/>
      <w:marTop w:val="0"/>
      <w:marBottom w:val="0"/>
      <w:divBdr>
        <w:top w:val="none" w:sz="0" w:space="0" w:color="auto"/>
        <w:left w:val="none" w:sz="0" w:space="0" w:color="auto"/>
        <w:bottom w:val="none" w:sz="0" w:space="0" w:color="auto"/>
        <w:right w:val="none" w:sz="0" w:space="0" w:color="auto"/>
      </w:divBdr>
    </w:div>
    <w:div w:id="263080612">
      <w:bodyDiv w:val="1"/>
      <w:marLeft w:val="0"/>
      <w:marRight w:val="0"/>
      <w:marTop w:val="0"/>
      <w:marBottom w:val="0"/>
      <w:divBdr>
        <w:top w:val="none" w:sz="0" w:space="0" w:color="auto"/>
        <w:left w:val="none" w:sz="0" w:space="0" w:color="auto"/>
        <w:bottom w:val="none" w:sz="0" w:space="0" w:color="auto"/>
        <w:right w:val="none" w:sz="0" w:space="0" w:color="auto"/>
      </w:divBdr>
      <w:divsChild>
        <w:div w:id="651494329">
          <w:marLeft w:val="0"/>
          <w:marRight w:val="0"/>
          <w:marTop w:val="0"/>
          <w:marBottom w:val="0"/>
          <w:divBdr>
            <w:top w:val="none" w:sz="0" w:space="0" w:color="auto"/>
            <w:left w:val="none" w:sz="0" w:space="0" w:color="auto"/>
            <w:bottom w:val="none" w:sz="0" w:space="0" w:color="auto"/>
            <w:right w:val="none" w:sz="0" w:space="0" w:color="auto"/>
          </w:divBdr>
        </w:div>
        <w:div w:id="1628077061">
          <w:marLeft w:val="0"/>
          <w:marRight w:val="0"/>
          <w:marTop w:val="0"/>
          <w:marBottom w:val="0"/>
          <w:divBdr>
            <w:top w:val="none" w:sz="0" w:space="0" w:color="auto"/>
            <w:left w:val="none" w:sz="0" w:space="0" w:color="auto"/>
            <w:bottom w:val="none" w:sz="0" w:space="0" w:color="auto"/>
            <w:right w:val="none" w:sz="0" w:space="0" w:color="auto"/>
          </w:divBdr>
        </w:div>
        <w:div w:id="1923249934">
          <w:marLeft w:val="0"/>
          <w:marRight w:val="0"/>
          <w:marTop w:val="0"/>
          <w:marBottom w:val="0"/>
          <w:divBdr>
            <w:top w:val="none" w:sz="0" w:space="0" w:color="auto"/>
            <w:left w:val="none" w:sz="0" w:space="0" w:color="auto"/>
            <w:bottom w:val="none" w:sz="0" w:space="0" w:color="auto"/>
            <w:right w:val="none" w:sz="0" w:space="0" w:color="auto"/>
          </w:divBdr>
        </w:div>
      </w:divsChild>
    </w:div>
    <w:div w:id="324095289">
      <w:bodyDiv w:val="1"/>
      <w:marLeft w:val="0"/>
      <w:marRight w:val="0"/>
      <w:marTop w:val="0"/>
      <w:marBottom w:val="0"/>
      <w:divBdr>
        <w:top w:val="none" w:sz="0" w:space="0" w:color="auto"/>
        <w:left w:val="none" w:sz="0" w:space="0" w:color="auto"/>
        <w:bottom w:val="none" w:sz="0" w:space="0" w:color="auto"/>
        <w:right w:val="none" w:sz="0" w:space="0" w:color="auto"/>
      </w:divBdr>
    </w:div>
    <w:div w:id="332226211">
      <w:bodyDiv w:val="1"/>
      <w:marLeft w:val="0"/>
      <w:marRight w:val="0"/>
      <w:marTop w:val="0"/>
      <w:marBottom w:val="0"/>
      <w:divBdr>
        <w:top w:val="none" w:sz="0" w:space="0" w:color="auto"/>
        <w:left w:val="none" w:sz="0" w:space="0" w:color="auto"/>
        <w:bottom w:val="none" w:sz="0" w:space="0" w:color="auto"/>
        <w:right w:val="none" w:sz="0" w:space="0" w:color="auto"/>
      </w:divBdr>
    </w:div>
    <w:div w:id="447285805">
      <w:bodyDiv w:val="1"/>
      <w:marLeft w:val="0"/>
      <w:marRight w:val="0"/>
      <w:marTop w:val="0"/>
      <w:marBottom w:val="0"/>
      <w:divBdr>
        <w:top w:val="none" w:sz="0" w:space="0" w:color="auto"/>
        <w:left w:val="none" w:sz="0" w:space="0" w:color="auto"/>
        <w:bottom w:val="none" w:sz="0" w:space="0" w:color="auto"/>
        <w:right w:val="none" w:sz="0" w:space="0" w:color="auto"/>
      </w:divBdr>
    </w:div>
    <w:div w:id="491414697">
      <w:bodyDiv w:val="1"/>
      <w:marLeft w:val="0"/>
      <w:marRight w:val="0"/>
      <w:marTop w:val="0"/>
      <w:marBottom w:val="0"/>
      <w:divBdr>
        <w:top w:val="none" w:sz="0" w:space="0" w:color="auto"/>
        <w:left w:val="none" w:sz="0" w:space="0" w:color="auto"/>
        <w:bottom w:val="none" w:sz="0" w:space="0" w:color="auto"/>
        <w:right w:val="none" w:sz="0" w:space="0" w:color="auto"/>
      </w:divBdr>
      <w:divsChild>
        <w:div w:id="68698711">
          <w:marLeft w:val="0"/>
          <w:marRight w:val="0"/>
          <w:marTop w:val="0"/>
          <w:marBottom w:val="0"/>
          <w:divBdr>
            <w:top w:val="none" w:sz="0" w:space="0" w:color="auto"/>
            <w:left w:val="none" w:sz="0" w:space="0" w:color="auto"/>
            <w:bottom w:val="none" w:sz="0" w:space="0" w:color="auto"/>
            <w:right w:val="none" w:sz="0" w:space="0" w:color="auto"/>
          </w:divBdr>
        </w:div>
        <w:div w:id="123157152">
          <w:marLeft w:val="0"/>
          <w:marRight w:val="0"/>
          <w:marTop w:val="0"/>
          <w:marBottom w:val="0"/>
          <w:divBdr>
            <w:top w:val="none" w:sz="0" w:space="0" w:color="auto"/>
            <w:left w:val="none" w:sz="0" w:space="0" w:color="auto"/>
            <w:bottom w:val="none" w:sz="0" w:space="0" w:color="auto"/>
            <w:right w:val="none" w:sz="0" w:space="0" w:color="auto"/>
          </w:divBdr>
        </w:div>
        <w:div w:id="535042716">
          <w:marLeft w:val="0"/>
          <w:marRight w:val="0"/>
          <w:marTop w:val="0"/>
          <w:marBottom w:val="0"/>
          <w:divBdr>
            <w:top w:val="none" w:sz="0" w:space="0" w:color="auto"/>
            <w:left w:val="none" w:sz="0" w:space="0" w:color="auto"/>
            <w:bottom w:val="none" w:sz="0" w:space="0" w:color="auto"/>
            <w:right w:val="none" w:sz="0" w:space="0" w:color="auto"/>
          </w:divBdr>
        </w:div>
        <w:div w:id="1825122073">
          <w:marLeft w:val="0"/>
          <w:marRight w:val="0"/>
          <w:marTop w:val="0"/>
          <w:marBottom w:val="0"/>
          <w:divBdr>
            <w:top w:val="none" w:sz="0" w:space="0" w:color="auto"/>
            <w:left w:val="none" w:sz="0" w:space="0" w:color="auto"/>
            <w:bottom w:val="none" w:sz="0" w:space="0" w:color="auto"/>
            <w:right w:val="none" w:sz="0" w:space="0" w:color="auto"/>
          </w:divBdr>
        </w:div>
      </w:divsChild>
    </w:div>
    <w:div w:id="504246608">
      <w:bodyDiv w:val="1"/>
      <w:marLeft w:val="0"/>
      <w:marRight w:val="0"/>
      <w:marTop w:val="0"/>
      <w:marBottom w:val="0"/>
      <w:divBdr>
        <w:top w:val="none" w:sz="0" w:space="0" w:color="auto"/>
        <w:left w:val="none" w:sz="0" w:space="0" w:color="auto"/>
        <w:bottom w:val="none" w:sz="0" w:space="0" w:color="auto"/>
        <w:right w:val="none" w:sz="0" w:space="0" w:color="auto"/>
      </w:divBdr>
    </w:div>
    <w:div w:id="535002314">
      <w:bodyDiv w:val="1"/>
      <w:marLeft w:val="0"/>
      <w:marRight w:val="0"/>
      <w:marTop w:val="0"/>
      <w:marBottom w:val="0"/>
      <w:divBdr>
        <w:top w:val="none" w:sz="0" w:space="0" w:color="auto"/>
        <w:left w:val="none" w:sz="0" w:space="0" w:color="auto"/>
        <w:bottom w:val="none" w:sz="0" w:space="0" w:color="auto"/>
        <w:right w:val="none" w:sz="0" w:space="0" w:color="auto"/>
      </w:divBdr>
    </w:div>
    <w:div w:id="546726247">
      <w:bodyDiv w:val="1"/>
      <w:marLeft w:val="0"/>
      <w:marRight w:val="0"/>
      <w:marTop w:val="0"/>
      <w:marBottom w:val="0"/>
      <w:divBdr>
        <w:top w:val="none" w:sz="0" w:space="0" w:color="auto"/>
        <w:left w:val="none" w:sz="0" w:space="0" w:color="auto"/>
        <w:bottom w:val="none" w:sz="0" w:space="0" w:color="auto"/>
        <w:right w:val="none" w:sz="0" w:space="0" w:color="auto"/>
      </w:divBdr>
    </w:div>
    <w:div w:id="593241636">
      <w:bodyDiv w:val="1"/>
      <w:marLeft w:val="0"/>
      <w:marRight w:val="0"/>
      <w:marTop w:val="0"/>
      <w:marBottom w:val="0"/>
      <w:divBdr>
        <w:top w:val="none" w:sz="0" w:space="0" w:color="auto"/>
        <w:left w:val="none" w:sz="0" w:space="0" w:color="auto"/>
        <w:bottom w:val="none" w:sz="0" w:space="0" w:color="auto"/>
        <w:right w:val="none" w:sz="0" w:space="0" w:color="auto"/>
      </w:divBdr>
    </w:div>
    <w:div w:id="627585419">
      <w:bodyDiv w:val="1"/>
      <w:marLeft w:val="0"/>
      <w:marRight w:val="0"/>
      <w:marTop w:val="0"/>
      <w:marBottom w:val="0"/>
      <w:divBdr>
        <w:top w:val="none" w:sz="0" w:space="0" w:color="auto"/>
        <w:left w:val="none" w:sz="0" w:space="0" w:color="auto"/>
        <w:bottom w:val="none" w:sz="0" w:space="0" w:color="auto"/>
        <w:right w:val="none" w:sz="0" w:space="0" w:color="auto"/>
      </w:divBdr>
    </w:div>
    <w:div w:id="646859202">
      <w:bodyDiv w:val="1"/>
      <w:marLeft w:val="0"/>
      <w:marRight w:val="0"/>
      <w:marTop w:val="0"/>
      <w:marBottom w:val="0"/>
      <w:divBdr>
        <w:top w:val="none" w:sz="0" w:space="0" w:color="auto"/>
        <w:left w:val="none" w:sz="0" w:space="0" w:color="auto"/>
        <w:bottom w:val="none" w:sz="0" w:space="0" w:color="auto"/>
        <w:right w:val="none" w:sz="0" w:space="0" w:color="auto"/>
      </w:divBdr>
    </w:div>
    <w:div w:id="671106392">
      <w:bodyDiv w:val="1"/>
      <w:marLeft w:val="0"/>
      <w:marRight w:val="0"/>
      <w:marTop w:val="0"/>
      <w:marBottom w:val="0"/>
      <w:divBdr>
        <w:top w:val="none" w:sz="0" w:space="0" w:color="auto"/>
        <w:left w:val="none" w:sz="0" w:space="0" w:color="auto"/>
        <w:bottom w:val="none" w:sz="0" w:space="0" w:color="auto"/>
        <w:right w:val="none" w:sz="0" w:space="0" w:color="auto"/>
      </w:divBdr>
    </w:div>
    <w:div w:id="690498777">
      <w:bodyDiv w:val="1"/>
      <w:marLeft w:val="0"/>
      <w:marRight w:val="0"/>
      <w:marTop w:val="0"/>
      <w:marBottom w:val="0"/>
      <w:divBdr>
        <w:top w:val="none" w:sz="0" w:space="0" w:color="auto"/>
        <w:left w:val="none" w:sz="0" w:space="0" w:color="auto"/>
        <w:bottom w:val="none" w:sz="0" w:space="0" w:color="auto"/>
        <w:right w:val="none" w:sz="0" w:space="0" w:color="auto"/>
      </w:divBdr>
    </w:div>
    <w:div w:id="697195442">
      <w:bodyDiv w:val="1"/>
      <w:marLeft w:val="0"/>
      <w:marRight w:val="0"/>
      <w:marTop w:val="0"/>
      <w:marBottom w:val="0"/>
      <w:divBdr>
        <w:top w:val="none" w:sz="0" w:space="0" w:color="auto"/>
        <w:left w:val="none" w:sz="0" w:space="0" w:color="auto"/>
        <w:bottom w:val="none" w:sz="0" w:space="0" w:color="auto"/>
        <w:right w:val="none" w:sz="0" w:space="0" w:color="auto"/>
      </w:divBdr>
    </w:div>
    <w:div w:id="709770094">
      <w:bodyDiv w:val="1"/>
      <w:marLeft w:val="0"/>
      <w:marRight w:val="0"/>
      <w:marTop w:val="0"/>
      <w:marBottom w:val="0"/>
      <w:divBdr>
        <w:top w:val="none" w:sz="0" w:space="0" w:color="auto"/>
        <w:left w:val="none" w:sz="0" w:space="0" w:color="auto"/>
        <w:bottom w:val="none" w:sz="0" w:space="0" w:color="auto"/>
        <w:right w:val="none" w:sz="0" w:space="0" w:color="auto"/>
      </w:divBdr>
    </w:div>
    <w:div w:id="850072107">
      <w:bodyDiv w:val="1"/>
      <w:marLeft w:val="0"/>
      <w:marRight w:val="0"/>
      <w:marTop w:val="0"/>
      <w:marBottom w:val="0"/>
      <w:divBdr>
        <w:top w:val="none" w:sz="0" w:space="0" w:color="auto"/>
        <w:left w:val="none" w:sz="0" w:space="0" w:color="auto"/>
        <w:bottom w:val="none" w:sz="0" w:space="0" w:color="auto"/>
        <w:right w:val="none" w:sz="0" w:space="0" w:color="auto"/>
      </w:divBdr>
    </w:div>
    <w:div w:id="877355584">
      <w:bodyDiv w:val="1"/>
      <w:marLeft w:val="0"/>
      <w:marRight w:val="0"/>
      <w:marTop w:val="0"/>
      <w:marBottom w:val="0"/>
      <w:divBdr>
        <w:top w:val="none" w:sz="0" w:space="0" w:color="auto"/>
        <w:left w:val="none" w:sz="0" w:space="0" w:color="auto"/>
        <w:bottom w:val="none" w:sz="0" w:space="0" w:color="auto"/>
        <w:right w:val="none" w:sz="0" w:space="0" w:color="auto"/>
      </w:divBdr>
    </w:div>
    <w:div w:id="898781005">
      <w:bodyDiv w:val="1"/>
      <w:marLeft w:val="0"/>
      <w:marRight w:val="0"/>
      <w:marTop w:val="0"/>
      <w:marBottom w:val="0"/>
      <w:divBdr>
        <w:top w:val="none" w:sz="0" w:space="0" w:color="auto"/>
        <w:left w:val="none" w:sz="0" w:space="0" w:color="auto"/>
        <w:bottom w:val="none" w:sz="0" w:space="0" w:color="auto"/>
        <w:right w:val="none" w:sz="0" w:space="0" w:color="auto"/>
      </w:divBdr>
    </w:div>
    <w:div w:id="951401751">
      <w:bodyDiv w:val="1"/>
      <w:marLeft w:val="0"/>
      <w:marRight w:val="0"/>
      <w:marTop w:val="0"/>
      <w:marBottom w:val="0"/>
      <w:divBdr>
        <w:top w:val="none" w:sz="0" w:space="0" w:color="auto"/>
        <w:left w:val="none" w:sz="0" w:space="0" w:color="auto"/>
        <w:bottom w:val="none" w:sz="0" w:space="0" w:color="auto"/>
        <w:right w:val="none" w:sz="0" w:space="0" w:color="auto"/>
      </w:divBdr>
    </w:div>
    <w:div w:id="984163428">
      <w:bodyDiv w:val="1"/>
      <w:marLeft w:val="0"/>
      <w:marRight w:val="0"/>
      <w:marTop w:val="0"/>
      <w:marBottom w:val="0"/>
      <w:divBdr>
        <w:top w:val="none" w:sz="0" w:space="0" w:color="auto"/>
        <w:left w:val="none" w:sz="0" w:space="0" w:color="auto"/>
        <w:bottom w:val="none" w:sz="0" w:space="0" w:color="auto"/>
        <w:right w:val="none" w:sz="0" w:space="0" w:color="auto"/>
      </w:divBdr>
      <w:divsChild>
        <w:div w:id="124397657">
          <w:marLeft w:val="0"/>
          <w:marRight w:val="0"/>
          <w:marTop w:val="0"/>
          <w:marBottom w:val="0"/>
          <w:divBdr>
            <w:top w:val="none" w:sz="0" w:space="0" w:color="auto"/>
            <w:left w:val="none" w:sz="0" w:space="0" w:color="auto"/>
            <w:bottom w:val="none" w:sz="0" w:space="0" w:color="auto"/>
            <w:right w:val="none" w:sz="0" w:space="0" w:color="auto"/>
          </w:divBdr>
        </w:div>
        <w:div w:id="237180996">
          <w:marLeft w:val="0"/>
          <w:marRight w:val="0"/>
          <w:marTop w:val="0"/>
          <w:marBottom w:val="0"/>
          <w:divBdr>
            <w:top w:val="none" w:sz="0" w:space="0" w:color="auto"/>
            <w:left w:val="none" w:sz="0" w:space="0" w:color="auto"/>
            <w:bottom w:val="none" w:sz="0" w:space="0" w:color="auto"/>
            <w:right w:val="none" w:sz="0" w:space="0" w:color="auto"/>
          </w:divBdr>
        </w:div>
        <w:div w:id="2068605968">
          <w:marLeft w:val="0"/>
          <w:marRight w:val="0"/>
          <w:marTop w:val="0"/>
          <w:marBottom w:val="0"/>
          <w:divBdr>
            <w:top w:val="none" w:sz="0" w:space="0" w:color="auto"/>
            <w:left w:val="none" w:sz="0" w:space="0" w:color="auto"/>
            <w:bottom w:val="none" w:sz="0" w:space="0" w:color="auto"/>
            <w:right w:val="none" w:sz="0" w:space="0" w:color="auto"/>
          </w:divBdr>
        </w:div>
      </w:divsChild>
    </w:div>
    <w:div w:id="990215703">
      <w:bodyDiv w:val="1"/>
      <w:marLeft w:val="0"/>
      <w:marRight w:val="0"/>
      <w:marTop w:val="0"/>
      <w:marBottom w:val="0"/>
      <w:divBdr>
        <w:top w:val="none" w:sz="0" w:space="0" w:color="auto"/>
        <w:left w:val="none" w:sz="0" w:space="0" w:color="auto"/>
        <w:bottom w:val="none" w:sz="0" w:space="0" w:color="auto"/>
        <w:right w:val="none" w:sz="0" w:space="0" w:color="auto"/>
      </w:divBdr>
    </w:div>
    <w:div w:id="1001590262">
      <w:bodyDiv w:val="1"/>
      <w:marLeft w:val="0"/>
      <w:marRight w:val="0"/>
      <w:marTop w:val="0"/>
      <w:marBottom w:val="0"/>
      <w:divBdr>
        <w:top w:val="none" w:sz="0" w:space="0" w:color="auto"/>
        <w:left w:val="none" w:sz="0" w:space="0" w:color="auto"/>
        <w:bottom w:val="none" w:sz="0" w:space="0" w:color="auto"/>
        <w:right w:val="none" w:sz="0" w:space="0" w:color="auto"/>
      </w:divBdr>
      <w:divsChild>
        <w:div w:id="129325778">
          <w:marLeft w:val="0"/>
          <w:marRight w:val="0"/>
          <w:marTop w:val="0"/>
          <w:marBottom w:val="0"/>
          <w:divBdr>
            <w:top w:val="none" w:sz="0" w:space="0" w:color="auto"/>
            <w:left w:val="none" w:sz="0" w:space="0" w:color="auto"/>
            <w:bottom w:val="none" w:sz="0" w:space="0" w:color="auto"/>
            <w:right w:val="none" w:sz="0" w:space="0" w:color="auto"/>
          </w:divBdr>
        </w:div>
        <w:div w:id="710765526">
          <w:marLeft w:val="0"/>
          <w:marRight w:val="0"/>
          <w:marTop w:val="0"/>
          <w:marBottom w:val="0"/>
          <w:divBdr>
            <w:top w:val="none" w:sz="0" w:space="0" w:color="auto"/>
            <w:left w:val="none" w:sz="0" w:space="0" w:color="auto"/>
            <w:bottom w:val="none" w:sz="0" w:space="0" w:color="auto"/>
            <w:right w:val="none" w:sz="0" w:space="0" w:color="auto"/>
          </w:divBdr>
        </w:div>
        <w:div w:id="913055437">
          <w:marLeft w:val="0"/>
          <w:marRight w:val="0"/>
          <w:marTop w:val="0"/>
          <w:marBottom w:val="0"/>
          <w:divBdr>
            <w:top w:val="none" w:sz="0" w:space="0" w:color="auto"/>
            <w:left w:val="none" w:sz="0" w:space="0" w:color="auto"/>
            <w:bottom w:val="none" w:sz="0" w:space="0" w:color="auto"/>
            <w:right w:val="none" w:sz="0" w:space="0" w:color="auto"/>
          </w:divBdr>
        </w:div>
        <w:div w:id="1120490894">
          <w:marLeft w:val="0"/>
          <w:marRight w:val="0"/>
          <w:marTop w:val="0"/>
          <w:marBottom w:val="0"/>
          <w:divBdr>
            <w:top w:val="none" w:sz="0" w:space="0" w:color="auto"/>
            <w:left w:val="none" w:sz="0" w:space="0" w:color="auto"/>
            <w:bottom w:val="none" w:sz="0" w:space="0" w:color="auto"/>
            <w:right w:val="none" w:sz="0" w:space="0" w:color="auto"/>
          </w:divBdr>
        </w:div>
        <w:div w:id="1713261724">
          <w:marLeft w:val="0"/>
          <w:marRight w:val="0"/>
          <w:marTop w:val="0"/>
          <w:marBottom w:val="0"/>
          <w:divBdr>
            <w:top w:val="none" w:sz="0" w:space="0" w:color="auto"/>
            <w:left w:val="none" w:sz="0" w:space="0" w:color="auto"/>
            <w:bottom w:val="none" w:sz="0" w:space="0" w:color="auto"/>
            <w:right w:val="none" w:sz="0" w:space="0" w:color="auto"/>
          </w:divBdr>
        </w:div>
      </w:divsChild>
    </w:div>
    <w:div w:id="1027832381">
      <w:bodyDiv w:val="1"/>
      <w:marLeft w:val="0"/>
      <w:marRight w:val="0"/>
      <w:marTop w:val="0"/>
      <w:marBottom w:val="0"/>
      <w:divBdr>
        <w:top w:val="none" w:sz="0" w:space="0" w:color="auto"/>
        <w:left w:val="none" w:sz="0" w:space="0" w:color="auto"/>
        <w:bottom w:val="none" w:sz="0" w:space="0" w:color="auto"/>
        <w:right w:val="none" w:sz="0" w:space="0" w:color="auto"/>
      </w:divBdr>
    </w:div>
    <w:div w:id="1072313304">
      <w:bodyDiv w:val="1"/>
      <w:marLeft w:val="0"/>
      <w:marRight w:val="0"/>
      <w:marTop w:val="0"/>
      <w:marBottom w:val="0"/>
      <w:divBdr>
        <w:top w:val="none" w:sz="0" w:space="0" w:color="auto"/>
        <w:left w:val="none" w:sz="0" w:space="0" w:color="auto"/>
        <w:bottom w:val="none" w:sz="0" w:space="0" w:color="auto"/>
        <w:right w:val="none" w:sz="0" w:space="0" w:color="auto"/>
      </w:divBdr>
    </w:div>
    <w:div w:id="1097361843">
      <w:bodyDiv w:val="1"/>
      <w:marLeft w:val="0"/>
      <w:marRight w:val="0"/>
      <w:marTop w:val="0"/>
      <w:marBottom w:val="0"/>
      <w:divBdr>
        <w:top w:val="none" w:sz="0" w:space="0" w:color="auto"/>
        <w:left w:val="none" w:sz="0" w:space="0" w:color="auto"/>
        <w:bottom w:val="none" w:sz="0" w:space="0" w:color="auto"/>
        <w:right w:val="none" w:sz="0" w:space="0" w:color="auto"/>
      </w:divBdr>
    </w:div>
    <w:div w:id="1111587652">
      <w:bodyDiv w:val="1"/>
      <w:marLeft w:val="0"/>
      <w:marRight w:val="0"/>
      <w:marTop w:val="0"/>
      <w:marBottom w:val="0"/>
      <w:divBdr>
        <w:top w:val="none" w:sz="0" w:space="0" w:color="auto"/>
        <w:left w:val="none" w:sz="0" w:space="0" w:color="auto"/>
        <w:bottom w:val="none" w:sz="0" w:space="0" w:color="auto"/>
        <w:right w:val="none" w:sz="0" w:space="0" w:color="auto"/>
      </w:divBdr>
    </w:div>
    <w:div w:id="1162238419">
      <w:bodyDiv w:val="1"/>
      <w:marLeft w:val="0"/>
      <w:marRight w:val="0"/>
      <w:marTop w:val="0"/>
      <w:marBottom w:val="0"/>
      <w:divBdr>
        <w:top w:val="none" w:sz="0" w:space="0" w:color="auto"/>
        <w:left w:val="none" w:sz="0" w:space="0" w:color="auto"/>
        <w:bottom w:val="none" w:sz="0" w:space="0" w:color="auto"/>
        <w:right w:val="none" w:sz="0" w:space="0" w:color="auto"/>
      </w:divBdr>
      <w:divsChild>
        <w:div w:id="294800254">
          <w:marLeft w:val="0"/>
          <w:marRight w:val="0"/>
          <w:marTop w:val="0"/>
          <w:marBottom w:val="0"/>
          <w:divBdr>
            <w:top w:val="none" w:sz="0" w:space="0" w:color="auto"/>
            <w:left w:val="none" w:sz="0" w:space="0" w:color="auto"/>
            <w:bottom w:val="none" w:sz="0" w:space="0" w:color="auto"/>
            <w:right w:val="none" w:sz="0" w:space="0" w:color="auto"/>
          </w:divBdr>
        </w:div>
        <w:div w:id="436484278">
          <w:marLeft w:val="0"/>
          <w:marRight w:val="0"/>
          <w:marTop w:val="0"/>
          <w:marBottom w:val="0"/>
          <w:divBdr>
            <w:top w:val="none" w:sz="0" w:space="0" w:color="auto"/>
            <w:left w:val="none" w:sz="0" w:space="0" w:color="auto"/>
            <w:bottom w:val="none" w:sz="0" w:space="0" w:color="auto"/>
            <w:right w:val="none" w:sz="0" w:space="0" w:color="auto"/>
          </w:divBdr>
        </w:div>
        <w:div w:id="769549520">
          <w:marLeft w:val="0"/>
          <w:marRight w:val="0"/>
          <w:marTop w:val="0"/>
          <w:marBottom w:val="0"/>
          <w:divBdr>
            <w:top w:val="none" w:sz="0" w:space="0" w:color="auto"/>
            <w:left w:val="none" w:sz="0" w:space="0" w:color="auto"/>
            <w:bottom w:val="none" w:sz="0" w:space="0" w:color="auto"/>
            <w:right w:val="none" w:sz="0" w:space="0" w:color="auto"/>
          </w:divBdr>
        </w:div>
        <w:div w:id="937712251">
          <w:marLeft w:val="0"/>
          <w:marRight w:val="0"/>
          <w:marTop w:val="0"/>
          <w:marBottom w:val="0"/>
          <w:divBdr>
            <w:top w:val="none" w:sz="0" w:space="0" w:color="auto"/>
            <w:left w:val="none" w:sz="0" w:space="0" w:color="auto"/>
            <w:bottom w:val="none" w:sz="0" w:space="0" w:color="auto"/>
            <w:right w:val="none" w:sz="0" w:space="0" w:color="auto"/>
          </w:divBdr>
        </w:div>
      </w:divsChild>
    </w:div>
    <w:div w:id="1164928114">
      <w:bodyDiv w:val="1"/>
      <w:marLeft w:val="0"/>
      <w:marRight w:val="0"/>
      <w:marTop w:val="0"/>
      <w:marBottom w:val="0"/>
      <w:divBdr>
        <w:top w:val="none" w:sz="0" w:space="0" w:color="auto"/>
        <w:left w:val="none" w:sz="0" w:space="0" w:color="auto"/>
        <w:bottom w:val="none" w:sz="0" w:space="0" w:color="auto"/>
        <w:right w:val="none" w:sz="0" w:space="0" w:color="auto"/>
      </w:divBdr>
    </w:div>
    <w:div w:id="1199506788">
      <w:bodyDiv w:val="1"/>
      <w:marLeft w:val="0"/>
      <w:marRight w:val="0"/>
      <w:marTop w:val="0"/>
      <w:marBottom w:val="0"/>
      <w:divBdr>
        <w:top w:val="none" w:sz="0" w:space="0" w:color="auto"/>
        <w:left w:val="none" w:sz="0" w:space="0" w:color="auto"/>
        <w:bottom w:val="none" w:sz="0" w:space="0" w:color="auto"/>
        <w:right w:val="none" w:sz="0" w:space="0" w:color="auto"/>
      </w:divBdr>
      <w:divsChild>
        <w:div w:id="1103577074">
          <w:marLeft w:val="0"/>
          <w:marRight w:val="0"/>
          <w:marTop w:val="0"/>
          <w:marBottom w:val="0"/>
          <w:divBdr>
            <w:top w:val="none" w:sz="0" w:space="0" w:color="auto"/>
            <w:left w:val="none" w:sz="0" w:space="0" w:color="auto"/>
            <w:bottom w:val="none" w:sz="0" w:space="0" w:color="auto"/>
            <w:right w:val="none" w:sz="0" w:space="0" w:color="auto"/>
          </w:divBdr>
          <w:divsChild>
            <w:div w:id="162398538">
              <w:marLeft w:val="0"/>
              <w:marRight w:val="0"/>
              <w:marTop w:val="0"/>
              <w:marBottom w:val="0"/>
              <w:divBdr>
                <w:top w:val="none" w:sz="0" w:space="0" w:color="auto"/>
                <w:left w:val="none" w:sz="0" w:space="0" w:color="auto"/>
                <w:bottom w:val="none" w:sz="0" w:space="0" w:color="auto"/>
                <w:right w:val="none" w:sz="0" w:space="0" w:color="auto"/>
              </w:divBdr>
            </w:div>
            <w:div w:id="1830975618">
              <w:marLeft w:val="0"/>
              <w:marRight w:val="0"/>
              <w:marTop w:val="0"/>
              <w:marBottom w:val="0"/>
              <w:divBdr>
                <w:top w:val="none" w:sz="0" w:space="0" w:color="auto"/>
                <w:left w:val="none" w:sz="0" w:space="0" w:color="auto"/>
                <w:bottom w:val="none" w:sz="0" w:space="0" w:color="auto"/>
                <w:right w:val="none" w:sz="0" w:space="0" w:color="auto"/>
              </w:divBdr>
            </w:div>
            <w:div w:id="1832212572">
              <w:marLeft w:val="0"/>
              <w:marRight w:val="0"/>
              <w:marTop w:val="0"/>
              <w:marBottom w:val="0"/>
              <w:divBdr>
                <w:top w:val="none" w:sz="0" w:space="0" w:color="auto"/>
                <w:left w:val="none" w:sz="0" w:space="0" w:color="auto"/>
                <w:bottom w:val="none" w:sz="0" w:space="0" w:color="auto"/>
                <w:right w:val="none" w:sz="0" w:space="0" w:color="auto"/>
              </w:divBdr>
            </w:div>
          </w:divsChild>
        </w:div>
        <w:div w:id="1470825893">
          <w:marLeft w:val="0"/>
          <w:marRight w:val="0"/>
          <w:marTop w:val="0"/>
          <w:marBottom w:val="0"/>
          <w:divBdr>
            <w:top w:val="none" w:sz="0" w:space="0" w:color="auto"/>
            <w:left w:val="none" w:sz="0" w:space="0" w:color="auto"/>
            <w:bottom w:val="none" w:sz="0" w:space="0" w:color="auto"/>
            <w:right w:val="none" w:sz="0" w:space="0" w:color="auto"/>
          </w:divBdr>
          <w:divsChild>
            <w:div w:id="711006213">
              <w:marLeft w:val="0"/>
              <w:marRight w:val="0"/>
              <w:marTop w:val="0"/>
              <w:marBottom w:val="0"/>
              <w:divBdr>
                <w:top w:val="none" w:sz="0" w:space="0" w:color="auto"/>
                <w:left w:val="none" w:sz="0" w:space="0" w:color="auto"/>
                <w:bottom w:val="none" w:sz="0" w:space="0" w:color="auto"/>
                <w:right w:val="none" w:sz="0" w:space="0" w:color="auto"/>
              </w:divBdr>
            </w:div>
            <w:div w:id="828055143">
              <w:marLeft w:val="0"/>
              <w:marRight w:val="0"/>
              <w:marTop w:val="0"/>
              <w:marBottom w:val="0"/>
              <w:divBdr>
                <w:top w:val="none" w:sz="0" w:space="0" w:color="auto"/>
                <w:left w:val="none" w:sz="0" w:space="0" w:color="auto"/>
                <w:bottom w:val="none" w:sz="0" w:space="0" w:color="auto"/>
                <w:right w:val="none" w:sz="0" w:space="0" w:color="auto"/>
              </w:divBdr>
            </w:div>
            <w:div w:id="1545631638">
              <w:marLeft w:val="0"/>
              <w:marRight w:val="0"/>
              <w:marTop w:val="0"/>
              <w:marBottom w:val="0"/>
              <w:divBdr>
                <w:top w:val="none" w:sz="0" w:space="0" w:color="auto"/>
                <w:left w:val="none" w:sz="0" w:space="0" w:color="auto"/>
                <w:bottom w:val="none" w:sz="0" w:space="0" w:color="auto"/>
                <w:right w:val="none" w:sz="0" w:space="0" w:color="auto"/>
              </w:divBdr>
            </w:div>
            <w:div w:id="19646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2627">
      <w:bodyDiv w:val="1"/>
      <w:marLeft w:val="0"/>
      <w:marRight w:val="0"/>
      <w:marTop w:val="0"/>
      <w:marBottom w:val="0"/>
      <w:divBdr>
        <w:top w:val="none" w:sz="0" w:space="0" w:color="auto"/>
        <w:left w:val="none" w:sz="0" w:space="0" w:color="auto"/>
        <w:bottom w:val="none" w:sz="0" w:space="0" w:color="auto"/>
        <w:right w:val="none" w:sz="0" w:space="0" w:color="auto"/>
      </w:divBdr>
    </w:div>
    <w:div w:id="1259748667">
      <w:bodyDiv w:val="1"/>
      <w:marLeft w:val="0"/>
      <w:marRight w:val="0"/>
      <w:marTop w:val="0"/>
      <w:marBottom w:val="0"/>
      <w:divBdr>
        <w:top w:val="none" w:sz="0" w:space="0" w:color="auto"/>
        <w:left w:val="none" w:sz="0" w:space="0" w:color="auto"/>
        <w:bottom w:val="none" w:sz="0" w:space="0" w:color="auto"/>
        <w:right w:val="none" w:sz="0" w:space="0" w:color="auto"/>
      </w:divBdr>
    </w:div>
    <w:div w:id="1273131638">
      <w:bodyDiv w:val="1"/>
      <w:marLeft w:val="0"/>
      <w:marRight w:val="0"/>
      <w:marTop w:val="0"/>
      <w:marBottom w:val="0"/>
      <w:divBdr>
        <w:top w:val="none" w:sz="0" w:space="0" w:color="auto"/>
        <w:left w:val="none" w:sz="0" w:space="0" w:color="auto"/>
        <w:bottom w:val="none" w:sz="0" w:space="0" w:color="auto"/>
        <w:right w:val="none" w:sz="0" w:space="0" w:color="auto"/>
      </w:divBdr>
    </w:div>
    <w:div w:id="1308122293">
      <w:bodyDiv w:val="1"/>
      <w:marLeft w:val="0"/>
      <w:marRight w:val="0"/>
      <w:marTop w:val="0"/>
      <w:marBottom w:val="0"/>
      <w:divBdr>
        <w:top w:val="none" w:sz="0" w:space="0" w:color="auto"/>
        <w:left w:val="none" w:sz="0" w:space="0" w:color="auto"/>
        <w:bottom w:val="none" w:sz="0" w:space="0" w:color="auto"/>
        <w:right w:val="none" w:sz="0" w:space="0" w:color="auto"/>
      </w:divBdr>
    </w:div>
    <w:div w:id="1371804145">
      <w:bodyDiv w:val="1"/>
      <w:marLeft w:val="0"/>
      <w:marRight w:val="0"/>
      <w:marTop w:val="0"/>
      <w:marBottom w:val="0"/>
      <w:divBdr>
        <w:top w:val="none" w:sz="0" w:space="0" w:color="auto"/>
        <w:left w:val="none" w:sz="0" w:space="0" w:color="auto"/>
        <w:bottom w:val="none" w:sz="0" w:space="0" w:color="auto"/>
        <w:right w:val="none" w:sz="0" w:space="0" w:color="auto"/>
      </w:divBdr>
    </w:div>
    <w:div w:id="1411275261">
      <w:bodyDiv w:val="1"/>
      <w:marLeft w:val="0"/>
      <w:marRight w:val="0"/>
      <w:marTop w:val="0"/>
      <w:marBottom w:val="0"/>
      <w:divBdr>
        <w:top w:val="none" w:sz="0" w:space="0" w:color="auto"/>
        <w:left w:val="none" w:sz="0" w:space="0" w:color="auto"/>
        <w:bottom w:val="none" w:sz="0" w:space="0" w:color="auto"/>
        <w:right w:val="none" w:sz="0" w:space="0" w:color="auto"/>
      </w:divBdr>
    </w:div>
    <w:div w:id="1435057601">
      <w:bodyDiv w:val="1"/>
      <w:marLeft w:val="0"/>
      <w:marRight w:val="0"/>
      <w:marTop w:val="0"/>
      <w:marBottom w:val="0"/>
      <w:divBdr>
        <w:top w:val="none" w:sz="0" w:space="0" w:color="auto"/>
        <w:left w:val="none" w:sz="0" w:space="0" w:color="auto"/>
        <w:bottom w:val="none" w:sz="0" w:space="0" w:color="auto"/>
        <w:right w:val="none" w:sz="0" w:space="0" w:color="auto"/>
      </w:divBdr>
      <w:divsChild>
        <w:div w:id="215507126">
          <w:marLeft w:val="0"/>
          <w:marRight w:val="0"/>
          <w:marTop w:val="0"/>
          <w:marBottom w:val="0"/>
          <w:divBdr>
            <w:top w:val="none" w:sz="0" w:space="0" w:color="auto"/>
            <w:left w:val="none" w:sz="0" w:space="0" w:color="auto"/>
            <w:bottom w:val="none" w:sz="0" w:space="0" w:color="auto"/>
            <w:right w:val="none" w:sz="0" w:space="0" w:color="auto"/>
          </w:divBdr>
        </w:div>
        <w:div w:id="877861175">
          <w:marLeft w:val="0"/>
          <w:marRight w:val="0"/>
          <w:marTop w:val="0"/>
          <w:marBottom w:val="0"/>
          <w:divBdr>
            <w:top w:val="none" w:sz="0" w:space="0" w:color="auto"/>
            <w:left w:val="none" w:sz="0" w:space="0" w:color="auto"/>
            <w:bottom w:val="none" w:sz="0" w:space="0" w:color="auto"/>
            <w:right w:val="none" w:sz="0" w:space="0" w:color="auto"/>
          </w:divBdr>
        </w:div>
        <w:div w:id="986935770">
          <w:marLeft w:val="0"/>
          <w:marRight w:val="0"/>
          <w:marTop w:val="0"/>
          <w:marBottom w:val="0"/>
          <w:divBdr>
            <w:top w:val="none" w:sz="0" w:space="0" w:color="auto"/>
            <w:left w:val="none" w:sz="0" w:space="0" w:color="auto"/>
            <w:bottom w:val="none" w:sz="0" w:space="0" w:color="auto"/>
            <w:right w:val="none" w:sz="0" w:space="0" w:color="auto"/>
          </w:divBdr>
        </w:div>
        <w:div w:id="1410423275">
          <w:marLeft w:val="0"/>
          <w:marRight w:val="0"/>
          <w:marTop w:val="0"/>
          <w:marBottom w:val="0"/>
          <w:divBdr>
            <w:top w:val="none" w:sz="0" w:space="0" w:color="auto"/>
            <w:left w:val="none" w:sz="0" w:space="0" w:color="auto"/>
            <w:bottom w:val="none" w:sz="0" w:space="0" w:color="auto"/>
            <w:right w:val="none" w:sz="0" w:space="0" w:color="auto"/>
          </w:divBdr>
        </w:div>
        <w:div w:id="1609388295">
          <w:marLeft w:val="0"/>
          <w:marRight w:val="0"/>
          <w:marTop w:val="0"/>
          <w:marBottom w:val="0"/>
          <w:divBdr>
            <w:top w:val="none" w:sz="0" w:space="0" w:color="auto"/>
            <w:left w:val="none" w:sz="0" w:space="0" w:color="auto"/>
            <w:bottom w:val="none" w:sz="0" w:space="0" w:color="auto"/>
            <w:right w:val="none" w:sz="0" w:space="0" w:color="auto"/>
          </w:divBdr>
        </w:div>
      </w:divsChild>
    </w:div>
    <w:div w:id="1442190436">
      <w:bodyDiv w:val="1"/>
      <w:marLeft w:val="0"/>
      <w:marRight w:val="0"/>
      <w:marTop w:val="0"/>
      <w:marBottom w:val="0"/>
      <w:divBdr>
        <w:top w:val="none" w:sz="0" w:space="0" w:color="auto"/>
        <w:left w:val="none" w:sz="0" w:space="0" w:color="auto"/>
        <w:bottom w:val="none" w:sz="0" w:space="0" w:color="auto"/>
        <w:right w:val="none" w:sz="0" w:space="0" w:color="auto"/>
      </w:divBdr>
    </w:div>
    <w:div w:id="1450858909">
      <w:bodyDiv w:val="1"/>
      <w:marLeft w:val="0"/>
      <w:marRight w:val="0"/>
      <w:marTop w:val="0"/>
      <w:marBottom w:val="0"/>
      <w:divBdr>
        <w:top w:val="none" w:sz="0" w:space="0" w:color="auto"/>
        <w:left w:val="none" w:sz="0" w:space="0" w:color="auto"/>
        <w:bottom w:val="none" w:sz="0" w:space="0" w:color="auto"/>
        <w:right w:val="none" w:sz="0" w:space="0" w:color="auto"/>
      </w:divBdr>
    </w:div>
    <w:div w:id="1511212452">
      <w:bodyDiv w:val="1"/>
      <w:marLeft w:val="0"/>
      <w:marRight w:val="0"/>
      <w:marTop w:val="0"/>
      <w:marBottom w:val="0"/>
      <w:divBdr>
        <w:top w:val="none" w:sz="0" w:space="0" w:color="auto"/>
        <w:left w:val="none" w:sz="0" w:space="0" w:color="auto"/>
        <w:bottom w:val="none" w:sz="0" w:space="0" w:color="auto"/>
        <w:right w:val="none" w:sz="0" w:space="0" w:color="auto"/>
      </w:divBdr>
    </w:div>
    <w:div w:id="1547983215">
      <w:bodyDiv w:val="1"/>
      <w:marLeft w:val="0"/>
      <w:marRight w:val="0"/>
      <w:marTop w:val="0"/>
      <w:marBottom w:val="0"/>
      <w:divBdr>
        <w:top w:val="none" w:sz="0" w:space="0" w:color="auto"/>
        <w:left w:val="none" w:sz="0" w:space="0" w:color="auto"/>
        <w:bottom w:val="none" w:sz="0" w:space="0" w:color="auto"/>
        <w:right w:val="none" w:sz="0" w:space="0" w:color="auto"/>
      </w:divBdr>
      <w:divsChild>
        <w:div w:id="58795350">
          <w:marLeft w:val="0"/>
          <w:marRight w:val="0"/>
          <w:marTop w:val="0"/>
          <w:marBottom w:val="0"/>
          <w:divBdr>
            <w:top w:val="none" w:sz="0" w:space="0" w:color="auto"/>
            <w:left w:val="none" w:sz="0" w:space="0" w:color="auto"/>
            <w:bottom w:val="none" w:sz="0" w:space="0" w:color="auto"/>
            <w:right w:val="none" w:sz="0" w:space="0" w:color="auto"/>
          </w:divBdr>
        </w:div>
        <w:div w:id="119694335">
          <w:marLeft w:val="0"/>
          <w:marRight w:val="0"/>
          <w:marTop w:val="0"/>
          <w:marBottom w:val="0"/>
          <w:divBdr>
            <w:top w:val="none" w:sz="0" w:space="0" w:color="auto"/>
            <w:left w:val="none" w:sz="0" w:space="0" w:color="auto"/>
            <w:bottom w:val="none" w:sz="0" w:space="0" w:color="auto"/>
            <w:right w:val="none" w:sz="0" w:space="0" w:color="auto"/>
          </w:divBdr>
        </w:div>
        <w:div w:id="147598937">
          <w:marLeft w:val="0"/>
          <w:marRight w:val="0"/>
          <w:marTop w:val="0"/>
          <w:marBottom w:val="0"/>
          <w:divBdr>
            <w:top w:val="none" w:sz="0" w:space="0" w:color="auto"/>
            <w:left w:val="none" w:sz="0" w:space="0" w:color="auto"/>
            <w:bottom w:val="none" w:sz="0" w:space="0" w:color="auto"/>
            <w:right w:val="none" w:sz="0" w:space="0" w:color="auto"/>
          </w:divBdr>
        </w:div>
        <w:div w:id="280111735">
          <w:marLeft w:val="0"/>
          <w:marRight w:val="0"/>
          <w:marTop w:val="0"/>
          <w:marBottom w:val="0"/>
          <w:divBdr>
            <w:top w:val="none" w:sz="0" w:space="0" w:color="auto"/>
            <w:left w:val="none" w:sz="0" w:space="0" w:color="auto"/>
            <w:bottom w:val="none" w:sz="0" w:space="0" w:color="auto"/>
            <w:right w:val="none" w:sz="0" w:space="0" w:color="auto"/>
          </w:divBdr>
        </w:div>
        <w:div w:id="321588428">
          <w:marLeft w:val="0"/>
          <w:marRight w:val="0"/>
          <w:marTop w:val="0"/>
          <w:marBottom w:val="0"/>
          <w:divBdr>
            <w:top w:val="none" w:sz="0" w:space="0" w:color="auto"/>
            <w:left w:val="none" w:sz="0" w:space="0" w:color="auto"/>
            <w:bottom w:val="none" w:sz="0" w:space="0" w:color="auto"/>
            <w:right w:val="none" w:sz="0" w:space="0" w:color="auto"/>
          </w:divBdr>
        </w:div>
        <w:div w:id="402488998">
          <w:marLeft w:val="0"/>
          <w:marRight w:val="0"/>
          <w:marTop w:val="0"/>
          <w:marBottom w:val="0"/>
          <w:divBdr>
            <w:top w:val="none" w:sz="0" w:space="0" w:color="auto"/>
            <w:left w:val="none" w:sz="0" w:space="0" w:color="auto"/>
            <w:bottom w:val="none" w:sz="0" w:space="0" w:color="auto"/>
            <w:right w:val="none" w:sz="0" w:space="0" w:color="auto"/>
          </w:divBdr>
        </w:div>
        <w:div w:id="494029524">
          <w:marLeft w:val="0"/>
          <w:marRight w:val="0"/>
          <w:marTop w:val="0"/>
          <w:marBottom w:val="0"/>
          <w:divBdr>
            <w:top w:val="none" w:sz="0" w:space="0" w:color="auto"/>
            <w:left w:val="none" w:sz="0" w:space="0" w:color="auto"/>
            <w:bottom w:val="none" w:sz="0" w:space="0" w:color="auto"/>
            <w:right w:val="none" w:sz="0" w:space="0" w:color="auto"/>
          </w:divBdr>
        </w:div>
        <w:div w:id="495650631">
          <w:marLeft w:val="0"/>
          <w:marRight w:val="0"/>
          <w:marTop w:val="0"/>
          <w:marBottom w:val="0"/>
          <w:divBdr>
            <w:top w:val="none" w:sz="0" w:space="0" w:color="auto"/>
            <w:left w:val="none" w:sz="0" w:space="0" w:color="auto"/>
            <w:bottom w:val="none" w:sz="0" w:space="0" w:color="auto"/>
            <w:right w:val="none" w:sz="0" w:space="0" w:color="auto"/>
          </w:divBdr>
        </w:div>
        <w:div w:id="510098570">
          <w:marLeft w:val="0"/>
          <w:marRight w:val="0"/>
          <w:marTop w:val="0"/>
          <w:marBottom w:val="0"/>
          <w:divBdr>
            <w:top w:val="none" w:sz="0" w:space="0" w:color="auto"/>
            <w:left w:val="none" w:sz="0" w:space="0" w:color="auto"/>
            <w:bottom w:val="none" w:sz="0" w:space="0" w:color="auto"/>
            <w:right w:val="none" w:sz="0" w:space="0" w:color="auto"/>
          </w:divBdr>
        </w:div>
        <w:div w:id="722825317">
          <w:marLeft w:val="0"/>
          <w:marRight w:val="0"/>
          <w:marTop w:val="0"/>
          <w:marBottom w:val="0"/>
          <w:divBdr>
            <w:top w:val="none" w:sz="0" w:space="0" w:color="auto"/>
            <w:left w:val="none" w:sz="0" w:space="0" w:color="auto"/>
            <w:bottom w:val="none" w:sz="0" w:space="0" w:color="auto"/>
            <w:right w:val="none" w:sz="0" w:space="0" w:color="auto"/>
          </w:divBdr>
        </w:div>
        <w:div w:id="729771744">
          <w:marLeft w:val="0"/>
          <w:marRight w:val="0"/>
          <w:marTop w:val="0"/>
          <w:marBottom w:val="0"/>
          <w:divBdr>
            <w:top w:val="none" w:sz="0" w:space="0" w:color="auto"/>
            <w:left w:val="none" w:sz="0" w:space="0" w:color="auto"/>
            <w:bottom w:val="none" w:sz="0" w:space="0" w:color="auto"/>
            <w:right w:val="none" w:sz="0" w:space="0" w:color="auto"/>
          </w:divBdr>
        </w:div>
        <w:div w:id="967474860">
          <w:marLeft w:val="0"/>
          <w:marRight w:val="0"/>
          <w:marTop w:val="0"/>
          <w:marBottom w:val="0"/>
          <w:divBdr>
            <w:top w:val="none" w:sz="0" w:space="0" w:color="auto"/>
            <w:left w:val="none" w:sz="0" w:space="0" w:color="auto"/>
            <w:bottom w:val="none" w:sz="0" w:space="0" w:color="auto"/>
            <w:right w:val="none" w:sz="0" w:space="0" w:color="auto"/>
          </w:divBdr>
        </w:div>
        <w:div w:id="1045523434">
          <w:marLeft w:val="0"/>
          <w:marRight w:val="0"/>
          <w:marTop w:val="0"/>
          <w:marBottom w:val="0"/>
          <w:divBdr>
            <w:top w:val="none" w:sz="0" w:space="0" w:color="auto"/>
            <w:left w:val="none" w:sz="0" w:space="0" w:color="auto"/>
            <w:bottom w:val="none" w:sz="0" w:space="0" w:color="auto"/>
            <w:right w:val="none" w:sz="0" w:space="0" w:color="auto"/>
          </w:divBdr>
        </w:div>
        <w:div w:id="1150293781">
          <w:marLeft w:val="0"/>
          <w:marRight w:val="0"/>
          <w:marTop w:val="0"/>
          <w:marBottom w:val="0"/>
          <w:divBdr>
            <w:top w:val="none" w:sz="0" w:space="0" w:color="auto"/>
            <w:left w:val="none" w:sz="0" w:space="0" w:color="auto"/>
            <w:bottom w:val="none" w:sz="0" w:space="0" w:color="auto"/>
            <w:right w:val="none" w:sz="0" w:space="0" w:color="auto"/>
          </w:divBdr>
        </w:div>
        <w:div w:id="1174298344">
          <w:marLeft w:val="0"/>
          <w:marRight w:val="0"/>
          <w:marTop w:val="0"/>
          <w:marBottom w:val="0"/>
          <w:divBdr>
            <w:top w:val="none" w:sz="0" w:space="0" w:color="auto"/>
            <w:left w:val="none" w:sz="0" w:space="0" w:color="auto"/>
            <w:bottom w:val="none" w:sz="0" w:space="0" w:color="auto"/>
            <w:right w:val="none" w:sz="0" w:space="0" w:color="auto"/>
          </w:divBdr>
        </w:div>
        <w:div w:id="1283346473">
          <w:marLeft w:val="0"/>
          <w:marRight w:val="0"/>
          <w:marTop w:val="0"/>
          <w:marBottom w:val="0"/>
          <w:divBdr>
            <w:top w:val="none" w:sz="0" w:space="0" w:color="auto"/>
            <w:left w:val="none" w:sz="0" w:space="0" w:color="auto"/>
            <w:bottom w:val="none" w:sz="0" w:space="0" w:color="auto"/>
            <w:right w:val="none" w:sz="0" w:space="0" w:color="auto"/>
          </w:divBdr>
        </w:div>
        <w:div w:id="1847282281">
          <w:marLeft w:val="0"/>
          <w:marRight w:val="0"/>
          <w:marTop w:val="0"/>
          <w:marBottom w:val="0"/>
          <w:divBdr>
            <w:top w:val="none" w:sz="0" w:space="0" w:color="auto"/>
            <w:left w:val="none" w:sz="0" w:space="0" w:color="auto"/>
            <w:bottom w:val="none" w:sz="0" w:space="0" w:color="auto"/>
            <w:right w:val="none" w:sz="0" w:space="0" w:color="auto"/>
          </w:divBdr>
        </w:div>
        <w:div w:id="2048682422">
          <w:marLeft w:val="0"/>
          <w:marRight w:val="0"/>
          <w:marTop w:val="0"/>
          <w:marBottom w:val="0"/>
          <w:divBdr>
            <w:top w:val="none" w:sz="0" w:space="0" w:color="auto"/>
            <w:left w:val="none" w:sz="0" w:space="0" w:color="auto"/>
            <w:bottom w:val="none" w:sz="0" w:space="0" w:color="auto"/>
            <w:right w:val="none" w:sz="0" w:space="0" w:color="auto"/>
          </w:divBdr>
        </w:div>
      </w:divsChild>
    </w:div>
    <w:div w:id="1588029397">
      <w:bodyDiv w:val="1"/>
      <w:marLeft w:val="0"/>
      <w:marRight w:val="0"/>
      <w:marTop w:val="0"/>
      <w:marBottom w:val="0"/>
      <w:divBdr>
        <w:top w:val="none" w:sz="0" w:space="0" w:color="auto"/>
        <w:left w:val="none" w:sz="0" w:space="0" w:color="auto"/>
        <w:bottom w:val="none" w:sz="0" w:space="0" w:color="auto"/>
        <w:right w:val="none" w:sz="0" w:space="0" w:color="auto"/>
      </w:divBdr>
    </w:div>
    <w:div w:id="1600599681">
      <w:bodyDiv w:val="1"/>
      <w:marLeft w:val="0"/>
      <w:marRight w:val="0"/>
      <w:marTop w:val="0"/>
      <w:marBottom w:val="0"/>
      <w:divBdr>
        <w:top w:val="none" w:sz="0" w:space="0" w:color="auto"/>
        <w:left w:val="none" w:sz="0" w:space="0" w:color="auto"/>
        <w:bottom w:val="none" w:sz="0" w:space="0" w:color="auto"/>
        <w:right w:val="none" w:sz="0" w:space="0" w:color="auto"/>
      </w:divBdr>
      <w:divsChild>
        <w:div w:id="257258299">
          <w:marLeft w:val="0"/>
          <w:marRight w:val="0"/>
          <w:marTop w:val="0"/>
          <w:marBottom w:val="0"/>
          <w:divBdr>
            <w:top w:val="none" w:sz="0" w:space="0" w:color="auto"/>
            <w:left w:val="none" w:sz="0" w:space="0" w:color="auto"/>
            <w:bottom w:val="none" w:sz="0" w:space="0" w:color="auto"/>
            <w:right w:val="none" w:sz="0" w:space="0" w:color="auto"/>
          </w:divBdr>
        </w:div>
        <w:div w:id="955062361">
          <w:marLeft w:val="0"/>
          <w:marRight w:val="0"/>
          <w:marTop w:val="0"/>
          <w:marBottom w:val="0"/>
          <w:divBdr>
            <w:top w:val="none" w:sz="0" w:space="0" w:color="auto"/>
            <w:left w:val="none" w:sz="0" w:space="0" w:color="auto"/>
            <w:bottom w:val="none" w:sz="0" w:space="0" w:color="auto"/>
            <w:right w:val="none" w:sz="0" w:space="0" w:color="auto"/>
          </w:divBdr>
        </w:div>
        <w:div w:id="1342464379">
          <w:marLeft w:val="0"/>
          <w:marRight w:val="0"/>
          <w:marTop w:val="0"/>
          <w:marBottom w:val="0"/>
          <w:divBdr>
            <w:top w:val="none" w:sz="0" w:space="0" w:color="auto"/>
            <w:left w:val="none" w:sz="0" w:space="0" w:color="auto"/>
            <w:bottom w:val="none" w:sz="0" w:space="0" w:color="auto"/>
            <w:right w:val="none" w:sz="0" w:space="0" w:color="auto"/>
          </w:divBdr>
        </w:div>
      </w:divsChild>
    </w:div>
    <w:div w:id="1646734989">
      <w:bodyDiv w:val="1"/>
      <w:marLeft w:val="0"/>
      <w:marRight w:val="0"/>
      <w:marTop w:val="0"/>
      <w:marBottom w:val="0"/>
      <w:divBdr>
        <w:top w:val="none" w:sz="0" w:space="0" w:color="auto"/>
        <w:left w:val="none" w:sz="0" w:space="0" w:color="auto"/>
        <w:bottom w:val="none" w:sz="0" w:space="0" w:color="auto"/>
        <w:right w:val="none" w:sz="0" w:space="0" w:color="auto"/>
      </w:divBdr>
    </w:div>
    <w:div w:id="1653674467">
      <w:bodyDiv w:val="1"/>
      <w:marLeft w:val="0"/>
      <w:marRight w:val="0"/>
      <w:marTop w:val="0"/>
      <w:marBottom w:val="0"/>
      <w:divBdr>
        <w:top w:val="none" w:sz="0" w:space="0" w:color="auto"/>
        <w:left w:val="none" w:sz="0" w:space="0" w:color="auto"/>
        <w:bottom w:val="none" w:sz="0" w:space="0" w:color="auto"/>
        <w:right w:val="none" w:sz="0" w:space="0" w:color="auto"/>
      </w:divBdr>
    </w:div>
    <w:div w:id="1680161897">
      <w:bodyDiv w:val="1"/>
      <w:marLeft w:val="0"/>
      <w:marRight w:val="0"/>
      <w:marTop w:val="0"/>
      <w:marBottom w:val="0"/>
      <w:divBdr>
        <w:top w:val="none" w:sz="0" w:space="0" w:color="auto"/>
        <w:left w:val="none" w:sz="0" w:space="0" w:color="auto"/>
        <w:bottom w:val="none" w:sz="0" w:space="0" w:color="auto"/>
        <w:right w:val="none" w:sz="0" w:space="0" w:color="auto"/>
      </w:divBdr>
      <w:divsChild>
        <w:div w:id="375160795">
          <w:marLeft w:val="0"/>
          <w:marRight w:val="0"/>
          <w:marTop w:val="0"/>
          <w:marBottom w:val="0"/>
          <w:divBdr>
            <w:top w:val="none" w:sz="0" w:space="0" w:color="auto"/>
            <w:left w:val="none" w:sz="0" w:space="0" w:color="auto"/>
            <w:bottom w:val="none" w:sz="0" w:space="0" w:color="auto"/>
            <w:right w:val="none" w:sz="0" w:space="0" w:color="auto"/>
          </w:divBdr>
        </w:div>
        <w:div w:id="738406756">
          <w:marLeft w:val="0"/>
          <w:marRight w:val="0"/>
          <w:marTop w:val="0"/>
          <w:marBottom w:val="0"/>
          <w:divBdr>
            <w:top w:val="none" w:sz="0" w:space="0" w:color="auto"/>
            <w:left w:val="none" w:sz="0" w:space="0" w:color="auto"/>
            <w:bottom w:val="none" w:sz="0" w:space="0" w:color="auto"/>
            <w:right w:val="none" w:sz="0" w:space="0" w:color="auto"/>
          </w:divBdr>
        </w:div>
        <w:div w:id="1610237235">
          <w:marLeft w:val="0"/>
          <w:marRight w:val="0"/>
          <w:marTop w:val="0"/>
          <w:marBottom w:val="0"/>
          <w:divBdr>
            <w:top w:val="none" w:sz="0" w:space="0" w:color="auto"/>
            <w:left w:val="none" w:sz="0" w:space="0" w:color="auto"/>
            <w:bottom w:val="none" w:sz="0" w:space="0" w:color="auto"/>
            <w:right w:val="none" w:sz="0" w:space="0" w:color="auto"/>
          </w:divBdr>
        </w:div>
      </w:divsChild>
    </w:div>
    <w:div w:id="1697657226">
      <w:bodyDiv w:val="1"/>
      <w:marLeft w:val="0"/>
      <w:marRight w:val="0"/>
      <w:marTop w:val="0"/>
      <w:marBottom w:val="0"/>
      <w:divBdr>
        <w:top w:val="none" w:sz="0" w:space="0" w:color="auto"/>
        <w:left w:val="none" w:sz="0" w:space="0" w:color="auto"/>
        <w:bottom w:val="none" w:sz="0" w:space="0" w:color="auto"/>
        <w:right w:val="none" w:sz="0" w:space="0" w:color="auto"/>
      </w:divBdr>
    </w:div>
    <w:div w:id="1705867202">
      <w:bodyDiv w:val="1"/>
      <w:marLeft w:val="0"/>
      <w:marRight w:val="0"/>
      <w:marTop w:val="0"/>
      <w:marBottom w:val="0"/>
      <w:divBdr>
        <w:top w:val="none" w:sz="0" w:space="0" w:color="auto"/>
        <w:left w:val="none" w:sz="0" w:space="0" w:color="auto"/>
        <w:bottom w:val="none" w:sz="0" w:space="0" w:color="auto"/>
        <w:right w:val="none" w:sz="0" w:space="0" w:color="auto"/>
      </w:divBdr>
    </w:div>
    <w:div w:id="1706636370">
      <w:bodyDiv w:val="1"/>
      <w:marLeft w:val="0"/>
      <w:marRight w:val="0"/>
      <w:marTop w:val="0"/>
      <w:marBottom w:val="0"/>
      <w:divBdr>
        <w:top w:val="none" w:sz="0" w:space="0" w:color="auto"/>
        <w:left w:val="none" w:sz="0" w:space="0" w:color="auto"/>
        <w:bottom w:val="none" w:sz="0" w:space="0" w:color="auto"/>
        <w:right w:val="none" w:sz="0" w:space="0" w:color="auto"/>
      </w:divBdr>
    </w:div>
    <w:div w:id="1714115701">
      <w:bodyDiv w:val="1"/>
      <w:marLeft w:val="0"/>
      <w:marRight w:val="0"/>
      <w:marTop w:val="0"/>
      <w:marBottom w:val="0"/>
      <w:divBdr>
        <w:top w:val="none" w:sz="0" w:space="0" w:color="auto"/>
        <w:left w:val="none" w:sz="0" w:space="0" w:color="auto"/>
        <w:bottom w:val="none" w:sz="0" w:space="0" w:color="auto"/>
        <w:right w:val="none" w:sz="0" w:space="0" w:color="auto"/>
      </w:divBdr>
    </w:div>
    <w:div w:id="1758555531">
      <w:bodyDiv w:val="1"/>
      <w:marLeft w:val="0"/>
      <w:marRight w:val="0"/>
      <w:marTop w:val="0"/>
      <w:marBottom w:val="0"/>
      <w:divBdr>
        <w:top w:val="none" w:sz="0" w:space="0" w:color="auto"/>
        <w:left w:val="none" w:sz="0" w:space="0" w:color="auto"/>
        <w:bottom w:val="none" w:sz="0" w:space="0" w:color="auto"/>
        <w:right w:val="none" w:sz="0" w:space="0" w:color="auto"/>
      </w:divBdr>
    </w:div>
    <w:div w:id="1768884746">
      <w:bodyDiv w:val="1"/>
      <w:marLeft w:val="0"/>
      <w:marRight w:val="0"/>
      <w:marTop w:val="0"/>
      <w:marBottom w:val="0"/>
      <w:divBdr>
        <w:top w:val="none" w:sz="0" w:space="0" w:color="auto"/>
        <w:left w:val="none" w:sz="0" w:space="0" w:color="auto"/>
        <w:bottom w:val="none" w:sz="0" w:space="0" w:color="auto"/>
        <w:right w:val="none" w:sz="0" w:space="0" w:color="auto"/>
      </w:divBdr>
    </w:div>
    <w:div w:id="1785266639">
      <w:bodyDiv w:val="1"/>
      <w:marLeft w:val="0"/>
      <w:marRight w:val="0"/>
      <w:marTop w:val="0"/>
      <w:marBottom w:val="0"/>
      <w:divBdr>
        <w:top w:val="none" w:sz="0" w:space="0" w:color="auto"/>
        <w:left w:val="none" w:sz="0" w:space="0" w:color="auto"/>
        <w:bottom w:val="none" w:sz="0" w:space="0" w:color="auto"/>
        <w:right w:val="none" w:sz="0" w:space="0" w:color="auto"/>
      </w:divBdr>
      <w:divsChild>
        <w:div w:id="205263655">
          <w:marLeft w:val="0"/>
          <w:marRight w:val="0"/>
          <w:marTop w:val="0"/>
          <w:marBottom w:val="0"/>
          <w:divBdr>
            <w:top w:val="none" w:sz="0" w:space="0" w:color="auto"/>
            <w:left w:val="none" w:sz="0" w:space="0" w:color="auto"/>
            <w:bottom w:val="none" w:sz="0" w:space="0" w:color="auto"/>
            <w:right w:val="none" w:sz="0" w:space="0" w:color="auto"/>
          </w:divBdr>
        </w:div>
        <w:div w:id="1218590567">
          <w:marLeft w:val="0"/>
          <w:marRight w:val="0"/>
          <w:marTop w:val="0"/>
          <w:marBottom w:val="0"/>
          <w:divBdr>
            <w:top w:val="none" w:sz="0" w:space="0" w:color="auto"/>
            <w:left w:val="none" w:sz="0" w:space="0" w:color="auto"/>
            <w:bottom w:val="none" w:sz="0" w:space="0" w:color="auto"/>
            <w:right w:val="none" w:sz="0" w:space="0" w:color="auto"/>
          </w:divBdr>
        </w:div>
        <w:div w:id="1401292633">
          <w:marLeft w:val="0"/>
          <w:marRight w:val="0"/>
          <w:marTop w:val="0"/>
          <w:marBottom w:val="0"/>
          <w:divBdr>
            <w:top w:val="none" w:sz="0" w:space="0" w:color="auto"/>
            <w:left w:val="none" w:sz="0" w:space="0" w:color="auto"/>
            <w:bottom w:val="none" w:sz="0" w:space="0" w:color="auto"/>
            <w:right w:val="none" w:sz="0" w:space="0" w:color="auto"/>
          </w:divBdr>
        </w:div>
      </w:divsChild>
    </w:div>
    <w:div w:id="1980070944">
      <w:bodyDiv w:val="1"/>
      <w:marLeft w:val="0"/>
      <w:marRight w:val="0"/>
      <w:marTop w:val="0"/>
      <w:marBottom w:val="0"/>
      <w:divBdr>
        <w:top w:val="none" w:sz="0" w:space="0" w:color="auto"/>
        <w:left w:val="none" w:sz="0" w:space="0" w:color="auto"/>
        <w:bottom w:val="none" w:sz="0" w:space="0" w:color="auto"/>
        <w:right w:val="none" w:sz="0" w:space="0" w:color="auto"/>
      </w:divBdr>
    </w:div>
    <w:div w:id="2003505328">
      <w:bodyDiv w:val="1"/>
      <w:marLeft w:val="0"/>
      <w:marRight w:val="0"/>
      <w:marTop w:val="0"/>
      <w:marBottom w:val="0"/>
      <w:divBdr>
        <w:top w:val="none" w:sz="0" w:space="0" w:color="auto"/>
        <w:left w:val="none" w:sz="0" w:space="0" w:color="auto"/>
        <w:bottom w:val="none" w:sz="0" w:space="0" w:color="auto"/>
        <w:right w:val="none" w:sz="0" w:space="0" w:color="auto"/>
      </w:divBdr>
    </w:div>
    <w:div w:id="2043901761">
      <w:bodyDiv w:val="1"/>
      <w:marLeft w:val="0"/>
      <w:marRight w:val="0"/>
      <w:marTop w:val="0"/>
      <w:marBottom w:val="0"/>
      <w:divBdr>
        <w:top w:val="none" w:sz="0" w:space="0" w:color="auto"/>
        <w:left w:val="none" w:sz="0" w:space="0" w:color="auto"/>
        <w:bottom w:val="none" w:sz="0" w:space="0" w:color="auto"/>
        <w:right w:val="none" w:sz="0" w:space="0" w:color="auto"/>
      </w:divBdr>
    </w:div>
    <w:div w:id="209855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haredservicescentre.sharepoint.com/sites/DEWR-SafetyNetPolicyBranch-TEAM/Pay%20Equity%20and%20Participation/2023%20Budget%20and%20Legislative%20Projects/Work%20and%20Care%20(incl%20Research%20Project,%20Senate%20Committee)/Senate%20Committee%20on%20Work%20and%20Care/AGR%20to%20Senate%20Committee%20on%20Work%20and%20Care/21%20June%202024%20FINAL%20AGR/www.aph.gov.au/Parliamentary_Business/Committees/Senate/Work_and_Ca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F4659E5771424CA247967C430EFF6B" ma:contentTypeVersion="14" ma:contentTypeDescription="Create a new document." ma:contentTypeScope="" ma:versionID="a073a8be96d020a4cedb0b3f397cc5f8">
  <xsd:schema xmlns:xsd="http://www.w3.org/2001/XMLSchema" xmlns:xs="http://www.w3.org/2001/XMLSchema" xmlns:p="http://schemas.microsoft.com/office/2006/metadata/properties" xmlns:ns2="8d5fcc45-8ddb-4eb9-9b4f-a0ce6d7fcc0d" xmlns:ns3="a3fb3cdf-eacf-4554-9620-b92a308314c3" targetNamespace="http://schemas.microsoft.com/office/2006/metadata/properties" ma:root="true" ma:fieldsID="bfc7f6a14744db2482f15be3fdc6728d" ns2:_="" ns3:_="">
    <xsd:import namespace="8d5fcc45-8ddb-4eb9-9b4f-a0ce6d7fcc0d"/>
    <xsd:import namespace="a3fb3cdf-eacf-4554-9620-b92a308314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element ref="ns2:No_x002e_"/>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5fcc45-8ddb-4eb9-9b4f-a0ce6d7fcc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No_x002e_" ma:index="21" ma:displayName="No." ma:default="1" ma:format="Dropdown" ma:internalName="No_x002e_" ma:percentage="FALSE">
      <xsd:simpleType>
        <xsd:restriction base="dms:Number">
          <xsd:minInclusive value="1"/>
        </xsd:restriction>
      </xsd:simpleType>
    </xsd:element>
  </xsd:schema>
  <xsd:schema xmlns:xsd="http://www.w3.org/2001/XMLSchema" xmlns:xs="http://www.w3.org/2001/XMLSchema" xmlns:dms="http://schemas.microsoft.com/office/2006/documentManagement/types" xmlns:pc="http://schemas.microsoft.com/office/infopath/2007/PartnerControls" targetNamespace="a3fb3cdf-eacf-4554-9620-b92a308314c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9f293bf-b51c-4e3f-8978-a6ad9f72af26}" ma:internalName="TaxCatchAll" ma:showField="CatchAllData" ma:web="a3fb3cdf-eacf-4554-9620-b92a30831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d5fcc45-8ddb-4eb9-9b4f-a0ce6d7fcc0d">
      <Terms xmlns="http://schemas.microsoft.com/office/infopath/2007/PartnerControls"/>
    </lcf76f155ced4ddcb4097134ff3c332f>
    <TaxCatchAll xmlns="a3fb3cdf-eacf-4554-9620-b92a308314c3" xsi:nil="true"/>
    <No_x002e_ xmlns="8d5fcc45-8ddb-4eb9-9b4f-a0ce6d7fcc0d">1</No_x002e_>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CB83C-FBE3-40B3-8E28-2578A9178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5fcc45-8ddb-4eb9-9b4f-a0ce6d7fcc0d"/>
    <ds:schemaRef ds:uri="a3fb3cdf-eacf-4554-9620-b92a30831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30DEC3-28CC-4672-9367-E572D2F725E1}">
  <ds:schemaRefs>
    <ds:schemaRef ds:uri="http://schemas.microsoft.com/sharepoint/v3/contenttype/forms"/>
  </ds:schemaRefs>
</ds:datastoreItem>
</file>

<file path=customXml/itemProps3.xml><?xml version="1.0" encoding="utf-8"?>
<ds:datastoreItem xmlns:ds="http://schemas.openxmlformats.org/officeDocument/2006/customXml" ds:itemID="{827AE1A6-DB47-43BC-BA8E-B2B1FFC3A26A}">
  <ds:schemaRefs>
    <ds:schemaRef ds:uri="http://www.w3.org/XML/1998/namespace"/>
    <ds:schemaRef ds:uri="http://purl.org/dc/terms/"/>
    <ds:schemaRef ds:uri="http://purl.org/dc/dcmitype/"/>
    <ds:schemaRef ds:uri="http://schemas.microsoft.com/office/2006/metadata/properties"/>
    <ds:schemaRef ds:uri="http://schemas.openxmlformats.org/package/2006/metadata/core-properties"/>
    <ds:schemaRef ds:uri="8d5fcc45-8ddb-4eb9-9b4f-a0ce6d7fcc0d"/>
    <ds:schemaRef ds:uri="http://schemas.microsoft.com/office/2006/documentManagement/types"/>
    <ds:schemaRef ds:uri="http://schemas.microsoft.com/office/infopath/2007/PartnerControls"/>
    <ds:schemaRef ds:uri="a3fb3cdf-eacf-4554-9620-b92a308314c3"/>
    <ds:schemaRef ds:uri="http://purl.org/dc/elements/1.1/"/>
  </ds:schemaRefs>
</ds:datastoreItem>
</file>

<file path=customXml/itemProps4.xml><?xml version="1.0" encoding="utf-8"?>
<ds:datastoreItem xmlns:ds="http://schemas.openxmlformats.org/officeDocument/2006/customXml" ds:itemID="{6A183057-22B1-4417-83E9-7CD0337E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22103</Words>
  <Characters>125989</Characters>
  <Application>Microsoft Office Word</Application>
  <DocSecurity>0</DocSecurity>
  <Lines>1049</Lines>
  <Paragraphs>295</Paragraphs>
  <ScaleCrop>false</ScaleCrop>
  <Company/>
  <LinksUpToDate>false</LinksUpToDate>
  <CharactersWithSpaces>147797</CharactersWithSpaces>
  <SharedDoc>false</SharedDoc>
  <HLinks>
    <vt:vector size="114" baseType="variant">
      <vt:variant>
        <vt:i4>5636158</vt:i4>
      </vt:variant>
      <vt:variant>
        <vt:i4>111</vt:i4>
      </vt:variant>
      <vt:variant>
        <vt:i4>0</vt:i4>
      </vt:variant>
      <vt:variant>
        <vt:i4>5</vt:i4>
      </vt:variant>
      <vt:variant>
        <vt:lpwstr>www.aph.gov.au/Parliamentary_Business/Committees/Senate/Work_and_Care</vt:lpwstr>
      </vt:variant>
      <vt:variant>
        <vt:lpwstr/>
      </vt:variant>
      <vt:variant>
        <vt:i4>1507386</vt:i4>
      </vt:variant>
      <vt:variant>
        <vt:i4>104</vt:i4>
      </vt:variant>
      <vt:variant>
        <vt:i4>0</vt:i4>
      </vt:variant>
      <vt:variant>
        <vt:i4>5</vt:i4>
      </vt:variant>
      <vt:variant>
        <vt:lpwstr/>
      </vt:variant>
      <vt:variant>
        <vt:lpwstr>_Toc169877593</vt:lpwstr>
      </vt:variant>
      <vt:variant>
        <vt:i4>1507386</vt:i4>
      </vt:variant>
      <vt:variant>
        <vt:i4>98</vt:i4>
      </vt:variant>
      <vt:variant>
        <vt:i4>0</vt:i4>
      </vt:variant>
      <vt:variant>
        <vt:i4>5</vt:i4>
      </vt:variant>
      <vt:variant>
        <vt:lpwstr/>
      </vt:variant>
      <vt:variant>
        <vt:lpwstr>_Toc169877592</vt:lpwstr>
      </vt:variant>
      <vt:variant>
        <vt:i4>1507386</vt:i4>
      </vt:variant>
      <vt:variant>
        <vt:i4>92</vt:i4>
      </vt:variant>
      <vt:variant>
        <vt:i4>0</vt:i4>
      </vt:variant>
      <vt:variant>
        <vt:i4>5</vt:i4>
      </vt:variant>
      <vt:variant>
        <vt:lpwstr/>
      </vt:variant>
      <vt:variant>
        <vt:lpwstr>_Toc169877591</vt:lpwstr>
      </vt:variant>
      <vt:variant>
        <vt:i4>1507386</vt:i4>
      </vt:variant>
      <vt:variant>
        <vt:i4>86</vt:i4>
      </vt:variant>
      <vt:variant>
        <vt:i4>0</vt:i4>
      </vt:variant>
      <vt:variant>
        <vt:i4>5</vt:i4>
      </vt:variant>
      <vt:variant>
        <vt:lpwstr/>
      </vt:variant>
      <vt:variant>
        <vt:lpwstr>_Toc169877590</vt:lpwstr>
      </vt:variant>
      <vt:variant>
        <vt:i4>1441850</vt:i4>
      </vt:variant>
      <vt:variant>
        <vt:i4>80</vt:i4>
      </vt:variant>
      <vt:variant>
        <vt:i4>0</vt:i4>
      </vt:variant>
      <vt:variant>
        <vt:i4>5</vt:i4>
      </vt:variant>
      <vt:variant>
        <vt:lpwstr/>
      </vt:variant>
      <vt:variant>
        <vt:lpwstr>_Toc169877589</vt:lpwstr>
      </vt:variant>
      <vt:variant>
        <vt:i4>1441850</vt:i4>
      </vt:variant>
      <vt:variant>
        <vt:i4>74</vt:i4>
      </vt:variant>
      <vt:variant>
        <vt:i4>0</vt:i4>
      </vt:variant>
      <vt:variant>
        <vt:i4>5</vt:i4>
      </vt:variant>
      <vt:variant>
        <vt:lpwstr/>
      </vt:variant>
      <vt:variant>
        <vt:lpwstr>_Toc169877588</vt:lpwstr>
      </vt:variant>
      <vt:variant>
        <vt:i4>1441850</vt:i4>
      </vt:variant>
      <vt:variant>
        <vt:i4>68</vt:i4>
      </vt:variant>
      <vt:variant>
        <vt:i4>0</vt:i4>
      </vt:variant>
      <vt:variant>
        <vt:i4>5</vt:i4>
      </vt:variant>
      <vt:variant>
        <vt:lpwstr/>
      </vt:variant>
      <vt:variant>
        <vt:lpwstr>_Toc169877587</vt:lpwstr>
      </vt:variant>
      <vt:variant>
        <vt:i4>1441850</vt:i4>
      </vt:variant>
      <vt:variant>
        <vt:i4>62</vt:i4>
      </vt:variant>
      <vt:variant>
        <vt:i4>0</vt:i4>
      </vt:variant>
      <vt:variant>
        <vt:i4>5</vt:i4>
      </vt:variant>
      <vt:variant>
        <vt:lpwstr/>
      </vt:variant>
      <vt:variant>
        <vt:lpwstr>_Toc169877586</vt:lpwstr>
      </vt:variant>
      <vt:variant>
        <vt:i4>1441850</vt:i4>
      </vt:variant>
      <vt:variant>
        <vt:i4>56</vt:i4>
      </vt:variant>
      <vt:variant>
        <vt:i4>0</vt:i4>
      </vt:variant>
      <vt:variant>
        <vt:i4>5</vt:i4>
      </vt:variant>
      <vt:variant>
        <vt:lpwstr/>
      </vt:variant>
      <vt:variant>
        <vt:lpwstr>_Toc169877585</vt:lpwstr>
      </vt:variant>
      <vt:variant>
        <vt:i4>1441850</vt:i4>
      </vt:variant>
      <vt:variant>
        <vt:i4>50</vt:i4>
      </vt:variant>
      <vt:variant>
        <vt:i4>0</vt:i4>
      </vt:variant>
      <vt:variant>
        <vt:i4>5</vt:i4>
      </vt:variant>
      <vt:variant>
        <vt:lpwstr/>
      </vt:variant>
      <vt:variant>
        <vt:lpwstr>_Toc169877584</vt:lpwstr>
      </vt:variant>
      <vt:variant>
        <vt:i4>1441850</vt:i4>
      </vt:variant>
      <vt:variant>
        <vt:i4>44</vt:i4>
      </vt:variant>
      <vt:variant>
        <vt:i4>0</vt:i4>
      </vt:variant>
      <vt:variant>
        <vt:i4>5</vt:i4>
      </vt:variant>
      <vt:variant>
        <vt:lpwstr/>
      </vt:variant>
      <vt:variant>
        <vt:lpwstr>_Toc169877583</vt:lpwstr>
      </vt:variant>
      <vt:variant>
        <vt:i4>1441850</vt:i4>
      </vt:variant>
      <vt:variant>
        <vt:i4>38</vt:i4>
      </vt:variant>
      <vt:variant>
        <vt:i4>0</vt:i4>
      </vt:variant>
      <vt:variant>
        <vt:i4>5</vt:i4>
      </vt:variant>
      <vt:variant>
        <vt:lpwstr/>
      </vt:variant>
      <vt:variant>
        <vt:lpwstr>_Toc169877582</vt:lpwstr>
      </vt:variant>
      <vt:variant>
        <vt:i4>1441850</vt:i4>
      </vt:variant>
      <vt:variant>
        <vt:i4>32</vt:i4>
      </vt:variant>
      <vt:variant>
        <vt:i4>0</vt:i4>
      </vt:variant>
      <vt:variant>
        <vt:i4>5</vt:i4>
      </vt:variant>
      <vt:variant>
        <vt:lpwstr/>
      </vt:variant>
      <vt:variant>
        <vt:lpwstr>_Toc169877581</vt:lpwstr>
      </vt:variant>
      <vt:variant>
        <vt:i4>1441850</vt:i4>
      </vt:variant>
      <vt:variant>
        <vt:i4>26</vt:i4>
      </vt:variant>
      <vt:variant>
        <vt:i4>0</vt:i4>
      </vt:variant>
      <vt:variant>
        <vt:i4>5</vt:i4>
      </vt:variant>
      <vt:variant>
        <vt:lpwstr/>
      </vt:variant>
      <vt:variant>
        <vt:lpwstr>_Toc169877580</vt:lpwstr>
      </vt:variant>
      <vt:variant>
        <vt:i4>1638458</vt:i4>
      </vt:variant>
      <vt:variant>
        <vt:i4>20</vt:i4>
      </vt:variant>
      <vt:variant>
        <vt:i4>0</vt:i4>
      </vt:variant>
      <vt:variant>
        <vt:i4>5</vt:i4>
      </vt:variant>
      <vt:variant>
        <vt:lpwstr/>
      </vt:variant>
      <vt:variant>
        <vt:lpwstr>_Toc169877579</vt:lpwstr>
      </vt:variant>
      <vt:variant>
        <vt:i4>1638458</vt:i4>
      </vt:variant>
      <vt:variant>
        <vt:i4>14</vt:i4>
      </vt:variant>
      <vt:variant>
        <vt:i4>0</vt:i4>
      </vt:variant>
      <vt:variant>
        <vt:i4>5</vt:i4>
      </vt:variant>
      <vt:variant>
        <vt:lpwstr/>
      </vt:variant>
      <vt:variant>
        <vt:lpwstr>_Toc169877578</vt:lpwstr>
      </vt:variant>
      <vt:variant>
        <vt:i4>1638458</vt:i4>
      </vt:variant>
      <vt:variant>
        <vt:i4>8</vt:i4>
      </vt:variant>
      <vt:variant>
        <vt:i4>0</vt:i4>
      </vt:variant>
      <vt:variant>
        <vt:i4>5</vt:i4>
      </vt:variant>
      <vt:variant>
        <vt:lpwstr/>
      </vt:variant>
      <vt:variant>
        <vt:lpwstr>_Toc169877577</vt:lpwstr>
      </vt:variant>
      <vt:variant>
        <vt:i4>1638458</vt:i4>
      </vt:variant>
      <vt:variant>
        <vt:i4>2</vt:i4>
      </vt:variant>
      <vt:variant>
        <vt:i4>0</vt:i4>
      </vt:variant>
      <vt:variant>
        <vt:i4>5</vt:i4>
      </vt:variant>
      <vt:variant>
        <vt:lpwstr/>
      </vt:variant>
      <vt:variant>
        <vt:lpwstr>_Toc169877576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2024-06-25T07:00:00Z</dcterms:created>
  <dcterms:modified xsi:type="dcterms:W3CDTF">2024-06-25T07:00:00Z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2024-05-19T23:25:44Z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7f83fe60-b46d-4e9d-9ca8-772882cb7aa9</vt:lpwstr>
  </property>
  <property fmtid="{D5CDD505-2E9C-101B-9397-08002B2CF9AE}" pid="8" name="MSIP_Label_79d889eb-932f-4752-8739-64d25806ef64_ContentBits">
    <vt:lpwstr>0</vt:lpwstr>
  </property>
  <property fmtid="{D5CDD505-2E9C-101B-9397-08002B2CF9AE}" pid="9" name="ContentTypeId">
    <vt:lpwstr>0x01010037F4659E5771424CA247967C430EFF6B</vt:lpwstr>
  </property>
  <property fmtid="{D5CDD505-2E9C-101B-9397-08002B2CF9AE}" pid="10" name="MediaServiceImageTags">
    <vt:lpwstr/>
  </property>
  <property fmtid="{D5CDD505-2E9C-101B-9397-08002B2CF9AE}" pid="11" name="MSIP_Label_eb34d90b-fc41-464d-af60-f74d721d0790_Name">
    <vt:lpwstr>OFFICIAL</vt:lpwstr>
  </property>
  <property fmtid="{D5CDD505-2E9C-101B-9397-08002B2CF9AE}" pid="12" name="MSIP_Label_eb34d90b-fc41-464d-af60-f74d721d0790_ActionId">
    <vt:lpwstr>65b06a47dc3a47309fad265c59450124</vt:lpwstr>
  </property>
  <property fmtid="{D5CDD505-2E9C-101B-9397-08002B2CF9AE}" pid="13" name="PM_Originator_Hash_SHA1">
    <vt:lpwstr>F847E885E915C3AC8578734B55C9C40C8FFD3004</vt:lpwstr>
  </property>
  <property fmtid="{D5CDD505-2E9C-101B-9397-08002B2CF9AE}" pid="14" name="PM_OriginatorDomainName_SHA256">
    <vt:lpwstr>E83A2A66C4061446A7E3732E8D44762184B6B377D962B96C83DC624302585857</vt:lpwstr>
  </property>
  <property fmtid="{D5CDD505-2E9C-101B-9397-08002B2CF9AE}" pid="15" name="PM_SecurityClassification">
    <vt:lpwstr>OFFICIAL</vt:lpwstr>
  </property>
  <property fmtid="{D5CDD505-2E9C-101B-9397-08002B2CF9AE}" pid="16" name="PM_OriginationTimeStamp">
    <vt:lpwstr>2024-06-06T01:24:01Z</vt:lpwstr>
  </property>
  <property fmtid="{D5CDD505-2E9C-101B-9397-08002B2CF9AE}" pid="17" name="PMUuid">
    <vt:lpwstr>v=2022.2;d=gov.au;g=46DD6D7C-8107-577B-BC6E-F348953B2E44</vt:lpwstr>
  </property>
  <property fmtid="{D5CDD505-2E9C-101B-9397-08002B2CF9AE}" pid="18" name="PM_Hash_Salt">
    <vt:lpwstr>02DA190B5B99E68ED51D517C5D8DC595</vt:lpwstr>
  </property>
  <property fmtid="{D5CDD505-2E9C-101B-9397-08002B2CF9AE}" pid="19" name="PM_ProtectiveMarkingImage_Header">
    <vt:lpwstr>C:\Program Files (x86)\Common Files\janusNET Shared\janusSEAL\Images\DocumentSlashBlue.png</vt:lpwstr>
  </property>
  <property fmtid="{D5CDD505-2E9C-101B-9397-08002B2CF9AE}" pid="20" name="MSIP_Label_eb34d90b-fc41-464d-af60-f74d721d0790_SiteId">
    <vt:lpwstr>61e36dd1-ca6e-4d61-aa0a-2b4eb88317a3</vt:lpwstr>
  </property>
  <property fmtid="{D5CDD505-2E9C-101B-9397-08002B2CF9AE}" pid="21" name="MSIP_Label_eb34d90b-fc41-464d-af60-f74d721d0790_Method">
    <vt:lpwstr>Privileged</vt:lpwstr>
  </property>
  <property fmtid="{D5CDD505-2E9C-101B-9397-08002B2CF9AE}" pid="22" name="MSIP_Label_eb34d90b-fc41-464d-af60-f74d721d0790_Enabled">
    <vt:lpwstr>true</vt:lpwstr>
  </property>
  <property fmtid="{D5CDD505-2E9C-101B-9397-08002B2CF9AE}" pid="23" name="PM_Markers">
    <vt:lpwstr/>
  </property>
  <property fmtid="{D5CDD505-2E9C-101B-9397-08002B2CF9AE}" pid="24" name="PM_Caveats_Count">
    <vt:lpwstr>0</vt:lpwstr>
  </property>
  <property fmtid="{D5CDD505-2E9C-101B-9397-08002B2CF9AE}" pid="25" name="PM_Note">
    <vt:lpwstr/>
  </property>
  <property fmtid="{D5CDD505-2E9C-101B-9397-08002B2CF9AE}" pid="26" name="PM_Namespace">
    <vt:lpwstr>gov.au</vt:lpwstr>
  </property>
  <property fmtid="{D5CDD505-2E9C-101B-9397-08002B2CF9AE}" pid="27" name="PM_ProtectiveMarkingImage_Footer">
    <vt:lpwstr>C:\Program Files (x86)\Common Files\janusNET Shared\janusSEAL\Images\DocumentSlashBlue.png</vt:lpwstr>
  </property>
  <property fmtid="{D5CDD505-2E9C-101B-9397-08002B2CF9AE}" pid="28" name="PMHMAC">
    <vt:lpwstr>v=2022.1;a=SHA256;h=32770D3A533BC6A2E89DF372FAEAFCEC8752781EDE95938AA4F57569524A5E04</vt:lpwstr>
  </property>
  <property fmtid="{D5CDD505-2E9C-101B-9397-08002B2CF9AE}" pid="29" name="PM_ProtectiveMarkingValue_Header">
    <vt:lpwstr>OFFICIAL</vt:lpwstr>
  </property>
  <property fmtid="{D5CDD505-2E9C-101B-9397-08002B2CF9AE}" pid="30" name="MSIP_Label_eb34d90b-fc41-464d-af60-f74d721d0790_SetDate">
    <vt:lpwstr>2024-06-06T01:24:01Z</vt:lpwstr>
  </property>
  <property fmtid="{D5CDD505-2E9C-101B-9397-08002B2CF9AE}" pid="31" name="PM_DisplayValueSecClassificationWithQualifier">
    <vt:lpwstr>OFFICIAL</vt:lpwstr>
  </property>
  <property fmtid="{D5CDD505-2E9C-101B-9397-08002B2CF9AE}" pid="32" name="PM_Hash_Version">
    <vt:lpwstr>2022.1</vt:lpwstr>
  </property>
  <property fmtid="{D5CDD505-2E9C-101B-9397-08002B2CF9AE}" pid="33" name="PM_Qualifier_Prev">
    <vt:lpwstr/>
  </property>
  <property fmtid="{D5CDD505-2E9C-101B-9397-08002B2CF9AE}" pid="34" name="PM_Hash_SHA1">
    <vt:lpwstr>C0761CC217C39079F4773EB9D1843817EA8660B1</vt:lpwstr>
  </property>
  <property fmtid="{D5CDD505-2E9C-101B-9397-08002B2CF9AE}" pid="35" name="PM_Originating_FileId">
    <vt:lpwstr>5D707F202AA54DB7978F0D14447BB270</vt:lpwstr>
  </property>
  <property fmtid="{D5CDD505-2E9C-101B-9397-08002B2CF9AE}" pid="36" name="PM_Hash_Salt_Prev">
    <vt:lpwstr>92B5D1AB6871AC4A7B399EBC9FF30DD1</vt:lpwstr>
  </property>
  <property fmtid="{D5CDD505-2E9C-101B-9397-08002B2CF9AE}" pid="37" name="PM_Version">
    <vt:lpwstr>2018.4</vt:lpwstr>
  </property>
  <property fmtid="{D5CDD505-2E9C-101B-9397-08002B2CF9AE}" pid="38" name="PM_Display">
    <vt:lpwstr>OFFICIAL</vt:lpwstr>
  </property>
  <property fmtid="{D5CDD505-2E9C-101B-9397-08002B2CF9AE}" pid="39" name="PM_SecurityClassification_Prev">
    <vt:lpwstr>OFFICIAL</vt:lpwstr>
  </property>
  <property fmtid="{D5CDD505-2E9C-101B-9397-08002B2CF9AE}" pid="40" name="MSIP_Label_eb34d90b-fc41-464d-af60-f74d721d0790_ContentBits">
    <vt:lpwstr>0</vt:lpwstr>
  </property>
  <property fmtid="{D5CDD505-2E9C-101B-9397-08002B2CF9AE}" pid="41" name="PM_Qualifier">
    <vt:lpwstr/>
  </property>
  <property fmtid="{D5CDD505-2E9C-101B-9397-08002B2CF9AE}" pid="42" name="PM_OriginatorUserAccountName_SHA256">
    <vt:lpwstr>9F791E7111133AE8CB6A7676F6C05799AA9B35BE0A8D2EC344FBC7AA90ACFE1F</vt:lpwstr>
  </property>
  <property fmtid="{D5CDD505-2E9C-101B-9397-08002B2CF9AE}" pid="43" name="PM_ProtectiveMarkingValue_Footer">
    <vt:lpwstr>OFFICIAL</vt:lpwstr>
  </property>
  <property fmtid="{D5CDD505-2E9C-101B-9397-08002B2CF9AE}" pid="44" name="PM_InsertionValue">
    <vt:lpwstr>OFFICIAL</vt:lpwstr>
  </property>
</Properties>
</file>