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Red Flag Use Case Triage</w:t>
      </w:r>
    </w:p>
    <w:p>
      <w:pPr>
        <w:spacing w:after="120"/>
      </w:pPr>
      <w:r>
        <w:rPr>
          <w:b w:val="0"/>
        </w:rPr>
        <w:t>Purpose: Sort an AI workflow into a practical green, yellow, or red category before launch, sale, demo, automation, or client delivery.</w:t>
      </w:r>
    </w:p>
    <w:p>
      <w:pPr>
        <w:pStyle w:val="Heading2"/>
      </w:pPr>
      <w:r>
        <w:t>When To Use It</w:t>
      </w:r>
    </w:p>
    <w:p>
      <w:pPr>
        <w:spacing w:after="120"/>
      </w:pPr>
      <w:r>
        <w:rPr>
          <w:b w:val="0"/>
        </w:rPr>
        <w:t>Use this before launching, selling, demoing, advertising, automating, or delivering an AI workflow that could affect people, sensitive data, professional advice, client obligations, or real-world outcomes.</w:t>
      </w:r>
    </w:p>
    <w:p>
      <w:pPr>
        <w:spacing w:after="120"/>
      </w:pPr>
      <w:r>
        <w:rPr>
          <w:b w:val="0"/>
        </w:rPr>
        <w:t>This worksheet does not decide whether a use is allowed. It helps you spot uses that deserve more caution, narrower scope, human review, or qualified help.</w:t>
      </w:r>
    </w:p>
    <w:p>
      <w:pPr>
        <w:pStyle w:val="Heading2"/>
      </w:pPr>
      <w:r>
        <w:t>What This Produces</w:t>
      </w:r>
    </w:p>
    <w:p>
      <w:pPr>
        <w:spacing w:after="120"/>
      </w:pPr>
      <w:r>
        <w:rPr>
          <w:b w:val="0"/>
        </w:rPr>
        <w:t>You should finish with:</w:t>
      </w:r>
    </w:p>
    <w:p>
      <w:pPr>
        <w:pStyle w:val="ListBullet"/>
        <w:spacing w:after="120"/>
      </w:pPr>
      <w:r>
        <w:rPr>
          <w:b w:val="0"/>
        </w:rPr>
        <w:t>a short workflow description</w:t>
      </w:r>
    </w:p>
    <w:p>
      <w:pPr>
        <w:pStyle w:val="ListBullet"/>
        <w:spacing w:after="120"/>
      </w:pPr>
      <w:r>
        <w:rPr>
          <w:b w:val="0"/>
        </w:rPr>
        <w:t>a green/yellow/red triage decision</w:t>
      </w:r>
    </w:p>
    <w:p>
      <w:pPr>
        <w:pStyle w:val="ListBullet"/>
        <w:spacing w:after="120"/>
      </w:pPr>
      <w:r>
        <w:rPr>
          <w:b w:val="0"/>
        </w:rPr>
        <w:t>red-flag categories marked Yes, No, or Unsure</w:t>
      </w:r>
    </w:p>
    <w:p>
      <w:pPr>
        <w:pStyle w:val="ListBullet"/>
        <w:spacing w:after="120"/>
      </w:pPr>
      <w:r>
        <w:rPr>
          <w:b w:val="0"/>
        </w:rPr>
        <w:t>follow-up actions for anything that needs review</w:t>
      </w:r>
    </w:p>
    <w:p>
      <w:pPr>
        <w:pStyle w:val="Heading2"/>
      </w:pPr>
      <w:r>
        <w:t>Workflow Description</w:t>
      </w:r>
    </w:p>
    <w:tbl>
      <w:tblPr>
        <w:tblStyle w:val="TableGrid"/>
        <w:tblW w:type="auto" w:w="0"/>
        <w:jc w:val="center"/>
        <w:tblLayout w:type="autofit"/>
        <w:tblLook w:firstColumn="1" w:firstRow="1" w:lastColumn="0" w:lastRow="0" w:noHBand="0" w:noVBand="1" w:val="04A0"/>
      </w:tblPr>
      <w:tblGrid>
        <w:gridCol w:w="7128"/>
        <w:gridCol w:w="7128"/>
      </w:tblGrid>
      <w:tr>
        <w:tc>
          <w:tcPr>
            <w:tcW w:type="dxa" w:w="7128"/>
            <w:vAlign w:val="top"/>
            <w:shd w:fill="D9EAF7"/>
          </w:tcPr>
          <w:p>
            <w:pPr>
              <w:spacing w:after="0"/>
            </w:pPr>
            <w:r/>
            <w:r>
              <w:rPr>
                <w:b/>
                <w:sz w:val="16"/>
              </w:rPr>
              <w:t>Question</w:t>
            </w:r>
          </w:p>
        </w:tc>
        <w:tc>
          <w:tcPr>
            <w:tcW w:type="dxa" w:w="7128"/>
            <w:vAlign w:val="top"/>
            <w:shd w:fill="D9EAF7"/>
          </w:tcPr>
          <w:p>
            <w:pPr>
              <w:spacing w:after="0"/>
            </w:pPr>
            <w:r/>
            <w:r>
              <w:rPr>
                <w:b/>
                <w:sz w:val="16"/>
              </w:rPr>
              <w:t>Answer</w:t>
            </w:r>
          </w:p>
        </w:tc>
      </w:tr>
      <w:tr>
        <w:tc>
          <w:tcPr>
            <w:tcW w:type="dxa" w:w="7128"/>
            <w:vAlign w:val="top"/>
          </w:tcPr>
          <w:p>
            <w:pPr>
              <w:spacing w:after="0"/>
            </w:pPr>
            <w:r/>
            <w:r>
              <w:rPr>
                <w:b w:val="0"/>
                <w:sz w:val="16"/>
              </w:rPr>
              <w:t>What are you using AI to do?</w:t>
            </w:r>
          </w:p>
        </w:tc>
        <w:tc>
          <w:tcPr>
            <w:tcW w:type="dxa" w:w="7128"/>
            <w:vAlign w:val="top"/>
          </w:tcPr>
          <w:p>
            <w:pPr>
              <w:spacing w:after="0"/>
            </w:pPr>
            <w:r/>
            <w:r>
              <w:rPr>
                <w:b w:val="0"/>
                <w:sz w:val="16"/>
              </w:rPr>
            </w:r>
          </w:p>
        </w:tc>
      </w:tr>
      <w:tr>
        <w:tc>
          <w:tcPr>
            <w:tcW w:type="dxa" w:w="7128"/>
            <w:vAlign w:val="top"/>
          </w:tcPr>
          <w:p>
            <w:pPr>
              <w:spacing w:after="0"/>
            </w:pPr>
            <w:r/>
            <w:r>
              <w:rPr>
                <w:b w:val="0"/>
                <w:sz w:val="16"/>
              </w:rPr>
              <w:t>Who sees or relies on the output?</w:t>
            </w:r>
          </w:p>
        </w:tc>
        <w:tc>
          <w:tcPr>
            <w:tcW w:type="dxa" w:w="7128"/>
            <w:vAlign w:val="top"/>
          </w:tcPr>
          <w:p>
            <w:pPr>
              <w:spacing w:after="0"/>
            </w:pPr>
            <w:r/>
            <w:r>
              <w:rPr>
                <w:b w:val="0"/>
                <w:sz w:val="16"/>
              </w:rPr>
              <w:t>[Only me / collaborators / clients / customers / users / subscribers / public / other]</w:t>
            </w:r>
          </w:p>
        </w:tc>
      </w:tr>
      <w:tr>
        <w:tc>
          <w:tcPr>
            <w:tcW w:type="dxa" w:w="7128"/>
            <w:vAlign w:val="top"/>
          </w:tcPr>
          <w:p>
            <w:pPr>
              <w:spacing w:after="0"/>
            </w:pPr>
            <w:r/>
            <w:r>
              <w:rPr>
                <w:b w:val="0"/>
                <w:sz w:val="16"/>
              </w:rPr>
              <w:t>Does a person review the output before it is used?</w:t>
            </w:r>
          </w:p>
        </w:tc>
        <w:tc>
          <w:tcPr>
            <w:tcW w:type="dxa" w:w="7128"/>
            <w:vAlign w:val="top"/>
          </w:tcPr>
          <w:p>
            <w:pPr>
              <w:spacing w:after="0"/>
            </w:pPr>
            <w:r/>
            <w:r>
              <w:rPr>
                <w:b w:val="0"/>
                <w:sz w:val="16"/>
              </w:rPr>
              <w:t>[Yes / No / Sometimes / Unsure]</w:t>
            </w:r>
          </w:p>
        </w:tc>
      </w:tr>
      <w:tr>
        <w:tc>
          <w:tcPr>
            <w:tcW w:type="dxa" w:w="7128"/>
            <w:vAlign w:val="top"/>
          </w:tcPr>
          <w:p>
            <w:pPr>
              <w:spacing w:after="0"/>
            </w:pPr>
            <w:r/>
            <w:r>
              <w:rPr>
                <w:b w:val="0"/>
                <w:sz w:val="16"/>
              </w:rPr>
              <w:t>Does the workflow use customer, client, sensitive, confidential, or restricted data?</w:t>
            </w:r>
          </w:p>
        </w:tc>
        <w:tc>
          <w:tcPr>
            <w:tcW w:type="dxa" w:w="7128"/>
            <w:vAlign w:val="top"/>
          </w:tcPr>
          <w:p>
            <w:pPr>
              <w:spacing w:after="0"/>
            </w:pPr>
            <w:r/>
            <w:r>
              <w:rPr>
                <w:b w:val="0"/>
                <w:sz w:val="16"/>
              </w:rPr>
              <w:t>[Yes / No / Unsure]</w:t>
            </w:r>
          </w:p>
        </w:tc>
      </w:tr>
      <w:tr>
        <w:tc>
          <w:tcPr>
            <w:tcW w:type="dxa" w:w="7128"/>
            <w:vAlign w:val="top"/>
          </w:tcPr>
          <w:p>
            <w:pPr>
              <w:spacing w:after="0"/>
            </w:pPr>
            <w:r/>
            <w:r>
              <w:rPr>
                <w:b w:val="0"/>
                <w:sz w:val="16"/>
              </w:rPr>
              <w:t>Is the workflow public, paid, advertised, or client-facing?</w:t>
            </w:r>
          </w:p>
        </w:tc>
        <w:tc>
          <w:tcPr>
            <w:tcW w:type="dxa" w:w="7128"/>
            <w:vAlign w:val="top"/>
          </w:tcPr>
          <w:p>
            <w:pPr>
              <w:spacing w:after="0"/>
            </w:pPr>
            <w:r/>
            <w:r>
              <w:rPr>
                <w:b w:val="0"/>
                <w:sz w:val="16"/>
              </w:rPr>
              <w:t>[Yes / No / Planned / Unsure]</w:t>
            </w:r>
          </w:p>
        </w:tc>
      </w:tr>
    </w:tbl>
    <w:p/>
    <w:p>
      <w:pPr>
        <w:pStyle w:val="Heading2"/>
      </w:pPr>
      <w:r>
        <w:t>Green / Yellow / Red Sort</w:t>
      </w:r>
    </w:p>
    <w:p>
      <w:pPr>
        <w:pStyle w:val="Heading3"/>
      </w:pPr>
      <w:r>
        <w:t>Green: basic records are probably enough for now</w:t>
      </w:r>
    </w:p>
    <w:p>
      <w:pPr>
        <w:spacing w:after="120"/>
      </w:pPr>
      <w:r>
        <w:rPr>
          <w:b w:val="0"/>
        </w:rPr>
        <w:t>Use green when the workflow is low stakes, uses no sensitive data, and a human reviews the result.</w:t>
      </w:r>
    </w:p>
    <w:p>
      <w:pPr>
        <w:spacing w:after="120"/>
      </w:pPr>
      <w:r>
        <w:rPr>
          <w:b w:val="0"/>
        </w:rPr>
        <w:t>Examples:</w:t>
      </w:r>
    </w:p>
    <w:p>
      <w:pPr>
        <w:pStyle w:val="ListBullet"/>
        <w:spacing w:after="120"/>
      </w:pPr>
      <w:r>
        <w:rPr>
          <w:b w:val="0"/>
        </w:rPr>
        <w:t>brainstorming ideas</w:t>
      </w:r>
    </w:p>
    <w:p>
      <w:pPr>
        <w:pStyle w:val="ListBullet"/>
        <w:spacing w:after="120"/>
      </w:pPr>
      <w:r>
        <w:rPr>
          <w:b w:val="0"/>
        </w:rPr>
        <w:t>outlining posts, products, or courses</w:t>
      </w:r>
    </w:p>
    <w:p>
      <w:pPr>
        <w:pStyle w:val="ListBullet"/>
        <w:spacing w:after="120"/>
      </w:pPr>
      <w:r>
        <w:rPr>
          <w:b w:val="0"/>
        </w:rPr>
        <w:t>editing your own draft</w:t>
      </w:r>
    </w:p>
    <w:p>
      <w:pPr>
        <w:pStyle w:val="ListBullet"/>
        <w:spacing w:after="120"/>
      </w:pPr>
      <w:r>
        <w:rPr>
          <w:b w:val="0"/>
        </w:rPr>
        <w:t>summarizing public sources for internal use</w:t>
      </w:r>
    </w:p>
    <w:p>
      <w:pPr>
        <w:pStyle w:val="ListBullet"/>
        <w:spacing w:after="120"/>
      </w:pPr>
      <w:r>
        <w:rPr>
          <w:b w:val="0"/>
        </w:rPr>
        <w:t>creating internal checklists</w:t>
      </w:r>
    </w:p>
    <w:p>
      <w:pPr>
        <w:pStyle w:val="ListBullet"/>
        <w:spacing w:after="120"/>
      </w:pPr>
      <w:r>
        <w:rPr>
          <w:b w:val="0"/>
        </w:rPr>
        <w:t>generating placeholder copy that will be rewritten</w:t>
      </w:r>
    </w:p>
    <w:p>
      <w:pPr>
        <w:pStyle w:val="ListBullet"/>
        <w:spacing w:after="120"/>
      </w:pPr>
      <w:r>
        <w:rPr>
          <w:b w:val="0"/>
        </w:rPr>
        <w:t>coding help on non-sensitive personal projects</w:t>
      </w:r>
    </w:p>
    <w:p>
      <w:pPr>
        <w:spacing w:after="120"/>
      </w:pPr>
      <w:r>
        <w:rPr>
          <w:b w:val="0"/>
        </w:rPr>
        <w:t>Required records:</w:t>
      </w:r>
    </w:p>
    <w:p>
      <w:pPr>
        <w:pStyle w:val="ListBullet"/>
        <w:spacing w:after="120"/>
      </w:pPr>
      <w:r>
        <w:rPr>
          <w:b w:val="0"/>
        </w:rPr>
        <w:t>[ ] tool listed in project snapshot or vendor note</w:t>
      </w:r>
    </w:p>
    <w:p>
      <w:pPr>
        <w:pStyle w:val="ListBullet"/>
        <w:spacing w:after="120"/>
      </w:pPr>
      <w:r>
        <w:rPr>
          <w:b w:val="0"/>
        </w:rPr>
        <w:t>[ ] no sensitive, client, confidential, credential, or restricted data used</w:t>
      </w:r>
    </w:p>
    <w:p>
      <w:pPr>
        <w:pStyle w:val="ListBullet"/>
        <w:spacing w:after="120"/>
      </w:pPr>
      <w:r>
        <w:rPr>
          <w:b w:val="0"/>
        </w:rPr>
        <w:t>[ ] human review before publishing, delivery, or customer use</w:t>
      </w:r>
    </w:p>
    <w:p>
      <w:pPr>
        <w:pStyle w:val="Heading3"/>
      </w:pPr>
      <w:r>
        <w:t>Yellow: review before selling, publishing, or delivering</w:t>
      </w:r>
    </w:p>
    <w:p>
      <w:pPr>
        <w:spacing w:after="120"/>
      </w:pPr>
      <w:r>
        <w:rPr>
          <w:b w:val="0"/>
        </w:rPr>
        <w:t>Use yellow when a buyer, client, customer, user, or audience may rely on the output, or when platform, client, data, disclosure, or claims questions may matter.</w:t>
      </w:r>
    </w:p>
    <w:p>
      <w:pPr>
        <w:spacing w:after="120"/>
      </w:pPr>
      <w:r>
        <w:rPr>
          <w:b w:val="0"/>
        </w:rPr>
        <w:t>Examples:</w:t>
      </w:r>
    </w:p>
    <w:p>
      <w:pPr>
        <w:pStyle w:val="ListBullet"/>
        <w:spacing w:after="120"/>
      </w:pPr>
      <w:r>
        <w:rPr>
          <w:b w:val="0"/>
        </w:rPr>
        <w:t>client deliverables</w:t>
      </w:r>
    </w:p>
    <w:p>
      <w:pPr>
        <w:pStyle w:val="ListBullet"/>
        <w:spacing w:after="120"/>
      </w:pPr>
      <w:r>
        <w:rPr>
          <w:b w:val="0"/>
        </w:rPr>
        <w:t>customer-facing copy</w:t>
      </w:r>
    </w:p>
    <w:p>
      <w:pPr>
        <w:pStyle w:val="ListBullet"/>
        <w:spacing w:after="120"/>
      </w:pPr>
      <w:r>
        <w:rPr>
          <w:b w:val="0"/>
        </w:rPr>
        <w:t>paid templates, guides, prompts, courses, downloads, or tools</w:t>
      </w:r>
    </w:p>
    <w:p>
      <w:pPr>
        <w:pStyle w:val="ListBullet"/>
        <w:spacing w:after="120"/>
      </w:pPr>
      <w:r>
        <w:rPr>
          <w:b w:val="0"/>
        </w:rPr>
        <w:t>AI-generated images, audio, video, or synthetic media</w:t>
      </w:r>
    </w:p>
    <w:p>
      <w:pPr>
        <w:pStyle w:val="ListBullet"/>
        <w:spacing w:after="120"/>
      </w:pPr>
      <w:r>
        <w:rPr>
          <w:b w:val="0"/>
        </w:rPr>
        <w:t>advice-like content</w:t>
      </w:r>
    </w:p>
    <w:p>
      <w:pPr>
        <w:pStyle w:val="ListBullet"/>
        <w:spacing w:after="120"/>
      </w:pPr>
      <w:r>
        <w:rPr>
          <w:b w:val="0"/>
        </w:rPr>
        <w:t>code used in a paid product or client project</w:t>
      </w:r>
    </w:p>
    <w:p>
      <w:pPr>
        <w:pStyle w:val="ListBullet"/>
        <w:spacing w:after="120"/>
      </w:pPr>
      <w:r>
        <w:rPr>
          <w:b w:val="0"/>
        </w:rPr>
        <w:t>AI support reply drafts</w:t>
      </w:r>
    </w:p>
    <w:p>
      <w:pPr>
        <w:pStyle w:val="ListBullet"/>
        <w:spacing w:after="120"/>
      </w:pPr>
      <w:r>
        <w:rPr>
          <w:b w:val="0"/>
        </w:rPr>
        <w:t>AI-assisted research summaries</w:t>
      </w:r>
    </w:p>
    <w:p>
      <w:pPr>
        <w:pStyle w:val="ListBullet"/>
        <w:spacing w:after="120"/>
      </w:pPr>
      <w:r>
        <w:rPr>
          <w:b w:val="0"/>
        </w:rPr>
        <w:t>real names, brands, likenesses, voices, testimonials, reviews, or protected works</w:t>
      </w:r>
    </w:p>
    <w:p>
      <w:pPr>
        <w:spacing w:after="120"/>
      </w:pPr>
      <w:r>
        <w:rPr>
          <w:b w:val="0"/>
        </w:rPr>
        <w:t>Required records:</w:t>
      </w:r>
    </w:p>
    <w:p>
      <w:pPr>
        <w:pStyle w:val="ListBullet"/>
        <w:spacing w:after="120"/>
      </w:pPr>
      <w:r>
        <w:rPr>
          <w:b w:val="0"/>
        </w:rPr>
        <w:t>[ ] claims checked</w:t>
      </w:r>
    </w:p>
    <w:p>
      <w:pPr>
        <w:pStyle w:val="ListBullet"/>
        <w:spacing w:after="120"/>
      </w:pPr>
      <w:r>
        <w:rPr>
          <w:b w:val="0"/>
        </w:rPr>
        <w:t>[ ] disclosure decision recorded</w:t>
      </w:r>
    </w:p>
    <w:p>
      <w:pPr>
        <w:pStyle w:val="ListBullet"/>
        <w:spacing w:after="120"/>
      </w:pPr>
      <w:r>
        <w:rPr>
          <w:b w:val="0"/>
        </w:rPr>
        <w:t>[ ] data rules checked</w:t>
      </w:r>
    </w:p>
    <w:p>
      <w:pPr>
        <w:pStyle w:val="ListBullet"/>
        <w:spacing w:after="120"/>
      </w:pPr>
      <w:r>
        <w:rPr>
          <w:b w:val="0"/>
        </w:rPr>
        <w:t>[ ] platform/client terms checked where relevant</w:t>
      </w:r>
    </w:p>
    <w:p>
      <w:pPr>
        <w:pStyle w:val="ListBullet"/>
        <w:spacing w:after="120"/>
      </w:pPr>
      <w:r>
        <w:rPr>
          <w:b w:val="0"/>
        </w:rPr>
        <w:t>[ ] human review completed or clearly assigned to the user</w:t>
      </w:r>
    </w:p>
    <w:p>
      <w:pPr>
        <w:pStyle w:val="ListBullet"/>
        <w:spacing w:after="120"/>
      </w:pPr>
      <w:r>
        <w:rPr>
          <w:b w:val="0"/>
        </w:rPr>
        <w:t>[ ] open questions listed</w:t>
      </w:r>
    </w:p>
    <w:p>
      <w:pPr>
        <w:pStyle w:val="Heading3"/>
      </w:pPr>
      <w:r>
        <w:t>Red: pause, narrow, or get qualified review</w:t>
      </w:r>
    </w:p>
    <w:p>
      <w:pPr>
        <w:spacing w:after="120"/>
      </w:pPr>
      <w:r>
        <w:rPr>
          <w:b w:val="0"/>
        </w:rPr>
        <w:t>Use red when the workflow could affect important rights, sensitive data, regulated decisions, professional duties, safety, or access to opportunities.</w:t>
      </w:r>
    </w:p>
    <w:p>
      <w:pPr>
        <w:spacing w:after="120"/>
      </w:pPr>
      <w:r>
        <w:rPr>
          <w:b w:val="0"/>
        </w:rPr>
        <w:t>Examples:</w:t>
      </w:r>
    </w:p>
    <w:p>
      <w:pPr>
        <w:pStyle w:val="ListBullet"/>
        <w:spacing w:after="120"/>
      </w:pPr>
      <w:r>
        <w:rPr>
          <w:b w:val="0"/>
        </w:rPr>
        <w:t>legal, financial, medical, tax, mental-health, employment, education, housing, insurance, safety, or similar advice</w:t>
      </w:r>
    </w:p>
    <w:p>
      <w:pPr>
        <w:pStyle w:val="ListBullet"/>
        <w:spacing w:after="120"/>
      </w:pPr>
      <w:r>
        <w:rPr>
          <w:b w:val="0"/>
        </w:rPr>
        <w:t>hiring, scoring, eligibility, pricing, lending, insurance, school, benefits, fraud, identity, or access decisions</w:t>
      </w:r>
    </w:p>
    <w:p>
      <w:pPr>
        <w:pStyle w:val="ListBullet"/>
        <w:spacing w:after="120"/>
      </w:pPr>
      <w:r>
        <w:rPr>
          <w:b w:val="0"/>
        </w:rPr>
        <w:t>sensitive customer, client, health, financial, legal, child, student, employee, biometric, credential, or confidential data</w:t>
      </w:r>
    </w:p>
    <w:p>
      <w:pPr>
        <w:pStyle w:val="ListBullet"/>
        <w:spacing w:after="120"/>
      </w:pPr>
      <w:r>
        <w:rPr>
          <w:b w:val="0"/>
        </w:rPr>
        <w:t>AI impersonation, voice cloning, likeness use, or deepfakes involving real people</w:t>
      </w:r>
    </w:p>
    <w:p>
      <w:pPr>
        <w:pStyle w:val="ListBullet"/>
        <w:spacing w:after="120"/>
      </w:pPr>
      <w:r>
        <w:rPr>
          <w:b w:val="0"/>
        </w:rPr>
        <w:t>scraping, copying, or training on content where rights or terms are unclear</w:t>
      </w:r>
    </w:p>
    <w:p>
      <w:pPr>
        <w:pStyle w:val="ListBullet"/>
        <w:spacing w:after="120"/>
      </w:pPr>
      <w:r>
        <w:rPr>
          <w:b w:val="0"/>
        </w:rPr>
        <w:t>promises of legal compliance, guaranteed outcomes, expert review, or professional certainty</w:t>
      </w:r>
    </w:p>
    <w:p>
      <w:pPr>
        <w:pStyle w:val="ListBullet"/>
        <w:spacing w:after="120"/>
      </w:pPr>
      <w:r>
        <w:rPr>
          <w:b w:val="0"/>
        </w:rPr>
        <w:t>work restricted by client contract, NDA, professional rule, platform policy, or privacy promise</w:t>
      </w:r>
    </w:p>
    <w:p>
      <w:pPr>
        <w:spacing w:after="120"/>
      </w:pPr>
      <w:r>
        <w:rPr>
          <w:b w:val="0"/>
        </w:rPr>
        <w:t>Required action:</w:t>
      </w:r>
    </w:p>
    <w:p>
      <w:pPr>
        <w:pStyle w:val="ListBullet"/>
        <w:spacing w:after="120"/>
      </w:pPr>
      <w:r>
        <w:rPr>
          <w:b w:val="0"/>
        </w:rPr>
        <w:t>[ ] stop, pause, or narrow the workflow</w:t>
      </w:r>
    </w:p>
    <w:p>
      <w:pPr>
        <w:pStyle w:val="ListBullet"/>
        <w:spacing w:after="120"/>
      </w:pPr>
      <w:r>
        <w:rPr>
          <w:b w:val="0"/>
        </w:rPr>
        <w:t>[ ] identify the specific question</w:t>
      </w:r>
    </w:p>
    <w:p>
      <w:pPr>
        <w:pStyle w:val="ListBullet"/>
        <w:spacing w:after="120"/>
      </w:pPr>
      <w:r>
        <w:rPr>
          <w:b w:val="0"/>
        </w:rPr>
        <w:t>[ ] ask a qualified reviewer, platform, client, vendor, or other appropriate source</w:t>
      </w:r>
    </w:p>
    <w:p>
      <w:pPr>
        <w:pStyle w:val="ListBullet"/>
        <w:spacing w:after="120"/>
      </w:pPr>
      <w:r>
        <w:rPr>
          <w:b w:val="0"/>
        </w:rPr>
        <w:t>[ ] save the answer before proceeding</w:t>
      </w:r>
    </w:p>
    <w:p>
      <w:pPr>
        <w:pStyle w:val="Heading2"/>
      </w:pPr>
      <w:r>
        <w:t>Red-Flag Categories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D9EAF7"/>
          </w:tcPr>
          <w:p>
            <w:pPr>
              <w:spacing w:after="0"/>
            </w:pPr>
            <w:r/>
            <w:r>
              <w:rPr>
                <w:b/>
                <w:sz w:val="16"/>
              </w:rPr>
              <w:t>Category</w:t>
            </w:r>
          </w:p>
        </w:tc>
        <w:tc>
          <w:tcPr>
            <w:tcW w:type="dxa" w:w="3564"/>
            <w:vAlign w:val="top"/>
            <w:shd w:fill="D9EAF7"/>
          </w:tcPr>
          <w:p>
            <w:pPr>
              <w:spacing w:after="0"/>
            </w:pPr>
            <w:r/>
            <w:r>
              <w:rPr>
                <w:b/>
                <w:sz w:val="16"/>
              </w:rPr>
              <w:t>Applies?</w:t>
            </w:r>
          </w:p>
        </w:tc>
        <w:tc>
          <w:tcPr>
            <w:tcW w:type="dxa" w:w="3564"/>
            <w:vAlign w:val="top"/>
            <w:shd w:fill="D9EAF7"/>
          </w:tcPr>
          <w:p>
            <w:pPr>
              <w:spacing w:after="0"/>
            </w:pPr>
            <w:r/>
            <w:r>
              <w:rPr>
                <w:b/>
                <w:sz w:val="16"/>
              </w:rPr>
              <w:t>What to check</w:t>
            </w:r>
          </w:p>
        </w:tc>
        <w:tc>
          <w:tcPr>
            <w:tcW w:type="dxa" w:w="3564"/>
            <w:vAlign w:val="top"/>
            <w:shd w:fill="D9EAF7"/>
          </w:tcPr>
          <w:p>
            <w:pPr>
              <w:spacing w:after="0"/>
            </w:pPr>
            <w:r/>
            <w:r>
              <w:rPr>
                <w:b/>
                <w:sz w:val="16"/>
              </w:rPr>
              <w:t>Next step</w:t>
            </w:r>
          </w:p>
        </w:tc>
      </w:tr>
      <w:tr>
        <w:tc>
          <w:tcPr>
            <w:tcW w:type="dxa" w:w="3564"/>
            <w:vAlign w:val="top"/>
          </w:tcPr>
          <w:p>
            <w:pPr>
              <w:spacing w:after="0"/>
            </w:pPr>
            <w:r/>
            <w:r>
              <w:rPr>
                <w:b w:val="0"/>
                <w:sz w:val="16"/>
              </w:rPr>
              <w:t>Health or medical</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Could users treat output as health guidance? Is health data processed?</w:t>
            </w:r>
          </w:p>
        </w:tc>
        <w:tc>
          <w:tcPr>
            <w:tcW w:type="dxa" w:w="3564"/>
            <w:vAlign w:val="top"/>
          </w:tcPr>
          <w:p>
            <w:pPr>
              <w:spacing w:after="0"/>
            </w:pPr>
            <w:r/>
            <w:r>
              <w:rPr>
                <w:b w:val="0"/>
                <w:sz w:val="16"/>
              </w:rPr>
              <w:t>Pause or narrow; get qualified health/privacy review.</w:t>
            </w:r>
          </w:p>
        </w:tc>
      </w:tr>
      <w:tr>
        <w:tc>
          <w:tcPr>
            <w:tcW w:type="dxa" w:w="3564"/>
            <w:vAlign w:val="top"/>
          </w:tcPr>
          <w:p>
            <w:pPr>
              <w:spacing w:after="0"/>
            </w:pPr>
            <w:r/>
            <w:r>
              <w:rPr>
                <w:b w:val="0"/>
                <w:sz w:val="16"/>
              </w:rPr>
              <w:t>Mental health or crisis support</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Could users seek therapy, diagnosis, crisis help, or emotional support?</w:t>
            </w:r>
          </w:p>
        </w:tc>
        <w:tc>
          <w:tcPr>
            <w:tcW w:type="dxa" w:w="3564"/>
            <w:vAlign w:val="top"/>
          </w:tcPr>
          <w:p>
            <w:pPr>
              <w:spacing w:after="0"/>
            </w:pPr>
            <w:r/>
            <w:r>
              <w:rPr>
                <w:b w:val="0"/>
                <w:sz w:val="16"/>
              </w:rPr>
              <w:t>Pause high-risk features; route users to appropriate help where relevant.</w:t>
            </w:r>
          </w:p>
        </w:tc>
      </w:tr>
      <w:tr>
        <w:tc>
          <w:tcPr>
            <w:tcW w:type="dxa" w:w="3564"/>
            <w:vAlign w:val="top"/>
          </w:tcPr>
          <w:p>
            <w:pPr>
              <w:spacing w:after="0"/>
            </w:pPr>
            <w:r/>
            <w:r>
              <w:rPr>
                <w:b w:val="0"/>
                <w:sz w:val="16"/>
              </w:rPr>
              <w:t>Legal</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Could output be mistaken for legal advice or document-specific guidance?</w:t>
            </w:r>
          </w:p>
        </w:tc>
        <w:tc>
          <w:tcPr>
            <w:tcW w:type="dxa" w:w="3564"/>
            <w:vAlign w:val="top"/>
          </w:tcPr>
          <w:p>
            <w:pPr>
              <w:spacing w:after="0"/>
            </w:pPr>
            <w:r/>
            <w:r>
              <w:rPr>
                <w:b w:val="0"/>
                <w:sz w:val="16"/>
              </w:rPr>
              <w:t>Reframe as general drafting/support or route to counsel.</w:t>
            </w:r>
          </w:p>
        </w:tc>
      </w:tr>
      <w:tr>
        <w:tc>
          <w:tcPr>
            <w:tcW w:type="dxa" w:w="3564"/>
            <w:vAlign w:val="top"/>
          </w:tcPr>
          <w:p>
            <w:pPr>
              <w:spacing w:after="0"/>
            </w:pPr>
            <w:r/>
            <w:r>
              <w:rPr>
                <w:b w:val="0"/>
                <w:sz w:val="16"/>
              </w:rPr>
              <w:t>Financial, tax, credit, or insurance</w:t>
            </w:r>
          </w:p>
        </w:tc>
        <w:tc>
          <w:tcPr>
            <w:tcW w:type="dxa" w:w="3564"/>
            <w:vAlign w:val="top"/>
          </w:tcPr>
          <w:p>
            <w:pPr>
              <w:spacing w:after="0"/>
            </w:pPr>
            <w:r/>
            <w:r>
              <w:rPr>
                <w:b w:val="0"/>
                <w:sz w:val="16"/>
              </w:rPr>
              <w:t>[Yes / No / Unsure]</w:t>
            </w:r>
          </w:p>
        </w:tc>
        <w:tc>
          <w:tcPr>
            <w:tcW w:type="dxa" w:w="3564"/>
            <w:vAlign w:val="top"/>
          </w:tcPr>
          <w:p>
            <w:pPr>
              <w:spacing w:after="0"/>
            </w:pPr>
            <w:r/>
            <w:r>
              <w:rPr>
                <w:b w:val="0"/>
                <w:sz w:val="14"/>
              </w:rPr>
              <w:t>Does AI recommend money actions, pricing, eligibility, loans, tax treatment, claims, or coverage?</w:t>
            </w:r>
          </w:p>
        </w:tc>
        <w:tc>
          <w:tcPr>
            <w:tcW w:type="dxa" w:w="3564"/>
            <w:vAlign w:val="top"/>
          </w:tcPr>
          <w:p>
            <w:pPr>
              <w:spacing w:after="0"/>
            </w:pPr>
            <w:r/>
            <w:r>
              <w:rPr>
                <w:b w:val="0"/>
                <w:sz w:val="16"/>
              </w:rPr>
              <w:t>Narrow scope; get qualified review if decisions or advice are involved.</w:t>
            </w:r>
          </w:p>
        </w:tc>
      </w:tr>
      <w:tr>
        <w:tc>
          <w:tcPr>
            <w:tcW w:type="dxa" w:w="3564"/>
            <w:vAlign w:val="top"/>
          </w:tcPr>
          <w:p>
            <w:pPr>
              <w:spacing w:after="0"/>
            </w:pPr>
            <w:r/>
            <w:r>
              <w:rPr>
                <w:b w:val="0"/>
                <w:sz w:val="16"/>
              </w:rPr>
              <w:t>Employment, HR, hiring, education, or housing</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Does AI rank, screen, grade, evaluate, approve, deny, or recommend outcomes?</w:t>
            </w:r>
          </w:p>
        </w:tc>
        <w:tc>
          <w:tcPr>
            <w:tcW w:type="dxa" w:w="3564"/>
            <w:vAlign w:val="top"/>
          </w:tcPr>
          <w:p>
            <w:pPr>
              <w:spacing w:after="0"/>
            </w:pPr>
            <w:r/>
            <w:r>
              <w:rPr>
                <w:b w:val="0"/>
                <w:sz w:val="16"/>
              </w:rPr>
              <w:t>Pause automated decisions; get HR/legal/sector review.</w:t>
            </w:r>
          </w:p>
        </w:tc>
      </w:tr>
      <w:tr>
        <w:tc>
          <w:tcPr>
            <w:tcW w:type="dxa" w:w="3564"/>
            <w:vAlign w:val="top"/>
          </w:tcPr>
          <w:p>
            <w:pPr>
              <w:spacing w:after="0"/>
            </w:pPr>
            <w:r/>
            <w:r>
              <w:rPr>
                <w:b w:val="0"/>
                <w:sz w:val="16"/>
              </w:rPr>
              <w:t>Children or minors</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Could children use it or appear in the data?</w:t>
            </w:r>
          </w:p>
        </w:tc>
        <w:tc>
          <w:tcPr>
            <w:tcW w:type="dxa" w:w="3564"/>
            <w:vAlign w:val="top"/>
          </w:tcPr>
          <w:p>
            <w:pPr>
              <w:spacing w:after="0"/>
            </w:pPr>
            <w:r/>
            <w:r>
              <w:rPr>
                <w:b w:val="0"/>
                <w:sz w:val="16"/>
              </w:rPr>
              <w:t>Narrow access and get privacy/legal review.</w:t>
            </w:r>
          </w:p>
        </w:tc>
      </w:tr>
      <w:tr>
        <w:tc>
          <w:tcPr>
            <w:tcW w:type="dxa" w:w="3564"/>
            <w:vAlign w:val="top"/>
          </w:tcPr>
          <w:p>
            <w:pPr>
              <w:spacing w:after="0"/>
            </w:pPr>
            <w:r/>
            <w:r>
              <w:rPr>
                <w:b w:val="0"/>
                <w:sz w:val="16"/>
              </w:rPr>
              <w:t>Biometrics, identity, surveillance, or fraud</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Does AI process face, voice, identity, monitoring, fraud, or access signals?</w:t>
            </w:r>
          </w:p>
        </w:tc>
        <w:tc>
          <w:tcPr>
            <w:tcW w:type="dxa" w:w="3564"/>
            <w:vAlign w:val="top"/>
          </w:tcPr>
          <w:p>
            <w:pPr>
              <w:spacing w:after="0"/>
            </w:pPr>
            <w:r/>
            <w:r>
              <w:rPr>
                <w:b w:val="0"/>
                <w:sz w:val="16"/>
              </w:rPr>
              <w:t>Pause and get privacy/legal/security review.</w:t>
            </w:r>
          </w:p>
        </w:tc>
      </w:tr>
      <w:tr>
        <w:tc>
          <w:tcPr>
            <w:tcW w:type="dxa" w:w="3564"/>
            <w:vAlign w:val="top"/>
          </w:tcPr>
          <w:p>
            <w:pPr>
              <w:spacing w:after="0"/>
            </w:pPr>
            <w:r/>
            <w:r>
              <w:rPr>
                <w:b w:val="0"/>
                <w:sz w:val="16"/>
              </w:rPr>
              <w:t>Sensitive personal data</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What sensitive data enters prompts, files, logs, analytics, or outputs?</w:t>
            </w:r>
          </w:p>
        </w:tc>
        <w:tc>
          <w:tcPr>
            <w:tcW w:type="dxa" w:w="3564"/>
            <w:vAlign w:val="top"/>
          </w:tcPr>
          <w:p>
            <w:pPr>
              <w:spacing w:after="0"/>
            </w:pPr>
            <w:r/>
            <w:r>
              <w:rPr>
                <w:b w:val="0"/>
                <w:sz w:val="16"/>
              </w:rPr>
              <w:t>Minimize data; avoid unnecessary processing; review data handling.</w:t>
            </w:r>
          </w:p>
        </w:tc>
      </w:tr>
      <w:tr>
        <w:tc>
          <w:tcPr>
            <w:tcW w:type="dxa" w:w="3564"/>
            <w:vAlign w:val="top"/>
          </w:tcPr>
          <w:p>
            <w:pPr>
              <w:spacing w:after="0"/>
            </w:pPr>
            <w:r/>
            <w:r>
              <w:rPr>
                <w:b w:val="0"/>
                <w:sz w:val="16"/>
              </w:rPr>
              <w:t>Client confidential or contract-restricted data</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Do contracts, NDAs, client policies, or platform rules restrict AI use?</w:t>
            </w:r>
          </w:p>
        </w:tc>
        <w:tc>
          <w:tcPr>
            <w:tcW w:type="dxa" w:w="3564"/>
            <w:vAlign w:val="top"/>
          </w:tcPr>
          <w:p>
            <w:pPr>
              <w:spacing w:after="0"/>
            </w:pPr>
            <w:r/>
            <w:r>
              <w:rPr>
                <w:b w:val="0"/>
                <w:sz w:val="16"/>
              </w:rPr>
              <w:t>Check permissions before using AI on the data.</w:t>
            </w:r>
          </w:p>
        </w:tc>
      </w:tr>
      <w:tr>
        <w:tc>
          <w:tcPr>
            <w:tcW w:type="dxa" w:w="3564"/>
            <w:vAlign w:val="top"/>
          </w:tcPr>
          <w:p>
            <w:pPr>
              <w:spacing w:after="0"/>
            </w:pPr>
            <w:r/>
            <w:r>
              <w:rPr>
                <w:b w:val="0"/>
                <w:sz w:val="16"/>
              </w:rPr>
              <w:t>Scraping, third-party data, IP, or likeness</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Are source rights, platform terms, consent, or reuse rights unclear?</w:t>
            </w:r>
          </w:p>
        </w:tc>
        <w:tc>
          <w:tcPr>
            <w:tcW w:type="dxa" w:w="3564"/>
            <w:vAlign w:val="top"/>
          </w:tcPr>
          <w:p>
            <w:pPr>
              <w:spacing w:after="0"/>
            </w:pPr>
            <w:r/>
            <w:r>
              <w:rPr>
                <w:b w:val="0"/>
                <w:sz w:val="16"/>
              </w:rPr>
              <w:t>Review source rights, terms, and consent before launch.</w:t>
            </w:r>
          </w:p>
        </w:tc>
      </w:tr>
      <w:tr>
        <w:tc>
          <w:tcPr>
            <w:tcW w:type="dxa" w:w="3564"/>
            <w:vAlign w:val="top"/>
          </w:tcPr>
          <w:p>
            <w:pPr>
              <w:spacing w:after="0"/>
            </w:pPr>
            <w:r/>
            <w:r>
              <w:rPr>
                <w:b w:val="0"/>
                <w:sz w:val="16"/>
              </w:rPr>
              <w:t>Automated decisions with real-world consequences</w:t>
            </w:r>
          </w:p>
        </w:tc>
        <w:tc>
          <w:tcPr>
            <w:tcW w:type="dxa" w:w="3564"/>
            <w:vAlign w:val="top"/>
          </w:tcPr>
          <w:p>
            <w:pPr>
              <w:spacing w:after="0"/>
            </w:pPr>
            <w:r/>
            <w:r>
              <w:rPr>
                <w:b w:val="0"/>
                <w:sz w:val="16"/>
              </w:rPr>
              <w:t>[Yes / No / Unsure]</w:t>
            </w:r>
          </w:p>
        </w:tc>
        <w:tc>
          <w:tcPr>
            <w:tcW w:type="dxa" w:w="3564"/>
            <w:vAlign w:val="top"/>
          </w:tcPr>
          <w:p>
            <w:pPr>
              <w:spacing w:after="0"/>
            </w:pPr>
            <w:r/>
            <w:r>
              <w:rPr>
                <w:b w:val="0"/>
                <w:sz w:val="16"/>
              </w:rPr>
              <w:t>Does AI decide, or only assist? Can a person override or appeal?</w:t>
            </w:r>
          </w:p>
        </w:tc>
        <w:tc>
          <w:tcPr>
            <w:tcW w:type="dxa" w:w="3564"/>
            <w:vAlign w:val="top"/>
          </w:tcPr>
          <w:p>
            <w:pPr>
              <w:spacing w:after="0"/>
            </w:pPr>
            <w:r/>
            <w:r>
              <w:rPr>
                <w:b w:val="0"/>
                <w:sz w:val="16"/>
              </w:rPr>
              <w:t>Keep AI advisory; add human review; document decision path.</w:t>
            </w:r>
          </w:p>
        </w:tc>
      </w:tr>
    </w:tbl>
    <w:p/>
    <w:p>
      <w:pPr>
        <w:pStyle w:val="Heading2"/>
      </w:pPr>
      <w:r>
        <w:t>Triage Decision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752"/>
            <w:vAlign w:val="top"/>
            <w:shd w:fill="D9EAF7"/>
          </w:tcPr>
          <w:p>
            <w:pPr>
              <w:spacing w:after="0"/>
            </w:pPr>
            <w:r/>
            <w:r>
              <w:rPr>
                <w:b/>
                <w:sz w:val="16"/>
              </w:rPr>
              <w:t>Decision</w:t>
            </w:r>
          </w:p>
        </w:tc>
        <w:tc>
          <w:tcPr>
            <w:tcW w:type="dxa" w:w="4752"/>
            <w:vAlign w:val="top"/>
            <w:shd w:fill="D9EAF7"/>
          </w:tcPr>
          <w:p>
            <w:pPr>
              <w:spacing w:after="0"/>
            </w:pPr>
            <w:r/>
            <w:r>
              <w:rPr>
                <w:b/>
                <w:sz w:val="16"/>
              </w:rPr>
              <w:t>Mark one</w:t>
            </w:r>
          </w:p>
        </w:tc>
        <w:tc>
          <w:tcPr>
            <w:tcW w:type="dxa" w:w="4752"/>
            <w:vAlign w:val="top"/>
            <w:shd w:fill="D9EAF7"/>
          </w:tcPr>
          <w:p>
            <w:pPr>
              <w:spacing w:after="0"/>
            </w:pPr>
            <w:r/>
            <w:r>
              <w:rPr>
                <w:b/>
                <w:sz w:val="16"/>
              </w:rPr>
              <w:t>Notes</w:t>
            </w:r>
          </w:p>
        </w:tc>
      </w:tr>
      <w:tr>
        <w:tc>
          <w:tcPr>
            <w:tcW w:type="dxa" w:w="4752"/>
            <w:vAlign w:val="top"/>
          </w:tcPr>
          <w:p>
            <w:pPr>
              <w:spacing w:after="0"/>
            </w:pPr>
            <w:r/>
            <w:r>
              <w:rPr>
                <w:b w:val="0"/>
                <w:sz w:val="16"/>
              </w:rPr>
              <w:t>Green: proceed with basic records</w:t>
            </w:r>
          </w:p>
        </w:tc>
        <w:tc>
          <w:tcPr>
            <w:tcW w:type="dxa" w:w="4752"/>
            <w:vAlign w:val="top"/>
          </w:tcPr>
          <w:p>
            <w:pPr>
              <w:spacing w:after="0"/>
            </w:pPr>
            <w:r/>
            <w:r>
              <w:rPr>
                <w:b w:val="0"/>
                <w:sz w:val="16"/>
              </w:rPr>
              <w:t>[ ]</w:t>
            </w:r>
          </w:p>
        </w:tc>
        <w:tc>
          <w:tcPr>
            <w:tcW w:type="dxa" w:w="4752"/>
            <w:vAlign w:val="top"/>
          </w:tcPr>
          <w:p>
            <w:pPr>
              <w:spacing w:after="0"/>
            </w:pPr>
            <w:r/>
            <w:r>
              <w:rPr>
                <w:b w:val="0"/>
                <w:sz w:val="16"/>
              </w:rPr>
            </w:r>
          </w:p>
        </w:tc>
      </w:tr>
      <w:tr>
        <w:tc>
          <w:tcPr>
            <w:tcW w:type="dxa" w:w="4752"/>
            <w:vAlign w:val="top"/>
          </w:tcPr>
          <w:p>
            <w:pPr>
              <w:spacing w:after="0"/>
            </w:pPr>
            <w:r/>
            <w:r>
              <w:rPr>
                <w:b w:val="0"/>
                <w:sz w:val="16"/>
              </w:rPr>
              <w:t>Yellow: proceed only after listed review steps</w:t>
            </w:r>
          </w:p>
        </w:tc>
        <w:tc>
          <w:tcPr>
            <w:tcW w:type="dxa" w:w="4752"/>
            <w:vAlign w:val="top"/>
          </w:tcPr>
          <w:p>
            <w:pPr>
              <w:spacing w:after="0"/>
            </w:pPr>
            <w:r/>
            <w:r>
              <w:rPr>
                <w:b w:val="0"/>
                <w:sz w:val="16"/>
              </w:rPr>
              <w:t>[ ]</w:t>
            </w:r>
          </w:p>
        </w:tc>
        <w:tc>
          <w:tcPr>
            <w:tcW w:type="dxa" w:w="4752"/>
            <w:vAlign w:val="top"/>
          </w:tcPr>
          <w:p>
            <w:pPr>
              <w:spacing w:after="0"/>
            </w:pPr>
            <w:r/>
            <w:r>
              <w:rPr>
                <w:b w:val="0"/>
                <w:sz w:val="16"/>
              </w:rPr>
            </w:r>
          </w:p>
        </w:tc>
      </w:tr>
      <w:tr>
        <w:tc>
          <w:tcPr>
            <w:tcW w:type="dxa" w:w="4752"/>
            <w:vAlign w:val="top"/>
          </w:tcPr>
          <w:p>
            <w:pPr>
              <w:spacing w:after="0"/>
            </w:pPr>
            <w:r/>
            <w:r>
              <w:rPr>
                <w:b w:val="0"/>
                <w:sz w:val="16"/>
              </w:rPr>
              <w:t>Red: pause, narrow, or get qualified help</w:t>
            </w:r>
          </w:p>
        </w:tc>
        <w:tc>
          <w:tcPr>
            <w:tcW w:type="dxa" w:w="4752"/>
            <w:vAlign w:val="top"/>
          </w:tcPr>
          <w:p>
            <w:pPr>
              <w:spacing w:after="0"/>
            </w:pPr>
            <w:r/>
            <w:r>
              <w:rPr>
                <w:b w:val="0"/>
                <w:sz w:val="16"/>
              </w:rPr>
              <w:t>[ ]</w:t>
            </w:r>
          </w:p>
        </w:tc>
        <w:tc>
          <w:tcPr>
            <w:tcW w:type="dxa" w:w="4752"/>
            <w:vAlign w:val="top"/>
          </w:tcPr>
          <w:p>
            <w:pPr>
              <w:spacing w:after="0"/>
            </w:pPr>
            <w:r/>
            <w:r>
              <w:rPr>
                <w:b w:val="0"/>
                <w:sz w:val="16"/>
              </w:rPr>
            </w:r>
          </w:p>
        </w:tc>
      </w:tr>
    </w:tbl>
    <w:p/>
    <w:p>
      <w:pPr>
        <w:spacing w:after="120"/>
      </w:pPr>
      <w:r>
        <w:rPr>
          <w:b w:val="0"/>
        </w:rPr>
        <w:t>Reason:</w:t>
      </w:r>
    </w:p>
    <w:p>
      <w:pPr>
        <w:spacing w:after="120"/>
      </w:pPr>
      <w:r>
        <w:rPr>
          <w:b w:val="0"/>
        </w:rPr>
        <w:t>[NOTES]</w:t>
      </w:r>
    </w:p>
    <w:p>
      <w:pPr>
        <w:pStyle w:val="Heading2"/>
      </w:pPr>
      <w:r>
        <w:t>Follow-Up Actions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3564"/>
            <w:vAlign w:val="top"/>
            <w:shd w:fill="D9EAF7"/>
          </w:tcPr>
          <w:p>
            <w:pPr>
              <w:spacing w:after="0"/>
            </w:pPr>
            <w:r/>
            <w:r>
              <w:rPr>
                <w:b/>
                <w:sz w:val="16"/>
              </w:rPr>
              <w:t>Action</w:t>
            </w:r>
          </w:p>
        </w:tc>
        <w:tc>
          <w:tcPr>
            <w:tcW w:type="dxa" w:w="3564"/>
            <w:vAlign w:val="top"/>
            <w:shd w:fill="D9EAF7"/>
          </w:tcPr>
          <w:p>
            <w:pPr>
              <w:spacing w:after="0"/>
            </w:pPr>
            <w:r/>
            <w:r>
              <w:rPr>
                <w:b/>
                <w:sz w:val="16"/>
              </w:rPr>
              <w:t>Owner</w:t>
            </w:r>
          </w:p>
        </w:tc>
        <w:tc>
          <w:tcPr>
            <w:tcW w:type="dxa" w:w="3564"/>
            <w:vAlign w:val="top"/>
            <w:shd w:fill="D9EAF7"/>
          </w:tcPr>
          <w:p>
            <w:pPr>
              <w:spacing w:after="0"/>
            </w:pPr>
            <w:r/>
            <w:r>
              <w:rPr>
                <w:b/>
                <w:sz w:val="16"/>
              </w:rPr>
              <w:t>Due date</w:t>
            </w:r>
          </w:p>
        </w:tc>
        <w:tc>
          <w:tcPr>
            <w:tcW w:type="dxa" w:w="3564"/>
            <w:vAlign w:val="top"/>
            <w:shd w:fill="D9EAF7"/>
          </w:tcPr>
          <w:p>
            <w:pPr>
              <w:spacing w:after="0"/>
            </w:pPr>
            <w:r/>
            <w:r>
              <w:rPr>
                <w:b/>
                <w:sz w:val="16"/>
              </w:rPr>
              <w:t>Status</w:t>
            </w:r>
          </w:p>
        </w:tc>
      </w:tr>
      <w:tr>
        <w:tc>
          <w:tcPr>
            <w:tcW w:type="dxa" w:w="3564"/>
            <w:vAlign w:val="top"/>
          </w:tcPr>
          <w:p>
            <w:pPr>
              <w:spacing w:after="0"/>
            </w:pPr>
            <w:r/>
            <w:r>
              <w:rPr>
                <w:b w:val="0"/>
                <w:sz w:val="16"/>
              </w:rPr>
            </w:r>
          </w:p>
        </w:tc>
        <w:tc>
          <w:tcPr>
            <w:tcW w:type="dxa" w:w="3564"/>
            <w:vAlign w:val="top"/>
          </w:tcPr>
          <w:p>
            <w:pPr>
              <w:spacing w:after="0"/>
            </w:pPr>
            <w:r/>
            <w:r>
              <w:rPr>
                <w:b w:val="0"/>
                <w:sz w:val="16"/>
              </w:rPr>
            </w:r>
          </w:p>
        </w:tc>
        <w:tc>
          <w:tcPr>
            <w:tcW w:type="dxa" w:w="3564"/>
            <w:vAlign w:val="top"/>
          </w:tcPr>
          <w:p>
            <w:pPr>
              <w:spacing w:after="0"/>
            </w:pPr>
            <w:r/>
            <w:r>
              <w:rPr>
                <w:b w:val="0"/>
                <w:sz w:val="16"/>
              </w:rPr>
            </w:r>
          </w:p>
        </w:tc>
        <w:tc>
          <w:tcPr>
            <w:tcW w:type="dxa" w:w="3564"/>
            <w:vAlign w:val="top"/>
          </w:tcPr>
          <w:p>
            <w:pPr>
              <w:spacing w:after="0"/>
            </w:pPr>
            <w:r/>
            <w:r>
              <w:rPr>
                <w:b w:val="0"/>
                <w:sz w:val="16"/>
              </w:rPr>
              <w:t>[Open / In progress / Done / Blocked]</w:t>
            </w:r>
          </w:p>
        </w:tc>
      </w:tr>
      <w:tr>
        <w:tc>
          <w:tcPr>
            <w:tcW w:type="dxa" w:w="3564"/>
            <w:vAlign w:val="top"/>
          </w:tcPr>
          <w:p>
            <w:pPr>
              <w:spacing w:after="0"/>
            </w:pPr>
            <w:r/>
            <w:r>
              <w:rPr>
                <w:b w:val="0"/>
                <w:sz w:val="16"/>
              </w:rPr>
            </w:r>
          </w:p>
        </w:tc>
        <w:tc>
          <w:tcPr>
            <w:tcW w:type="dxa" w:w="3564"/>
            <w:vAlign w:val="top"/>
          </w:tcPr>
          <w:p>
            <w:pPr>
              <w:spacing w:after="0"/>
            </w:pPr>
            <w:r/>
            <w:r>
              <w:rPr>
                <w:b w:val="0"/>
                <w:sz w:val="16"/>
              </w:rPr>
            </w:r>
          </w:p>
        </w:tc>
        <w:tc>
          <w:tcPr>
            <w:tcW w:type="dxa" w:w="3564"/>
            <w:vAlign w:val="top"/>
          </w:tcPr>
          <w:p>
            <w:pPr>
              <w:spacing w:after="0"/>
            </w:pPr>
            <w:r/>
            <w:r>
              <w:rPr>
                <w:b w:val="0"/>
                <w:sz w:val="16"/>
              </w:rPr>
            </w:r>
          </w:p>
        </w:tc>
        <w:tc>
          <w:tcPr>
            <w:tcW w:type="dxa" w:w="3564"/>
            <w:vAlign w:val="top"/>
          </w:tcPr>
          <w:p>
            <w:pPr>
              <w:spacing w:after="0"/>
            </w:pPr>
            <w:r/>
            <w:r>
              <w:rPr>
                <w:b w:val="0"/>
                <w:sz w:val="16"/>
              </w:rPr>
              <w:t>[Open / In progress / Done / Blocked]</w:t>
            </w:r>
          </w:p>
        </w:tc>
      </w:tr>
    </w:tbl>
    <w:p/>
    <w:p>
      <w:pPr>
        <w:pStyle w:val="Heading2"/>
      </w:pPr>
      <w:r>
        <w:t>Review Carefully If</w:t>
      </w:r>
    </w:p>
    <w:p>
      <w:pPr>
        <w:pStyle w:val="ListBullet"/>
        <w:spacing w:after="120"/>
      </w:pPr>
      <w:r>
        <w:rPr>
          <w:b w:val="0"/>
        </w:rPr>
        <w:t>Any category is marked Yes or Unsure.</w:t>
      </w:r>
    </w:p>
    <w:p>
      <w:pPr>
        <w:pStyle w:val="ListBullet"/>
        <w:spacing w:after="120"/>
      </w:pPr>
      <w:r>
        <w:rPr>
          <w:b w:val="0"/>
        </w:rPr>
        <w:t>The AI could affect a person's rights, money, health, safety, job, education, housing, insurance, credit, identity, or access to services.</w:t>
      </w:r>
    </w:p>
    <w:p>
      <w:pPr>
        <w:pStyle w:val="ListBullet"/>
        <w:spacing w:after="120"/>
      </w:pPr>
      <w:r>
        <w:rPr>
          <w:b w:val="0"/>
        </w:rPr>
        <w:t>You are using data from children, sensitive personal data, biometric data, scraped data, or client confidential information.</w:t>
      </w:r>
    </w:p>
    <w:p>
      <w:pPr>
        <w:pStyle w:val="ListBullet"/>
        <w:spacing w:after="120"/>
      </w:pPr>
      <w:r>
        <w:rPr>
          <w:b w:val="0"/>
        </w:rPr>
        <w:t>Users may think the AI has authority, expertise, or final decision-making power.</w:t>
      </w:r>
    </w:p>
    <w:p>
      <w:pPr>
        <w:spacing w:after="120"/>
      </w:pPr>
      <w:r>
        <w:rPr>
          <w:b w:val="0"/>
        </w:rPr>
        <w:t>Short boundary: This worksheet is educational information, not legal advice. It helps you spot red flags and decide what to review before launch. Review specific legal, privacy, contractual, regulatory, or professional obligations with qualified counsel or the appropriate advisor.</w:t>
      </w:r>
    </w:p>
    <w:sectPr w:rsidR="00FC693F" w:rsidRPr="0006063C" w:rsidSect="00034616">
      <w:footerReference w:type="default" r:id="rId9"/>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Solo Builder AI Launch Kit v1 - Educational templates,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