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Vendor / Model Dependency Note</w:t>
      </w:r>
    </w:p>
    <w:p>
      <w:pPr>
        <w:spacing w:after="120"/>
      </w:pPr>
      <w:r>
        <w:rPr>
          <w:b w:val="0"/>
        </w:rPr>
        <w:t>Purpose: Track which AI systems your project depends on and what could change if the vendor, model, API, platform, prompt, or settings change.</w:t>
      </w:r>
    </w:p>
    <w:p>
      <w:pPr>
        <w:pStyle w:val="Heading2"/>
      </w:pPr>
      <w:r>
        <w:t>When To Use It</w:t>
      </w:r>
    </w:p>
    <w:p>
      <w:pPr>
        <w:spacing w:after="120"/>
      </w:pPr>
      <w:r>
        <w:rPr>
          <w:b w:val="0"/>
        </w:rPr>
        <w:t>Use this when your project relies on an AI model, API, chatbot, plugin, no-code platform, automation tool, local model, dataset, hosted AI feature, browser extension, or agent workflow.</w:t>
      </w:r>
    </w:p>
    <w:p>
      <w:pPr>
        <w:spacing w:after="120"/>
      </w:pPr>
      <w:r>
        <w:rPr>
          <w:b w:val="0"/>
        </w:rPr>
        <w:t>Update it when you change vendors, models, prompts, data-use settings, pricing assumptions, fallback options, or user-facing behavior.</w:t>
      </w:r>
    </w:p>
    <w:p>
      <w:pPr>
        <w:pStyle w:val="Heading2"/>
      </w:pPr>
      <w:r>
        <w:t>What This Produces</w:t>
      </w:r>
    </w:p>
    <w:p>
      <w:pPr>
        <w:spacing w:after="120"/>
      </w:pPr>
      <w:r>
        <w:rPr>
          <w:b w:val="0"/>
        </w:rPr>
        <w:t>You should finish with:</w:t>
      </w:r>
    </w:p>
    <w:p>
      <w:pPr>
        <w:pStyle w:val="ListBullet"/>
        <w:spacing w:after="120"/>
      </w:pPr>
      <w:r>
        <w:rPr>
          <w:b w:val="0"/>
        </w:rPr>
        <w:t>a record of the AI vendor/model/tool your offer depends on</w:t>
      </w:r>
    </w:p>
    <w:p>
      <w:pPr>
        <w:pStyle w:val="ListBullet"/>
        <w:spacing w:after="120"/>
      </w:pPr>
      <w:r>
        <w:rPr>
          <w:b w:val="0"/>
        </w:rPr>
        <w:t>links or locations for terms, settings, prompts, and account controls</w:t>
      </w:r>
    </w:p>
    <w:p>
      <w:pPr>
        <w:pStyle w:val="ListBullet"/>
        <w:spacing w:after="120"/>
      </w:pPr>
      <w:r>
        <w:rPr>
          <w:b w:val="0"/>
        </w:rPr>
        <w:t>known limitations and support risks</w:t>
      </w:r>
    </w:p>
    <w:p>
      <w:pPr>
        <w:pStyle w:val="ListBullet"/>
        <w:spacing w:after="120"/>
      </w:pPr>
      <w:r>
        <w:rPr>
          <w:b w:val="0"/>
        </w:rPr>
        <w:t>a fallback plan if the tool changes, fails, or becomes inappropriate for the workflow</w:t>
      </w:r>
    </w:p>
    <w:p>
      <w:pPr>
        <w:pStyle w:val="Heading2"/>
      </w:pPr>
      <w:r>
        <w:t>Dependency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[PROJECT NAME]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[DATE]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[OWNER]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Vendor, model, or tool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[VENDOR / MODEL / TOOL]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or platform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[API / web app / no-code platform / plugin / local model / automation tool / other]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version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[MODEL VERSION OR UNKNOWN]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 or workflow using it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[WHERE IT IS USED]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sent to it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[DATA TYPES]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User-facing claim that depends on it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[CLAIM OR NONE]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Last reviewed 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[DATE]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 review 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[DATE]</w:t>
            </w:r>
          </w:p>
        </w:tc>
      </w:tr>
    </w:tbl>
    <w:p/>
    <w:p>
      <w:pPr>
        <w:pStyle w:val="Heading2"/>
      </w:pPr>
      <w:r>
        <w:t>Vendor And Settings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Link or location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Terms or service terms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 policy or data policy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Data-use settings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[Verified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 or logging settings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[Verified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Training or improvement settings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[Verified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 security settings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[Verified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Rate limits or usage limits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 or billing assumptions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Uptime, outage, or reliability notes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export or deletion controls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[Reviewed / Needs review / Not applicable]</w:t>
            </w:r>
          </w:p>
        </w:tc>
      </w:tr>
    </w:tbl>
    <w:p/>
    <w:p>
      <w:pPr>
        <w:pStyle w:val="Heading2"/>
      </w:pPr>
      <w:r>
        <w:t>Prompt And Instruction Locations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Prompt or instruction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Where it lives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Who can edit it?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Last updated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Needs review?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 instruction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user prompt template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 or refusal instruction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Output formatting instruction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or test prompt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No-code automation step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No]</w:t>
            </w:r>
          </w:p>
        </w:tc>
      </w:tr>
    </w:tbl>
    <w:p/>
    <w:p>
      <w:pPr>
        <w:pStyle w:val="Heading2"/>
      </w:pPr>
      <w:r>
        <w:t>Known Limitations</w:t>
      </w:r>
    </w:p>
    <w:p>
      <w:pPr>
        <w:spacing w:after="120"/>
      </w:pPr>
      <w:r>
        <w:rPr>
          <w:b w:val="0"/>
        </w:rPr>
        <w:t>Mark limitations that apply and add any project-specific notes.</w:t>
      </w:r>
    </w:p>
    <w:p>
      <w:pPr>
        <w:pStyle w:val="ListBullet"/>
        <w:spacing w:after="120"/>
      </w:pPr>
      <w:r>
        <w:rPr>
          <w:b w:val="0"/>
        </w:rPr>
        <w:t>[ ] May hallucinate or invent details.</w:t>
      </w:r>
    </w:p>
    <w:p>
      <w:pPr>
        <w:pStyle w:val="ListBullet"/>
        <w:spacing w:after="120"/>
      </w:pPr>
      <w:r>
        <w:rPr>
          <w:b w:val="0"/>
        </w:rPr>
        <w:t>[ ] May miss context from uploaded or pasted information.</w:t>
      </w:r>
    </w:p>
    <w:p>
      <w:pPr>
        <w:pStyle w:val="ListBullet"/>
        <w:spacing w:after="120"/>
      </w:pPr>
      <w:r>
        <w:rPr>
          <w:b w:val="0"/>
        </w:rPr>
        <w:t>[ ] May produce outdated information.</w:t>
      </w:r>
    </w:p>
    <w:p>
      <w:pPr>
        <w:pStyle w:val="ListBullet"/>
        <w:spacing w:after="120"/>
      </w:pPr>
      <w:r>
        <w:rPr>
          <w:b w:val="0"/>
        </w:rPr>
        <w:t>[ ] May produce biased, offensive, low-quality, or generic output.</w:t>
      </w:r>
    </w:p>
    <w:p>
      <w:pPr>
        <w:pStyle w:val="ListBullet"/>
        <w:spacing w:after="120"/>
      </w:pPr>
      <w:r>
        <w:rPr>
          <w:b w:val="0"/>
        </w:rPr>
        <w:t>[ ] May fail on long, messy, unusual, or ambiguous inputs.</w:t>
      </w:r>
    </w:p>
    <w:p>
      <w:pPr>
        <w:pStyle w:val="ListBullet"/>
        <w:spacing w:after="120"/>
      </w:pPr>
      <w:r>
        <w:rPr>
          <w:b w:val="0"/>
        </w:rPr>
        <w:t>[ ] May change behavior after a vendor update.</w:t>
      </w:r>
    </w:p>
    <w:p>
      <w:pPr>
        <w:pStyle w:val="ListBullet"/>
        <w:spacing w:after="120"/>
      </w:pPr>
      <w:r>
        <w:rPr>
          <w:b w:val="0"/>
        </w:rPr>
        <w:t>[ ] May be unavailable due to outage, rate limit, billing issue, or account suspension.</w:t>
      </w:r>
    </w:p>
    <w:p>
      <w:pPr>
        <w:pStyle w:val="ListBullet"/>
        <w:spacing w:after="120"/>
      </w:pPr>
      <w:r>
        <w:rPr>
          <w:b w:val="0"/>
        </w:rPr>
        <w:t>[ ] May create outputs that need IP, likeness, privacy, or platform review.</w:t>
      </w:r>
    </w:p>
    <w:p>
      <w:pPr>
        <w:pStyle w:val="ListBullet"/>
        <w:spacing w:after="120"/>
      </w:pPr>
      <w:r>
        <w:rPr>
          <w:b w:val="0"/>
        </w:rPr>
        <w:t>[ ] Other: [NOTES]</w:t>
      </w:r>
    </w:p>
    <w:p>
      <w:pPr>
        <w:pStyle w:val="Heading2"/>
      </w:pPr>
      <w:r>
        <w:t>Fallback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if the vendor is down?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if the model changes behavior?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if output quality drops?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if the price changes?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if the vendor changes terms, data-use settings, or retention settings?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users still complete the workflow without AI?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 decides whether to pause the feature?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will users, clients, or customers be told if the change matters to them?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Vendor Change Impact</w:t>
      </w:r>
    </w:p>
    <w:p>
      <w:pPr>
        <w:spacing w:after="120"/>
      </w:pPr>
      <w:r>
        <w:rPr>
          <w:b w:val="0"/>
        </w:rPr>
        <w:t>If the vendor changes behavior, terms, model quality, pricing, or settings, what would need to change?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Possible impact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Action if it changes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behavior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User-facing claims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Disclosure or FAQ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handling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 or margins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process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 or review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log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Review Carefully If</w:t>
      </w:r>
    </w:p>
    <w:p>
      <w:pPr>
        <w:pStyle w:val="ListBullet"/>
        <w:spacing w:after="120"/>
      </w:pPr>
      <w:r>
        <w:rPr>
          <w:b w:val="0"/>
        </w:rPr>
        <w:t>You send user data, client data, sensitive data, credentials, payment data, or confidential files to the vendor.</w:t>
      </w:r>
    </w:p>
    <w:p>
      <w:pPr>
        <w:pStyle w:val="ListBullet"/>
        <w:spacing w:after="120"/>
      </w:pPr>
      <w:r>
        <w:rPr>
          <w:b w:val="0"/>
        </w:rPr>
        <w:t>Your landing page makes claims that depend on a specific model capability.</w:t>
      </w:r>
    </w:p>
    <w:p>
      <w:pPr>
        <w:pStyle w:val="ListBullet"/>
        <w:spacing w:after="120"/>
      </w:pPr>
      <w:r>
        <w:rPr>
          <w:b w:val="0"/>
        </w:rPr>
        <w:t>The vendor, model, price, terms, data-use setting, retention setting, or prompt changed since your last review.</w:t>
      </w:r>
    </w:p>
    <w:p>
      <w:pPr>
        <w:pStyle w:val="ListBullet"/>
        <w:spacing w:after="120"/>
      </w:pPr>
      <w:r>
        <w:rPr>
          <w:b w:val="0"/>
        </w:rPr>
        <w:t>There is no fallback if the vendor is unavailable or output quality drops.</w:t>
      </w:r>
    </w:p>
    <w:p>
      <w:pPr>
        <w:spacing w:after="120"/>
      </w:pPr>
      <w:r>
        <w:rPr>
          <w:b w:val="0"/>
        </w:rPr>
        <w:t>Short boundary: This worksheet is educational information, not legal advice. It helps you document vendor/model dependencies and spot questions to review. Review specific legal, privacy, contractual, security, platform, or regulatory obligations with qualified counsel or the appropriate advisor.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