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AI Change Log</w:t>
      </w:r>
    </w:p>
    <w:p>
      <w:pPr>
        <w:spacing w:after="120"/>
      </w:pPr>
      <w:r>
        <w:rPr>
          <w:b w:val="0"/>
        </w:rPr>
        <w:t>Purpose: Track changes to the model, prompt, vendor, data use, claims, disclosures, support process, and product behavior over time.</w:t>
      </w:r>
    </w:p>
    <w:p>
      <w:pPr>
        <w:pStyle w:val="Heading2"/>
      </w:pPr>
      <w:r>
        <w:t>When To Use It</w:t>
      </w:r>
    </w:p>
    <w:p>
      <w:pPr>
        <w:spacing w:after="120"/>
      </w:pPr>
      <w:r>
        <w:rPr>
          <w:b w:val="0"/>
        </w:rPr>
        <w:t>Use this whenever you change anything that could affect what the AI does, what data it touches, what users see, what you claim, what support needs to know, or what records you rely on.</w:t>
      </w:r>
    </w:p>
    <w:p>
      <w:pPr>
        <w:pStyle w:val="Heading2"/>
      </w:pPr>
      <w:r>
        <w:t>What This Produces</w:t>
      </w:r>
    </w:p>
    <w:p>
      <w:pPr>
        <w:spacing w:after="120"/>
      </w:pPr>
      <w:r>
        <w:rPr>
          <w:b w:val="0"/>
        </w:rPr>
        <w:t>You should finish with a simple running record of meaningful changes, starting with the launch baseline.</w:t>
      </w:r>
    </w:p>
    <w:p>
      <w:pPr>
        <w:spacing w:after="120"/>
      </w:pPr>
      <w:r>
        <w:rPr>
          <w:b w:val="0"/>
        </w:rPr>
        <w:t>Add one row per meaningful change. Small typo fixes may not need a row. Anything that affects output behavior, data flow, vendor dependency, public copy, disclosure, FAQ, human review, customer support, or review scope should be logged.</w:t>
      </w:r>
    </w:p>
    <w:p>
      <w:pPr>
        <w:pStyle w:val="Heading2"/>
      </w:pPr>
      <w:r>
        <w:t>Change Types</w:t>
      </w:r>
    </w:p>
    <w:p>
      <w:pPr>
        <w:pStyle w:val="ListBullet"/>
        <w:spacing w:after="120"/>
      </w:pPr>
      <w:r>
        <w:rPr>
          <w:b w:val="0"/>
        </w:rPr>
        <w:t>Launch baseline</w:t>
      </w:r>
    </w:p>
    <w:p>
      <w:pPr>
        <w:pStyle w:val="ListBullet"/>
        <w:spacing w:after="120"/>
      </w:pPr>
      <w:r>
        <w:rPr>
          <w:b w:val="0"/>
        </w:rPr>
        <w:t>Model change</w:t>
      </w:r>
    </w:p>
    <w:p>
      <w:pPr>
        <w:pStyle w:val="ListBullet"/>
        <w:spacing w:after="120"/>
      </w:pPr>
      <w:r>
        <w:rPr>
          <w:b w:val="0"/>
        </w:rPr>
        <w:t>Vendor change</w:t>
      </w:r>
    </w:p>
    <w:p>
      <w:pPr>
        <w:pStyle w:val="ListBullet"/>
        <w:spacing w:after="120"/>
      </w:pPr>
      <w:r>
        <w:rPr>
          <w:b w:val="0"/>
        </w:rPr>
        <w:t>Prompt change</w:t>
      </w:r>
    </w:p>
    <w:p>
      <w:pPr>
        <w:pStyle w:val="ListBullet"/>
        <w:spacing w:after="120"/>
      </w:pPr>
      <w:r>
        <w:rPr>
          <w:b w:val="0"/>
        </w:rPr>
        <w:t>System instruction change</w:t>
      </w:r>
    </w:p>
    <w:p>
      <w:pPr>
        <w:pStyle w:val="ListBullet"/>
        <w:spacing w:after="120"/>
      </w:pPr>
      <w:r>
        <w:rPr>
          <w:b w:val="0"/>
        </w:rPr>
        <w:t>Data-use change</w:t>
      </w:r>
    </w:p>
    <w:p>
      <w:pPr>
        <w:pStyle w:val="ListBullet"/>
        <w:spacing w:after="120"/>
      </w:pPr>
      <w:r>
        <w:rPr>
          <w:b w:val="0"/>
        </w:rPr>
        <w:t>Logging or analytics change</w:t>
      </w:r>
    </w:p>
    <w:p>
      <w:pPr>
        <w:pStyle w:val="ListBullet"/>
        <w:spacing w:after="120"/>
      </w:pPr>
      <w:r>
        <w:rPr>
          <w:b w:val="0"/>
        </w:rPr>
        <w:t>Feature behavior change</w:t>
      </w:r>
    </w:p>
    <w:p>
      <w:pPr>
        <w:pStyle w:val="ListBullet"/>
        <w:spacing w:after="120"/>
      </w:pPr>
      <w:r>
        <w:rPr>
          <w:b w:val="0"/>
        </w:rPr>
        <w:t>Public claim change</w:t>
      </w:r>
    </w:p>
    <w:p>
      <w:pPr>
        <w:pStyle w:val="ListBullet"/>
        <w:spacing w:after="120"/>
      </w:pPr>
      <w:r>
        <w:rPr>
          <w:b w:val="0"/>
        </w:rPr>
        <w:t>Disclosure or FAQ change</w:t>
      </w:r>
    </w:p>
    <w:p>
      <w:pPr>
        <w:pStyle w:val="ListBullet"/>
        <w:spacing w:after="120"/>
      </w:pPr>
      <w:r>
        <w:rPr>
          <w:b w:val="0"/>
        </w:rPr>
        <w:t>Human review change</w:t>
      </w:r>
    </w:p>
    <w:p>
      <w:pPr>
        <w:pStyle w:val="ListBullet"/>
        <w:spacing w:after="120"/>
      </w:pPr>
      <w:r>
        <w:rPr>
          <w:b w:val="0"/>
        </w:rPr>
        <w:t>Red-flag scope change</w:t>
      </w:r>
    </w:p>
    <w:p>
      <w:pPr>
        <w:pStyle w:val="ListBullet"/>
        <w:spacing w:after="120"/>
      </w:pPr>
      <w:r>
        <w:rPr>
          <w:b w:val="0"/>
        </w:rPr>
        <w:t>Incident-driven change</w:t>
      </w:r>
    </w:p>
    <w:p>
      <w:pPr>
        <w:pStyle w:val="ListBullet"/>
        <w:spacing w:after="120"/>
      </w:pPr>
      <w:r>
        <w:rPr>
          <w:b w:val="0"/>
        </w:rPr>
        <w:t>Support process change</w:t>
      </w:r>
    </w:p>
    <w:p>
      <w:pPr>
        <w:pStyle w:val="ListBullet"/>
        <w:spacing w:after="120"/>
      </w:pPr>
      <w:r>
        <w:rPr>
          <w:b w:val="0"/>
        </w:rPr>
        <w:t>Other</w:t>
      </w:r>
    </w:p>
    <w:p>
      <w:pPr>
        <w:pStyle w:val="Heading2"/>
      </w:pPr>
      <w:r>
        <w:t>Change Log</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top"/>
            <w:shd w:fill="D9EAF7"/>
          </w:tcPr>
          <w:p>
            <w:pPr>
              <w:spacing w:after="0"/>
            </w:pPr>
            <w:r/>
            <w:r>
              <w:rPr>
                <w:b/>
                <w:sz w:val="16"/>
              </w:rPr>
              <w:t>Date</w:t>
            </w:r>
          </w:p>
        </w:tc>
        <w:tc>
          <w:tcPr>
            <w:tcW w:type="dxa" w:w="1584"/>
            <w:vAlign w:val="top"/>
            <w:shd w:fill="D9EAF7"/>
          </w:tcPr>
          <w:p>
            <w:pPr>
              <w:spacing w:after="0"/>
            </w:pPr>
            <w:r/>
            <w:r>
              <w:rPr>
                <w:b/>
                <w:sz w:val="16"/>
              </w:rPr>
              <w:t>Change type</w:t>
            </w:r>
          </w:p>
        </w:tc>
        <w:tc>
          <w:tcPr>
            <w:tcW w:type="dxa" w:w="1584"/>
            <w:vAlign w:val="top"/>
            <w:shd w:fill="D9EAF7"/>
          </w:tcPr>
          <w:p>
            <w:pPr>
              <w:spacing w:after="0"/>
            </w:pPr>
            <w:r/>
            <w:r>
              <w:rPr>
                <w:b/>
                <w:sz w:val="16"/>
              </w:rPr>
              <w:t>What changed</w:t>
            </w:r>
          </w:p>
        </w:tc>
        <w:tc>
          <w:tcPr>
            <w:tcW w:type="dxa" w:w="1584"/>
            <w:vAlign w:val="top"/>
            <w:shd w:fill="D9EAF7"/>
          </w:tcPr>
          <w:p>
            <w:pPr>
              <w:spacing w:after="0"/>
            </w:pPr>
            <w:r/>
            <w:r>
              <w:rPr>
                <w:b/>
                <w:sz w:val="16"/>
              </w:rPr>
              <w:t>Why it changed</w:t>
            </w:r>
          </w:p>
        </w:tc>
        <w:tc>
          <w:tcPr>
            <w:tcW w:type="dxa" w:w="1584"/>
            <w:vAlign w:val="top"/>
            <w:shd w:fill="D9EAF7"/>
          </w:tcPr>
          <w:p>
            <w:pPr>
              <w:spacing w:after="0"/>
            </w:pPr>
            <w:r/>
            <w:r>
              <w:rPr>
                <w:b/>
                <w:sz w:val="16"/>
              </w:rPr>
              <w:t>Risk impact</w:t>
            </w:r>
          </w:p>
        </w:tc>
        <w:tc>
          <w:tcPr>
            <w:tcW w:type="dxa" w:w="1584"/>
            <w:vAlign w:val="top"/>
            <w:shd w:fill="D9EAF7"/>
          </w:tcPr>
          <w:p>
            <w:pPr>
              <w:spacing w:after="0"/>
            </w:pPr>
            <w:r/>
            <w:r>
              <w:rPr>
                <w:b/>
                <w:sz w:val="16"/>
              </w:rPr>
              <w:t>User-facing impact</w:t>
            </w:r>
          </w:p>
        </w:tc>
        <w:tc>
          <w:tcPr>
            <w:tcW w:type="dxa" w:w="1584"/>
            <w:vAlign w:val="top"/>
            <w:shd w:fill="D9EAF7"/>
          </w:tcPr>
          <w:p>
            <w:pPr>
              <w:spacing w:after="0"/>
            </w:pPr>
            <w:r/>
            <w:r>
              <w:rPr>
                <w:b/>
                <w:sz w:val="16"/>
              </w:rPr>
              <w:t>Docs updated</w:t>
            </w:r>
          </w:p>
        </w:tc>
        <w:tc>
          <w:tcPr>
            <w:tcW w:type="dxa" w:w="1584"/>
            <w:vAlign w:val="top"/>
            <w:shd w:fill="D9EAF7"/>
          </w:tcPr>
          <w:p>
            <w:pPr>
              <w:spacing w:after="0"/>
            </w:pPr>
            <w:r/>
            <w:r>
              <w:rPr>
                <w:b/>
                <w:sz w:val="16"/>
              </w:rPr>
              <w:t>Tested or checked by</w:t>
            </w:r>
          </w:p>
        </w:tc>
        <w:tc>
          <w:tcPr>
            <w:tcW w:type="dxa" w:w="1584"/>
            <w:vAlign w:val="top"/>
            <w:shd w:fill="D9EAF7"/>
          </w:tcPr>
          <w:p>
            <w:pPr>
              <w:spacing w:after="0"/>
            </w:pPr>
            <w:r/>
            <w:r>
              <w:rPr>
                <w:b/>
                <w:sz w:val="16"/>
              </w:rPr>
              <w:t>Next review</w:t>
            </w:r>
          </w:p>
        </w:tc>
      </w:tr>
      <w:tr>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t>[Lower / Same / Higher / Unknown]</w:t>
            </w:r>
          </w:p>
        </w:tc>
        <w:tc>
          <w:tcPr>
            <w:tcW w:type="dxa" w:w="1584"/>
            <w:vAlign w:val="top"/>
          </w:tcPr>
          <w:p>
            <w:pPr>
              <w:spacing w:after="0"/>
            </w:pPr>
            <w:r/>
            <w:r>
              <w:rPr>
                <w:b w:val="0"/>
                <w:sz w:val="16"/>
              </w:rPr>
            </w:r>
          </w:p>
        </w:tc>
        <w:tc>
          <w:tcPr>
            <w:tcW w:type="dxa" w:w="1584"/>
            <w:vAlign w:val="top"/>
          </w:tcPr>
          <w:p>
            <w:pPr>
              <w:spacing w:after="0"/>
            </w:pPr>
            <w:r/>
            <w:r>
              <w:rPr>
                <w:b w:val="0"/>
                <w:sz w:val="16"/>
              </w:rPr>
              <w:t>[Snapshot / Claims / Data intake / Disclosure / FAQ / Vendor note / Incident log / Other]</w:t>
            </w:r>
          </w:p>
        </w:tc>
        <w:tc>
          <w:tcPr>
            <w:tcW w:type="dxa" w:w="1584"/>
            <w:vAlign w:val="top"/>
          </w:tcPr>
          <w:p>
            <w:pPr>
              <w:spacing w:after="0"/>
            </w:pPr>
            <w:r/>
            <w:r>
              <w:rPr>
                <w:b w:val="0"/>
                <w:sz w:val="16"/>
              </w:rPr>
            </w:r>
          </w:p>
        </w:tc>
        <w:tc>
          <w:tcPr>
            <w:tcW w:type="dxa" w:w="1584"/>
            <w:vAlign w:val="top"/>
          </w:tcPr>
          <w:p>
            <w:pPr>
              <w:spacing w:after="0"/>
            </w:pPr>
            <w:r/>
            <w:r>
              <w:rPr>
                <w:b w:val="0"/>
                <w:sz w:val="16"/>
              </w:rPr>
            </w:r>
          </w:p>
        </w:tc>
      </w:tr>
      <w:tr>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t>[Lower / Same / Higher / Unknown]</w:t>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r>
      <w:tr>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t>[Lower / Same / Higher / Unknown]</w:t>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c>
          <w:tcPr>
            <w:tcW w:type="dxa" w:w="1584"/>
            <w:vAlign w:val="top"/>
          </w:tcPr>
          <w:p>
            <w:pPr>
              <w:spacing w:after="0"/>
            </w:pPr>
            <w:r/>
            <w:r>
              <w:rPr>
                <w:b w:val="0"/>
                <w:sz w:val="16"/>
              </w:rPr>
            </w:r>
          </w:p>
        </w:tc>
      </w:tr>
    </w:tbl>
    <w:p/>
    <w:p>
      <w:pPr>
        <w:pStyle w:val="Heading2"/>
      </w:pPr>
      <w:r>
        <w:t>Launch Baseline Entry</w:t>
      </w:r>
    </w:p>
    <w:p>
      <w:pPr>
        <w:spacing w:after="120"/>
      </w:pPr>
      <w:r>
        <w:rPr>
          <w:b w:val="0"/>
        </w:rPr>
        <w:t>Create a first entry when the project launches or enters beta.</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Launch or beta date</w:t>
            </w:r>
          </w:p>
        </w:tc>
        <w:tc>
          <w:tcPr>
            <w:tcW w:type="dxa" w:w="7128"/>
            <w:vAlign w:val="top"/>
          </w:tcPr>
          <w:p>
            <w:pPr>
              <w:spacing w:after="0"/>
            </w:pPr>
            <w:r/>
            <w:r>
              <w:rPr>
                <w:b w:val="0"/>
                <w:sz w:val="16"/>
              </w:rPr>
            </w:r>
          </w:p>
        </w:tc>
      </w:tr>
      <w:tr>
        <w:tc>
          <w:tcPr>
            <w:tcW w:type="dxa" w:w="7128"/>
            <w:vAlign w:val="top"/>
          </w:tcPr>
          <w:p>
            <w:pPr>
              <w:spacing w:after="0"/>
            </w:pPr>
            <w:r/>
            <w:r>
              <w:rPr>
                <w:b w:val="0"/>
                <w:sz w:val="16"/>
              </w:rPr>
              <w:t>Initial model/vendor</w:t>
            </w:r>
          </w:p>
        </w:tc>
        <w:tc>
          <w:tcPr>
            <w:tcW w:type="dxa" w:w="7128"/>
            <w:vAlign w:val="top"/>
          </w:tcPr>
          <w:p>
            <w:pPr>
              <w:spacing w:after="0"/>
            </w:pPr>
            <w:r/>
            <w:r>
              <w:rPr>
                <w:b w:val="0"/>
                <w:sz w:val="16"/>
              </w:rPr>
            </w:r>
          </w:p>
        </w:tc>
      </w:tr>
      <w:tr>
        <w:tc>
          <w:tcPr>
            <w:tcW w:type="dxa" w:w="7128"/>
            <w:vAlign w:val="top"/>
          </w:tcPr>
          <w:p>
            <w:pPr>
              <w:spacing w:after="0"/>
            </w:pPr>
            <w:r/>
            <w:r>
              <w:rPr>
                <w:b w:val="0"/>
                <w:sz w:val="16"/>
              </w:rPr>
              <w:t>Initial prompt or instruction location</w:t>
            </w:r>
          </w:p>
        </w:tc>
        <w:tc>
          <w:tcPr>
            <w:tcW w:type="dxa" w:w="7128"/>
            <w:vAlign w:val="top"/>
          </w:tcPr>
          <w:p>
            <w:pPr>
              <w:spacing w:after="0"/>
            </w:pPr>
            <w:r/>
            <w:r>
              <w:rPr>
                <w:b w:val="0"/>
                <w:sz w:val="16"/>
              </w:rPr>
            </w:r>
          </w:p>
        </w:tc>
      </w:tr>
      <w:tr>
        <w:tc>
          <w:tcPr>
            <w:tcW w:type="dxa" w:w="7128"/>
            <w:vAlign w:val="top"/>
          </w:tcPr>
          <w:p>
            <w:pPr>
              <w:spacing w:after="0"/>
            </w:pPr>
            <w:r/>
            <w:r>
              <w:rPr>
                <w:b w:val="0"/>
                <w:sz w:val="16"/>
              </w:rPr>
              <w:t>Initial data flow</w:t>
            </w:r>
          </w:p>
        </w:tc>
        <w:tc>
          <w:tcPr>
            <w:tcW w:type="dxa" w:w="7128"/>
            <w:vAlign w:val="top"/>
          </w:tcPr>
          <w:p>
            <w:pPr>
              <w:spacing w:after="0"/>
            </w:pPr>
            <w:r/>
            <w:r>
              <w:rPr>
                <w:b w:val="0"/>
                <w:sz w:val="16"/>
              </w:rPr>
            </w:r>
          </w:p>
        </w:tc>
      </w:tr>
      <w:tr>
        <w:tc>
          <w:tcPr>
            <w:tcW w:type="dxa" w:w="7128"/>
            <w:vAlign w:val="top"/>
          </w:tcPr>
          <w:p>
            <w:pPr>
              <w:spacing w:after="0"/>
            </w:pPr>
            <w:r/>
            <w:r>
              <w:rPr>
                <w:b w:val="0"/>
                <w:sz w:val="16"/>
              </w:rPr>
              <w:t>Initial claims reviewed</w:t>
            </w:r>
          </w:p>
        </w:tc>
        <w:tc>
          <w:tcPr>
            <w:tcW w:type="dxa" w:w="7128"/>
            <w:vAlign w:val="top"/>
          </w:tcPr>
          <w:p>
            <w:pPr>
              <w:spacing w:after="0"/>
            </w:pPr>
            <w:r/>
            <w:r>
              <w:rPr>
                <w:b w:val="0"/>
                <w:sz w:val="16"/>
              </w:rPr>
            </w:r>
          </w:p>
        </w:tc>
      </w:tr>
      <w:tr>
        <w:tc>
          <w:tcPr>
            <w:tcW w:type="dxa" w:w="7128"/>
            <w:vAlign w:val="top"/>
          </w:tcPr>
          <w:p>
            <w:pPr>
              <w:spacing w:after="0"/>
            </w:pPr>
            <w:r/>
            <w:r>
              <w:rPr>
                <w:b w:val="0"/>
                <w:sz w:val="16"/>
              </w:rPr>
              <w:t>Initial disclosure location</w:t>
            </w:r>
          </w:p>
        </w:tc>
        <w:tc>
          <w:tcPr>
            <w:tcW w:type="dxa" w:w="7128"/>
            <w:vAlign w:val="top"/>
          </w:tcPr>
          <w:p>
            <w:pPr>
              <w:spacing w:after="0"/>
            </w:pPr>
            <w:r/>
            <w:r>
              <w:rPr>
                <w:b w:val="0"/>
                <w:sz w:val="16"/>
              </w:rPr>
            </w:r>
          </w:p>
        </w:tc>
      </w:tr>
      <w:tr>
        <w:tc>
          <w:tcPr>
            <w:tcW w:type="dxa" w:w="7128"/>
            <w:vAlign w:val="top"/>
          </w:tcPr>
          <w:p>
            <w:pPr>
              <w:spacing w:after="0"/>
            </w:pPr>
            <w:r/>
            <w:r>
              <w:rPr>
                <w:b w:val="0"/>
                <w:sz w:val="16"/>
              </w:rPr>
              <w:t>Initial customer FAQ location</w:t>
            </w:r>
          </w:p>
        </w:tc>
        <w:tc>
          <w:tcPr>
            <w:tcW w:type="dxa" w:w="7128"/>
            <w:vAlign w:val="top"/>
          </w:tcPr>
          <w:p>
            <w:pPr>
              <w:spacing w:after="0"/>
            </w:pPr>
            <w:r/>
            <w:r>
              <w:rPr>
                <w:b w:val="0"/>
                <w:sz w:val="16"/>
              </w:rPr>
            </w:r>
          </w:p>
        </w:tc>
      </w:tr>
      <w:tr>
        <w:tc>
          <w:tcPr>
            <w:tcW w:type="dxa" w:w="7128"/>
            <w:vAlign w:val="top"/>
          </w:tcPr>
          <w:p>
            <w:pPr>
              <w:spacing w:after="0"/>
            </w:pPr>
            <w:r/>
            <w:r>
              <w:rPr>
                <w:b w:val="0"/>
                <w:sz w:val="16"/>
              </w:rPr>
              <w:t>Initial human review approach</w:t>
            </w:r>
          </w:p>
        </w:tc>
        <w:tc>
          <w:tcPr>
            <w:tcW w:type="dxa" w:w="7128"/>
            <w:vAlign w:val="top"/>
          </w:tcPr>
          <w:p>
            <w:pPr>
              <w:spacing w:after="0"/>
            </w:pPr>
            <w:r/>
            <w:r>
              <w:rPr>
                <w:b w:val="0"/>
                <w:sz w:val="16"/>
              </w:rPr>
            </w:r>
          </w:p>
        </w:tc>
      </w:tr>
      <w:tr>
        <w:tc>
          <w:tcPr>
            <w:tcW w:type="dxa" w:w="7128"/>
            <w:vAlign w:val="top"/>
          </w:tcPr>
          <w:p>
            <w:pPr>
              <w:spacing w:after="0"/>
            </w:pPr>
            <w:r/>
            <w:r>
              <w:rPr>
                <w:b w:val="0"/>
                <w:sz w:val="16"/>
              </w:rPr>
              <w:t>Known limitations at launch</w:t>
            </w:r>
          </w:p>
        </w:tc>
        <w:tc>
          <w:tcPr>
            <w:tcW w:type="dxa" w:w="7128"/>
            <w:vAlign w:val="top"/>
          </w:tcPr>
          <w:p>
            <w:pPr>
              <w:spacing w:after="0"/>
            </w:pPr>
            <w:r/>
            <w:r>
              <w:rPr>
                <w:b w:val="0"/>
                <w:sz w:val="16"/>
              </w:rPr>
            </w:r>
          </w:p>
        </w:tc>
      </w:tr>
      <w:tr>
        <w:tc>
          <w:tcPr>
            <w:tcW w:type="dxa" w:w="7128"/>
            <w:vAlign w:val="top"/>
          </w:tcPr>
          <w:p>
            <w:pPr>
              <w:spacing w:after="0"/>
            </w:pPr>
            <w:r/>
            <w:r>
              <w:rPr>
                <w:b w:val="0"/>
                <w:sz w:val="16"/>
              </w:rPr>
              <w:t>First review date</w:t>
            </w:r>
          </w:p>
        </w:tc>
        <w:tc>
          <w:tcPr>
            <w:tcW w:type="dxa" w:w="7128"/>
            <w:vAlign w:val="top"/>
          </w:tcPr>
          <w:p>
            <w:pPr>
              <w:spacing w:after="0"/>
            </w:pPr>
            <w:r/>
            <w:r>
              <w:rPr>
                <w:b w:val="0"/>
                <w:sz w:val="16"/>
              </w:rPr>
            </w:r>
          </w:p>
        </w:tc>
      </w:tr>
    </w:tbl>
    <w:p/>
    <w:p>
      <w:pPr>
        <w:pStyle w:val="Heading2"/>
      </w:pPr>
      <w:r>
        <w:t>Review Prompts Before A Change Goes Live</w:t>
      </w:r>
    </w:p>
    <w:p>
      <w:pPr>
        <w:pStyle w:val="ListBullet"/>
        <w:spacing w:after="120"/>
      </w:pPr>
      <w:r>
        <w:rPr>
          <w:b w:val="0"/>
        </w:rPr>
        <w:t>Does this change what users should be told?</w:t>
      </w:r>
    </w:p>
    <w:p>
      <w:pPr>
        <w:pStyle w:val="ListBullet"/>
        <w:spacing w:after="120"/>
      </w:pPr>
      <w:r>
        <w:rPr>
          <w:b w:val="0"/>
        </w:rPr>
        <w:t>Does this change what data goes into the AI workflow?</w:t>
      </w:r>
    </w:p>
    <w:p>
      <w:pPr>
        <w:pStyle w:val="ListBullet"/>
        <w:spacing w:after="120"/>
      </w:pPr>
      <w:r>
        <w:rPr>
          <w:b w:val="0"/>
        </w:rPr>
        <w:t>Does this change prompt logs, analytics, retention, or vendor exposure?</w:t>
      </w:r>
    </w:p>
    <w:p>
      <w:pPr>
        <w:pStyle w:val="ListBullet"/>
        <w:spacing w:after="120"/>
      </w:pPr>
      <w:r>
        <w:rPr>
          <w:b w:val="0"/>
        </w:rPr>
        <w:t>Does this change the accuracy, tone, risk, or reliability of output?</w:t>
      </w:r>
    </w:p>
    <w:p>
      <w:pPr>
        <w:pStyle w:val="ListBullet"/>
        <w:spacing w:after="120"/>
      </w:pPr>
      <w:r>
        <w:rPr>
          <w:b w:val="0"/>
        </w:rPr>
        <w:t>Does this change whether human review is needed?</w:t>
      </w:r>
    </w:p>
    <w:p>
      <w:pPr>
        <w:pStyle w:val="ListBullet"/>
        <w:spacing w:after="120"/>
      </w:pPr>
      <w:r>
        <w:rPr>
          <w:b w:val="0"/>
        </w:rPr>
        <w:t>Does this make any public claim outdated?</w:t>
      </w:r>
    </w:p>
    <w:p>
      <w:pPr>
        <w:pStyle w:val="ListBullet"/>
        <w:spacing w:after="120"/>
      </w:pPr>
      <w:r>
        <w:rPr>
          <w:b w:val="0"/>
        </w:rPr>
        <w:t>Does this create a new red-flag category?</w:t>
      </w:r>
    </w:p>
    <w:p>
      <w:pPr>
        <w:pStyle w:val="ListBullet"/>
        <w:spacing w:after="120"/>
      </w:pPr>
      <w:r>
        <w:rPr>
          <w:b w:val="0"/>
        </w:rPr>
        <w:t>Does this require a customer FAQ, disclosure, or support-script update?</w:t>
      </w:r>
    </w:p>
    <w:p>
      <w:pPr>
        <w:pStyle w:val="ListBullet"/>
        <w:spacing w:after="120"/>
      </w:pPr>
      <w:r>
        <w:rPr>
          <w:b w:val="0"/>
        </w:rPr>
        <w:t>Does this require qualified review?</w:t>
      </w:r>
    </w:p>
    <w:p>
      <w:pPr>
        <w:pStyle w:val="Heading2"/>
      </w:pPr>
      <w:r>
        <w:t>Review Carefully If</w:t>
      </w:r>
    </w:p>
    <w:p>
      <w:pPr>
        <w:pStyle w:val="ListBullet"/>
        <w:spacing w:after="120"/>
      </w:pPr>
      <w:r>
        <w:rPr>
          <w:b w:val="0"/>
        </w:rPr>
        <w:t>You changed the vendor, model, prompt, system instruction, data source, logging behavior, or automation path.</w:t>
      </w:r>
    </w:p>
    <w:p>
      <w:pPr>
        <w:pStyle w:val="ListBullet"/>
        <w:spacing w:after="120"/>
      </w:pPr>
      <w:r>
        <w:rPr>
          <w:b w:val="0"/>
        </w:rPr>
        <w:t>You changed public claims, pricing pages, demos, onboarding copy, proposals, or marketplace listings.</w:t>
      </w:r>
    </w:p>
    <w:p>
      <w:pPr>
        <w:pStyle w:val="ListBullet"/>
        <w:spacing w:after="120"/>
      </w:pPr>
      <w:r>
        <w:rPr>
          <w:b w:val="0"/>
        </w:rPr>
        <w:t>You removed human review or made output more automated.</w:t>
      </w:r>
    </w:p>
    <w:p>
      <w:pPr>
        <w:pStyle w:val="ListBullet"/>
        <w:spacing w:after="120"/>
      </w:pPr>
      <w:r>
        <w:rPr>
          <w:b w:val="0"/>
        </w:rPr>
        <w:t>The change was made because of a complaint, bad output, privacy concern, platform notice, or customer confusion.</w:t>
      </w:r>
    </w:p>
    <w:p>
      <w:pPr>
        <w:spacing w:after="120"/>
      </w:pPr>
      <w:r>
        <w:rPr>
          <w:b w:val="0"/>
        </w:rPr>
        <w:t>Short boundary: This worksheet is educational information, not legal advice. It helps you keep AI changes visible and spot questions to review. Review specific legal, privacy, contractual, security, platform, or regulatory obligations with qualified counsel or the appropriate advisor.</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