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Legal Notice and Use Terms</w:t>
      </w:r>
    </w:p>
    <w:p>
      <w:pPr>
        <w:spacing w:after="120"/>
      </w:pPr>
      <w:r>
        <w:rPr>
          <w:b w:val="0"/>
        </w:rPr>
        <w:t>This packet is provided for educational and informational purposes only. It is not legal advice and does not create an attorney-client relationship.</w:t>
      </w:r>
    </w:p>
    <w:p>
      <w:pPr>
        <w:spacing w:after="120"/>
      </w:pPr>
      <w:r>
        <w:rPr>
          <w:b w:val="0"/>
        </w:rPr>
        <w:t>The templates are starting points. They must be reviewed and adapted for the buyer's actual AI project, offer, users, customers, clients, data practices, vendor relationships, jurisdictions, contracts, platform rules, and support process.</w:t>
      </w:r>
    </w:p>
    <w:p>
      <w:pPr>
        <w:spacing w:after="120"/>
      </w:pPr>
      <w:r>
        <w:rPr>
          <w:b w:val="0"/>
        </w:rPr>
        <w:t>Do not treat these materials as a compliance program, legal review, certification, approval, safety guarantee, professional advice, or substitute for qualified review.</w:t>
      </w:r>
    </w:p>
    <w:p>
      <w:pPr>
        <w:spacing w:after="120"/>
      </w:pPr>
      <w:r>
        <w:rPr>
          <w:b w:val="0"/>
        </w:rPr>
        <w:t>This packet does not make an AI project compliant, does not approve a regulated use case, does not protect against liability, does not prevent legal trouble, and does not guarantee that any AI use, claim, disclosure, data practice, or launch decision is allowed or appropriate.</w:t>
      </w:r>
    </w:p>
    <w:p>
      <w:pPr>
        <w:spacing w:after="120"/>
      </w:pPr>
      <w:r>
        <w:rPr>
          <w:b w:val="0"/>
        </w:rPr>
        <w:t>Consult qualified counsel and appropriate privacy, security, HR, procurement, platform, technical, or sector-specific reviewers before relying on these materials for legal compliance, regulated use cases, high-impact decisions, sensitive data use, contractual obligations, or professional-advice contexts.</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