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Acceptable Use Policy</w:t>
      </w:r>
    </w:p>
    <w:p>
      <w:r>
        <w:t>Company: [COMPANY NAME]</w:t>
      </w:r>
    </w:p>
    <w:p>
      <w:r>
        <w:t>Version: 1.0</w:t>
      </w:r>
    </w:p>
    <w:p>
      <w:r>
        <w:t>Effective date: [DATE]</w:t>
      </w:r>
    </w:p>
    <w:p>
      <w:r>
        <w:t>Owner: [POLICY OWNER - e.g., Head of Operations, General Counsel]</w:t>
      </w:r>
    </w:p>
    <w:p>
      <w:r>
        <w:t>Next review: [DATE + 12 months]</w:t>
      </w:r>
    </w:p>
    <w:p>
      <w:pPr>
        <w:spacing w:before="60"/>
        <w:ind w:left="360"/>
      </w:pPr>
      <w:r>
        <w:rPr>
          <w:rFonts w:ascii="Arial" w:hAnsi="Arial"/>
          <w:i/>
        </w:rPr>
        <w:t>How to use this template. Fill in every [BRACKETED FIELD]. Delete any sections that don't apply to your business. Have your HR lead and (if available) your legal counsel review before you roll it out. Share the one-page summary and the acknowledgment form with every employee.</w:t>
      </w:r>
    </w:p>
    <w:p>
      <w:pPr>
        <w:spacing w:before="60" w:after="60"/>
      </w:pPr>
      <w:r/>
    </w:p>
    <w:p>
      <w:pPr>
        <w:pStyle w:val="Heading2"/>
      </w:pPr>
      <w:r>
        <w:t>1. Purpose</w:t>
      </w:r>
    </w:p>
    <w:p>
      <w:r>
        <w:t>[COMPANY NAME] uses artificial intelligence ("AI") tools to work faster and serve our customers better. This policy sets clear rules for how AI may be used at work so that we get the benefits without creating legal, security, reputational, or quality risks.</w:t>
      </w:r>
    </w:p>
    <w:p>
      <w:r>
        <w:t>This policy is written to be read and understood by every employee - not just the legal or IT team.</w:t>
      </w:r>
    </w:p>
    <w:p>
      <w:pPr>
        <w:pStyle w:val="Heading2"/>
      </w:pPr>
      <w:r>
        <w:t>2. Scope</w:t>
      </w:r>
    </w:p>
    <w:p>
      <w:r>
        <w:t>This policy applies to:</w:t>
      </w:r>
    </w:p>
    <w:p>
      <w:pPr>
        <w:pStyle w:val="ListBullet"/>
      </w:pPr>
      <w:r>
        <w:t>All employees, officers, and directors of [COMPANY NAME]</w:t>
      </w:r>
    </w:p>
    <w:p>
      <w:pPr>
        <w:pStyle w:val="ListBullet"/>
      </w:pPr>
      <w:r>
        <w:t>All contractors, consultants, interns, and temporary staff performing work on behalf of [COMPANY NAME]</w:t>
      </w:r>
    </w:p>
    <w:p>
      <w:pPr>
        <w:pStyle w:val="ListBullet"/>
      </w:pPr>
      <w:r>
        <w:t>All use of AI tools for company work, whether the tool is company-provided, a free public tool, or a personal paid account</w:t>
      </w:r>
    </w:p>
    <w:p>
      <w:r>
        <w:t>It covers all AI tools including but not limited to: large language model chatbots (ChatGPT, Claude, Gemini, Copilot, and similar), image generators, code assistants, voice cloning tools, meeting transcription and summarization tools, and any software that incorporates generative AI features.</w:t>
      </w:r>
    </w:p>
    <w:p>
      <w:pPr>
        <w:pStyle w:val="Heading2"/>
      </w:pPr>
      <w:r>
        <w:t>3. Definitions</w:t>
      </w:r>
    </w:p>
    <w:p>
      <w:pPr>
        <w:pStyle w:val="ListBullet"/>
      </w:pPr>
      <w:r>
        <w:t>AI tool - any software that uses machine learning or generative AI to produce text, code, images, audio, video, decisions, or recommendations.</w:t>
      </w:r>
    </w:p>
    <w:p>
      <w:pPr>
        <w:pStyle w:val="ListBullet"/>
      </w:pPr>
      <w:r>
        <w:t>Confidential information - any non-public information of [COMPANY NAME], our customers, our employees, or our partners. Includes business plans, source code, financial data, customer lists, and employee records.</w:t>
      </w:r>
    </w:p>
    <w:p>
      <w:pPr>
        <w:pStyle w:val="ListBullet"/>
      </w:pPr>
      <w:r>
        <w:t>Personal data - information that identifies a specific person, including names, email addresses, phone numbers, home addresses, payment details, health information, and government ID numbers.</w:t>
      </w:r>
    </w:p>
    <w:p>
      <w:pPr>
        <w:pStyle w:val="ListBullet"/>
      </w:pPr>
      <w:r>
        <w:t>Approved tools list - the current list of AI tools [COMPANY NAME] has vetted and permits for specific uses. The current list is maintained at [LOCATION - e.g., in the employee handbook, Notion page URL, SharePoint].</w:t>
      </w:r>
    </w:p>
    <w:p>
      <w:pPr>
        <w:pStyle w:val="ListBullet"/>
      </w:pPr>
      <w:r>
        <w:t>Customer-facing work - anything a customer, client, patient, or end user will see or rely on.</w:t>
      </w:r>
    </w:p>
    <w:p>
      <w:pPr>
        <w:pStyle w:val="Heading2"/>
      </w:pPr>
      <w:r>
        <w:t>4. Guiding principles</w:t>
      </w:r>
    </w:p>
    <w:p>
      <w:pPr>
        <w:pStyle w:val="ListNumber"/>
      </w:pPr>
      <w:r>
        <w:t>A human is always responsible for the work. AI can help you produce it. It cannot be accountable for it.</w:t>
      </w:r>
    </w:p>
    <w:p>
      <w:pPr>
        <w:pStyle w:val="ListNumber"/>
      </w:pPr>
      <w:r>
        <w:t>Confidential information stays confidential. Don't paste it into a tool that doesn't have a contract with us.</w:t>
      </w:r>
    </w:p>
    <w:p>
      <w:pPr>
        <w:pStyle w:val="ListNumber"/>
      </w:pPr>
      <w:r>
        <w:t>Check the output. AI tools confidently produce wrong answers. Verify before you send, publish, or ship.</w:t>
      </w:r>
    </w:p>
    <w:p>
      <w:pPr>
        <w:pStyle w:val="ListNumber"/>
      </w:pPr>
      <w:r>
        <w:t>Be honest about how you worked. Don't claim AI work is purely human in situations where the difference matters.</w:t>
      </w:r>
    </w:p>
    <w:p>
      <w:pPr>
        <w:pStyle w:val="ListNumber"/>
      </w:pPr>
      <w:r>
        <w:t>Follow the law. Some uses of AI are regulated. When in doubt, ask.</w:t>
      </w:r>
    </w:p>
    <w:p>
      <w:pPr>
        <w:pStyle w:val="Heading2"/>
      </w:pPr>
      <w:r>
        <w:t>5. Permitted uses</w:t>
      </w:r>
    </w:p>
    <w:p>
      <w:r>
        <w:t>You may use approved AI tools to:</w:t>
      </w:r>
    </w:p>
    <w:p>
      <w:pPr>
        <w:pStyle w:val="ListBullet"/>
      </w:pPr>
      <w:r>
        <w:t>Research topics, summarize documents, and brainstorm ideas</w:t>
      </w:r>
    </w:p>
    <w:p>
      <w:pPr>
        <w:pStyle w:val="ListBullet"/>
      </w:pPr>
      <w:r>
        <w:t>Draft and edit emails, memos, and documents</w:t>
      </w:r>
    </w:p>
    <w:p>
      <w:pPr>
        <w:pStyle w:val="ListBullet"/>
      </w:pPr>
      <w:r>
        <w:t>Help write, review, or debug code</w:t>
      </w:r>
    </w:p>
    <w:p>
      <w:pPr>
        <w:pStyle w:val="ListBullet"/>
      </w:pPr>
      <w:r>
        <w:t>Transcribe and summarize meetings (with participant consent - see Section 9)</w:t>
      </w:r>
    </w:p>
    <w:p>
      <w:pPr>
        <w:pStyle w:val="ListBullet"/>
      </w:pPr>
      <w:r>
        <w:t>Translate text between languages</w:t>
      </w:r>
    </w:p>
    <w:p>
      <w:pPr>
        <w:pStyle w:val="ListBullet"/>
      </w:pPr>
      <w:r>
        <w:t>Generate first-draft images, slides, or marketing copy</w:t>
      </w:r>
    </w:p>
    <w:p>
      <w:pPr>
        <w:pStyle w:val="ListBullet"/>
      </w:pPr>
      <w:r>
        <w:t>Analyze public data and produce charts or summaries</w:t>
      </w:r>
    </w:p>
    <w:p>
      <w:r>
        <w:t>In each case, a human must review the output before it leaves [COMPANY NAME] or is relied upon for a decision.</w:t>
      </w:r>
    </w:p>
    <w:p>
      <w:pPr>
        <w:pStyle w:val="Heading2"/>
      </w:pPr>
      <w:r>
        <w:t>6. Prohibited uses</w:t>
      </w:r>
    </w:p>
    <w:p>
      <w:r>
        <w:t>You must not use AI tools to:</w:t>
      </w:r>
    </w:p>
    <w:p>
      <w:pPr>
        <w:pStyle w:val="Heading3"/>
      </w:pPr>
      <w:r>
        <w:t>Data handling</w:t>
      </w:r>
    </w:p>
    <w:p>
      <w:pPr>
        <w:pStyle w:val="ListBullet"/>
      </w:pPr>
      <w:r>
        <w:t>Enter [COMPANY NAME] confidential information into any AI tool that is not on the approved tools list</w:t>
      </w:r>
    </w:p>
    <w:p>
      <w:pPr>
        <w:pStyle w:val="ListBullet"/>
      </w:pPr>
      <w:r>
        <w:t>Upload customer data, employee data, or any personal data into a tool that has not been approved for that data type</w:t>
      </w:r>
    </w:p>
    <w:p>
      <w:pPr>
        <w:pStyle w:val="ListBullet"/>
      </w:pPr>
      <w:r>
        <w:t>Share proprietary source code with an AI tool that may use inputs to train its models</w:t>
      </w:r>
    </w:p>
    <w:p>
      <w:pPr>
        <w:pStyle w:val="ListBullet"/>
      </w:pPr>
      <w:r>
        <w:t>Bypass the approved tools list by using personal accounts for work that would otherwise be prohibited</w:t>
      </w:r>
    </w:p>
    <w:p>
      <w:pPr>
        <w:pStyle w:val="Heading3"/>
      </w:pPr>
      <w:r>
        <w:t>Decisions about people</w:t>
      </w:r>
    </w:p>
    <w:p>
      <w:pPr>
        <w:pStyle w:val="ListBullet"/>
      </w:pPr>
      <w:r>
        <w:t>Make final hiring, firing, promotion, pay, or disciplinary decisions. AI may assist, but a qualified human must make the final call and be able to explain the reasoning.</w:t>
      </w:r>
    </w:p>
    <w:p>
      <w:pPr>
        <w:pStyle w:val="ListBullet"/>
      </w:pPr>
      <w:r>
        <w:t>Screen resumes, score candidates, or sort applicants without human review of the process and outputs</w:t>
      </w:r>
    </w:p>
    <w:p>
      <w:pPr>
        <w:pStyle w:val="ListBullet"/>
      </w:pPr>
      <w:r>
        <w:t>Monitor employee productivity, emotions, or behavior without written approval from [POLICY OWNER] and compliance with applicable law</w:t>
      </w:r>
    </w:p>
    <w:p>
      <w:pPr>
        <w:pStyle w:val="Heading3"/>
      </w:pPr>
      <w:r>
        <w:t>Customer-facing outputs</w:t>
      </w:r>
    </w:p>
    <w:p>
      <w:pPr>
        <w:pStyle w:val="ListBullet"/>
      </w:pPr>
      <w:r>
        <w:t>Give medical, legal, financial, or other professional advice to customers without qualified human review</w:t>
      </w:r>
    </w:p>
    <w:p>
      <w:pPr>
        <w:pStyle w:val="ListBullet"/>
      </w:pPr>
      <w:r>
        <w:t>Generate or send customer communications that imply a human wrote them when the customer has a reasonable expectation of human interaction</w:t>
      </w:r>
    </w:p>
    <w:p>
      <w:pPr>
        <w:pStyle w:val="ListBullet"/>
      </w:pPr>
      <w:r>
        <w:t>Create deepfakes, voice clones, or synthetic likenesses of any real person (including public figures, customers, and employees)</w:t>
      </w:r>
    </w:p>
    <w:p>
      <w:pPr>
        <w:pStyle w:val="ListBullet"/>
      </w:pPr>
      <w:r>
        <w:t>Generate content intended to deceive, manipulate, or harass</w:t>
      </w:r>
    </w:p>
    <w:p>
      <w:pPr>
        <w:pStyle w:val="Heading3"/>
      </w:pPr>
      <w:r>
        <w:t>Content &amp; IP</w:t>
      </w:r>
    </w:p>
    <w:p>
      <w:pPr>
        <w:pStyle w:val="ListBullet"/>
      </w:pPr>
      <w:r>
        <w:t>Produce content that infringes copyright, trademark, or other intellectual property rights</w:t>
      </w:r>
    </w:p>
    <w:p>
      <w:pPr>
        <w:pStyle w:val="ListBullet"/>
      </w:pPr>
      <w:r>
        <w:t>Generate discriminatory, harassing, sexually explicit, or violent content</w:t>
      </w:r>
    </w:p>
    <w:p>
      <w:pPr>
        <w:pStyle w:val="ListBullet"/>
      </w:pPr>
      <w:r>
        <w:t>Produce content that violates [COMPANY NAME]'s code of conduct or any customer contract</w:t>
      </w:r>
    </w:p>
    <w:p>
      <w:pPr>
        <w:pStyle w:val="Heading3"/>
      </w:pPr>
      <w:r>
        <w:t>Security &amp; governance</w:t>
      </w:r>
    </w:p>
    <w:p>
      <w:pPr>
        <w:pStyle w:val="ListBullet"/>
      </w:pPr>
      <w:r>
        <w:t>Install or run unapproved AI tools on company devices</w:t>
      </w:r>
    </w:p>
    <w:p>
      <w:pPr>
        <w:pStyle w:val="ListBullet"/>
      </w:pPr>
      <w:r>
        <w:t>Connect AI tools to company systems (email, file storage, customer databases) without approval from [IT OWNER]</w:t>
      </w:r>
    </w:p>
    <w:p>
      <w:pPr>
        <w:pStyle w:val="ListBullet"/>
      </w:pPr>
      <w:r>
        <w:t>Disable or circumvent AI guardrails, content filters, or logging</w:t>
      </w:r>
    </w:p>
    <w:p>
      <w:pPr>
        <w:pStyle w:val="Heading2"/>
      </w:pPr>
      <w:r>
        <w:t>7. Approved tools</w:t>
      </w:r>
    </w:p>
    <w:p>
      <w:r>
        <w:t>The current approved tools list is maintained at [LOCATION]. The list specifies, for each tool:</w:t>
      </w:r>
    </w:p>
    <w:p>
      <w:pPr>
        <w:pStyle w:val="ListBullet"/>
      </w:pPr>
      <w:r>
        <w:t>What the tool may be used for</w:t>
      </w:r>
    </w:p>
    <w:p>
      <w:pPr>
        <w:pStyle w:val="ListBullet"/>
      </w:pPr>
      <w:r>
        <w:t>What tier or account type is permitted (free, paid, company-managed)</w:t>
      </w:r>
    </w:p>
    <w:p>
      <w:pPr>
        <w:pStyle w:val="ListBullet"/>
      </w:pPr>
      <w:r>
        <w:t>What data may be entered</w:t>
      </w:r>
    </w:p>
    <w:p>
      <w:pPr>
        <w:pStyle w:val="ListBullet"/>
      </w:pPr>
      <w:r>
        <w:t>Any usage restrictions</w:t>
      </w:r>
    </w:p>
    <w:p>
      <w:r>
        <w:t>A sample starting list:</w:t>
      </w:r>
    </w:p>
    <w:tbl>
      <w:tblPr>
        <w:tblW w:type="auto" w:w="0"/>
        <w:jc w:val="center"/>
        <w:tblLayout w:type="autofit"/>
        <w:tblLook w:firstColumn="1" w:firstRow="1" w:lastColumn="0" w:lastRow="0" w:noHBand="0" w:noVBand="1" w:val="04A0"/>
        <w:tblBorders>
          <w:top w:val="single" w:sz="4" w:space="0" w:color="D7E5F8"/>
          <w:left w:val="single" w:sz="4" w:space="0" w:color="D7E5F8"/>
          <w:bottom w:val="single" w:sz="4" w:space="0" w:color="D7E5F8"/>
          <w:right w:val="single" w:sz="4" w:space="0" w:color="D7E5F8"/>
          <w:insideH w:val="single" w:sz="4" w:space="0" w:color="D7E5F8"/>
          <w:insideV w:val="single" w:sz="4" w:space="0" w:color="D7E5F8"/>
        </w:tblBorders>
      </w:tblPr>
      <w:tblGrid>
        <w:gridCol w:w="2592"/>
        <w:gridCol w:w="2592"/>
        <w:gridCol w:w="2592"/>
        <w:gridCol w:w="2592"/>
      </w:tblGrid>
      <w:tr>
        <w:tc>
          <w:tcPr>
            <w:tcW w:type="dxa" w:w="2592"/>
            <w:vAlign w:val="top"/>
            <w:tcMar>
              <w:top w:w="80" w:type="dxa"/>
              <w:start w:w="80" w:type="dxa"/>
              <w:bottom w:w="80" w:type="dxa"/>
              <w:end w:w="80" w:type="dxa"/>
            </w:tcMar>
            <w:shd w:fill="EAF4FF"/>
          </w:tcPr>
          <w:p>
            <w:pPr>
              <w:spacing w:after="0"/>
            </w:pPr>
            <w:r>
              <w:rPr>
                <w:rFonts w:ascii="Arial" w:hAnsi="Arial"/>
                <w:b/>
                <w:sz w:val="18"/>
              </w:rPr>
              <w:t>Tool</w:t>
            </w:r>
          </w:p>
        </w:tc>
        <w:tc>
          <w:tcPr>
            <w:tcW w:type="dxa" w:w="2592"/>
            <w:vAlign w:val="top"/>
            <w:tcMar>
              <w:top w:w="80" w:type="dxa"/>
              <w:start w:w="80" w:type="dxa"/>
              <w:bottom w:w="80" w:type="dxa"/>
              <w:end w:w="80" w:type="dxa"/>
            </w:tcMar>
            <w:shd w:fill="EAF4FF"/>
          </w:tcPr>
          <w:p>
            <w:pPr>
              <w:spacing w:after="0"/>
            </w:pPr>
            <w:r>
              <w:rPr>
                <w:rFonts w:ascii="Arial" w:hAnsi="Arial"/>
                <w:b/>
                <w:sz w:val="18"/>
              </w:rPr>
              <w:t>Permitted uses</w:t>
            </w:r>
          </w:p>
        </w:tc>
        <w:tc>
          <w:tcPr>
            <w:tcW w:type="dxa" w:w="2592"/>
            <w:vAlign w:val="top"/>
            <w:tcMar>
              <w:top w:w="80" w:type="dxa"/>
              <w:start w:w="80" w:type="dxa"/>
              <w:bottom w:w="80" w:type="dxa"/>
              <w:end w:w="80" w:type="dxa"/>
            </w:tcMar>
            <w:shd w:fill="EAF4FF"/>
          </w:tcPr>
          <w:p>
            <w:pPr>
              <w:spacing w:after="0"/>
            </w:pPr>
            <w:r>
              <w:rPr>
                <w:rFonts w:ascii="Arial" w:hAnsi="Arial"/>
                <w:b/>
                <w:sz w:val="18"/>
              </w:rPr>
              <w:t>Data tier allowed</w:t>
            </w:r>
          </w:p>
        </w:tc>
        <w:tc>
          <w:tcPr>
            <w:tcW w:type="dxa" w:w="2592"/>
            <w:vAlign w:val="top"/>
            <w:tcMar>
              <w:top w:w="80" w:type="dxa"/>
              <w:start w:w="80" w:type="dxa"/>
              <w:bottom w:w="80" w:type="dxa"/>
              <w:end w:w="80" w:type="dxa"/>
            </w:tcMar>
            <w:shd w:fill="EAF4FF"/>
          </w:tcPr>
          <w:p>
            <w:pPr>
              <w:spacing w:after="0"/>
            </w:pPr>
            <w:r>
              <w:rPr>
                <w:rFonts w:ascii="Arial" w:hAnsi="Arial"/>
                <w:b/>
                <w:sz w:val="18"/>
              </w:rPr>
              <w:t>Notes</w:t>
            </w:r>
          </w:p>
        </w:tc>
      </w:tr>
      <w:tr>
        <w:tc>
          <w:tcPr>
            <w:tcW w:type="dxa" w:w="2592"/>
            <w:vAlign w:val="top"/>
            <w:tcMar>
              <w:top w:w="80" w:type="dxa"/>
              <w:start w:w="80" w:type="dxa"/>
              <w:bottom w:w="80" w:type="dxa"/>
              <w:end w:w="80" w:type="dxa"/>
            </w:tcMar>
          </w:tcPr>
          <w:p>
            <w:pPr>
              <w:spacing w:after="0"/>
            </w:pPr>
            <w:r>
              <w:rPr>
                <w:rFonts w:ascii="Arial" w:hAnsi="Arial"/>
                <w:sz w:val="18"/>
              </w:rPr>
              <w:t>[TOOL 1]</w:t>
            </w:r>
          </w:p>
        </w:tc>
        <w:tc>
          <w:tcPr>
            <w:tcW w:type="dxa" w:w="2592"/>
            <w:vAlign w:val="top"/>
            <w:tcMar>
              <w:top w:w="80" w:type="dxa"/>
              <w:start w:w="80" w:type="dxa"/>
              <w:bottom w:w="80" w:type="dxa"/>
              <w:end w:w="80" w:type="dxa"/>
            </w:tcMar>
          </w:tcPr>
          <w:p>
            <w:pPr>
              <w:spacing w:after="0"/>
            </w:pPr>
            <w:r>
              <w:rPr>
                <w:rFonts w:ascii="Arial" w:hAnsi="Arial"/>
                <w:sz w:val="18"/>
              </w:rPr>
              <w:t>General drafting, research</w:t>
            </w:r>
          </w:p>
        </w:tc>
        <w:tc>
          <w:tcPr>
            <w:tcW w:type="dxa" w:w="2592"/>
            <w:vAlign w:val="top"/>
            <w:tcMar>
              <w:top w:w="80" w:type="dxa"/>
              <w:start w:w="80" w:type="dxa"/>
              <w:bottom w:w="80" w:type="dxa"/>
              <w:end w:w="80" w:type="dxa"/>
            </w:tcMar>
          </w:tcPr>
          <w:p>
            <w:pPr>
              <w:spacing w:after="0"/>
            </w:pPr>
            <w:r>
              <w:rPr>
                <w:rFonts w:ascii="Arial" w:hAnsi="Arial"/>
                <w:sz w:val="18"/>
              </w:rPr>
              <w:t>Public information only</w:t>
            </w:r>
          </w:p>
        </w:tc>
        <w:tc>
          <w:tcPr>
            <w:tcW w:type="dxa" w:w="2592"/>
            <w:vAlign w:val="top"/>
            <w:tcMar>
              <w:top w:w="80" w:type="dxa"/>
              <w:start w:w="80" w:type="dxa"/>
              <w:bottom w:w="80" w:type="dxa"/>
              <w:end w:w="80" w:type="dxa"/>
            </w:tcMar>
          </w:tcPr>
          <w:p>
            <w:pPr>
              <w:spacing w:after="0"/>
            </w:pPr>
            <w:r>
              <w:rPr>
                <w:rFonts w:ascii="Arial" w:hAnsi="Arial"/>
                <w:sz w:val="18"/>
              </w:rPr>
              <w:t>Free tier OK</w:t>
            </w:r>
          </w:p>
        </w:tc>
      </w:tr>
      <w:tr>
        <w:tc>
          <w:tcPr>
            <w:tcW w:type="dxa" w:w="2592"/>
            <w:vAlign w:val="top"/>
            <w:tcMar>
              <w:top w:w="80" w:type="dxa"/>
              <w:start w:w="80" w:type="dxa"/>
              <w:bottom w:w="80" w:type="dxa"/>
              <w:end w:w="80" w:type="dxa"/>
            </w:tcMar>
          </w:tcPr>
          <w:p>
            <w:pPr>
              <w:spacing w:after="0"/>
            </w:pPr>
            <w:r>
              <w:rPr>
                <w:rFonts w:ascii="Arial" w:hAnsi="Arial"/>
                <w:sz w:val="18"/>
              </w:rPr>
              <w:t>[TOOL 2]</w:t>
            </w:r>
          </w:p>
        </w:tc>
        <w:tc>
          <w:tcPr>
            <w:tcW w:type="dxa" w:w="2592"/>
            <w:vAlign w:val="top"/>
            <w:tcMar>
              <w:top w:w="80" w:type="dxa"/>
              <w:start w:w="80" w:type="dxa"/>
              <w:bottom w:w="80" w:type="dxa"/>
              <w:end w:w="80" w:type="dxa"/>
            </w:tcMar>
          </w:tcPr>
          <w:p>
            <w:pPr>
              <w:spacing w:after="0"/>
            </w:pPr>
            <w:r>
              <w:rPr>
                <w:rFonts w:ascii="Arial" w:hAnsi="Arial"/>
                <w:sz w:val="18"/>
              </w:rPr>
              <w:t>Code assistance</w:t>
            </w:r>
          </w:p>
        </w:tc>
        <w:tc>
          <w:tcPr>
            <w:tcW w:type="dxa" w:w="2592"/>
            <w:vAlign w:val="top"/>
            <w:tcMar>
              <w:top w:w="80" w:type="dxa"/>
              <w:start w:w="80" w:type="dxa"/>
              <w:bottom w:w="80" w:type="dxa"/>
              <w:end w:w="80" w:type="dxa"/>
            </w:tcMar>
          </w:tcPr>
          <w:p>
            <w:pPr>
              <w:spacing w:after="0"/>
            </w:pPr>
            <w:r>
              <w:rPr>
                <w:rFonts w:ascii="Arial" w:hAnsi="Arial"/>
                <w:sz w:val="18"/>
              </w:rPr>
              <w:t>Public code, no proprietary</w:t>
            </w:r>
          </w:p>
        </w:tc>
        <w:tc>
          <w:tcPr>
            <w:tcW w:type="dxa" w:w="2592"/>
            <w:vAlign w:val="top"/>
            <w:tcMar>
              <w:top w:w="80" w:type="dxa"/>
              <w:start w:w="80" w:type="dxa"/>
              <w:bottom w:w="80" w:type="dxa"/>
              <w:end w:w="80" w:type="dxa"/>
            </w:tcMar>
          </w:tcPr>
          <w:p>
            <w:pPr>
              <w:spacing w:after="0"/>
            </w:pPr>
            <w:r>
              <w:rPr>
                <w:rFonts w:ascii="Arial" w:hAnsi="Arial"/>
                <w:sz w:val="18"/>
              </w:rPr>
              <w:t>Company SSO required</w:t>
            </w:r>
          </w:p>
        </w:tc>
      </w:tr>
      <w:tr>
        <w:tc>
          <w:tcPr>
            <w:tcW w:type="dxa" w:w="2592"/>
            <w:vAlign w:val="top"/>
            <w:tcMar>
              <w:top w:w="80" w:type="dxa"/>
              <w:start w:w="80" w:type="dxa"/>
              <w:bottom w:w="80" w:type="dxa"/>
              <w:end w:w="80" w:type="dxa"/>
            </w:tcMar>
          </w:tcPr>
          <w:p>
            <w:pPr>
              <w:spacing w:after="0"/>
            </w:pPr>
            <w:r>
              <w:rPr>
                <w:rFonts w:ascii="Arial" w:hAnsi="Arial"/>
                <w:sz w:val="18"/>
              </w:rPr>
              <w:t>[TOOL 3]</w:t>
            </w:r>
          </w:p>
        </w:tc>
        <w:tc>
          <w:tcPr>
            <w:tcW w:type="dxa" w:w="2592"/>
            <w:vAlign w:val="top"/>
            <w:tcMar>
              <w:top w:w="80" w:type="dxa"/>
              <w:start w:w="80" w:type="dxa"/>
              <w:bottom w:w="80" w:type="dxa"/>
              <w:end w:w="80" w:type="dxa"/>
            </w:tcMar>
          </w:tcPr>
          <w:p>
            <w:pPr>
              <w:spacing w:after="0"/>
            </w:pPr>
            <w:r>
              <w:rPr>
                <w:rFonts w:ascii="Arial" w:hAnsi="Arial"/>
                <w:sz w:val="18"/>
              </w:rPr>
              <w:t>Meeting transcription</w:t>
            </w:r>
          </w:p>
        </w:tc>
        <w:tc>
          <w:tcPr>
            <w:tcW w:type="dxa" w:w="2592"/>
            <w:vAlign w:val="top"/>
            <w:tcMar>
              <w:top w:w="80" w:type="dxa"/>
              <w:start w:w="80" w:type="dxa"/>
              <w:bottom w:w="80" w:type="dxa"/>
              <w:end w:w="80" w:type="dxa"/>
            </w:tcMar>
          </w:tcPr>
          <w:p>
            <w:pPr>
              <w:spacing w:after="0"/>
            </w:pPr>
            <w:r>
              <w:rPr>
                <w:rFonts w:ascii="Arial" w:hAnsi="Arial"/>
                <w:sz w:val="18"/>
              </w:rPr>
              <w:t>Internal meetings</w:t>
            </w:r>
          </w:p>
        </w:tc>
        <w:tc>
          <w:tcPr>
            <w:tcW w:type="dxa" w:w="2592"/>
            <w:vAlign w:val="top"/>
            <w:tcMar>
              <w:top w:w="80" w:type="dxa"/>
              <w:start w:w="80" w:type="dxa"/>
              <w:bottom w:w="80" w:type="dxa"/>
              <w:end w:w="80" w:type="dxa"/>
            </w:tcMar>
          </w:tcPr>
          <w:p>
            <w:pPr>
              <w:spacing w:after="0"/>
            </w:pPr>
            <w:r>
              <w:rPr>
                <w:rFonts w:ascii="Arial" w:hAnsi="Arial"/>
                <w:sz w:val="18"/>
              </w:rPr>
              <w:t>Guest consent required</w:t>
            </w:r>
          </w:p>
        </w:tc>
      </w:tr>
    </w:tbl>
    <w:p/>
    <w:p>
      <w:r>
        <w:t>Requests to add a new tool should be submitted to [APPROVAL CONTACT] using the [APPROVAL PROCESS - see AI Vendor Risk Assessment].</w:t>
      </w:r>
    </w:p>
    <w:p>
      <w:pPr>
        <w:pStyle w:val="Heading2"/>
      </w:pPr>
      <w:r>
        <w:t>8. Data handling rules</w:t>
      </w:r>
    </w:p>
    <w:p>
      <w:r>
        <w:t>Use the following rules when deciding whether to paste or upload something into an AI tool:</w:t>
      </w:r>
    </w:p>
    <w:p>
      <w:r>
        <w:t>Green - generally OK in any approved tool</w:t>
      </w:r>
    </w:p>
    <w:p>
      <w:pPr>
        <w:pStyle w:val="ListBullet"/>
      </w:pPr>
      <w:r>
        <w:t>Information already published on [COMPANY NAME]'s public website</w:t>
      </w:r>
    </w:p>
    <w:p>
      <w:pPr>
        <w:pStyle w:val="ListBullet"/>
      </w:pPr>
      <w:r>
        <w:t>Generic industry information, public regulations, publicly known facts</w:t>
      </w:r>
    </w:p>
    <w:p>
      <w:r>
        <w:t>Yellow - only in tools approved for internal use</w:t>
      </w:r>
    </w:p>
    <w:p>
      <w:pPr>
        <w:pStyle w:val="ListBullet"/>
      </w:pPr>
      <w:r>
        <w:t>Internal memos, draft strategies, organizational plans</w:t>
      </w:r>
    </w:p>
    <w:p>
      <w:pPr>
        <w:pStyle w:val="ListBullet"/>
      </w:pPr>
      <w:r>
        <w:t>Non-sensitive business documents</w:t>
      </w:r>
    </w:p>
    <w:p>
      <w:pPr>
        <w:pStyle w:val="ListBullet"/>
      </w:pPr>
      <w:r>
        <w:t>Anonymized, aggregated data</w:t>
      </w:r>
    </w:p>
    <w:p>
      <w:r>
        <w:t>Red - never paste into any AI tool unless that specific tool has been explicitly approved for this data class</w:t>
      </w:r>
    </w:p>
    <w:p>
      <w:pPr>
        <w:pStyle w:val="ListBullet"/>
      </w:pPr>
      <w:r>
        <w:t>Customer names, emails, phone numbers, addresses, or other personal data</w:t>
      </w:r>
    </w:p>
    <w:p>
      <w:pPr>
        <w:pStyle w:val="ListBullet"/>
      </w:pPr>
      <w:r>
        <w:t>Employee records, payroll, benefits, or HR information</w:t>
      </w:r>
    </w:p>
    <w:p>
      <w:pPr>
        <w:pStyle w:val="ListBullet"/>
      </w:pPr>
      <w:r>
        <w:t>Health, financial, or biometric data</w:t>
      </w:r>
    </w:p>
    <w:p>
      <w:pPr>
        <w:pStyle w:val="ListBullet"/>
      </w:pPr>
      <w:r>
        <w:t>Source code containing proprietary logic</w:t>
      </w:r>
    </w:p>
    <w:p>
      <w:pPr>
        <w:pStyle w:val="ListBullet"/>
      </w:pPr>
      <w:r>
        <w:t>Contracts, pricing, or any information subject to a confidentiality obligation</w:t>
      </w:r>
    </w:p>
    <w:p>
      <w:pPr>
        <w:pStyle w:val="ListBullet"/>
      </w:pPr>
      <w:r>
        <w:t>Trade secrets</w:t>
      </w:r>
    </w:p>
    <w:p>
      <w:r>
        <w:t>When in doubt, ask [POLICY OWNER] or [IT OWNER] before pasting.</w:t>
      </w:r>
    </w:p>
    <w:p>
      <w:pPr>
        <w:pStyle w:val="Heading2"/>
      </w:pPr>
      <w:r>
        <w:t>9. Disclosure and consent</w:t>
      </w:r>
    </w:p>
    <w:p>
      <w:pPr>
        <w:pStyle w:val="ListBullet"/>
      </w:pPr>
      <w:r>
        <w:t>Meeting transcription. Before recording or transcribing a meeting with an AI tool, announce it and give attendees a chance to object. If any attendee objects, do not record. This applies whether the meeting is internal or external.</w:t>
      </w:r>
    </w:p>
    <w:p>
      <w:pPr>
        <w:pStyle w:val="ListBullet"/>
      </w:pPr>
      <w:r>
        <w:t>Customer communications. When a customer is interacting with an AI system (chatbot, automated email, synthetic voice), they must be told clearly. Use the standard disclosure language from [CUSTOMER AI DISCLOSURE TEMPLATES].</w:t>
      </w:r>
    </w:p>
    <w:p>
      <w:pPr>
        <w:pStyle w:val="ListBullet"/>
      </w:pPr>
      <w:r>
        <w:t>Hiring and HR. Candidates and employees must be told when AI is materially involved in decisions about them, as required by applicable law (including Colorado SB 26-189 where covered ADMT is involved, Illinois AIVIA, NYC Local Law 144, and the EU AI Act).</w:t>
      </w:r>
    </w:p>
    <w:p>
      <w:pPr>
        <w:pStyle w:val="ListBullet"/>
      </w:pPr>
      <w:r>
        <w:t>Public content. When AI meaningfully authored or generated public-facing content in a context where authorship matters (editorials, official statements, creative work), disclose that AI was used.</w:t>
      </w:r>
    </w:p>
    <w:p>
      <w:pPr>
        <w:pStyle w:val="Heading2"/>
      </w:pPr>
      <w:r>
        <w:t>10. Review and quality obligations</w:t>
      </w:r>
    </w:p>
    <w:p>
      <w:r>
        <w:t>The person who submits, sends, or publishes AI-assisted work is responsible for its accuracy.</w:t>
      </w:r>
    </w:p>
    <w:p>
      <w:r>
        <w:t>Before relying on AI output, verify:</w:t>
      </w:r>
    </w:p>
    <w:p>
      <w:pPr>
        <w:pStyle w:val="ListBullet"/>
      </w:pPr>
      <w:r>
        <w:t>Factual claims, especially names, numbers, dates, citations, and quotes</w:t>
      </w:r>
    </w:p>
    <w:p>
      <w:pPr>
        <w:pStyle w:val="ListBullet"/>
      </w:pPr>
      <w:r>
        <w:t>Legal and regulatory assertions</w:t>
      </w:r>
    </w:p>
    <w:p>
      <w:pPr>
        <w:pStyle w:val="ListBullet"/>
      </w:pPr>
      <w:r>
        <w:t>Source links (AI tools routinely invent plausible-looking URLs)</w:t>
      </w:r>
    </w:p>
    <w:p>
      <w:pPr>
        <w:pStyle w:val="ListBullet"/>
      </w:pPr>
      <w:r>
        <w:t>Code (run and test it - don't ship untested code)</w:t>
      </w:r>
    </w:p>
    <w:p>
      <w:pPr>
        <w:pStyle w:val="ListBullet"/>
      </w:pPr>
      <w:r>
        <w:t>Tone and cultural appropriateness</w:t>
      </w:r>
    </w:p>
    <w:p>
      <w:r>
        <w:t>If you find errors in an AI output that you have already sent or published, correct them promptly and notify [POLICY OWNER].</w:t>
      </w:r>
    </w:p>
    <w:p>
      <w:pPr>
        <w:pStyle w:val="Heading2"/>
      </w:pPr>
      <w:r>
        <w:t>11. Roles and responsibilities</w:t>
      </w:r>
    </w:p>
    <w:p>
      <w:pPr>
        <w:pStyle w:val="ListBullet"/>
      </w:pPr>
      <w:r>
        <w:t>Every employee - Follow this policy. Ask when unsure. Report concerns.</w:t>
      </w:r>
    </w:p>
    <w:p>
      <w:pPr>
        <w:pStyle w:val="ListBullet"/>
      </w:pPr>
      <w:r>
        <w:t>Managers - Ensure your team understands this policy and applies it in their work. Address misuse.</w:t>
      </w:r>
    </w:p>
    <w:p>
      <w:pPr>
        <w:pStyle w:val="ListBullet"/>
      </w:pPr>
      <w:r>
        <w:t>[POLICY OWNER] - Owns this policy. Approves updates. Fields questions.</w:t>
      </w:r>
    </w:p>
    <w:p>
      <w:pPr>
        <w:pStyle w:val="ListBullet"/>
      </w:pPr>
      <w:r>
        <w:t>[IT OWNER] - Maintains the approved tools list. Handles tool vetting. Monitors for unapproved tool usage where possible.</w:t>
      </w:r>
    </w:p>
    <w:p>
      <w:pPr>
        <w:pStyle w:val="ListBullet"/>
      </w:pPr>
      <w:r>
        <w:t>[HR OWNER] - Handles acknowledgments, training, and disciplinary matters arising under this policy.</w:t>
      </w:r>
    </w:p>
    <w:p>
      <w:pPr>
        <w:pStyle w:val="ListBullet"/>
      </w:pPr>
      <w:r>
        <w:t>[LEGAL CONTACT] - Advises on jurisdictional issues, contractual restrictions, and disclosure obligations.</w:t>
      </w:r>
    </w:p>
    <w:p>
      <w:pPr>
        <w:pStyle w:val="Heading2"/>
      </w:pPr>
      <w:r>
        <w:t>12. Training</w:t>
      </w:r>
    </w:p>
    <w:p>
      <w:r>
        <w:t>All new hires must read this policy and sign the acknowledgment within [14] days of start date. All employees must re-acknowledge annually and whenever the policy is materially updated.</w:t>
      </w:r>
    </w:p>
    <w:p>
      <w:r>
        <w:t>[COMPANY NAME] will provide a short training ([30] minutes, recorded) covering:</w:t>
      </w:r>
    </w:p>
    <w:p>
      <w:pPr>
        <w:pStyle w:val="ListBullet"/>
      </w:pPr>
      <w:r>
        <w:t>What AI tools are on the approved list and what each is for</w:t>
      </w:r>
    </w:p>
    <w:p>
      <w:pPr>
        <w:pStyle w:val="ListBullet"/>
      </w:pPr>
      <w:r>
        <w:t>The green/yellow/red data rules</w:t>
      </w:r>
    </w:p>
    <w:p>
      <w:pPr>
        <w:pStyle w:val="ListBullet"/>
      </w:pPr>
      <w:r>
        <w:t>How to request approval for a new tool</w:t>
      </w:r>
    </w:p>
    <w:p>
      <w:pPr>
        <w:pStyle w:val="ListBullet"/>
      </w:pPr>
      <w:r>
        <w:t>How to raise concerns</w:t>
      </w:r>
    </w:p>
    <w:p>
      <w:pPr>
        <w:pStyle w:val="Heading2"/>
      </w:pPr>
      <w:r>
        <w:t>13. Monitoring</w:t>
      </w:r>
    </w:p>
    <w:p>
      <w:r>
        <w:t>[COMPANY NAME] may monitor use of company devices, networks, and accounts to enforce this policy, consistent with applicable privacy law and our [PRIVACY NOTICE TO EMPLOYEES]. Employees should not expect privacy in company-owned systems.</w:t>
      </w:r>
    </w:p>
    <w:p>
      <w:pPr>
        <w:pStyle w:val="Heading2"/>
      </w:pPr>
      <w:r>
        <w:t>14. Violations</w:t>
      </w:r>
    </w:p>
    <w:p>
      <w:r>
        <w:t>Violations of this policy may result in:</w:t>
      </w:r>
    </w:p>
    <w:p>
      <w:pPr>
        <w:pStyle w:val="ListBullet"/>
      </w:pPr>
      <w:r>
        <w:t>Verbal or written warning</w:t>
      </w:r>
    </w:p>
    <w:p>
      <w:pPr>
        <w:pStyle w:val="ListBullet"/>
      </w:pPr>
      <w:r>
        <w:t>Revocation of AI tool access</w:t>
      </w:r>
    </w:p>
    <w:p>
      <w:pPr>
        <w:pStyle w:val="ListBullet"/>
      </w:pPr>
      <w:r>
        <w:t>Formal disciplinary action up to and including termination</w:t>
      </w:r>
    </w:p>
    <w:p>
      <w:pPr>
        <w:pStyle w:val="ListBullet"/>
      </w:pPr>
      <w:r>
        <w:t>For contractors: termination of engagement</w:t>
      </w:r>
    </w:p>
    <w:p>
      <w:pPr>
        <w:pStyle w:val="ListBullet"/>
      </w:pPr>
      <w:r>
        <w:t>For material violations: referral to law enforcement or regulators where required by law</w:t>
      </w:r>
    </w:p>
    <w:p>
      <w:r>
        <w:t>Accidental mistakes reported promptly and in good faith will be handled more leniently than concealed or repeated violations.</w:t>
      </w:r>
    </w:p>
    <w:p>
      <w:pPr>
        <w:pStyle w:val="Heading2"/>
      </w:pPr>
      <w:r>
        <w:t>15. Questions and concerns</w:t>
      </w:r>
    </w:p>
    <w:p>
      <w:r>
        <w:t>Direct questions to [POLICY OWNER] at [EMAIL].</w:t>
      </w:r>
    </w:p>
    <w:p>
      <w:r>
        <w:t>Report suspected violations or unsafe AI behavior to [REPORTING CHANNEL - e.g., compliance@company.com, anonymous ethics hotline].</w:t>
      </w:r>
    </w:p>
    <w:p>
      <w:pPr>
        <w:pStyle w:val="Heading2"/>
      </w:pPr>
      <w:r>
        <w:t>16. Review cycle</w:t>
      </w:r>
    </w:p>
    <w:p>
      <w:r>
        <w:t>This policy will be reviewed at least annually and whenever:</w:t>
      </w:r>
    </w:p>
    <w:p>
      <w:pPr>
        <w:pStyle w:val="ListBullet"/>
      </w:pPr>
      <w:r>
        <w:t>A new AI-related law or regulation applies to [COMPANY NAME]</w:t>
      </w:r>
    </w:p>
    <w:p>
      <w:pPr>
        <w:pStyle w:val="ListBullet"/>
      </w:pPr>
      <w:r>
        <w:t>[COMPANY NAME] adopts a materially new AI tool or use case</w:t>
      </w:r>
    </w:p>
    <w:p>
      <w:pPr>
        <w:pStyle w:val="ListBullet"/>
      </w:pPr>
      <w:r>
        <w:t>An incident reveals a gap in the policy</w:t>
      </w:r>
    </w:p>
    <w:p>
      <w:pPr>
        <w:spacing w:before="60" w:after="60"/>
      </w:pPr>
      <w:r/>
    </w:p>
    <w:p>
      <w:pPr>
        <w:pStyle w:val="Heading2"/>
      </w:pPr>
      <w:r>
        <w:t>Disclaimer</w:t>
      </w:r>
    </w:p>
    <w:p>
      <w:r>
        <w:t>This document is a template for educational and informational purposes only. It is not legal advice and does not create an attorney-client relationship. Laws vary by jurisdiction and change often. Consult qualified legal counsel before adopting any policy for your organization.</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AI Acceptable Use Policy | Educational template only - not legal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