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Update Tracker</w:t>
      </w:r>
    </w:p>
    <w:p>
      <w:r>
        <w:t xml:space="preserve">System: </w:t>
      </w:r>
    </w:p>
    <w:p>
      <w:r>
        <w:t xml:space="preserve">Business owner: </w:t>
      </w:r>
    </w:p>
    <w:p>
      <w:r>
        <w:t xml:space="preserve">Technical owner: </w:t>
      </w:r>
    </w:p>
    <w:p>
      <w:r>
        <w:t xml:space="preserve">Log owner: </w:t>
      </w:r>
    </w:p>
    <w:p>
      <w:r>
        <w:t>Retention: life of system + [3] years</w:t>
      </w:r>
    </w:p>
    <w:p>
      <w:pPr>
        <w:spacing w:before="60"/>
        <w:ind w:left="360"/>
      </w:pPr>
      <w:r>
        <w:rPr>
          <w:rFonts w:ascii="Arial" w:hAnsi="Arial"/>
          <w:i/>
        </w:rPr>
        <w:t>How to use this tracker. Every material change to an AI system, vendor tool, prompt, model, integration, or policy gets a log entry. Use alongside the AI Change Management Process. The log supports audits, regulator inquiries (EU AI Act Annex IV requires change history), and internal governance.</w:t>
      </w:r>
    </w:p>
    <w:p>
      <w:pPr>
        <w:spacing w:before="60" w:after="60"/>
      </w:pPr>
      <w:r/>
    </w:p>
    <w:p>
      <w:pPr>
        <w:pStyle w:val="Heading2"/>
      </w:pPr>
      <w:r>
        <w:t>Log format</w:t>
      </w:r>
    </w:p>
    <w:p>
      <w:r>
        <w:t>Each entry captures: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7E5F8"/>
          <w:left w:val="single" w:sz="4" w:space="0" w:color="D7E5F8"/>
          <w:bottom w:val="single" w:sz="4" w:space="0" w:color="D7E5F8"/>
          <w:right w:val="single" w:sz="4" w:space="0" w:color="D7E5F8"/>
          <w:insideH w:val="single" w:sz="4" w:space="0" w:color="D7E5F8"/>
          <w:insideV w:val="single" w:sz="4" w:space="0" w:color="D7E5F8"/>
        </w:tblBorders>
      </w:tblPr>
      <w:tblGrid>
        <w:gridCol w:w="5184"/>
        <w:gridCol w:w="5184"/>
      </w:tblGrid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Field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Description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Entry ID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Sequential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Date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When the change was made (or scheduled)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Version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New version of the system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Previous version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Version before this change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Change class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Minor / Moderate / Material / Emergency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Summary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One-sentence description of the change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Components changed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Model / prompt / data / tool / guardrail / integration / infra / UX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Reason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Why the change was made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Expected impact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Plain language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Pre-deployment tests performed (functional, performance, bias, red-team)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Approver(s)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Who approved (per Change Management)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Deployed by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Who executed the change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Rollout strategy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Full / canary / region-by-region / user-by-user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Rollback plan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Yes/No; method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Post-deploy check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What's monitored; result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User / customer notice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Yes/No; link to notice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Regulatory records updated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EU database / Colorado ADMT records / other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Linked documents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Impact Assessment / Model Card / Incident records / tickets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Author of log entry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Name</w:t>
            </w:r>
          </w:p>
        </w:tc>
      </w:tr>
    </w:tbl>
    <w:p/>
    <w:p>
      <w:pPr>
        <w:spacing w:before="60" w:after="60"/>
      </w:pPr>
      <w:r/>
    </w:p>
    <w:p>
      <w:pPr>
        <w:pStyle w:val="Heading2"/>
      </w:pPr>
      <w:r>
        <w:t>Example entries</w:t>
      </w:r>
    </w:p>
    <w:p>
      <w:pPr>
        <w:pStyle w:val="Heading3"/>
      </w:pPr>
      <w:r>
        <w:t>Entry #23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7E5F8"/>
          <w:left w:val="single" w:sz="4" w:space="0" w:color="D7E5F8"/>
          <w:bottom w:val="single" w:sz="4" w:space="0" w:color="D7E5F8"/>
          <w:right w:val="single" w:sz="4" w:space="0" w:color="D7E5F8"/>
          <w:insideH w:val="single" w:sz="4" w:space="0" w:color="D7E5F8"/>
          <w:insideV w:val="single" w:sz="4" w:space="0" w:color="D7E5F8"/>
        </w:tblBorders>
      </w:tblPr>
      <w:tblGrid>
        <w:gridCol w:w="5184"/>
        <w:gridCol w:w="5184"/>
      </w:tblGrid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Field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Value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Date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2026-04-17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Version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v2.4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Previous version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v2.3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Change class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Moderate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Summary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Updated system prompt to handle price inquiries more accurately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Components changed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System prompt (support-chatbot)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Reason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Customer complaints about wrong pricing info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Expected impact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Fewer pricing errors; slightly longer responses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Functional test suite passed; price-query regression set added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Approver(s)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AI Governance Lead (async)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Deployed by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Engineering - Jane S.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Rollout strategy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Canary 10% -&gt; 50% -&gt; 100% over 3 days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Rollback plan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Revert prompt to v2.3; tested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Post-deploy check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Price-error rate dropped 60% in first 72h; no regressions detected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User / customer notice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Not required (quality improvement)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Regulatory records updated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No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Linked documents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Impact Assessment v1.5; ticket PROD-4821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Author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Jane S.</w:t>
            </w:r>
          </w:p>
        </w:tc>
      </w:tr>
    </w:tbl>
    <w:p/>
    <w:p>
      <w:pPr>
        <w:pStyle w:val="Heading3"/>
      </w:pPr>
      <w:r>
        <w:t>Entry #24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7E5F8"/>
          <w:left w:val="single" w:sz="4" w:space="0" w:color="D7E5F8"/>
          <w:bottom w:val="single" w:sz="4" w:space="0" w:color="D7E5F8"/>
          <w:right w:val="single" w:sz="4" w:space="0" w:color="D7E5F8"/>
          <w:insideH w:val="single" w:sz="4" w:space="0" w:color="D7E5F8"/>
          <w:insideV w:val="single" w:sz="4" w:space="0" w:color="D7E5F8"/>
        </w:tblBorders>
      </w:tblPr>
      <w:tblGrid>
        <w:gridCol w:w="5184"/>
        <w:gridCol w:w="5184"/>
      </w:tblGrid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Field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Value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Date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2026-04-25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Version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v3.0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Previous version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v2.4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Change class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Material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Summary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Model upgrade from claude-sonnet-4-5 to claude-sonnet-4-6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Components changed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Foundation model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Reason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Vendor announced deprecation of prior model; new version offers improved accuracy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Expected impact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Behavior shifts in ambiguous queries; some tone changes; lower latency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Full functional regression; bias regression (no subgroup change); red-team round (no new issues); performance benchmarking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Approver(s)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AI Review Committee (meeting 2026-04-22); Executive Sponsor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Deployed by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Engineering - Platform team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Rollout strategy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Canary 5% -&gt; 25% -&gt; 100% over 10 days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Rollback plan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Prior model remains available for 90 days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Post-deploy check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No behavior regressions at 72h; customer-support ticket volume stable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User / customer notice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Enterprise customers notified 14 days in advance; no individual-customer-facing UX changes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Regulatory records updated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No (system not registered in EU database; Colorado ADMT records unchanged)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Linked documents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Impact Assessment v2.0; Model Card v2.4 -&gt; v3.0; red-team report 2026-04-15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Author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Platform Lead</w:t>
            </w:r>
          </w:p>
        </w:tc>
      </w:tr>
    </w:tbl>
    <w:p/>
    <w:p>
      <w:pPr>
        <w:pStyle w:val="Heading3"/>
      </w:pPr>
      <w:r>
        <w:t>Entry #25 (Emergency)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7E5F8"/>
          <w:left w:val="single" w:sz="4" w:space="0" w:color="D7E5F8"/>
          <w:bottom w:val="single" w:sz="4" w:space="0" w:color="D7E5F8"/>
          <w:right w:val="single" w:sz="4" w:space="0" w:color="D7E5F8"/>
          <w:insideH w:val="single" w:sz="4" w:space="0" w:color="D7E5F8"/>
          <w:insideV w:val="single" w:sz="4" w:space="0" w:color="D7E5F8"/>
        </w:tblBorders>
      </w:tblPr>
      <w:tblGrid>
        <w:gridCol w:w="5184"/>
        <w:gridCol w:w="5184"/>
      </w:tblGrid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Field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Value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Date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2026-05-02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Version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v3.0.1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Previous version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v3.0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Change class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Emergency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Summary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Urgent prompt patch to mitigate prompt-injection issue discovered in red-team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Components changed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System prompt; content filter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Reason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Researcher-reported vulnerability; exploitable within one session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Expected impact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Blocks injection vector; minor reduction in output flexibility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Targeted test on reported exploit; regression on primary use cases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Approver(s)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AI Governance Lead + Executive Sponsor (phone); full Committee post-hoc within 5 days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Deployed by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Security Lead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Rollout strategy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Full immediate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Rollback plan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Prior version preserved; monitoring for unintended effects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Post-deploy check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Exploit blocked; no new issues at 48h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User / customer notice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Internal only; enterprise customers notified via support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Regulatory records updated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Security incident log updated; no external filings required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Linked documents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Incident record INC-2026-05-02; red-team ticket RT-447</w:t>
            </w:r>
          </w:p>
        </w:tc>
      </w:tr>
      <w:tr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Author</w:t>
            </w:r>
          </w:p>
        </w:tc>
        <w:tc>
          <w:tcPr>
            <w:tcW w:type="dxa" w:w="518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Security Lead</w:t>
            </w:r>
          </w:p>
        </w:tc>
      </w:tr>
    </w:tbl>
    <w:p/>
    <w:p>
      <w:pPr>
        <w:spacing w:before="60" w:after="60"/>
      </w:pPr>
      <w:r/>
    </w:p>
    <w:p>
      <w:pPr>
        <w:pStyle w:val="Heading2"/>
      </w:pPr>
      <w:r>
        <w:t>Review</w:t>
      </w:r>
    </w:p>
    <w:p>
      <w:pPr>
        <w:pStyle w:val="ListBullet"/>
      </w:pPr>
      <w:r>
        <w:t>Monthly: business owner reviews log; spot-checks entries</w:t>
      </w:r>
    </w:p>
    <w:p>
      <w:pPr>
        <w:pStyle w:val="ListBullet"/>
      </w:pPr>
      <w:r>
        <w:t>Quarterly: AI Governance Lead reviews logs across systems for patterns</w:t>
      </w:r>
    </w:p>
    <w:p>
      <w:pPr>
        <w:pStyle w:val="ListBullet"/>
      </w:pPr>
      <w:r>
        <w:t>Annually: sample audit for completeness and accuracy</w:t>
      </w:r>
    </w:p>
    <w:p>
      <w:pPr>
        <w:pStyle w:val="ListBullet"/>
      </w:pPr>
      <w:r>
        <w:t>On regulator inquiry: retrieve relevant entries</w:t>
      </w:r>
    </w:p>
    <w:p>
      <w:pPr>
        <w:pStyle w:val="Heading2"/>
      </w:pPr>
      <w:r>
        <w:t>Preservation</w:t>
      </w:r>
    </w:p>
    <w:p>
      <w:pPr>
        <w:pStyle w:val="ListBullet"/>
      </w:pPr>
      <w:r>
        <w:t>Don't delete entries; correct with a new entry if needed</w:t>
      </w:r>
    </w:p>
    <w:p>
      <w:pPr>
        <w:pStyle w:val="ListBullet"/>
      </w:pPr>
      <w:r>
        <w:t>Archive with the system when retired (see Retirement Checklist)</w:t>
      </w:r>
    </w:p>
    <w:p>
      <w:pPr>
        <w:pStyle w:val="ListBullet"/>
      </w:pPr>
      <w:r>
        <w:t>Retention aligns with sector rules and the longer of: operational need, EU AI Act 10-year (for high-risk), sector-specific retention, or 3 years minimum</w:t>
      </w:r>
    </w:p>
    <w:p>
      <w:pPr>
        <w:pStyle w:val="Heading2"/>
      </w:pPr>
      <w:r>
        <w:t>Disclaimer</w:t>
      </w:r>
    </w:p>
    <w:p>
      <w:r>
        <w:t>This document is a template for educational and informational purposes only. It is not legal advice and does not create an attorney-client relationship. Do not treat it as a compliance guarantee. Consult qualified legal counsel before relying on this template for legal compliance or regulated use cases.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AI Update Tracker | Educational template only - not legal advice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