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Risk Tiering Decision Tree</w:t>
      </w:r>
    </w:p>
    <w:p>
      <w:r>
        <w:t>Company: [COMPANY NAME]</w:t>
      </w:r>
    </w:p>
    <w:p>
      <w:r>
        <w:t>Tiering owner: [AI GOVERNANCE LEAD]</w:t>
      </w:r>
    </w:p>
    <w:p>
      <w:r>
        <w:t xml:space="preserve">Date: </w:t>
      </w:r>
    </w:p>
    <w:p>
      <w:r>
        <w:t>Related record: AI Risk Intake and Impact Assessment</w:t>
      </w:r>
    </w:p>
    <w:p>
      <w:pPr>
        <w:spacing w:before="60"/>
        <w:ind w:left="360"/>
      </w:pPr>
      <w:r>
        <w:rPr>
          <w:rFonts w:ascii="Arial" w:hAnsi="Arial"/>
          <w:i/>
        </w:rPr>
        <w:t>How to use. Use this decision tree before approving a new AI tool, workflow, or material change. Answer the questions in order. Stop at the first tier that applies. If you are unsure between tiers, choose the higher tier and document why.</w:t>
      </w:r>
    </w:p>
    <w:p>
      <w:pPr>
        <w:spacing w:before="60" w:after="60"/>
      </w:pPr>
      <w:r/>
    </w:p>
    <w:p>
      <w:pPr>
        <w:pStyle w:val="Heading2"/>
      </w:pPr>
      <w:r>
        <w:t>Tier labels</w:t>
      </w:r>
    </w:p>
    <w:tbl>
      <w:tblPr>
        <w:tblW w:type="auto" w:w="0"/>
        <w:jc w:val="center"/>
        <w:tblLayout w:type="autofit"/>
        <w:tblLook w:firstColumn="1" w:firstRow="1" w:lastColumn="0" w:lastRow="0" w:noHBand="0" w:noVBand="1" w:val="04A0"/>
        <w:tblBorders>
          <w:top w:val="single" w:sz="4" w:space="0" w:color="D7E5F8"/>
          <w:left w:val="single" w:sz="4" w:space="0" w:color="D7E5F8"/>
          <w:bottom w:val="single" w:sz="4" w:space="0" w:color="D7E5F8"/>
          <w:right w:val="single" w:sz="4" w:space="0" w:color="D7E5F8"/>
          <w:insideH w:val="single" w:sz="4" w:space="0" w:color="D7E5F8"/>
          <w:insideV w:val="single" w:sz="4" w:space="0" w:color="D7E5F8"/>
        </w:tblBorders>
      </w:tblPr>
      <w:tblGrid>
        <w:gridCol w:w="3456"/>
        <w:gridCol w:w="3456"/>
        <w:gridCol w:w="3456"/>
      </w:tblGrid>
      <w:tr>
        <w:tc>
          <w:tcPr>
            <w:tcW w:type="dxa" w:w="3456"/>
            <w:vAlign w:val="top"/>
            <w:tcMar>
              <w:top w:w="80" w:type="dxa"/>
              <w:start w:w="80" w:type="dxa"/>
              <w:bottom w:w="80" w:type="dxa"/>
              <w:end w:w="80" w:type="dxa"/>
            </w:tcMar>
            <w:shd w:fill="EAF4FF"/>
          </w:tcPr>
          <w:p>
            <w:pPr>
              <w:spacing w:after="0"/>
            </w:pPr>
            <w:r>
              <w:rPr>
                <w:rFonts w:ascii="Arial" w:hAnsi="Arial"/>
                <w:b/>
                <w:sz w:val="18"/>
              </w:rPr>
              <w:t>Tier</w:t>
            </w:r>
          </w:p>
        </w:tc>
        <w:tc>
          <w:tcPr>
            <w:tcW w:type="dxa" w:w="3456"/>
            <w:vAlign w:val="top"/>
            <w:tcMar>
              <w:top w:w="80" w:type="dxa"/>
              <w:start w:w="80" w:type="dxa"/>
              <w:bottom w:w="80" w:type="dxa"/>
              <w:end w:w="80" w:type="dxa"/>
            </w:tcMar>
            <w:shd w:fill="EAF4FF"/>
          </w:tcPr>
          <w:p>
            <w:pPr>
              <w:spacing w:after="0"/>
            </w:pPr>
            <w:r>
              <w:rPr>
                <w:rFonts w:ascii="Arial" w:hAnsi="Arial"/>
                <w:b/>
                <w:sz w:val="18"/>
              </w:rPr>
              <w:t>Plain-English meaning</w:t>
            </w:r>
          </w:p>
        </w:tc>
        <w:tc>
          <w:tcPr>
            <w:tcW w:type="dxa" w:w="3456"/>
            <w:vAlign w:val="top"/>
            <w:tcMar>
              <w:top w:w="80" w:type="dxa"/>
              <w:start w:w="80" w:type="dxa"/>
              <w:bottom w:w="80" w:type="dxa"/>
              <w:end w:w="80" w:type="dxa"/>
            </w:tcMar>
            <w:shd w:fill="EAF4FF"/>
          </w:tcPr>
          <w:p>
            <w:pPr>
              <w:spacing w:after="0"/>
            </w:pPr>
            <w:r>
              <w:rPr>
                <w:rFonts w:ascii="Arial" w:hAnsi="Arial"/>
                <w:b/>
                <w:sz w:val="18"/>
              </w:rPr>
              <w:t>Typical review path</w:t>
            </w:r>
          </w:p>
        </w:tc>
      </w:tr>
      <w:tr>
        <w:tc>
          <w:tcPr>
            <w:tcW w:type="dxa" w:w="3456"/>
            <w:vAlign w:val="top"/>
            <w:tcMar>
              <w:top w:w="80" w:type="dxa"/>
              <w:start w:w="80" w:type="dxa"/>
              <w:bottom w:w="80" w:type="dxa"/>
              <w:end w:w="80" w:type="dxa"/>
            </w:tcMar>
          </w:tcPr>
          <w:p>
            <w:pPr>
              <w:spacing w:after="0"/>
            </w:pPr>
            <w:r>
              <w:rPr>
                <w:rFonts w:ascii="Arial" w:hAnsi="Arial"/>
                <w:sz w:val="18"/>
              </w:rPr>
              <w:t>Tier 1 - Low</w:t>
            </w:r>
          </w:p>
        </w:tc>
        <w:tc>
          <w:tcPr>
            <w:tcW w:type="dxa" w:w="3456"/>
            <w:vAlign w:val="top"/>
            <w:tcMar>
              <w:top w:w="80" w:type="dxa"/>
              <w:start w:w="80" w:type="dxa"/>
              <w:bottom w:w="80" w:type="dxa"/>
              <w:end w:w="80" w:type="dxa"/>
            </w:tcMar>
          </w:tcPr>
          <w:p>
            <w:pPr>
              <w:spacing w:after="0"/>
            </w:pPr>
            <w:r>
              <w:rPr>
                <w:rFonts w:ascii="Arial" w:hAnsi="Arial"/>
                <w:sz w:val="18"/>
              </w:rPr>
              <w:t>Internal productivity or public-data use with limited downside</w:t>
            </w:r>
          </w:p>
        </w:tc>
        <w:tc>
          <w:tcPr>
            <w:tcW w:type="dxa" w:w="3456"/>
            <w:vAlign w:val="top"/>
            <w:tcMar>
              <w:top w:w="80" w:type="dxa"/>
              <w:start w:w="80" w:type="dxa"/>
              <w:bottom w:w="80" w:type="dxa"/>
              <w:end w:w="80" w:type="dxa"/>
            </w:tcMar>
          </w:tcPr>
          <w:p>
            <w:pPr>
              <w:spacing w:after="0"/>
            </w:pPr>
            <w:r>
              <w:rPr>
                <w:rFonts w:ascii="Arial" w:hAnsi="Arial"/>
                <w:sz w:val="18"/>
              </w:rPr>
              <w:t>Inventory entry, approved-tool rules, annual spot check</w:t>
            </w:r>
          </w:p>
        </w:tc>
      </w:tr>
      <w:tr>
        <w:tc>
          <w:tcPr>
            <w:tcW w:type="dxa" w:w="3456"/>
            <w:vAlign w:val="top"/>
            <w:tcMar>
              <w:top w:w="80" w:type="dxa"/>
              <w:start w:w="80" w:type="dxa"/>
              <w:bottom w:w="80" w:type="dxa"/>
              <w:end w:w="80" w:type="dxa"/>
            </w:tcMar>
          </w:tcPr>
          <w:p>
            <w:pPr>
              <w:spacing w:after="0"/>
            </w:pPr>
            <w:r>
              <w:rPr>
                <w:rFonts w:ascii="Arial" w:hAnsi="Arial"/>
                <w:sz w:val="18"/>
              </w:rPr>
              <w:t>Tier 2 - Medium</w:t>
            </w:r>
          </w:p>
        </w:tc>
        <w:tc>
          <w:tcPr>
            <w:tcW w:type="dxa" w:w="3456"/>
            <w:vAlign w:val="top"/>
            <w:tcMar>
              <w:top w:w="80" w:type="dxa"/>
              <w:start w:w="80" w:type="dxa"/>
              <w:bottom w:w="80" w:type="dxa"/>
              <w:end w:w="80" w:type="dxa"/>
            </w:tcMar>
          </w:tcPr>
          <w:p>
            <w:pPr>
              <w:spacing w:after="0"/>
            </w:pPr>
            <w:r>
              <w:rPr>
                <w:rFonts w:ascii="Arial" w:hAnsi="Arial"/>
                <w:sz w:val="18"/>
              </w:rPr>
              <w:t>Customer-facing, confidential, external, or operationally meaningful use</w:t>
            </w:r>
          </w:p>
        </w:tc>
        <w:tc>
          <w:tcPr>
            <w:tcW w:type="dxa" w:w="3456"/>
            <w:vAlign w:val="top"/>
            <w:tcMar>
              <w:top w:w="80" w:type="dxa"/>
              <w:start w:w="80" w:type="dxa"/>
              <w:bottom w:w="80" w:type="dxa"/>
              <w:end w:w="80" w:type="dxa"/>
            </w:tcMar>
          </w:tcPr>
          <w:p>
            <w:pPr>
              <w:spacing w:after="0"/>
            </w:pPr>
            <w:r>
              <w:rPr>
                <w:rFonts w:ascii="Arial" w:hAnsi="Arial"/>
                <w:sz w:val="18"/>
              </w:rPr>
              <w:t>Inventory entry, light impact assessment, human review, annual review</w:t>
            </w:r>
          </w:p>
        </w:tc>
      </w:tr>
      <w:tr>
        <w:tc>
          <w:tcPr>
            <w:tcW w:type="dxa" w:w="3456"/>
            <w:vAlign w:val="top"/>
            <w:tcMar>
              <w:top w:w="80" w:type="dxa"/>
              <w:start w:w="80" w:type="dxa"/>
              <w:bottom w:w="80" w:type="dxa"/>
              <w:end w:w="80" w:type="dxa"/>
            </w:tcMar>
          </w:tcPr>
          <w:p>
            <w:pPr>
              <w:spacing w:after="0"/>
            </w:pPr>
            <w:r>
              <w:rPr>
                <w:rFonts w:ascii="Arial" w:hAnsi="Arial"/>
                <w:sz w:val="18"/>
              </w:rPr>
              <w:t>Tier 3 - High</w:t>
            </w:r>
          </w:p>
        </w:tc>
        <w:tc>
          <w:tcPr>
            <w:tcW w:type="dxa" w:w="3456"/>
            <w:vAlign w:val="top"/>
            <w:tcMar>
              <w:top w:w="80" w:type="dxa"/>
              <w:start w:w="80" w:type="dxa"/>
              <w:bottom w:w="80" w:type="dxa"/>
              <w:end w:w="80" w:type="dxa"/>
            </w:tcMar>
          </w:tcPr>
          <w:p>
            <w:pPr>
              <w:spacing w:after="0"/>
            </w:pPr>
            <w:r>
              <w:rPr>
                <w:rFonts w:ascii="Arial" w:hAnsi="Arial"/>
                <w:sz w:val="18"/>
              </w:rPr>
              <w:t>Consequential decisions, sensitive data, biometric/synthetic media, regulated sectors, or material harm potential</w:t>
            </w:r>
          </w:p>
        </w:tc>
        <w:tc>
          <w:tcPr>
            <w:tcW w:type="dxa" w:w="3456"/>
            <w:vAlign w:val="top"/>
            <w:tcMar>
              <w:top w:w="80" w:type="dxa"/>
              <w:start w:w="80" w:type="dxa"/>
              <w:bottom w:w="80" w:type="dxa"/>
              <w:end w:w="80" w:type="dxa"/>
            </w:tcMar>
          </w:tcPr>
          <w:p>
            <w:pPr>
              <w:spacing w:after="0"/>
            </w:pPr>
            <w:r>
              <w:rPr>
                <w:rFonts w:ascii="Arial" w:hAnsi="Arial"/>
                <w:sz w:val="18"/>
              </w:rPr>
              <w:t>Full impact assessment, qualified review, documented controls, leadership approval, shorter review cycle</w:t>
            </w:r>
          </w:p>
        </w:tc>
      </w:tr>
      <w:tr>
        <w:tc>
          <w:tcPr>
            <w:tcW w:type="dxa" w:w="3456"/>
            <w:vAlign w:val="top"/>
            <w:tcMar>
              <w:top w:w="80" w:type="dxa"/>
              <w:start w:w="80" w:type="dxa"/>
              <w:bottom w:w="80" w:type="dxa"/>
              <w:end w:w="80" w:type="dxa"/>
            </w:tcMar>
          </w:tcPr>
          <w:p>
            <w:pPr>
              <w:spacing w:after="0"/>
            </w:pPr>
            <w:r>
              <w:rPr>
                <w:rFonts w:ascii="Arial" w:hAnsi="Arial"/>
                <w:sz w:val="18"/>
              </w:rPr>
              <w:t>Tier 4 - Prohibited / pause</w:t>
            </w:r>
          </w:p>
        </w:tc>
        <w:tc>
          <w:tcPr>
            <w:tcW w:type="dxa" w:w="3456"/>
            <w:vAlign w:val="top"/>
            <w:tcMar>
              <w:top w:w="80" w:type="dxa"/>
              <w:start w:w="80" w:type="dxa"/>
              <w:bottom w:w="80" w:type="dxa"/>
              <w:end w:w="80" w:type="dxa"/>
            </w:tcMar>
          </w:tcPr>
          <w:p>
            <w:pPr>
              <w:spacing w:after="0"/>
            </w:pPr>
            <w:r>
              <w:rPr>
                <w:rFonts w:ascii="Arial" w:hAnsi="Arial"/>
                <w:sz w:val="18"/>
              </w:rPr>
              <w:t>Use appears prohibited, deceptive, unlawful, or outside risk appetite</w:t>
            </w:r>
          </w:p>
        </w:tc>
        <w:tc>
          <w:tcPr>
            <w:tcW w:type="dxa" w:w="3456"/>
            <w:vAlign w:val="top"/>
            <w:tcMar>
              <w:top w:w="80" w:type="dxa"/>
              <w:start w:w="80" w:type="dxa"/>
              <w:bottom w:w="80" w:type="dxa"/>
              <w:end w:w="80" w:type="dxa"/>
            </w:tcMar>
          </w:tcPr>
          <w:p>
            <w:pPr>
              <w:spacing w:after="0"/>
            </w:pPr>
            <w:r>
              <w:rPr>
                <w:rFonts w:ascii="Arial" w:hAnsi="Arial"/>
                <w:sz w:val="18"/>
              </w:rPr>
              <w:t>Do not deploy; escalate for qualified review</w:t>
            </w:r>
          </w:p>
        </w:tc>
      </w:tr>
    </w:tbl>
    <w:p/>
    <w:p>
      <w:pPr>
        <w:spacing w:before="60" w:after="60"/>
      </w:pPr>
      <w:r/>
    </w:p>
    <w:p>
      <w:pPr>
        <w:pStyle w:val="Heading2"/>
      </w:pPr>
      <w:r>
        <w:t>Start here</w:t>
      </w:r>
    </w:p>
    <w:p>
      <w:pPr>
        <w:pStyle w:val="Heading3"/>
      </w:pPr>
      <w:r>
        <w:t>Question 1 - Is the use prohibited or clearly outside policy?</w:t>
      </w:r>
    </w:p>
    <w:p>
      <w:r>
        <w:t>Pause if the proposed use involves any of the following:</w:t>
      </w:r>
    </w:p>
    <w:p>
      <w:pPr>
        <w:pStyle w:val="ListBullet"/>
      </w:pPr>
      <w:r>
        <w:t>Social scoring of people</w:t>
      </w:r>
    </w:p>
    <w:p>
      <w:pPr>
        <w:pStyle w:val="ListBullet"/>
      </w:pPr>
      <w:r>
        <w:t>Deceptive impersonation or undisclosed synthetic media where disclosure is required</w:t>
      </w:r>
    </w:p>
    <w:p>
      <w:pPr>
        <w:pStyle w:val="ListBullet"/>
      </w:pPr>
      <w:r>
        <w:t>Emotion recognition in workplace or education contexts without a narrow approved basis</w:t>
      </w:r>
    </w:p>
    <w:p>
      <w:pPr>
        <w:pStyle w:val="ListBullet"/>
      </w:pPr>
      <w:r>
        <w:t>Biometric categorization or identification that may violate applicable law</w:t>
      </w:r>
    </w:p>
    <w:p>
      <w:pPr>
        <w:pStyle w:val="ListBullet"/>
      </w:pPr>
      <w:r>
        <w:t>Manipulation, exploitation, harassment, discrimination, or unlawful content</w:t>
      </w:r>
    </w:p>
    <w:p>
      <w:pPr>
        <w:pStyle w:val="ListBullet"/>
      </w:pPr>
      <w:r>
        <w:t>Pasting credentials, secrets, private keys, or restricted data into an unapproved AI tool</w:t>
      </w:r>
    </w:p>
    <w:p>
      <w:pPr>
        <w:pStyle w:val="ListBullet"/>
      </w:pPr>
      <w:r>
        <w:t>Any use your organization has already prohibited</w:t>
      </w:r>
    </w:p>
    <w:p>
      <w:r>
        <w:t>If yes or possibly yes: Tier 4 - do not deploy until qualified review clears the use.</w:t>
      </w:r>
    </w:p>
    <w:p>
      <w:r>
        <w:t>If no: continue to Question 2.</w:t>
      </w:r>
    </w:p>
    <w:p>
      <w:pPr>
        <w:spacing w:before="60" w:after="60"/>
      </w:pPr>
      <w:r/>
    </w:p>
    <w:p>
      <w:pPr>
        <w:pStyle w:val="Heading3"/>
      </w:pPr>
      <w:r>
        <w:t>Question 2 - Does the use affect important decisions about people?</w:t>
      </w:r>
    </w:p>
    <w:p>
      <w:r>
        <w:t>Does the AI system make, recommend, rank, score, screen, or materially inform a decision about a person in any of these areas?</w:t>
      </w:r>
    </w:p>
    <w:p>
      <w:pPr>
        <w:pStyle w:val="ListBullet"/>
      </w:pPr>
      <w:r>
        <w:t>Hiring, promotion, termination, compensation, or work assignment</w:t>
      </w:r>
    </w:p>
    <w:p>
      <w:pPr>
        <w:pStyle w:val="ListBullet"/>
      </w:pPr>
      <w:r>
        <w:t>Credit, lending, pricing, insurance, benefits, or eligibility</w:t>
      </w:r>
    </w:p>
    <w:p>
      <w:pPr>
        <w:pStyle w:val="ListBullet"/>
      </w:pPr>
      <w:r>
        <w:t>Housing, education, healthcare, legal services, government services, or essential services</w:t>
      </w:r>
    </w:p>
    <w:p>
      <w:pPr>
        <w:pStyle w:val="ListBullet"/>
      </w:pPr>
      <w:r>
        <w:t>Safety, security, discipline, access, or rights-affecting decisions</w:t>
      </w:r>
    </w:p>
    <w:p>
      <w:r>
        <w:t>If yes: Tier 3 - complete the full AI Risk Intake and Impact Assessment and route for qualified review.</w:t>
      </w:r>
    </w:p>
    <w:p>
      <w:r>
        <w:t>If no or unclear: continue to Question 3.</w:t>
      </w:r>
    </w:p>
    <w:p>
      <w:pPr>
        <w:spacing w:before="60" w:after="60"/>
      </w:pPr>
      <w:r/>
    </w:p>
    <w:p>
      <w:pPr>
        <w:pStyle w:val="Heading3"/>
      </w:pPr>
      <w:r>
        <w:t>Question 3 - Does the use involve sensitive data or regulated records?</w:t>
      </w:r>
    </w:p>
    <w:p>
      <w:r>
        <w:t>Will the tool process or infer any of the following?</w:t>
      </w:r>
    </w:p>
    <w:p>
      <w:pPr>
        <w:pStyle w:val="ListBullet"/>
      </w:pPr>
      <w:r>
        <w:t>Customer, employee, student, patient, applicant, or user personal data</w:t>
      </w:r>
    </w:p>
    <w:p>
      <w:pPr>
        <w:pStyle w:val="ListBullet"/>
      </w:pPr>
      <w:r>
        <w:t>Health, financial, biometric, children's, government ID, legal, or regulated data</w:t>
      </w:r>
    </w:p>
    <w:p>
      <w:pPr>
        <w:pStyle w:val="ListBullet"/>
      </w:pPr>
      <w:r>
        <w:t>Confidential business records, trade secrets, source code, or contract-restricted data</w:t>
      </w:r>
    </w:p>
    <w:p>
      <w:pPr>
        <w:pStyle w:val="ListBullet"/>
      </w:pPr>
      <w:r>
        <w:t>Data received under an NDA or customer contract</w:t>
      </w:r>
    </w:p>
    <w:p>
      <w:r>
        <w:t>If sensitive or regulated data is central to the use: Tier 3 unless a qualified reviewer documents a lower tier.</w:t>
      </w:r>
    </w:p>
    <w:p>
      <w:r>
        <w:t>If confidential business data is involved but not regulated: Tier 2 minimum.</w:t>
      </w:r>
    </w:p>
    <w:p>
      <w:r>
        <w:t>If only public or approved non-sensitive data is involved: continue to Question 4.</w:t>
      </w:r>
    </w:p>
    <w:p>
      <w:pPr>
        <w:spacing w:before="60" w:after="60"/>
      </w:pPr>
      <w:r/>
    </w:p>
    <w:p>
      <w:pPr>
        <w:pStyle w:val="Heading3"/>
      </w:pPr>
      <w:r>
        <w:t>Question 4 - Will output be customer-facing, public, or high visibility?</w:t>
      </w:r>
    </w:p>
    <w:p>
      <w:r>
        <w:t>Examples include customer support replies, sales outreach, marketing claims, public blog posts, website copy, product documentation, chatbot output, or generated images/audio/video.</w:t>
      </w:r>
    </w:p>
    <w:p>
      <w:r>
        <w:t>If yes: Tier 2 minimum. Use human review before external use.</w:t>
      </w:r>
    </w:p>
    <w:p>
      <w:r>
        <w:t>If the output could materially mislead, affect rights, or create legal/regulatory exposure: Tier 3.</w:t>
      </w:r>
    </w:p>
    <w:p>
      <w:r>
        <w:t>If no: continue to Question 5.</w:t>
      </w:r>
    </w:p>
    <w:p>
      <w:pPr>
        <w:spacing w:before="60" w:after="60"/>
      </w:pPr>
      <w:r/>
    </w:p>
    <w:p>
      <w:pPr>
        <w:pStyle w:val="Heading3"/>
      </w:pPr>
      <w:r>
        <w:t>Question 5 - Can the tool act on its own or connect to business systems?</w:t>
      </w:r>
    </w:p>
    <w:p>
      <w:r>
        <w:t>Will the tool connect to email, CRM, files, code repositories, databases, payment systems, production systems, calendars, ticketing systems, or other internal tools?</w:t>
      </w:r>
    </w:p>
    <w:p>
      <w:r>
        <w:t>Can it send messages, change records, create tickets, execute code, make purchases, approve requests, or trigger workflows?</w:t>
      </w:r>
    </w:p>
    <w:p>
      <w:r>
        <w:t>If yes, autonomous or production-impacting: Tier 3 unless tightly bounded and approved.</w:t>
      </w:r>
    </w:p>
    <w:p>
      <w:r>
        <w:t>If yes, read-only or low-impact integration: Tier 2 minimum.</w:t>
      </w:r>
    </w:p>
    <w:p>
      <w:r>
        <w:t>If no: continue to Question 6.</w:t>
      </w:r>
    </w:p>
    <w:p>
      <w:pPr>
        <w:spacing w:before="60" w:after="60"/>
      </w:pPr>
      <w:r/>
    </w:p>
    <w:p>
      <w:pPr>
        <w:pStyle w:val="Heading3"/>
      </w:pPr>
      <w:r>
        <w:t>Question 6 - Could a failure cause material harm?</w:t>
      </w:r>
    </w:p>
    <w:p>
      <w:r>
        <w:t>Consider whether incorrect, biased, leaked, or manipulated output could cause:</w:t>
      </w:r>
    </w:p>
    <w:p>
      <w:pPr>
        <w:pStyle w:val="ListBullet"/>
      </w:pPr>
      <w:r>
        <w:t>Meaningful harm to a person</w:t>
      </w:r>
    </w:p>
    <w:p>
      <w:pPr>
        <w:pStyle w:val="ListBullet"/>
      </w:pPr>
      <w:r>
        <w:t>Customer loss, complaint, or reputational damage</w:t>
      </w:r>
    </w:p>
    <w:p>
      <w:pPr>
        <w:pStyle w:val="ListBullet"/>
      </w:pPr>
      <w:r>
        <w:t>Financial loss above [THRESHOLD]</w:t>
      </w:r>
    </w:p>
    <w:p>
      <w:pPr>
        <w:pStyle w:val="ListBullet"/>
      </w:pPr>
      <w:r>
        <w:t>Security incident or privacy incident</w:t>
      </w:r>
    </w:p>
    <w:p>
      <w:pPr>
        <w:pStyle w:val="ListBullet"/>
      </w:pPr>
      <w:r>
        <w:t>Contract breach or regulatory notification</w:t>
      </w:r>
    </w:p>
    <w:p>
      <w:pPr>
        <w:pStyle w:val="ListBullet"/>
      </w:pPr>
      <w:r>
        <w:t>Publication of false, misleading, infringing, or unsafe content</w:t>
      </w:r>
    </w:p>
    <w:p>
      <w:r>
        <w:t>If material harm is plausible: Tier 2 or Tier 3 depending on severity.</w:t>
      </w:r>
    </w:p>
    <w:p>
      <w:r>
        <w:t>If only routine rework or inconvenience is plausible: Tier 1 may be appropriate.</w:t>
      </w:r>
    </w:p>
    <w:p>
      <w:pPr>
        <w:spacing w:before="60" w:after="60"/>
      </w:pPr>
      <w:r/>
    </w:p>
    <w:p>
      <w:pPr>
        <w:pStyle w:val="Heading2"/>
      </w:pPr>
      <w:r>
        <w:t>Tier summary and required actions</w:t>
      </w:r>
    </w:p>
    <w:p>
      <w:pPr>
        <w:pStyle w:val="Heading3"/>
      </w:pPr>
      <w:r>
        <w:t>Tier 1 - Low</w:t>
      </w:r>
    </w:p>
    <w:p>
      <w:r>
        <w:t>Examples:</w:t>
      </w:r>
    </w:p>
    <w:p>
      <w:pPr>
        <w:pStyle w:val="ListBullet"/>
      </w:pPr>
      <w:r>
        <w:t>Brainstorming internal ideas</w:t>
      </w:r>
    </w:p>
    <w:p>
      <w:pPr>
        <w:pStyle w:val="ListBullet"/>
      </w:pPr>
      <w:r>
        <w:t>Summarizing public documents</w:t>
      </w:r>
    </w:p>
    <w:p>
      <w:pPr>
        <w:pStyle w:val="ListBullet"/>
      </w:pPr>
      <w:r>
        <w:t>Drafting non-sensitive internal text</w:t>
      </w:r>
    </w:p>
    <w:p>
      <w:pPr>
        <w:pStyle w:val="ListBullet"/>
      </w:pPr>
      <w:r>
        <w:t>Learning how to use a software feature</w:t>
      </w:r>
    </w:p>
    <w:p>
      <w:r>
        <w:t>Required actions:</w:t>
      </w:r>
    </w:p>
    <w:p>
      <w:pPr>
        <w:pStyle w:val="ListBullet"/>
      </w:pPr>
      <w:r>
        <w:t>[ ] Use only approved tools</w:t>
      </w:r>
    </w:p>
    <w:p>
      <w:pPr>
        <w:pStyle w:val="ListBullet"/>
      </w:pPr>
      <w:r>
        <w:t>[ ] Add recurring use to the AI Use Inventory</w:t>
      </w:r>
    </w:p>
    <w:p>
      <w:pPr>
        <w:pStyle w:val="ListBullet"/>
      </w:pPr>
      <w:r>
        <w:t>[ ] Follow Green / Yellow / Red AI Use Rules</w:t>
      </w:r>
    </w:p>
    <w:p>
      <w:pPr>
        <w:pStyle w:val="ListBullet"/>
      </w:pPr>
      <w:r>
        <w:t>[ ] Review output before using it</w:t>
      </w:r>
    </w:p>
    <w:p>
      <w:pPr>
        <w:pStyle w:val="ListBullet"/>
      </w:pPr>
      <w:r>
        <w:t>[ ] Reassess if data, audience, or workflow changes</w:t>
      </w:r>
    </w:p>
    <w:p>
      <w:pPr>
        <w:pStyle w:val="Heading3"/>
      </w:pPr>
      <w:r>
        <w:t>Tier 2 - Medium</w:t>
      </w:r>
    </w:p>
    <w:p>
      <w:r>
        <w:t>Examples:</w:t>
      </w:r>
    </w:p>
    <w:p>
      <w:pPr>
        <w:pStyle w:val="ListBullet"/>
      </w:pPr>
      <w:r>
        <w:t>Customer-facing content with human review</w:t>
      </w:r>
    </w:p>
    <w:p>
      <w:pPr>
        <w:pStyle w:val="ListBullet"/>
      </w:pPr>
      <w:r>
        <w:t>Confidential internal analysis</w:t>
      </w:r>
    </w:p>
    <w:p>
      <w:pPr>
        <w:pStyle w:val="ListBullet"/>
      </w:pPr>
      <w:r>
        <w:t>Code assistance without secrets or restricted code</w:t>
      </w:r>
    </w:p>
    <w:p>
      <w:pPr>
        <w:pStyle w:val="ListBullet"/>
      </w:pPr>
      <w:r>
        <w:t>Meeting summaries with approved data controls</w:t>
      </w:r>
    </w:p>
    <w:p>
      <w:pPr>
        <w:pStyle w:val="ListBullet"/>
      </w:pPr>
      <w:r>
        <w:t>Read-only integrations with internal systems</w:t>
      </w:r>
    </w:p>
    <w:p>
      <w:r>
        <w:t>Required actions:</w:t>
      </w:r>
    </w:p>
    <w:p>
      <w:pPr>
        <w:pStyle w:val="ListBullet"/>
      </w:pPr>
      <w:r>
        <w:t>[ ] Complete relevant sections of the AI Risk Intake and Impact Assessment</w:t>
      </w:r>
    </w:p>
    <w:p>
      <w:pPr>
        <w:pStyle w:val="ListBullet"/>
      </w:pPr>
      <w:r>
        <w:t>[ ] Name a business owner</w:t>
      </w:r>
    </w:p>
    <w:p>
      <w:pPr>
        <w:pStyle w:val="ListBullet"/>
      </w:pPr>
      <w:r>
        <w:t>[ ] Define approved data categories and prohibited data</w:t>
      </w:r>
    </w:p>
    <w:p>
      <w:pPr>
        <w:pStyle w:val="ListBullet"/>
      </w:pPr>
      <w:r>
        <w:t>[ ] Define human review before external or important use</w:t>
      </w:r>
    </w:p>
    <w:p>
      <w:pPr>
        <w:pStyle w:val="ListBullet"/>
      </w:pPr>
      <w:r>
        <w:t>[ ] Add conditions and next review date to the AI Use Inventory</w:t>
      </w:r>
    </w:p>
    <w:p>
      <w:pPr>
        <w:pStyle w:val="ListBullet"/>
      </w:pPr>
      <w:r>
        <w:t>[ ] Log material changes in the AI Update Tracker</w:t>
      </w:r>
    </w:p>
    <w:p>
      <w:pPr>
        <w:pStyle w:val="Heading3"/>
      </w:pPr>
      <w:r>
        <w:t>Tier 3 - High</w:t>
      </w:r>
    </w:p>
    <w:p>
      <w:r>
        <w:t>Examples:</w:t>
      </w:r>
    </w:p>
    <w:p>
      <w:pPr>
        <w:pStyle w:val="ListBullet"/>
      </w:pPr>
      <w:r>
        <w:t>AI use in employment, finance, healthcare, housing, education, legal, insurance, government, or safety contexts</w:t>
      </w:r>
    </w:p>
    <w:p>
      <w:pPr>
        <w:pStyle w:val="ListBullet"/>
      </w:pPr>
      <w:r>
        <w:t>Biometric or sensitive-data use</w:t>
      </w:r>
    </w:p>
    <w:p>
      <w:pPr>
        <w:pStyle w:val="ListBullet"/>
      </w:pPr>
      <w:r>
        <w:t>Synthetic media of identifiable people</w:t>
      </w:r>
    </w:p>
    <w:p>
      <w:pPr>
        <w:pStyle w:val="ListBullet"/>
      </w:pPr>
      <w:r>
        <w:t>AI that materially informs decisions about people</w:t>
      </w:r>
    </w:p>
    <w:p>
      <w:pPr>
        <w:pStyle w:val="ListBullet"/>
      </w:pPr>
      <w:r>
        <w:t>Agentic workflows that can act in production systems</w:t>
      </w:r>
    </w:p>
    <w:p>
      <w:r>
        <w:t>Required actions:</w:t>
      </w:r>
    </w:p>
    <w:p>
      <w:pPr>
        <w:pStyle w:val="ListBullet"/>
      </w:pPr>
      <w:r>
        <w:t>[ ] Complete the full AI Risk Intake and Impact Assessment</w:t>
      </w:r>
    </w:p>
    <w:p>
      <w:pPr>
        <w:pStyle w:val="ListBullet"/>
      </w:pPr>
      <w:r>
        <w:t>[ ] Route to legal, privacy, security, procurement, HR, or leadership review as applicable</w:t>
      </w:r>
    </w:p>
    <w:p>
      <w:pPr>
        <w:pStyle w:val="ListBullet"/>
      </w:pPr>
      <w:r>
        <w:t>[ ] Document human oversight and appeal/override path where relevant</w:t>
      </w:r>
    </w:p>
    <w:p>
      <w:pPr>
        <w:pStyle w:val="ListBullet"/>
      </w:pPr>
      <w:r>
        <w:t>[ ] Document accuracy, bias, privacy, security, and monitoring controls</w:t>
      </w:r>
    </w:p>
    <w:p>
      <w:pPr>
        <w:pStyle w:val="ListBullet"/>
      </w:pPr>
      <w:r>
        <w:t>[ ] Record approval conditions and review cadence</w:t>
      </w:r>
    </w:p>
    <w:p>
      <w:pPr>
        <w:pStyle w:val="ListBullet"/>
      </w:pPr>
      <w:r>
        <w:t>[ ] Do not launch until the required reviewers approve</w:t>
      </w:r>
    </w:p>
    <w:p>
      <w:pPr>
        <w:pStyle w:val="Heading3"/>
      </w:pPr>
      <w:r>
        <w:t>Tier 4 - Prohibited / pause</w:t>
      </w:r>
    </w:p>
    <w:p>
      <w:r>
        <w:t>Examples:</w:t>
      </w:r>
    </w:p>
    <w:p>
      <w:pPr>
        <w:pStyle w:val="ListBullet"/>
      </w:pPr>
      <w:r>
        <w:t>Uses prohibited by law, contract, or company policy</w:t>
      </w:r>
    </w:p>
    <w:p>
      <w:pPr>
        <w:pStyle w:val="ListBullet"/>
      </w:pPr>
      <w:r>
        <w:t>Uses involving deception, manipulation, unlawful discrimination, or unauthorized sensitive data</w:t>
      </w:r>
    </w:p>
    <w:p>
      <w:pPr>
        <w:pStyle w:val="ListBullet"/>
      </w:pPr>
      <w:r>
        <w:t>Uses that reviewers cannot explain, monitor, or control</w:t>
      </w:r>
    </w:p>
    <w:p>
      <w:r>
        <w:t>Required actions:</w:t>
      </w:r>
    </w:p>
    <w:p>
      <w:pPr>
        <w:pStyle w:val="ListBullet"/>
      </w:pPr>
      <w:r>
        <w:t>[ ] Stop the proposed use</w:t>
      </w:r>
    </w:p>
    <w:p>
      <w:pPr>
        <w:pStyle w:val="ListBullet"/>
      </w:pPr>
      <w:r>
        <w:t>[ ] Preserve notes on what was proposed and why it was paused</w:t>
      </w:r>
    </w:p>
    <w:p>
      <w:pPr>
        <w:pStyle w:val="ListBullet"/>
      </w:pPr>
      <w:r>
        <w:t>[ ] Route to qualified review if leadership wants to revisit it</w:t>
      </w:r>
    </w:p>
    <w:p>
      <w:pPr>
        <w:pStyle w:val="ListBullet"/>
      </w:pPr>
      <w:r>
        <w:t>[ ] Do not approve through the mini-checklist</w:t>
      </w:r>
    </w:p>
    <w:p>
      <w:pPr>
        <w:spacing w:before="60" w:after="60"/>
      </w:pPr>
      <w:r/>
    </w:p>
    <w:p>
      <w:pPr>
        <w:pStyle w:val="Heading2"/>
      </w:pPr>
      <w:r>
        <w:t>Tiering record</w:t>
      </w:r>
    </w:p>
    <w:tbl>
      <w:tblPr>
        <w:tblW w:type="auto" w:w="0"/>
        <w:jc w:val="center"/>
        <w:tblLayout w:type="autofit"/>
        <w:tblLook w:firstColumn="1" w:firstRow="1" w:lastColumn="0" w:lastRow="0" w:noHBand="0" w:noVBand="1" w:val="04A0"/>
        <w:tblBorders>
          <w:top w:val="single" w:sz="4" w:space="0" w:color="D7E5F8"/>
          <w:left w:val="single" w:sz="4" w:space="0" w:color="D7E5F8"/>
          <w:bottom w:val="single" w:sz="4" w:space="0" w:color="D7E5F8"/>
          <w:right w:val="single" w:sz="4" w:space="0" w:color="D7E5F8"/>
          <w:insideH w:val="single" w:sz="4" w:space="0" w:color="D7E5F8"/>
          <w:insideV w:val="single" w:sz="4" w:space="0" w:color="D7E5F8"/>
        </w:tblBorders>
      </w:tblPr>
      <w:tblGrid>
        <w:gridCol w:w="5184"/>
        <w:gridCol w:w="5184"/>
      </w:tblGrid>
      <w:tr>
        <w:tc>
          <w:tcPr>
            <w:tcW w:type="dxa" w:w="5184"/>
            <w:vAlign w:val="top"/>
            <w:tcMar>
              <w:top w:w="80" w:type="dxa"/>
              <w:start w:w="80" w:type="dxa"/>
              <w:bottom w:w="80" w:type="dxa"/>
              <w:end w:w="80" w:type="dxa"/>
            </w:tcMar>
            <w:shd w:fill="EAF4FF"/>
          </w:tcPr>
          <w:p>
            <w:pPr>
              <w:spacing w:after="0"/>
            </w:pPr>
            <w:r>
              <w:rPr>
                <w:rFonts w:ascii="Arial" w:hAnsi="Arial"/>
                <w:b/>
                <w:sz w:val="18"/>
              </w:rPr>
              <w:t>Field</w:t>
            </w:r>
          </w:p>
        </w:tc>
        <w:tc>
          <w:tcPr>
            <w:tcW w:type="dxa" w:w="5184"/>
            <w:vAlign w:val="top"/>
            <w:tcMar>
              <w:top w:w="80" w:type="dxa"/>
              <w:start w:w="80" w:type="dxa"/>
              <w:bottom w:w="80" w:type="dxa"/>
              <w:end w:w="80" w:type="dxa"/>
            </w:tcMar>
            <w:shd w:fill="EAF4FF"/>
          </w:tcPr>
          <w:p>
            <w:pPr>
              <w:spacing w:after="0"/>
            </w:pPr>
            <w:r>
              <w:rPr>
                <w:rFonts w:ascii="Arial" w:hAnsi="Arial"/>
                <w:b/>
                <w:sz w:val="18"/>
              </w:rPr>
              <w:t>Entry</w:t>
            </w:r>
          </w:p>
        </w:tc>
      </w:tr>
      <w:tr>
        <w:tc>
          <w:tcPr>
            <w:tcW w:type="dxa" w:w="5184"/>
            <w:vAlign w:val="top"/>
            <w:tcMar>
              <w:top w:w="80" w:type="dxa"/>
              <w:start w:w="80" w:type="dxa"/>
              <w:bottom w:w="80" w:type="dxa"/>
              <w:end w:w="80" w:type="dxa"/>
            </w:tcMar>
          </w:tcPr>
          <w:p>
            <w:pPr>
              <w:spacing w:after="0"/>
            </w:pPr>
            <w:r>
              <w:rPr>
                <w:rFonts w:ascii="Arial" w:hAnsi="Arial"/>
                <w:sz w:val="18"/>
              </w:rPr>
              <w:t>Proposed tool / workflow</w:t>
            </w:r>
          </w:p>
        </w:tc>
        <w:tc>
          <w:tcPr>
            <w:tcW w:type="dxa" w:w="5184"/>
            <w:vAlign w:val="top"/>
            <w:tcMar>
              <w:top w:w="80" w:type="dxa"/>
              <w:start w:w="80" w:type="dxa"/>
              <w:bottom w:w="80" w:type="dxa"/>
              <w:end w:w="80" w:type="dxa"/>
            </w:tcMar>
          </w:tcPr>
          <w:p>
            <w:pPr>
              <w:spacing w:after="0"/>
            </w:pPr>
            <w:r>
              <w:rPr>
                <w:rFonts w:ascii="Arial" w:hAnsi="Arial"/>
                <w:sz w:val="18"/>
              </w:rPr>
            </w:r>
          </w:p>
        </w:tc>
      </w:tr>
      <w:tr>
        <w:tc>
          <w:tcPr>
            <w:tcW w:type="dxa" w:w="5184"/>
            <w:vAlign w:val="top"/>
            <w:tcMar>
              <w:top w:w="80" w:type="dxa"/>
              <w:start w:w="80" w:type="dxa"/>
              <w:bottom w:w="80" w:type="dxa"/>
              <w:end w:w="80" w:type="dxa"/>
            </w:tcMar>
          </w:tcPr>
          <w:p>
            <w:pPr>
              <w:spacing w:after="0"/>
            </w:pPr>
            <w:r>
              <w:rPr>
                <w:rFonts w:ascii="Arial" w:hAnsi="Arial"/>
                <w:sz w:val="18"/>
              </w:rPr>
              <w:t>Business owner</w:t>
            </w:r>
          </w:p>
        </w:tc>
        <w:tc>
          <w:tcPr>
            <w:tcW w:type="dxa" w:w="5184"/>
            <w:vAlign w:val="top"/>
            <w:tcMar>
              <w:top w:w="80" w:type="dxa"/>
              <w:start w:w="80" w:type="dxa"/>
              <w:bottom w:w="80" w:type="dxa"/>
              <w:end w:w="80" w:type="dxa"/>
            </w:tcMar>
          </w:tcPr>
          <w:p>
            <w:pPr>
              <w:spacing w:after="0"/>
            </w:pPr>
            <w:r>
              <w:rPr>
                <w:rFonts w:ascii="Arial" w:hAnsi="Arial"/>
                <w:sz w:val="18"/>
              </w:rPr>
            </w:r>
          </w:p>
        </w:tc>
      </w:tr>
      <w:tr>
        <w:tc>
          <w:tcPr>
            <w:tcW w:type="dxa" w:w="5184"/>
            <w:vAlign w:val="top"/>
            <w:tcMar>
              <w:top w:w="80" w:type="dxa"/>
              <w:start w:w="80" w:type="dxa"/>
              <w:bottom w:w="80" w:type="dxa"/>
              <w:end w:w="80" w:type="dxa"/>
            </w:tcMar>
          </w:tcPr>
          <w:p>
            <w:pPr>
              <w:spacing w:after="0"/>
            </w:pPr>
            <w:r>
              <w:rPr>
                <w:rFonts w:ascii="Arial" w:hAnsi="Arial"/>
                <w:sz w:val="18"/>
              </w:rPr>
              <w:t>Initial tier</w:t>
            </w:r>
          </w:p>
        </w:tc>
        <w:tc>
          <w:tcPr>
            <w:tcW w:type="dxa" w:w="5184"/>
            <w:vAlign w:val="top"/>
            <w:tcMar>
              <w:top w:w="80" w:type="dxa"/>
              <w:start w:w="80" w:type="dxa"/>
              <w:bottom w:w="80" w:type="dxa"/>
              <w:end w:w="80" w:type="dxa"/>
            </w:tcMar>
          </w:tcPr>
          <w:p>
            <w:pPr>
              <w:spacing w:after="0"/>
            </w:pPr>
            <w:r>
              <w:rPr>
                <w:rFonts w:ascii="Arial" w:hAnsi="Arial"/>
                <w:sz w:val="18"/>
              </w:rPr>
            </w:r>
          </w:p>
        </w:tc>
      </w:tr>
      <w:tr>
        <w:tc>
          <w:tcPr>
            <w:tcW w:type="dxa" w:w="5184"/>
            <w:vAlign w:val="top"/>
            <w:tcMar>
              <w:top w:w="80" w:type="dxa"/>
              <w:start w:w="80" w:type="dxa"/>
              <w:bottom w:w="80" w:type="dxa"/>
              <w:end w:w="80" w:type="dxa"/>
            </w:tcMar>
          </w:tcPr>
          <w:p>
            <w:pPr>
              <w:spacing w:after="0"/>
            </w:pPr>
            <w:r>
              <w:rPr>
                <w:rFonts w:ascii="Arial" w:hAnsi="Arial"/>
                <w:sz w:val="18"/>
              </w:rPr>
              <w:t>Reason for tier</w:t>
            </w:r>
          </w:p>
        </w:tc>
        <w:tc>
          <w:tcPr>
            <w:tcW w:type="dxa" w:w="5184"/>
            <w:vAlign w:val="top"/>
            <w:tcMar>
              <w:top w:w="80" w:type="dxa"/>
              <w:start w:w="80" w:type="dxa"/>
              <w:bottom w:w="80" w:type="dxa"/>
              <w:end w:w="80" w:type="dxa"/>
            </w:tcMar>
          </w:tcPr>
          <w:p>
            <w:pPr>
              <w:spacing w:after="0"/>
            </w:pPr>
            <w:r>
              <w:rPr>
                <w:rFonts w:ascii="Arial" w:hAnsi="Arial"/>
                <w:sz w:val="18"/>
              </w:rPr>
            </w:r>
          </w:p>
        </w:tc>
      </w:tr>
      <w:tr>
        <w:tc>
          <w:tcPr>
            <w:tcW w:type="dxa" w:w="5184"/>
            <w:vAlign w:val="top"/>
            <w:tcMar>
              <w:top w:w="80" w:type="dxa"/>
              <w:start w:w="80" w:type="dxa"/>
              <w:bottom w:w="80" w:type="dxa"/>
              <w:end w:w="80" w:type="dxa"/>
            </w:tcMar>
          </w:tcPr>
          <w:p>
            <w:pPr>
              <w:spacing w:after="0"/>
            </w:pPr>
            <w:r>
              <w:rPr>
                <w:rFonts w:ascii="Arial" w:hAnsi="Arial"/>
                <w:sz w:val="18"/>
              </w:rPr>
              <w:t>Reviewer</w:t>
            </w:r>
          </w:p>
        </w:tc>
        <w:tc>
          <w:tcPr>
            <w:tcW w:type="dxa" w:w="5184"/>
            <w:vAlign w:val="top"/>
            <w:tcMar>
              <w:top w:w="80" w:type="dxa"/>
              <w:start w:w="80" w:type="dxa"/>
              <w:bottom w:w="80" w:type="dxa"/>
              <w:end w:w="80" w:type="dxa"/>
            </w:tcMar>
          </w:tcPr>
          <w:p>
            <w:pPr>
              <w:spacing w:after="0"/>
            </w:pPr>
            <w:r>
              <w:rPr>
                <w:rFonts w:ascii="Arial" w:hAnsi="Arial"/>
                <w:sz w:val="18"/>
              </w:rPr>
            </w:r>
          </w:p>
        </w:tc>
      </w:tr>
      <w:tr>
        <w:tc>
          <w:tcPr>
            <w:tcW w:type="dxa" w:w="5184"/>
            <w:vAlign w:val="top"/>
            <w:tcMar>
              <w:top w:w="80" w:type="dxa"/>
              <w:start w:w="80" w:type="dxa"/>
              <w:bottom w:w="80" w:type="dxa"/>
              <w:end w:w="80" w:type="dxa"/>
            </w:tcMar>
          </w:tcPr>
          <w:p>
            <w:pPr>
              <w:spacing w:after="0"/>
            </w:pPr>
            <w:r>
              <w:rPr>
                <w:rFonts w:ascii="Arial" w:hAnsi="Arial"/>
                <w:sz w:val="18"/>
              </w:rPr>
              <w:t>Review date</w:t>
            </w:r>
          </w:p>
        </w:tc>
        <w:tc>
          <w:tcPr>
            <w:tcW w:type="dxa" w:w="5184"/>
            <w:vAlign w:val="top"/>
            <w:tcMar>
              <w:top w:w="80" w:type="dxa"/>
              <w:start w:w="80" w:type="dxa"/>
              <w:bottom w:w="80" w:type="dxa"/>
              <w:end w:w="80" w:type="dxa"/>
            </w:tcMar>
          </w:tcPr>
          <w:p>
            <w:pPr>
              <w:spacing w:after="0"/>
            </w:pPr>
            <w:r>
              <w:rPr>
                <w:rFonts w:ascii="Arial" w:hAnsi="Arial"/>
                <w:sz w:val="18"/>
              </w:rPr>
            </w:r>
          </w:p>
        </w:tc>
      </w:tr>
      <w:tr>
        <w:tc>
          <w:tcPr>
            <w:tcW w:type="dxa" w:w="5184"/>
            <w:vAlign w:val="top"/>
            <w:tcMar>
              <w:top w:w="80" w:type="dxa"/>
              <w:start w:w="80" w:type="dxa"/>
              <w:bottom w:w="80" w:type="dxa"/>
              <w:end w:w="80" w:type="dxa"/>
            </w:tcMar>
          </w:tcPr>
          <w:p>
            <w:pPr>
              <w:spacing w:after="0"/>
            </w:pPr>
            <w:r>
              <w:rPr>
                <w:rFonts w:ascii="Arial" w:hAnsi="Arial"/>
                <w:sz w:val="18"/>
              </w:rPr>
              <w:t>Required next document</w:t>
            </w:r>
          </w:p>
        </w:tc>
        <w:tc>
          <w:tcPr>
            <w:tcW w:type="dxa" w:w="5184"/>
            <w:vAlign w:val="top"/>
            <w:tcMar>
              <w:top w:w="80" w:type="dxa"/>
              <w:start w:w="80" w:type="dxa"/>
              <w:bottom w:w="80" w:type="dxa"/>
              <w:end w:w="80" w:type="dxa"/>
            </w:tcMar>
          </w:tcPr>
          <w:p>
            <w:pPr>
              <w:spacing w:after="0"/>
            </w:pPr>
            <w:r>
              <w:rPr>
                <w:rFonts w:ascii="Arial" w:hAnsi="Arial"/>
                <w:sz w:val="18"/>
              </w:rPr>
            </w:r>
          </w:p>
        </w:tc>
      </w:tr>
      <w:tr>
        <w:tc>
          <w:tcPr>
            <w:tcW w:type="dxa" w:w="5184"/>
            <w:vAlign w:val="top"/>
            <w:tcMar>
              <w:top w:w="80" w:type="dxa"/>
              <w:start w:w="80" w:type="dxa"/>
              <w:bottom w:w="80" w:type="dxa"/>
              <w:end w:w="80" w:type="dxa"/>
            </w:tcMar>
          </w:tcPr>
          <w:p>
            <w:pPr>
              <w:spacing w:after="0"/>
            </w:pPr>
            <w:r>
              <w:rPr>
                <w:rFonts w:ascii="Arial" w:hAnsi="Arial"/>
                <w:sz w:val="18"/>
              </w:rPr>
              <w:t>Approval conditions</w:t>
            </w:r>
          </w:p>
        </w:tc>
        <w:tc>
          <w:tcPr>
            <w:tcW w:type="dxa" w:w="5184"/>
            <w:vAlign w:val="top"/>
            <w:tcMar>
              <w:top w:w="80" w:type="dxa"/>
              <w:start w:w="80" w:type="dxa"/>
              <w:bottom w:w="80" w:type="dxa"/>
              <w:end w:w="80" w:type="dxa"/>
            </w:tcMar>
          </w:tcPr>
          <w:p>
            <w:pPr>
              <w:spacing w:after="0"/>
            </w:pPr>
            <w:r>
              <w:rPr>
                <w:rFonts w:ascii="Arial" w:hAnsi="Arial"/>
                <w:sz w:val="18"/>
              </w:rPr>
            </w:r>
          </w:p>
        </w:tc>
      </w:tr>
      <w:tr>
        <w:tc>
          <w:tcPr>
            <w:tcW w:type="dxa" w:w="5184"/>
            <w:vAlign w:val="top"/>
            <w:tcMar>
              <w:top w:w="80" w:type="dxa"/>
              <w:start w:w="80" w:type="dxa"/>
              <w:bottom w:w="80" w:type="dxa"/>
              <w:end w:w="80" w:type="dxa"/>
            </w:tcMar>
          </w:tcPr>
          <w:p>
            <w:pPr>
              <w:spacing w:after="0"/>
            </w:pPr>
            <w:r>
              <w:rPr>
                <w:rFonts w:ascii="Arial" w:hAnsi="Arial"/>
                <w:sz w:val="18"/>
              </w:rPr>
              <w:t>Next review date</w:t>
            </w:r>
          </w:p>
        </w:tc>
        <w:tc>
          <w:tcPr>
            <w:tcW w:type="dxa" w:w="5184"/>
            <w:vAlign w:val="top"/>
            <w:tcMar>
              <w:top w:w="80" w:type="dxa"/>
              <w:start w:w="80" w:type="dxa"/>
              <w:bottom w:w="80" w:type="dxa"/>
              <w:end w:w="80" w:type="dxa"/>
            </w:tcMar>
          </w:tcPr>
          <w:p>
            <w:pPr>
              <w:spacing w:after="0"/>
            </w:pPr>
            <w:r>
              <w:rPr>
                <w:rFonts w:ascii="Arial" w:hAnsi="Arial"/>
                <w:sz w:val="18"/>
              </w:rPr>
            </w:r>
          </w:p>
        </w:tc>
      </w:tr>
    </w:tbl>
    <w:p/>
    <w:p>
      <w:pPr>
        <w:spacing w:before="60" w:after="60"/>
      </w:pPr>
      <w:r/>
    </w:p>
    <w:p>
      <w:pPr>
        <w:pStyle w:val="Heading2"/>
      </w:pPr>
      <w:r>
        <w:t>Reassess when any of these change</w:t>
      </w:r>
    </w:p>
    <w:p>
      <w:pPr>
        <w:pStyle w:val="ListBullet"/>
      </w:pPr>
      <w:r>
        <w:t>New data categories are added</w:t>
      </w:r>
    </w:p>
    <w:p>
      <w:pPr>
        <w:pStyle w:val="ListBullet"/>
      </w:pPr>
      <w:r>
        <w:t>New users, customers, markets, or jurisdictions are added</w:t>
      </w:r>
    </w:p>
    <w:p>
      <w:pPr>
        <w:pStyle w:val="ListBullet"/>
      </w:pPr>
      <w:r>
        <w:t>Output becomes customer-facing or decision-related</w:t>
      </w:r>
    </w:p>
    <w:p>
      <w:pPr>
        <w:pStyle w:val="ListBullet"/>
      </w:pPr>
      <w:r>
        <w:t>Tool gains integrations, autonomy, or production access</w:t>
      </w:r>
    </w:p>
    <w:p>
      <w:pPr>
        <w:pStyle w:val="ListBullet"/>
      </w:pPr>
      <w:r>
        <w:t>Vendor terms, training settings, model behavior, or retention terms change</w:t>
      </w:r>
    </w:p>
    <w:p>
      <w:pPr>
        <w:pStyle w:val="ListBullet"/>
      </w:pPr>
      <w:r>
        <w:t>An incident, complaint, audit finding, or regulatory change occurs</w:t>
      </w:r>
    </w:p>
    <w:p>
      <w:pPr>
        <w:spacing w:before="60" w:after="60"/>
      </w:pPr>
      <w:r/>
    </w:p>
    <w:p>
      <w:pPr>
        <w:pStyle w:val="Heading2"/>
      </w:pPr>
      <w:r>
        <w:t>Disclaimer</w:t>
      </w:r>
    </w:p>
    <w:p>
      <w:r>
        <w:t>This document is a template for educational and informational purposes only. It is not legal advice and does not create an attorney-client relationship. Consult qualified counsel before relying on this decision tree for compliance decisions.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AI Risk Tiering Decision Tree | Educational template only -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