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Notice and Use Terms</w:t>
      </w:r>
    </w:p>
    <w:p>
      <w:r>
        <w:rPr/>
        <w:t>This packet is provided for educational and informational purposes only. It is not legal advice and does not create an attorney-client relationship.</w:t>
      </w:r>
    </w:p>
    <w:p>
      <w:r>
        <w:rPr/>
        <w:t>The templates are starting points. They must be reviewed and adapted for the buyer's organization, industry, jurisdictions, contracts, and actual AI use.</w:t>
      </w:r>
    </w:p>
    <w:p>
      <w:r>
        <w:rPr/>
        <w:t>Do not treat these materials as a guarantee of compliance with the EU AI Act, Colorado SB 26-189, Texas TRAIGA, privacy laws, employment laws, sector rules, or any other legal requirement.</w:t>
      </w:r>
    </w:p>
    <w:p>
      <w:r>
        <w:rPr/>
        <w:t>Consult qualified counsel before relying on these materials for legal compliance or regulated use cases.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Legal Notice | Educational templates only - not legal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