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 Builder AI Launch Kit v1</w:t>
      </w:r>
    </w:p>
    <w:p>
      <w:r>
        <w:rPr>
          <w:b/>
        </w:rPr>
        <w:t>Product:</w:t>
      </w:r>
      <w:r>
        <w:rPr/>
        <w:t xml:space="preserve"> Solo Builder AI Launch Kit</w:t>
      </w:r>
    </w:p>
    <w:p>
      <w:r>
        <w:rPr>
          <w:b/>
        </w:rPr>
        <w:t>Version:</w:t>
      </w:r>
      <w:r>
        <w:rPr/>
        <w:t xml:space="preserve"> 1.1.0</w:t>
      </w:r>
    </w:p>
    <w:p>
      <w:r>
        <w:rPr>
          <w:b/>
        </w:rPr>
        <w:t>Prepared:</w:t>
      </w:r>
      <w:r>
        <w:rPr/>
        <w:t xml:space="preserve"> 2026-06-08</w:t>
      </w:r>
    </w:p>
    <w:p>
      <w:r>
        <w:rPr>
          <w:b/>
        </w:rPr>
        <w:t>Updated:</w:t>
      </w:r>
      <w:r>
        <w:rPr/>
        <w:t xml:space="preserve"> 2026-06-09</w:t>
      </w:r>
    </w:p>
    <w:p>
      <w:r>
        <w:rPr/>
        <w:t>This packet contains editable templates and reference PDFs for solo builders documenting AI-enabled apps, websites, automations, consulting workflows, client deliverables, digital products, productized services, and micro-SaaS tools before launch.</w:t>
      </w:r>
    </w:p>
    <w:p>
      <w:r>
        <w:rPr/>
        <w:t>Start with START-HERE.md, then adapt the DOCX files for your project.</w:t>
      </w:r>
    </w:p>
    <w:p>
      <w:pPr>
        <w:pStyle w:val="Heading2"/>
      </w:pPr>
      <w:r>
        <w:t>Included documents</w:t>
      </w:r>
    </w:p>
    <w:p>
      <w:r>
        <w:rPr/>
        <w:t xml:space="preserve">1. </w:t>
      </w:r>
      <w:r>
        <w:rPr>
          <w:b/>
        </w:rPr>
        <w:t>AI Project Snapshot</w:t>
      </w:r>
      <w:r>
        <w:rPr/>
        <w:t xml:space="preserve"> - captures the basic facts about the AI project, AI role, data inputs, claims, and review date.</w:t>
      </w:r>
    </w:p>
    <w:p>
      <w:r>
        <w:rPr/>
        <w:t xml:space="preserve">2. </w:t>
      </w:r>
      <w:r>
        <w:rPr>
          <w:b/>
        </w:rPr>
        <w:t>AI Claims Checklist</w:t>
      </w:r>
      <w:r>
        <w:rPr/>
        <w:t xml:space="preserve"> - helps review public claims, evidence, safer rewrites, and publish decisions.</w:t>
      </w:r>
    </w:p>
    <w:p>
      <w:r>
        <w:rPr/>
        <w:t xml:space="preserve">3. </w:t>
      </w:r>
      <w:r>
        <w:rPr>
          <w:b/>
        </w:rPr>
        <w:t>User Data and Privacy Intake</w:t>
      </w:r>
      <w:r>
        <w:rPr/>
        <w:t xml:space="preserve"> - maps data collected, data sent to AI, vendor exposure, logs, and do-not-submit rules.</w:t>
      </w:r>
    </w:p>
    <w:p>
      <w:r>
        <w:rPr/>
        <w:t xml:space="preserve">4. </w:t>
      </w:r>
      <w:r>
        <w:rPr>
          <w:b/>
        </w:rPr>
        <w:t>AI Disclosure and Disclaimer Builder</w:t>
      </w:r>
      <w:r>
        <w:rPr/>
        <w:t xml:space="preserve"> - provides starter disclosure, limitation, review, data-use, and problem-reporting language.</w:t>
      </w:r>
    </w:p>
    <w:p>
      <w:r>
        <w:rPr/>
        <w:t xml:space="preserve">5. </w:t>
      </w:r>
      <w:r>
        <w:rPr>
          <w:b/>
        </w:rPr>
        <w:t>Red Flag Use Case Triage</w:t>
      </w:r>
      <w:r>
        <w:rPr/>
        <w:t xml:space="preserve"> - helps sort lower-risk, needs-review, and pause/escalate AI uses.</w:t>
      </w:r>
    </w:p>
    <w:p>
      <w:r>
        <w:rPr/>
        <w:t xml:space="preserve">6. </w:t>
      </w:r>
      <w:r>
        <w:rPr>
          <w:b/>
        </w:rPr>
        <w:t>Vendor / Model Dependency Note</w:t>
      </w:r>
      <w:r>
        <w:rPr/>
        <w:t xml:space="preserve"> - records vendors, models, prompts, settings, limitations, and fallback plans.</w:t>
      </w:r>
    </w:p>
    <w:p>
      <w:r>
        <w:rPr/>
        <w:t xml:space="preserve">7. </w:t>
      </w:r>
      <w:r>
        <w:rPr>
          <w:b/>
        </w:rPr>
        <w:t>Pre-Launch AI Risk Checklist</w:t>
      </w:r>
      <w:r>
        <w:rPr/>
        <w:t xml:space="preserve"> - supports a practical ship/no-ship decision before launch.</w:t>
      </w:r>
    </w:p>
    <w:p>
      <w:r>
        <w:rPr/>
        <w:t xml:space="preserve">8. </w:t>
      </w:r>
      <w:r>
        <w:rPr>
          <w:b/>
        </w:rPr>
        <w:t>Customer FAQ Template</w:t>
      </w:r>
      <w:r>
        <w:rPr/>
        <w:t xml:space="preserve"> - prepares plain answers about AI use, data, review, limitations, and reporting problems.</w:t>
      </w:r>
    </w:p>
    <w:p>
      <w:r>
        <w:rPr/>
        <w:t xml:space="preserve">9. </w:t>
      </w:r>
      <w:r>
        <w:rPr>
          <w:b/>
        </w:rPr>
        <w:t>Incident / Complaint Mini-Log</w:t>
      </w:r>
      <w:r>
        <w:rPr/>
        <w:t xml:space="preserve"> - tracks bad outputs, user confusion, data concerns, and follow-up actions.</w:t>
      </w:r>
    </w:p>
    <w:p>
      <w:r>
        <w:rPr/>
        <w:t xml:space="preserve">10. </w:t>
      </w:r>
      <w:r>
        <w:rPr>
          <w:b/>
        </w:rPr>
        <w:t>AI Change Log</w:t>
      </w:r>
      <w:r>
        <w:rPr/>
        <w:t xml:space="preserve"> - tracks model, prompt, vendor, data, disclosure, claim, and behavior changes.</w:t>
      </w:r>
    </w:p>
    <w:p>
      <w:r>
        <w:rPr/>
        <w:t xml:space="preserve">11. </w:t>
      </w:r>
      <w:r>
        <w:rPr>
          <w:b/>
        </w:rPr>
        <w:t>30-Minute Setup Guide</w:t>
      </w:r>
      <w:r>
        <w:rPr/>
        <w:t xml:space="preserve"> - gives the fastest useful path through the packet.</w:t>
      </w:r>
    </w:p>
    <w:p>
      <w:r>
        <w:rPr/>
        <w:t xml:space="preserve">12. </w:t>
      </w:r>
      <w:r>
        <w:rPr>
          <w:b/>
        </w:rPr>
        <w:t>Filled Example: AI Website or App</w:t>
      </w:r>
      <w:r>
        <w:rPr/>
        <w:t xml:space="preserve"> - shows a completed record for a user-facing AI app.</w:t>
      </w:r>
    </w:p>
    <w:p>
      <w:r>
        <w:rPr/>
        <w:t xml:space="preserve">13. </w:t>
      </w:r>
      <w:r>
        <w:rPr>
          <w:b/>
        </w:rPr>
        <w:t>Filled Example: Consultant or Freelancer Using AI</w:t>
      </w:r>
      <w:r>
        <w:rPr/>
        <w:t xml:space="preserve"> - shows a completed record for AI-assisted client work.</w:t>
      </w:r>
    </w:p>
    <w:p>
      <w:r>
        <w:rPr/>
        <w:t xml:space="preserve">14. </w:t>
      </w:r>
      <w:r>
        <w:rPr>
          <w:b/>
        </w:rPr>
        <w:t>Filled Example: Digital Product, Automation, or Micro-SaaS</w:t>
      </w:r>
      <w:r>
        <w:rPr/>
        <w:t xml:space="preserve"> - shows a completed record for a small AI product or workflow.</w:t>
      </w:r>
    </w:p>
    <w:p>
      <w:pPr>
        <w:pStyle w:val="Heading2"/>
      </w:pPr>
      <w:r>
        <w:t>Folder structure</w:t>
      </w:r>
    </w:p>
    <w:p>
      <w:pPr>
        <w:pStyle w:val="ListBullet"/>
      </w:pPr>
      <w:r>
        <w:rPr/>
        <w:t>markdown/ - plain-text source/reference files</w:t>
      </w:r>
    </w:p>
    <w:p>
      <w:pPr>
        <w:pStyle w:val="ListBullet"/>
      </w:pPr>
      <w:r>
        <w:rPr/>
        <w:t>docx/ - editable Word-compatible documents</w:t>
      </w:r>
    </w:p>
    <w:p>
      <w:pPr>
        <w:pStyle w:val="ListBullet"/>
      </w:pPr>
      <w:r>
        <w:rPr/>
        <w:t>pdf/ - PDF exports</w:t>
      </w:r>
    </w:p>
    <w:p>
      <w:pPr>
        <w:pStyle w:val="ListBullet"/>
      </w:pPr>
      <w:r>
        <w:rPr/>
        <w:t>spreadsheets/ - CSV starter files for the incident/complaint mini-log and AI change log</w:t>
      </w:r>
    </w:p>
    <w:p>
      <w:pPr>
        <w:pStyle w:val="ListBullet"/>
      </w:pPr>
      <w:r>
        <w:rPr/>
        <w:t>START-HERE.md - buyer-facing setup guide</w:t>
      </w:r>
    </w:p>
    <w:p>
      <w:pPr>
        <w:pStyle w:val="ListBullet"/>
      </w:pPr>
      <w:r>
        <w:rPr/>
        <w:t>LEGAL-NOTICE.md - educational-use and legal-boundary notice</w:t>
      </w:r>
    </w:p>
    <w:p>
      <w:pPr>
        <w:pStyle w:val="Heading2"/>
      </w:pPr>
      <w:r>
        <w:t>Important boundary</w:t>
      </w:r>
    </w:p>
    <w:p>
      <w:r>
        <w:rPr/>
        <w:t>These materials are educational templates and practical documentation starting points only. They are not legal advice, do not create an attorney-client relationship, do not make an AI project compliant, do not approve a use case, do not guarantee safety, and do not replace qualified legal, privacy, security, HR, procurement, platform, or sector-specific review.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