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 Here - Solo Builder AI Launch Kit v1</w:t>
      </w:r>
    </w:p>
    <w:p>
      <w:r>
        <w:rPr/>
        <w:t>Thank you for using the Solo Builder AI Launch Kit.</w:t>
      </w:r>
    </w:p>
    <w:p>
      <w:r>
        <w:rPr/>
        <w:t>This packet gives solo builders editable starting documents for documenting an AI-enabled offer before launch. It is built for AI apps, websites, automations, consulting workflows, client deliverables, digital products, productized services, and micro-SaaS tools.</w:t>
      </w:r>
    </w:p>
    <w:p>
      <w:pPr>
        <w:pStyle w:val="Heading2"/>
      </w:pPr>
      <w:r>
        <w:t>What is inside</w:t>
      </w:r>
    </w:p>
    <w:p>
      <w:r>
        <w:rPr/>
        <w:t>The packet includes 14 documents in DOCX, PDF, and Markdown formats:</w:t>
      </w:r>
    </w:p>
    <w:p>
      <w:r>
        <w:rPr/>
        <w:t xml:space="preserve">1. </w:t>
      </w:r>
      <w:r>
        <w:rPr/>
        <w:t>AI Project Snapshot</w:t>
      </w:r>
    </w:p>
    <w:p>
      <w:r>
        <w:rPr/>
        <w:t xml:space="preserve">2. </w:t>
      </w:r>
      <w:r>
        <w:rPr/>
        <w:t>AI Claims Checklist</w:t>
      </w:r>
    </w:p>
    <w:p>
      <w:r>
        <w:rPr/>
        <w:t xml:space="preserve">3. </w:t>
      </w:r>
      <w:r>
        <w:rPr/>
        <w:t>User Data and Privacy Intake</w:t>
      </w:r>
    </w:p>
    <w:p>
      <w:r>
        <w:rPr/>
        <w:t xml:space="preserve">4. </w:t>
      </w:r>
      <w:r>
        <w:rPr/>
        <w:t>AI Disclosure and Disclaimer Builder</w:t>
      </w:r>
    </w:p>
    <w:p>
      <w:r>
        <w:rPr/>
        <w:t xml:space="preserve">5. </w:t>
      </w:r>
      <w:r>
        <w:rPr/>
        <w:t>Red Flag Use Case Triage</w:t>
      </w:r>
    </w:p>
    <w:p>
      <w:r>
        <w:rPr/>
        <w:t xml:space="preserve">6. </w:t>
      </w:r>
      <w:r>
        <w:rPr/>
        <w:t>Vendor / Model Dependency Note</w:t>
      </w:r>
    </w:p>
    <w:p>
      <w:r>
        <w:rPr/>
        <w:t xml:space="preserve">7. </w:t>
      </w:r>
      <w:r>
        <w:rPr/>
        <w:t>Pre-Launch AI Risk Checklist</w:t>
      </w:r>
    </w:p>
    <w:p>
      <w:r>
        <w:rPr/>
        <w:t xml:space="preserve">8. </w:t>
      </w:r>
      <w:r>
        <w:rPr/>
        <w:t>Customer FAQ Template</w:t>
      </w:r>
    </w:p>
    <w:p>
      <w:r>
        <w:rPr/>
        <w:t xml:space="preserve">9. </w:t>
      </w:r>
      <w:r>
        <w:rPr/>
        <w:t>Incident / Complaint Mini-Log</w:t>
      </w:r>
    </w:p>
    <w:p>
      <w:r>
        <w:rPr/>
        <w:t xml:space="preserve">10. </w:t>
      </w:r>
      <w:r>
        <w:rPr/>
        <w:t>AI Change Log</w:t>
      </w:r>
    </w:p>
    <w:p>
      <w:r>
        <w:rPr/>
        <w:t xml:space="preserve">11. </w:t>
      </w:r>
      <w:r>
        <w:rPr/>
        <w:t>30-Minute Setup Guide</w:t>
      </w:r>
    </w:p>
    <w:p>
      <w:r>
        <w:rPr/>
        <w:t xml:space="preserve">12. </w:t>
      </w:r>
      <w:r>
        <w:rPr/>
        <w:t>Filled Example: AI Website or App</w:t>
      </w:r>
    </w:p>
    <w:p>
      <w:r>
        <w:rPr/>
        <w:t xml:space="preserve">13. </w:t>
      </w:r>
      <w:r>
        <w:rPr/>
        <w:t>Filled Example: Consultant or Freelancer Using AI</w:t>
      </w:r>
    </w:p>
    <w:p>
      <w:r>
        <w:rPr/>
        <w:t xml:space="preserve">14. </w:t>
      </w:r>
      <w:r>
        <w:rPr/>
        <w:t>Filled Example: Digital Product, Automation, or Micro-SaaS</w:t>
      </w:r>
    </w:p>
    <w:p>
      <w:r>
        <w:rPr/>
        <w:t>It also includes starter spreadsheets (spreadsheets/ folder): CSV versions of the Incident / Complaint Mini-Log and the AI Change Log that you can import into Excel, Google Sheets, or Airtable.</w:t>
      </w:r>
    </w:p>
    <w:p>
      <w:pPr>
        <w:pStyle w:val="Heading2"/>
      </w:pPr>
      <w:r>
        <w:t>Recommended first pass</w:t>
      </w:r>
    </w:p>
    <w:p>
      <w:r>
        <w:rPr/>
        <w:t xml:space="preserve">1. </w:t>
      </w:r>
      <w:r>
        <w:rPr/>
        <w:t>Start with the 30-Minute Setup Guide if you need a quick first record.</w:t>
      </w:r>
    </w:p>
    <w:p>
      <w:r>
        <w:rPr/>
        <w:t xml:space="preserve">2. </w:t>
      </w:r>
      <w:r>
        <w:rPr/>
        <w:t>Fill out the AI Project Snapshot so the project is clear.</w:t>
      </w:r>
    </w:p>
    <w:p>
      <w:r>
        <w:rPr/>
        <w:t xml:space="preserve">3. </w:t>
      </w:r>
      <w:r>
        <w:rPr/>
        <w:t>Review public claims with the AI Claims Checklist.</w:t>
      </w:r>
    </w:p>
    <w:p>
      <w:r>
        <w:rPr/>
        <w:t xml:space="preserve">4. </w:t>
      </w:r>
      <w:r>
        <w:rPr/>
        <w:t>Map user, customer, client, and vendor data in the User Data and Privacy Intake.</w:t>
      </w:r>
    </w:p>
    <w:p>
      <w:r>
        <w:rPr/>
        <w:t xml:space="preserve">5. </w:t>
      </w:r>
      <w:r>
        <w:rPr/>
        <w:t>Run the Red Flag Use Case Triage before launch.</w:t>
      </w:r>
    </w:p>
    <w:p>
      <w:r>
        <w:rPr/>
        <w:t xml:space="preserve">6. </w:t>
      </w:r>
      <w:r>
        <w:rPr/>
        <w:t>Record vendor/model dependencies and known limitations.</w:t>
      </w:r>
    </w:p>
    <w:p>
      <w:r>
        <w:rPr/>
        <w:t xml:space="preserve">7. </w:t>
      </w:r>
      <w:r>
        <w:rPr/>
        <w:t>Draft user-facing disclosure and FAQ language.</w:t>
      </w:r>
    </w:p>
    <w:p>
      <w:r>
        <w:rPr/>
        <w:t xml:space="preserve">8. </w:t>
      </w:r>
      <w:r>
        <w:rPr/>
        <w:t>Use the Pre-Launch AI Risk Checklist to choose a launch decision.</w:t>
      </w:r>
    </w:p>
    <w:p>
      <w:r>
        <w:rPr/>
        <w:t xml:space="preserve">9. </w:t>
      </w:r>
      <w:r>
        <w:rPr/>
        <w:t>Keep the Incident / Complaint Mini-Log and AI Change Log active after launch.</w:t>
      </w:r>
    </w:p>
    <w:p>
      <w:pPr>
        <w:pStyle w:val="Heading2"/>
      </w:pPr>
      <w:r>
        <w:t>File formats</w:t>
      </w:r>
    </w:p>
    <w:p>
      <w:pPr>
        <w:pStyle w:val="ListBullet"/>
      </w:pPr>
      <w:r>
        <w:rPr/>
        <w:t>docx/ contains editable Word-compatible documents.</w:t>
      </w:r>
    </w:p>
    <w:p>
      <w:pPr>
        <w:pStyle w:val="ListBullet"/>
      </w:pPr>
      <w:r>
        <w:rPr/>
        <w:t>pdf/ contains PDF exports for easy review or circulation.</w:t>
      </w:r>
    </w:p>
    <w:p>
      <w:pPr>
        <w:pStyle w:val="ListBullet"/>
      </w:pPr>
      <w:r>
        <w:rPr/>
        <w:t>markdown/ contains plain-text source versions as a bonus/reference format.</w:t>
      </w:r>
    </w:p>
    <w:p>
      <w:pPr>
        <w:pStyle w:val="ListBullet"/>
      </w:pPr>
      <w:r>
        <w:rPr/>
        <w:t>spreadsheets/ contains CSV starter files for the incident/complaint mini-log and the AI change log. Import them into Excel, Google Sheets, or Airtable to keep these logs as living spreadsheets.</w:t>
      </w:r>
    </w:p>
    <w:p>
      <w:r>
        <w:rPr/>
        <w:t>Most buyers should start with the DOCX files.</w:t>
      </w:r>
    </w:p>
    <w:p>
      <w:pPr>
        <w:pStyle w:val="Heading2"/>
      </w:pPr>
      <w:r>
        <w:t>Support placeholders</w:t>
      </w:r>
    </w:p>
    <w:p>
      <w:r>
        <w:rPr/>
        <w:t>Customer-facing templates use placeholders such as [your support email or contact form]. Replace these with your own support email, support contact, contact form, or company support address before using the text publicly.</w:t>
      </w:r>
    </w:p>
    <w:p>
      <w:pPr>
        <w:pStyle w:val="Heading2"/>
      </w:pPr>
      <w:r>
        <w:t>Important boundary</w:t>
      </w:r>
    </w:p>
    <w:p>
      <w:r>
        <w:rPr/>
        <w:t>These materials are educational templates and practical documentation starting points only. They are not legal advice, do not create an attorney-client relationship, do not make an AI project compliant, do not approve a use case, do not guarantee safety, and do not replace qualified legal, privacy, security, HR, procurement, platform, or sector-specific review.</w:t>
      </w:r>
    </w:p>
    <w:p>
      <w:r>
        <w:rPr/>
        <w:t>Use them to document your project, spot obvious gaps, ask better questions, and prepare before launch. Review specific obligations with qualified counsel or the appropriate advisor.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Solo Builder AI Launch Kit v1 - Educational templates,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