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69E92F6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8"/>
          <w:szCs w:val="28"/>
        </w:rPr>
        <w:t>5. 储能系统选型与经济性分析</w:t>
      </w:r>
    </w:p>
    <w:p w14:paraId="5E81CC8D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5F1D3A66">
      <w:pPr>
        <w:ind w:left="0" w:leftChars="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4"/>
          <w:szCs w:val="24"/>
        </w:rPr>
        <w:t>5.1 分析目标与方法</w:t>
      </w:r>
    </w:p>
    <w:p w14:paraId="07D929CB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5CD68440">
      <w:pPr>
        <w:ind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本章基于光伏出力数据和不同EV充电策略下的总负荷数据，对家庭储能系统的容量和功率进行双维度扫描优化，评估储能在不同配置下的技术性能与经济性，为项目整体方案提供储能选型建议。</w:t>
      </w:r>
    </w:p>
    <w:p w14:paraId="23A3C23B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713F6393">
      <w:pPr>
        <w:ind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分析范围：</w:t>
      </w:r>
    </w:p>
    <w:p w14:paraId="4BA7E2D8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储能容量：5、10、15、20、30、40 kWh（六档）</w:t>
      </w:r>
    </w:p>
    <w:p w14:paraId="23DA73D0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储能功率：2、3、5、7、10 kW（五档）</w:t>
      </w:r>
    </w:p>
    <w:p w14:paraId="5CA4DCD6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EV策略：S1（到家即充）、S2（谷时延迟）、S3（光伏富余优先）</w:t>
      </w:r>
    </w:p>
    <w:p w14:paraId="491AB6C3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评估周期：10年（电池设计寿命）</w:t>
      </w:r>
    </w:p>
    <w:p w14:paraId="6A18463A">
      <w:pPr>
        <w:ind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2909DA04">
      <w:pPr>
        <w:ind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核心约束条件：</w:t>
      </w:r>
    </w:p>
    <w:p w14:paraId="585F4448">
      <w:pPr>
        <w:ind w:left="0"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SOC范围：40%~90%，充放电效率：90%</w:t>
      </w:r>
    </w:p>
    <w:p w14:paraId="26DB20CC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电价模型：上海居民阶梯分时电价（动态切换）</w:t>
      </w:r>
    </w:p>
    <w:p w14:paraId="2E08DC53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电池成本：1500元/kWh，PCS成本：800元/kW</w:t>
      </w:r>
    </w:p>
    <w:p w14:paraId="0A378BAE">
      <w:pPr>
        <w:ind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16A90F12">
      <w:pPr>
        <w:ind w:left="0" w:leftChars="0" w:firstLine="420" w:firstLineChars="200"/>
        <w:rPr>
          <w:rFonts w:hint="eastAsia" w:ascii="方正书宋简体" w:hAnsi="方正书宋简体" w:eastAsia="方正书宋简体" w:cs="方正书宋简体"/>
          <w:b/>
          <w:bCs/>
          <w:sz w:val="24"/>
          <w:szCs w:val="24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4"/>
          <w:szCs w:val="24"/>
        </w:rPr>
        <w:t>5.2 储能对系统经济性的影响</w:t>
      </w:r>
    </w:p>
    <w:p w14:paraId="54C6A755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1C6F8548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5.2.1 无储能基准</w:t>
      </w:r>
    </w:p>
    <w:p w14:paraId="7E5D35E1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01A2EC31">
      <w:pPr>
        <w:ind w:left="0"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项目首先计算了三种EV策略下不配置储能时的年净电费作为基准：</w:t>
      </w:r>
    </w:p>
    <w:tbl>
      <w:tblPr>
        <w:tblStyle w:val="5"/>
        <w:tblW w:w="503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19"/>
        <w:gridCol w:w="2517"/>
      </w:tblGrid>
      <w:tr w14:paraId="6EAF4F7D">
        <w:tblPrEx>
          <w:tblLayout w:type="fixed"/>
        </w:tblPrEx>
        <w:trPr>
          <w:trHeight w:val="712" w:hRule="atLeast"/>
          <w:jc w:val="center"/>
        </w:trPr>
        <w:tc>
          <w:tcPr>
            <w:tcW w:w="2519" w:type="dxa"/>
            <w:shd w:val="clear" w:color="auto" w:fill="auto"/>
            <w:vAlign w:val="center"/>
          </w:tcPr>
          <w:p w14:paraId="5E665127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EV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策略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4C4AEA0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无储能年净电费（元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年）</w:t>
            </w:r>
          </w:p>
        </w:tc>
      </w:tr>
      <w:tr w14:paraId="095F7EF9">
        <w:tblPrEx>
          <w:tblLayout w:type="fixed"/>
        </w:tblPrEx>
        <w:trPr>
          <w:trHeight w:val="384" w:hRule="atLeast"/>
          <w:jc w:val="center"/>
        </w:trPr>
        <w:tc>
          <w:tcPr>
            <w:tcW w:w="2519" w:type="dxa"/>
            <w:shd w:val="clear" w:color="auto" w:fill="auto"/>
            <w:vAlign w:val="center"/>
          </w:tcPr>
          <w:p w14:paraId="756355E2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S1：到家即充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0164CCA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-5,128.72</w:t>
            </w:r>
          </w:p>
        </w:tc>
      </w:tr>
      <w:tr w14:paraId="61AF29F5">
        <w:tblPrEx>
          <w:tblLayout w:type="fixed"/>
        </w:tblPrEx>
        <w:trPr>
          <w:trHeight w:val="384" w:hRule="atLeast"/>
          <w:jc w:val="center"/>
        </w:trPr>
        <w:tc>
          <w:tcPr>
            <w:tcW w:w="2519" w:type="dxa"/>
            <w:shd w:val="clear" w:color="auto" w:fill="auto"/>
            <w:vAlign w:val="center"/>
          </w:tcPr>
          <w:p w14:paraId="5F011B51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S2：谷时延迟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35875FD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-5,729.62</w:t>
            </w:r>
          </w:p>
        </w:tc>
      </w:tr>
      <w:tr w14:paraId="49592EDA">
        <w:tblPrEx>
          <w:tblLayout w:type="fixed"/>
        </w:tblPrEx>
        <w:trPr>
          <w:trHeight w:val="384" w:hRule="atLeast"/>
          <w:jc w:val="center"/>
        </w:trPr>
        <w:tc>
          <w:tcPr>
            <w:tcW w:w="2519" w:type="dxa"/>
            <w:shd w:val="clear" w:color="auto" w:fill="auto"/>
            <w:vAlign w:val="center"/>
          </w:tcPr>
          <w:p w14:paraId="0272171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S3：光伏富余优先</w:t>
            </w:r>
          </w:p>
        </w:tc>
        <w:tc>
          <w:tcPr>
            <w:tcW w:w="2517" w:type="dxa"/>
            <w:shd w:val="clear" w:color="auto" w:fill="auto"/>
            <w:vAlign w:val="center"/>
          </w:tcPr>
          <w:p w14:paraId="7F9830C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-5,730.26</w:t>
            </w:r>
          </w:p>
        </w:tc>
      </w:tr>
    </w:tbl>
    <w:p w14:paraId="48D038A7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14A48EDC">
      <w:pPr>
        <w:ind w:leftChars="6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三种策略下无储能年净电费均为负值，说明在14kWp光伏装机下，光伏发电上网卖电收入已超过家庭从电网购电支出。其中S2和S3策略进一步提升了卖电收益，表明优化EV充电时段是一种低成本的有效手段。</w:t>
      </w:r>
    </w:p>
    <w:p w14:paraId="75D14AAC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194A5291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5.2.2 储能扫描结果</w:t>
      </w:r>
    </w:p>
    <w:p w14:paraId="56843B9D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35AD1C6A">
      <w:pPr>
        <w:ind w:left="0"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以S1策略为例，不同容量/功率配置下的年电费如下：</w:t>
      </w:r>
    </w:p>
    <w:p w14:paraId="09C82B21">
      <w:pPr>
        <w:ind w:left="0"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tbl>
      <w:tblPr>
        <w:tblStyle w:val="5"/>
        <w:tblW w:w="6972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1162"/>
        <w:gridCol w:w="1162"/>
        <w:gridCol w:w="1162"/>
        <w:gridCol w:w="1162"/>
        <w:gridCol w:w="1162"/>
      </w:tblGrid>
      <w:tr w14:paraId="6D6E69AB">
        <w:tblPrEx>
          <w:tblLayout w:type="fixed"/>
        </w:tblPrEx>
        <w:trPr>
          <w:trHeight w:val="327" w:hRule="atLeast"/>
          <w:jc w:val="center"/>
        </w:trPr>
        <w:tc>
          <w:tcPr>
            <w:tcW w:w="1162" w:type="dxa"/>
            <w:shd w:val="clear" w:color="auto" w:fill="auto"/>
            <w:vAlign w:val="center"/>
          </w:tcPr>
          <w:p w14:paraId="6E20CF8E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容量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\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功率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709AB90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2kW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40D6D94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3kW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059B666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5kW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5C9BD2F2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7kW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11A25A3F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10kW</w:t>
            </w:r>
          </w:p>
        </w:tc>
      </w:tr>
      <w:tr w14:paraId="796C3334">
        <w:tblPrEx>
          <w:tblLayout w:type="fixed"/>
        </w:tblPrEx>
        <w:trPr>
          <w:trHeight w:val="327" w:hRule="atLeast"/>
          <w:jc w:val="center"/>
        </w:trPr>
        <w:tc>
          <w:tcPr>
            <w:tcW w:w="1162" w:type="dxa"/>
            <w:shd w:val="clear" w:color="auto" w:fill="auto"/>
            <w:vAlign w:val="center"/>
          </w:tcPr>
          <w:p w14:paraId="049D42F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1691991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-3,519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3311F16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-3,520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0353B10B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-3,521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07C86A56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—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7FC5CD8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—</w:t>
            </w:r>
          </w:p>
        </w:tc>
      </w:tr>
      <w:tr w14:paraId="6C45FB35">
        <w:tblPrEx>
          <w:tblLayout w:type="fixed"/>
        </w:tblPrEx>
        <w:trPr>
          <w:trHeight w:val="327" w:hRule="atLeast"/>
          <w:jc w:val="center"/>
        </w:trPr>
        <w:tc>
          <w:tcPr>
            <w:tcW w:w="1162" w:type="dxa"/>
            <w:shd w:val="clear" w:color="auto" w:fill="auto"/>
            <w:vAlign w:val="center"/>
          </w:tcPr>
          <w:p w14:paraId="76DDABD2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573D64FB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-3,415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629731C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-3,422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5AA9044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-3,430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0A72FDB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-3,435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0C0FFD1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-3,440</w:t>
            </w:r>
          </w:p>
        </w:tc>
      </w:tr>
      <w:tr w14:paraId="3507BA89">
        <w:tblPrEx>
          <w:tblLayout w:type="fixed"/>
        </w:tblPrEx>
        <w:trPr>
          <w:trHeight w:val="327" w:hRule="atLeast"/>
          <w:jc w:val="center"/>
        </w:trPr>
        <w:tc>
          <w:tcPr>
            <w:tcW w:w="1162" w:type="dxa"/>
            <w:shd w:val="clear" w:color="auto" w:fill="auto"/>
            <w:vAlign w:val="center"/>
          </w:tcPr>
          <w:p w14:paraId="1C70672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5A61EAE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-3,350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446191B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-3,360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31405626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-3,375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161502D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-3,385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0A37879B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-3,395</w:t>
            </w:r>
          </w:p>
        </w:tc>
      </w:tr>
      <w:tr w14:paraId="7281F5FC">
        <w:tblPrEx>
          <w:tblLayout w:type="fixed"/>
        </w:tblPrEx>
        <w:trPr>
          <w:trHeight w:val="327" w:hRule="atLeast"/>
          <w:jc w:val="center"/>
        </w:trPr>
        <w:tc>
          <w:tcPr>
            <w:tcW w:w="1162" w:type="dxa"/>
            <w:shd w:val="clear" w:color="auto" w:fill="auto"/>
            <w:vAlign w:val="center"/>
          </w:tcPr>
          <w:p w14:paraId="5493AA4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0E28299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-3,305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59D04A4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-3,318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2CBDE26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-3,335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3FDF3D2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-3,348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63CB753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-3,360</w:t>
            </w:r>
          </w:p>
        </w:tc>
      </w:tr>
      <w:tr w14:paraId="4EC323C3">
        <w:tblPrEx>
          <w:tblLayout w:type="fixed"/>
        </w:tblPrEx>
        <w:trPr>
          <w:trHeight w:val="327" w:hRule="atLeast"/>
          <w:jc w:val="center"/>
        </w:trPr>
        <w:tc>
          <w:tcPr>
            <w:tcW w:w="1162" w:type="dxa"/>
            <w:shd w:val="clear" w:color="auto" w:fill="auto"/>
            <w:vAlign w:val="center"/>
          </w:tcPr>
          <w:p w14:paraId="1C268A6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35125BD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-3,250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029C34AB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-3,265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1C97C1E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-3,285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5AAC5197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-3,300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39601E9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-3,315</w:t>
            </w:r>
          </w:p>
        </w:tc>
      </w:tr>
      <w:tr w14:paraId="1E743B0C">
        <w:tblPrEx>
          <w:tblLayout w:type="fixed"/>
        </w:tblPrEx>
        <w:trPr>
          <w:trHeight w:val="327" w:hRule="atLeast"/>
          <w:jc w:val="center"/>
        </w:trPr>
        <w:tc>
          <w:tcPr>
            <w:tcW w:w="1162" w:type="dxa"/>
            <w:shd w:val="clear" w:color="auto" w:fill="auto"/>
            <w:vAlign w:val="center"/>
          </w:tcPr>
          <w:p w14:paraId="30CBBECB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09C5336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-3,200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6C9E0AC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-3,220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297934A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-3,240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45504A7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-3,258</w:t>
            </w:r>
          </w:p>
        </w:tc>
        <w:tc>
          <w:tcPr>
            <w:tcW w:w="1162" w:type="dxa"/>
            <w:shd w:val="clear" w:color="auto" w:fill="auto"/>
            <w:vAlign w:val="center"/>
          </w:tcPr>
          <w:p w14:paraId="2399595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-3,275</w:t>
            </w:r>
          </w:p>
        </w:tc>
      </w:tr>
    </w:tbl>
    <w:p w14:paraId="2C153613">
      <w:pPr>
        <w:ind w:left="0" w:leftChars="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  <w:lang w:eastAsia="zh-CN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注："—"表示功率大于容量的无效组合。数值单位为元/年</w:t>
      </w:r>
      <w:r>
        <w:rPr>
          <w:rFonts w:hint="eastAsia" w:ascii="方正书宋简体" w:hAnsi="方正书宋简体" w:eastAsia="方正书宋简体" w:cs="方正书宋简体"/>
          <w:sz w:val="21"/>
          <w:szCs w:val="21"/>
          <w:lang w:eastAsia="zh-CN"/>
        </w:rPr>
        <w:t>。</w:t>
      </w:r>
    </w:p>
    <w:p w14:paraId="68E7A51F">
      <w:pPr>
        <w:ind w:left="0" w:leftChars="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  <w:lang w:eastAsia="zh-CN"/>
        </w:rPr>
      </w:pPr>
    </w:p>
    <w:p w14:paraId="313E9BDA">
      <w:pPr>
        <w:ind w:left="0"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关键发现：</w:t>
      </w:r>
    </w:p>
    <w:p w14:paraId="3CB33EF1">
      <w:pPr>
        <w:ind w:leftChars="6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容量增大使年电费趋近于0：容量从5kWh增至40kWh，年电费从约-3,520元上升至约-3,250元，即卖电收入减少约270元/年。储能将部分原本可上网卖电的光伏电量储存起来，减少了卖电收入。</w:t>
      </w:r>
    </w:p>
    <w:p w14:paraId="1F508CF3">
      <w:pPr>
        <w:ind w:leftChars="6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功率变化对年电费影响有限：同一容量下，功率从2kW增至10kW，年电费改善仅约20~50元/年。对家庭储能场景，2~3kW已足够。</w:t>
      </w:r>
    </w:p>
    <w:p w14:paraId="150C2452">
      <w:pPr>
        <w:ind w:leftChars="6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  <w:lang w:eastAsia="zh-CN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经济性拐点明显：容量超过15kWh后，年电费改善趋于平缓，而投资成本线性增加，回收期急剧延长</w:t>
      </w:r>
      <w:r>
        <w:rPr>
          <w:rFonts w:hint="eastAsia" w:ascii="方正书宋简体" w:hAnsi="方正书宋简体" w:eastAsia="方正书宋简体" w:cs="方正书宋简体"/>
          <w:sz w:val="21"/>
          <w:szCs w:val="21"/>
          <w:lang w:eastAsia="zh-CN"/>
        </w:rPr>
        <w:t>。</w:t>
      </w:r>
    </w:p>
    <w:p w14:paraId="236C24D9">
      <w:pPr>
        <w:ind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  <w:lang w:eastAsia="zh-CN"/>
        </w:rPr>
      </w:pPr>
    </w:p>
    <w:p w14:paraId="362DE89B">
      <w:pPr>
        <w:ind w:left="0" w:leftChars="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4"/>
          <w:szCs w:val="24"/>
        </w:rPr>
        <w:t>5.3 经济性评估</w:t>
      </w:r>
    </w:p>
    <w:p w14:paraId="24F1BAC8">
      <w:pPr>
        <w:ind w:left="0" w:leftChars="0" w:firstLine="0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198B5E83">
      <w:pPr>
        <w:ind w:left="0"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5.3.1 投资与回收期</w:t>
      </w:r>
    </w:p>
    <w:p w14:paraId="73FE3B15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217FF6B0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tbl>
      <w:tblPr>
        <w:tblStyle w:val="5"/>
        <w:tblW w:w="7261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5"/>
        <w:gridCol w:w="1817"/>
        <w:gridCol w:w="1814"/>
        <w:gridCol w:w="1815"/>
      </w:tblGrid>
      <w:tr w14:paraId="3B499021">
        <w:tblPrEx>
          <w:tblLayout w:type="fixed"/>
        </w:tblPrEx>
        <w:trPr>
          <w:trHeight w:val="285" w:hRule="atLeast"/>
          <w:jc w:val="center"/>
        </w:trPr>
        <w:tc>
          <w:tcPr>
            <w:tcW w:w="1815" w:type="dxa"/>
            <w:shd w:val="clear" w:color="auto" w:fill="auto"/>
            <w:vAlign w:val="center"/>
          </w:tcPr>
          <w:p w14:paraId="407E9EE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配置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12A8B2A7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投资成本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(元)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39CA87A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年节省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(元)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4E5B470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静态回收期</w:t>
            </w:r>
          </w:p>
        </w:tc>
      </w:tr>
      <w:tr w14:paraId="36162ED5">
        <w:tblPrEx>
          <w:tblLayout w:type="fixed"/>
        </w:tblPrEx>
        <w:trPr>
          <w:trHeight w:val="285" w:hRule="atLeast"/>
          <w:jc w:val="center"/>
        </w:trPr>
        <w:tc>
          <w:tcPr>
            <w:tcW w:w="1815" w:type="dxa"/>
            <w:shd w:val="clear" w:color="auto" w:fill="auto"/>
            <w:vAlign w:val="center"/>
          </w:tcPr>
          <w:p w14:paraId="21055CC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38154B7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9,100.00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2EBEA54B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-1,610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735858BB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大于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</w:p>
        </w:tc>
      </w:tr>
      <w:tr w14:paraId="3B9F54D5">
        <w:tblPrEx>
          <w:tblLayout w:type="fixed"/>
        </w:tblPrEx>
        <w:trPr>
          <w:trHeight w:val="285" w:hRule="atLeast"/>
          <w:jc w:val="center"/>
        </w:trPr>
        <w:tc>
          <w:tcPr>
            <w:tcW w:w="1815" w:type="dxa"/>
            <w:shd w:val="clear" w:color="auto" w:fill="auto"/>
            <w:vAlign w:val="center"/>
          </w:tcPr>
          <w:p w14:paraId="673A333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71571DCE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17,400.00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114C71F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-1,707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3C002C7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大于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</w:p>
        </w:tc>
      </w:tr>
      <w:tr w14:paraId="187050A9">
        <w:tblPrEx>
          <w:tblLayout w:type="fixed"/>
        </w:tblPrEx>
        <w:trPr>
          <w:trHeight w:val="285" w:hRule="atLeast"/>
          <w:jc w:val="center"/>
        </w:trPr>
        <w:tc>
          <w:tcPr>
            <w:tcW w:w="1815" w:type="dxa"/>
            <w:shd w:val="clear" w:color="auto" w:fill="auto"/>
            <w:vAlign w:val="center"/>
          </w:tcPr>
          <w:p w14:paraId="7B3DD64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47B36317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26,500.00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3F6FCBC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-1,754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60A174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无法回收</w:t>
            </w:r>
          </w:p>
        </w:tc>
      </w:tr>
      <w:tr w14:paraId="5572EB89">
        <w:tblPrEx>
          <w:tblLayout w:type="fixed"/>
        </w:tblPrEx>
        <w:trPr>
          <w:trHeight w:val="285" w:hRule="atLeast"/>
          <w:jc w:val="center"/>
        </w:trPr>
        <w:tc>
          <w:tcPr>
            <w:tcW w:w="1815" w:type="dxa"/>
            <w:shd w:val="clear" w:color="auto" w:fill="auto"/>
            <w:vAlign w:val="center"/>
          </w:tcPr>
          <w:p w14:paraId="656F041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7C772DB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34,000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3719866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-1,794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C12C5E1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无法回收</w:t>
            </w:r>
          </w:p>
        </w:tc>
      </w:tr>
      <w:tr w14:paraId="26C120E8">
        <w:tblPrEx>
          <w:tblLayout w:type="fixed"/>
        </w:tblPrEx>
        <w:trPr>
          <w:trHeight w:val="285" w:hRule="atLeast"/>
          <w:jc w:val="center"/>
        </w:trPr>
        <w:tc>
          <w:tcPr>
            <w:tcW w:w="1815" w:type="dxa"/>
            <w:shd w:val="clear" w:color="auto" w:fill="auto"/>
            <w:vAlign w:val="center"/>
          </w:tcPr>
          <w:p w14:paraId="0EFDC3C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2805654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50,600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1BFB6FF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-1,829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EE5C1C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无法回收</w:t>
            </w:r>
          </w:p>
        </w:tc>
      </w:tr>
      <w:tr w14:paraId="1EB19997">
        <w:tblPrEx>
          <w:tblLayout w:type="fixed"/>
        </w:tblPrEx>
        <w:trPr>
          <w:trHeight w:val="285" w:hRule="atLeast"/>
          <w:jc w:val="center"/>
        </w:trPr>
        <w:tc>
          <w:tcPr>
            <w:tcW w:w="1815" w:type="dxa"/>
            <w:shd w:val="clear" w:color="auto" w:fill="auto"/>
            <w:vAlign w:val="center"/>
          </w:tcPr>
          <w:p w14:paraId="297C2A6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817" w:type="dxa"/>
            <w:shd w:val="clear" w:color="auto" w:fill="auto"/>
            <w:vAlign w:val="center"/>
          </w:tcPr>
          <w:p w14:paraId="1712A14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68,000</w:t>
            </w:r>
          </w:p>
        </w:tc>
        <w:tc>
          <w:tcPr>
            <w:tcW w:w="1814" w:type="dxa"/>
            <w:shd w:val="clear" w:color="auto" w:fill="auto"/>
            <w:vAlign w:val="center"/>
          </w:tcPr>
          <w:p w14:paraId="4AF14742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-1,854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6DCE085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无法回收</w:t>
            </w:r>
          </w:p>
        </w:tc>
      </w:tr>
    </w:tbl>
    <w:p w14:paraId="1F4FD3C0">
      <w:pPr>
        <w:ind w:left="0" w:leftChars="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 xml:space="preserve">年节省 = 无储能成本 </w:t>
      </w:r>
      <w:r>
        <w:rPr>
          <w:rFonts w:hint="eastAsia" w:ascii="方正书宋简体" w:hAnsi="方正书宋简体" w:eastAsia="方正书宋简体" w:cs="方正书宋简体"/>
          <w:sz w:val="21"/>
          <w:szCs w:val="21"/>
          <w:lang w:eastAsia="zh-CN"/>
        </w:rPr>
        <w:t>-</w:t>
      </w:r>
      <w:r>
        <w:rPr>
          <w:rFonts w:hint="eastAsia" w:ascii="方正书宋简体" w:hAnsi="方正书宋简体" w:eastAsia="方正书宋简体" w:cs="方正书宋简体"/>
          <w:sz w:val="21"/>
          <w:szCs w:val="21"/>
        </w:rPr>
        <w:t xml:space="preserve"> 有储能成本 </w:t>
      </w:r>
      <w:r>
        <w:rPr>
          <w:rFonts w:hint="eastAsia" w:ascii="方正书宋简体" w:hAnsi="方正书宋简体" w:eastAsia="方正书宋简体" w:cs="方正书宋简体"/>
          <w:sz w:val="21"/>
          <w:szCs w:val="21"/>
          <w:lang w:eastAsia="zh-CN"/>
        </w:rPr>
        <w:t>-</w:t>
      </w:r>
      <w:r>
        <w:rPr>
          <w:rFonts w:hint="eastAsia" w:ascii="方正书宋简体" w:hAnsi="方正书宋简体" w:eastAsia="方正书宋简体" w:cs="方正书宋简体"/>
          <w:sz w:val="21"/>
          <w:szCs w:val="21"/>
        </w:rPr>
        <w:t xml:space="preserve"> 年运维成本</w:t>
      </w:r>
    </w:p>
    <w:p w14:paraId="196E5DAB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182338E9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核心结论：</w:t>
      </w:r>
    </w:p>
    <w:p w14:paraId="77EBF949">
      <w:pPr>
        <w:numPr>
          <w:ilvl w:val="0"/>
          <w:numId w:val="1"/>
        </w:numPr>
        <w:ind w:left="840" w:leftChars="0" w:hanging="420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所有储能方案的静态回收期均超过10年电池寿命，无法在经济寿命内收回投资；</w:t>
      </w:r>
    </w:p>
    <w:p w14:paraId="07976688">
      <w:pPr>
        <w:numPr>
          <w:ilvl w:val="0"/>
          <w:numId w:val="1"/>
        </w:numPr>
        <w:ind w:left="840" w:leftChars="0" w:hanging="420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年节省电费全部为负，配置储能后年度总费用高于不配置储能；</w:t>
      </w:r>
    </w:p>
    <w:p w14:paraId="3F9439B2">
      <w:pPr>
        <w:numPr>
          <w:ilvl w:val="0"/>
          <w:numId w:val="1"/>
        </w:numPr>
        <w:ind w:left="840" w:leftChars="0" w:hanging="420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容量从5kWh增至40kWh，投资增加58,900元，年电费仅改善约270元，投入产出比极低。</w:t>
      </w:r>
    </w:p>
    <w:p w14:paraId="49BD6A58">
      <w:pPr>
        <w:numPr>
          <w:ilvl w:val="0"/>
          <w:numId w:val="0"/>
        </w:numPr>
        <w:ind w:left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2BC67121">
      <w:pPr>
        <w:ind w:leftChars="200" w:firstLine="420" w:firstLineChars="200"/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5.3.2 等效循环次数</w:t>
      </w:r>
    </w:p>
    <w:p w14:paraId="5AC89989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tbl>
      <w:tblPr>
        <w:tblStyle w:val="5"/>
        <w:tblW w:w="5701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5"/>
        <w:gridCol w:w="1426"/>
        <w:gridCol w:w="1425"/>
        <w:gridCol w:w="1425"/>
      </w:tblGrid>
      <w:tr w14:paraId="5715E6EF">
        <w:tblPrEx>
          <w:tblLayout w:type="fixed"/>
        </w:tblPrEx>
        <w:trPr>
          <w:trHeight w:val="428" w:hRule="atLeast"/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3659A241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容量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149C4BE9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年等效循环次数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12067E71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年累计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237DE73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寿命评估</w:t>
            </w:r>
          </w:p>
        </w:tc>
      </w:tr>
      <w:tr w14:paraId="3823062E">
        <w:tblPrEx>
          <w:tblLayout w:type="fixed"/>
        </w:tblPrEx>
        <w:trPr>
          <w:trHeight w:val="428" w:hRule="atLeast"/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4B8018AF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40E906B7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221.8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5E54537A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2,218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F2F9686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在寿命范围内</w:t>
            </w:r>
          </w:p>
        </w:tc>
      </w:tr>
      <w:tr w14:paraId="72AD3D44">
        <w:tblPrEx>
          <w:tblLayout w:type="fixed"/>
        </w:tblPrEx>
        <w:trPr>
          <w:trHeight w:val="428" w:hRule="atLeast"/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764EB154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23BA8C1F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约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34F42B1F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1,200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E39B1EE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在寿命范围内</w:t>
            </w:r>
          </w:p>
        </w:tc>
      </w:tr>
      <w:tr w14:paraId="32177408">
        <w:tblPrEx>
          <w:tblLayout w:type="fixed"/>
        </w:tblPrEx>
        <w:trPr>
          <w:trHeight w:val="327" w:hRule="atLeast"/>
          <w:jc w:val="center"/>
        </w:trPr>
        <w:tc>
          <w:tcPr>
            <w:tcW w:w="1425" w:type="dxa"/>
            <w:shd w:val="clear" w:color="auto" w:fill="auto"/>
            <w:vAlign w:val="center"/>
          </w:tcPr>
          <w:p w14:paraId="37967D6C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15~40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1426" w:type="dxa"/>
            <w:shd w:val="clear" w:color="auto" w:fill="auto"/>
            <w:vAlign w:val="center"/>
          </w:tcPr>
          <w:p w14:paraId="59D18DF5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40~85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29229440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400~850</w:t>
            </w:r>
          </w:p>
        </w:tc>
        <w:tc>
          <w:tcPr>
            <w:tcW w:w="1425" w:type="dxa"/>
            <w:shd w:val="clear" w:color="auto" w:fill="auto"/>
            <w:vAlign w:val="center"/>
          </w:tcPr>
          <w:p w14:paraId="0B9096A8">
            <w:pPr>
              <w:widowControl/>
              <w:jc w:val="left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在寿命范围内</w:t>
            </w:r>
          </w:p>
        </w:tc>
      </w:tr>
    </w:tbl>
    <w:p w14:paraId="0513FBF2">
      <w:pPr>
        <w:ind w:left="0"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本项目等效循环次数远低于磷酸铁锂电池设计值（4,000~6,000次），储能利用率很低，进一步拉低了经济性。</w:t>
      </w:r>
    </w:p>
    <w:p w14:paraId="2405B4C4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6EF052FA">
      <w:pPr>
        <w:ind w:leftChars="200" w:firstLine="420" w:firstLineChars="200"/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5.3.3 自发自用率</w:t>
      </w:r>
    </w:p>
    <w:p w14:paraId="281D288D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48D87C62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各方案自发自用率普遍偏低（18%~19%）：</w:t>
      </w:r>
    </w:p>
    <w:p w14:paraId="322A9558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tbl>
      <w:tblPr>
        <w:tblStyle w:val="5"/>
        <w:tblW w:w="695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8"/>
        <w:gridCol w:w="2320"/>
        <w:gridCol w:w="2318"/>
      </w:tblGrid>
      <w:tr w14:paraId="2425C147">
        <w:tblPrEx>
          <w:tblLayout w:type="fixed"/>
        </w:tblPrEx>
        <w:trPr>
          <w:trHeight w:val="460" w:hRule="atLeast"/>
          <w:jc w:val="center"/>
        </w:trPr>
        <w:tc>
          <w:tcPr>
            <w:tcW w:w="2318" w:type="dxa"/>
            <w:shd w:val="clear" w:color="auto" w:fill="auto"/>
            <w:vAlign w:val="center"/>
          </w:tcPr>
          <w:p w14:paraId="610E1156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容量</w:t>
            </w:r>
          </w:p>
        </w:tc>
        <w:tc>
          <w:tcPr>
            <w:tcW w:w="2320" w:type="dxa"/>
            <w:shd w:val="clear" w:color="auto" w:fill="auto"/>
            <w:vAlign w:val="center"/>
          </w:tcPr>
          <w:p w14:paraId="7C9349D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自发自用率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6B619BA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较无储能提升</w:t>
            </w:r>
          </w:p>
        </w:tc>
      </w:tr>
      <w:tr w14:paraId="15F777CA">
        <w:tblPrEx>
          <w:tblLayout w:type="fixed"/>
        </w:tblPrEx>
        <w:trPr>
          <w:trHeight w:val="460" w:hRule="atLeast"/>
          <w:jc w:val="center"/>
        </w:trPr>
        <w:tc>
          <w:tcPr>
            <w:tcW w:w="2318" w:type="dxa"/>
            <w:shd w:val="clear" w:color="auto" w:fill="auto"/>
            <w:vAlign w:val="center"/>
          </w:tcPr>
          <w:p w14:paraId="34EA491E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无储能</w:t>
            </w:r>
          </w:p>
        </w:tc>
        <w:tc>
          <w:tcPr>
            <w:tcW w:w="2320" w:type="dxa"/>
            <w:shd w:val="clear" w:color="auto" w:fill="auto"/>
            <w:vAlign w:val="center"/>
          </w:tcPr>
          <w:p w14:paraId="5C37EF6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约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15%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73F91BE1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—</w:t>
            </w:r>
          </w:p>
        </w:tc>
      </w:tr>
      <w:tr w14:paraId="0D65B534">
        <w:tblPrEx>
          <w:tblLayout w:type="fixed"/>
        </w:tblPrEx>
        <w:trPr>
          <w:trHeight w:val="460" w:hRule="atLeast"/>
          <w:jc w:val="center"/>
        </w:trPr>
        <w:tc>
          <w:tcPr>
            <w:tcW w:w="2318" w:type="dxa"/>
            <w:shd w:val="clear" w:color="auto" w:fill="auto"/>
            <w:vAlign w:val="center"/>
          </w:tcPr>
          <w:p w14:paraId="7DA32E87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2320" w:type="dxa"/>
            <w:shd w:val="clear" w:color="auto" w:fill="auto"/>
            <w:vAlign w:val="center"/>
          </w:tcPr>
          <w:p w14:paraId="5AD1568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18.20%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5FCB3376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3.20%</w:t>
            </w:r>
          </w:p>
        </w:tc>
      </w:tr>
      <w:tr w14:paraId="171CD72D">
        <w:tblPrEx>
          <w:tblLayout w:type="fixed"/>
        </w:tblPrEx>
        <w:trPr>
          <w:trHeight w:val="460" w:hRule="atLeast"/>
          <w:jc w:val="center"/>
        </w:trPr>
        <w:tc>
          <w:tcPr>
            <w:tcW w:w="2318" w:type="dxa"/>
            <w:shd w:val="clear" w:color="auto" w:fill="auto"/>
            <w:vAlign w:val="center"/>
          </w:tcPr>
          <w:p w14:paraId="509ABD7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2320" w:type="dxa"/>
            <w:shd w:val="clear" w:color="auto" w:fill="auto"/>
            <w:vAlign w:val="center"/>
          </w:tcPr>
          <w:p w14:paraId="58DA23A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18.50%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66A7C63F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3.50%</w:t>
            </w:r>
          </w:p>
        </w:tc>
      </w:tr>
      <w:tr w14:paraId="4CA7BD81">
        <w:tblPrEx>
          <w:tblLayout w:type="fixed"/>
        </w:tblPrEx>
        <w:trPr>
          <w:trHeight w:val="460" w:hRule="atLeast"/>
          <w:jc w:val="center"/>
        </w:trPr>
        <w:tc>
          <w:tcPr>
            <w:tcW w:w="2318" w:type="dxa"/>
            <w:shd w:val="clear" w:color="auto" w:fill="auto"/>
            <w:vAlign w:val="center"/>
          </w:tcPr>
          <w:p w14:paraId="5788928F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2320" w:type="dxa"/>
            <w:shd w:val="clear" w:color="auto" w:fill="auto"/>
            <w:vAlign w:val="center"/>
          </w:tcPr>
          <w:p w14:paraId="0F92BC0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18.70%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104C9AD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3.70%</w:t>
            </w:r>
          </w:p>
        </w:tc>
      </w:tr>
      <w:tr w14:paraId="554BFFA2">
        <w:tblPrEx>
          <w:tblLayout w:type="fixed"/>
        </w:tblPrEx>
        <w:trPr>
          <w:trHeight w:val="460" w:hRule="atLeast"/>
          <w:jc w:val="center"/>
        </w:trPr>
        <w:tc>
          <w:tcPr>
            <w:tcW w:w="2318" w:type="dxa"/>
            <w:shd w:val="clear" w:color="auto" w:fill="auto"/>
            <w:vAlign w:val="center"/>
          </w:tcPr>
          <w:p w14:paraId="1C4D202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2320" w:type="dxa"/>
            <w:shd w:val="clear" w:color="auto" w:fill="auto"/>
            <w:vAlign w:val="center"/>
          </w:tcPr>
          <w:p w14:paraId="340A444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18.90%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198691D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3.90%</w:t>
            </w:r>
          </w:p>
        </w:tc>
      </w:tr>
      <w:tr w14:paraId="697919BF">
        <w:tblPrEx>
          <w:tblLayout w:type="fixed"/>
        </w:tblPrEx>
        <w:trPr>
          <w:trHeight w:val="460" w:hRule="atLeast"/>
          <w:jc w:val="center"/>
        </w:trPr>
        <w:tc>
          <w:tcPr>
            <w:tcW w:w="2318" w:type="dxa"/>
            <w:shd w:val="clear" w:color="auto" w:fill="auto"/>
            <w:vAlign w:val="center"/>
          </w:tcPr>
          <w:p w14:paraId="0AB201C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2320" w:type="dxa"/>
            <w:shd w:val="clear" w:color="auto" w:fill="auto"/>
            <w:vAlign w:val="center"/>
          </w:tcPr>
          <w:p w14:paraId="4120C44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19.10%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0ACF7E46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4.10%</w:t>
            </w:r>
          </w:p>
        </w:tc>
      </w:tr>
      <w:tr w14:paraId="7C708813">
        <w:tblPrEx>
          <w:tblLayout w:type="fixed"/>
        </w:tblPrEx>
        <w:trPr>
          <w:trHeight w:val="460" w:hRule="atLeast"/>
          <w:jc w:val="center"/>
        </w:trPr>
        <w:tc>
          <w:tcPr>
            <w:tcW w:w="2318" w:type="dxa"/>
            <w:shd w:val="clear" w:color="auto" w:fill="auto"/>
            <w:vAlign w:val="center"/>
          </w:tcPr>
          <w:p w14:paraId="7F07DC8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</w:p>
        </w:tc>
        <w:tc>
          <w:tcPr>
            <w:tcW w:w="2320" w:type="dxa"/>
            <w:shd w:val="clear" w:color="auto" w:fill="auto"/>
            <w:vAlign w:val="center"/>
          </w:tcPr>
          <w:p w14:paraId="5472405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19.30%</w:t>
            </w:r>
          </w:p>
        </w:tc>
        <w:tc>
          <w:tcPr>
            <w:tcW w:w="2318" w:type="dxa"/>
            <w:shd w:val="clear" w:color="auto" w:fill="auto"/>
            <w:vAlign w:val="center"/>
          </w:tcPr>
          <w:p w14:paraId="58AAA896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4.30%</w:t>
            </w:r>
          </w:p>
        </w:tc>
      </w:tr>
    </w:tbl>
    <w:p w14:paraId="0E0F9BFB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711BED2D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偏低的根本原因：</w:t>
      </w:r>
    </w:p>
    <w:p w14:paraId="10A1B922">
      <w:pPr>
        <w:numPr>
          <w:ilvl w:val="0"/>
          <w:numId w:val="2"/>
        </w:numPr>
        <w:ind w:left="840" w:leftChars="0" w:hanging="420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14kWp光伏相对家庭负荷偏大，光伏发电量远超自用能力；</w:t>
      </w:r>
    </w:p>
    <w:p w14:paraId="7161E46E">
      <w:pPr>
        <w:numPr>
          <w:ilvl w:val="0"/>
          <w:numId w:val="2"/>
        </w:numPr>
        <w:ind w:left="840" w:leftChars="0" w:hanging="420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光伏出力集中在白天，与早晚用电高峰错配；</w:t>
      </w:r>
    </w:p>
    <w:p w14:paraId="6CED73FC">
      <w:pPr>
        <w:numPr>
          <w:ilvl w:val="0"/>
          <w:numId w:val="2"/>
        </w:numPr>
        <w:ind w:left="840" w:leftChars="0" w:hanging="420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上网电价与谷段购电价仅差0.1085元/kWh，储能套利空间极为有限。</w:t>
      </w:r>
    </w:p>
    <w:p w14:paraId="2DB4F823">
      <w:pPr>
        <w:numPr>
          <w:ilvl w:val="0"/>
          <w:numId w:val="0"/>
        </w:numPr>
        <w:ind w:left="420" w:left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24ECAE30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在14kWp光伏配置下，家庭已基本实现"用电自给+卖电赚钱"，储能的边际贡献极低。</w:t>
      </w:r>
    </w:p>
    <w:p w14:paraId="44D71B31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38AB7735">
      <w:pPr>
        <w:ind w:left="0" w:leftChars="0" w:firstLine="420" w:firstLineChars="200"/>
        <w:rPr>
          <w:rFonts w:hint="eastAsia" w:ascii="方正书宋简体" w:hAnsi="方正书宋简体" w:eastAsia="方正书宋简体" w:cs="方正书宋简体"/>
          <w:b/>
          <w:bCs/>
          <w:sz w:val="24"/>
          <w:szCs w:val="24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4"/>
          <w:szCs w:val="24"/>
        </w:rPr>
        <w:t>5.4 储能综合评估</w:t>
      </w:r>
    </w:p>
    <w:p w14:paraId="1FDD23FC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715EC556">
      <w:pPr>
        <w:ind w:leftChars="200" w:firstLine="420" w:firstLineChars="200"/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5.4.1 三类候选方案</w:t>
      </w:r>
    </w:p>
    <w:p w14:paraId="51FE1932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1921AF5E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由于所有储能方案均无法实现正收益，三类候选方案根据"损失最小化"原则筛选，结果均收敛至同一配置：</w:t>
      </w:r>
    </w:p>
    <w:p w14:paraId="4FB27C99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tbl>
      <w:tblPr>
        <w:tblStyle w:val="5"/>
        <w:tblW w:w="7483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245"/>
        <w:gridCol w:w="1250"/>
        <w:gridCol w:w="1247"/>
        <w:gridCol w:w="1246"/>
        <w:gridCol w:w="1247"/>
      </w:tblGrid>
      <w:tr w14:paraId="7A875007">
        <w:tblPrEx>
          <w:tblLayout w:type="fixed"/>
        </w:tblPrEx>
        <w:trPr>
          <w:trHeight w:val="367" w:hRule="atLeast"/>
          <w:jc w:val="center"/>
        </w:trPr>
        <w:tc>
          <w:tcPr>
            <w:tcW w:w="1248" w:type="dxa"/>
            <w:shd w:val="clear" w:color="auto" w:fill="auto"/>
            <w:vAlign w:val="center"/>
          </w:tcPr>
          <w:p w14:paraId="4BFE3A6F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方案类型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7450073F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筛选标准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31E167C7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配置结果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4A5A61B1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年电费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(元)</w:t>
            </w:r>
          </w:p>
        </w:tc>
        <w:tc>
          <w:tcPr>
            <w:tcW w:w="1246" w:type="dxa"/>
            <w:shd w:val="clear" w:color="auto" w:fill="auto"/>
            <w:vAlign w:val="center"/>
          </w:tcPr>
          <w:p w14:paraId="5D35DAFB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投资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(元)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534594D1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回收期</w:t>
            </w:r>
          </w:p>
        </w:tc>
      </w:tr>
      <w:tr w14:paraId="0BB47ABE">
        <w:tblPrEx>
          <w:tblLayout w:type="fixed"/>
        </w:tblPrEx>
        <w:trPr>
          <w:trHeight w:val="631" w:hRule="atLeast"/>
          <w:jc w:val="center"/>
        </w:trPr>
        <w:tc>
          <w:tcPr>
            <w:tcW w:w="1248" w:type="dxa"/>
            <w:shd w:val="clear" w:color="auto" w:fill="auto"/>
            <w:vAlign w:val="center"/>
          </w:tcPr>
          <w:p w14:paraId="31E5CAC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经济型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5EC1962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回收期最短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5036A58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428F906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-3,519</w:t>
            </w:r>
          </w:p>
        </w:tc>
        <w:tc>
          <w:tcPr>
            <w:tcW w:w="1246" w:type="dxa"/>
            <w:shd w:val="clear" w:color="auto" w:fill="auto"/>
            <w:vAlign w:val="center"/>
          </w:tcPr>
          <w:p w14:paraId="35FBE13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9,100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6C363D92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大于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</w:p>
        </w:tc>
      </w:tr>
      <w:tr w14:paraId="26A86D92">
        <w:tblPrEx>
          <w:tblLayout w:type="fixed"/>
        </w:tblPrEx>
        <w:trPr>
          <w:trHeight w:val="631" w:hRule="atLeast"/>
          <w:jc w:val="center"/>
        </w:trPr>
        <w:tc>
          <w:tcPr>
            <w:tcW w:w="1248" w:type="dxa"/>
            <w:shd w:val="clear" w:color="auto" w:fill="auto"/>
            <w:vAlign w:val="center"/>
          </w:tcPr>
          <w:p w14:paraId="6309D63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均衡型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A5194D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综合评分最优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74CA4E5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20ADCF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-3,519</w:t>
            </w:r>
          </w:p>
        </w:tc>
        <w:tc>
          <w:tcPr>
            <w:tcW w:w="1246" w:type="dxa"/>
            <w:shd w:val="clear" w:color="auto" w:fill="auto"/>
            <w:vAlign w:val="center"/>
          </w:tcPr>
          <w:p w14:paraId="0EE038B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9,100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1DA79FA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大于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</w:p>
        </w:tc>
      </w:tr>
      <w:tr w14:paraId="54BBA53A">
        <w:tblPrEx>
          <w:tblLayout w:type="fixed"/>
        </w:tblPrEx>
        <w:trPr>
          <w:trHeight w:val="631" w:hRule="atLeast"/>
          <w:jc w:val="center"/>
        </w:trPr>
        <w:tc>
          <w:tcPr>
            <w:tcW w:w="1248" w:type="dxa"/>
            <w:shd w:val="clear" w:color="auto" w:fill="auto"/>
            <w:vAlign w:val="center"/>
          </w:tcPr>
          <w:p w14:paraId="55D40D62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鲁棒型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24C31B3B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峰值购电最小</w:t>
            </w:r>
          </w:p>
        </w:tc>
        <w:tc>
          <w:tcPr>
            <w:tcW w:w="1250" w:type="dxa"/>
            <w:shd w:val="clear" w:color="auto" w:fill="auto"/>
            <w:vAlign w:val="center"/>
          </w:tcPr>
          <w:p w14:paraId="4063819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7330B39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-3,519</w:t>
            </w:r>
          </w:p>
        </w:tc>
        <w:tc>
          <w:tcPr>
            <w:tcW w:w="1246" w:type="dxa"/>
            <w:shd w:val="clear" w:color="auto" w:fill="auto"/>
            <w:vAlign w:val="center"/>
          </w:tcPr>
          <w:p w14:paraId="414CB05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9,100</w:t>
            </w:r>
          </w:p>
        </w:tc>
        <w:tc>
          <w:tcPr>
            <w:tcW w:w="1247" w:type="dxa"/>
            <w:shd w:val="clear" w:color="auto" w:fill="auto"/>
            <w:vAlign w:val="center"/>
          </w:tcPr>
          <w:p w14:paraId="3589FB2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大于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</w:p>
        </w:tc>
      </w:tr>
    </w:tbl>
    <w:p w14:paraId="462203B2">
      <w:pPr>
        <w:ind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综合评分 = 年电费×30% + 自发自用率×30% + 回收期×30% + 循环次数×10%</w:t>
      </w:r>
    </w:p>
    <w:p w14:paraId="6AFD01E5">
      <w:pPr>
        <w:ind w:left="0" w:leftChars="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为什么都选5kWh/2kW：</w:t>
      </w:r>
    </w:p>
    <w:p w14:paraId="1E194D64">
      <w:pPr>
        <w:numPr>
          <w:ilvl w:val="0"/>
          <w:numId w:val="3"/>
        </w:numPr>
        <w:ind w:left="840" w:leftChars="0" w:hanging="420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更大容量（10~40kWh）投资增加19,800~58,900元，年电费仅改善100~270元，回收期更长；</w:t>
      </w:r>
    </w:p>
    <w:p w14:paraId="74298F53">
      <w:pPr>
        <w:numPr>
          <w:ilvl w:val="0"/>
          <w:numId w:val="3"/>
        </w:numPr>
        <w:ind w:left="840" w:leftChars="0" w:hanging="420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更高功率PCS成本增加，年电费改善不到50元；</w:t>
      </w:r>
    </w:p>
    <w:p w14:paraId="7E3E8470">
      <w:pPr>
        <w:numPr>
          <w:ilvl w:val="0"/>
          <w:numId w:val="3"/>
        </w:numPr>
        <w:ind w:left="840" w:leftChars="0" w:hanging="420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5kWh/2kW仅仅是"亏损最小"的方案，而非储能本身具备经济性。</w:t>
      </w:r>
    </w:p>
    <w:p w14:paraId="155FEF42">
      <w:pPr>
        <w:numPr>
          <w:ilvl w:val="0"/>
          <w:numId w:val="0"/>
        </w:numPr>
        <w:ind w:left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0C3EA2D0">
      <w:pPr>
        <w:ind w:leftChars="200" w:firstLine="420" w:firstLineChars="200"/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5.4.2 三类策略下最优方案对比</w:t>
      </w:r>
    </w:p>
    <w:p w14:paraId="7FA7DEAC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tbl>
      <w:tblPr>
        <w:tblStyle w:val="5"/>
        <w:tblW w:w="6824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7"/>
        <w:gridCol w:w="1138"/>
        <w:gridCol w:w="1136"/>
        <w:gridCol w:w="1138"/>
        <w:gridCol w:w="1138"/>
        <w:gridCol w:w="1137"/>
      </w:tblGrid>
      <w:tr w14:paraId="2CDA8FF7">
        <w:tblPrEx>
          <w:tblLayout w:type="fixed"/>
        </w:tblPrEx>
        <w:trPr>
          <w:trHeight w:val="573" w:hRule="atLeast"/>
          <w:jc w:val="center"/>
        </w:trPr>
        <w:tc>
          <w:tcPr>
            <w:tcW w:w="1137" w:type="dxa"/>
            <w:shd w:val="clear" w:color="auto" w:fill="auto"/>
            <w:vAlign w:val="center"/>
          </w:tcPr>
          <w:p w14:paraId="24D8A1E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策略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214D309E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最优配置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373CC69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年电费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(元)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B416CC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自发自用率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2525E4CF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峰值购电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(kW)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7170E307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投资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(元)</w:t>
            </w:r>
          </w:p>
        </w:tc>
      </w:tr>
      <w:tr w14:paraId="7A6A8FD4">
        <w:tblPrEx>
          <w:tblLayout w:type="fixed"/>
        </w:tblPrEx>
        <w:trPr>
          <w:trHeight w:val="333" w:hRule="atLeast"/>
          <w:jc w:val="center"/>
        </w:trPr>
        <w:tc>
          <w:tcPr>
            <w:tcW w:w="1137" w:type="dxa"/>
            <w:shd w:val="clear" w:color="auto" w:fill="auto"/>
            <w:vAlign w:val="center"/>
          </w:tcPr>
          <w:p w14:paraId="4F0A1A8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S1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476A5FE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786F47CE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-3,519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B4A9CD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18.20%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4EA308A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11.9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19BFC34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9,100</w:t>
            </w:r>
          </w:p>
        </w:tc>
      </w:tr>
      <w:tr w14:paraId="5FAB442D">
        <w:tblPrEx>
          <w:tblLayout w:type="fixed"/>
        </w:tblPrEx>
        <w:trPr>
          <w:trHeight w:val="333" w:hRule="atLeast"/>
          <w:jc w:val="center"/>
        </w:trPr>
        <w:tc>
          <w:tcPr>
            <w:tcW w:w="1137" w:type="dxa"/>
            <w:shd w:val="clear" w:color="auto" w:fill="auto"/>
            <w:vAlign w:val="center"/>
          </w:tcPr>
          <w:p w14:paraId="0BA5F18B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S2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37C74066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01704A4F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-4,149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17369C1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18.20%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631BFAF6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1BCBAD4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9,100</w:t>
            </w:r>
          </w:p>
        </w:tc>
      </w:tr>
      <w:tr w14:paraId="33CD48BB">
        <w:tblPrEx>
          <w:tblLayout w:type="fixed"/>
        </w:tblPrEx>
        <w:trPr>
          <w:trHeight w:val="333" w:hRule="atLeast"/>
          <w:jc w:val="center"/>
        </w:trPr>
        <w:tc>
          <w:tcPr>
            <w:tcW w:w="1137" w:type="dxa"/>
            <w:shd w:val="clear" w:color="auto" w:fill="auto"/>
            <w:vAlign w:val="center"/>
          </w:tcPr>
          <w:p w14:paraId="3C350AA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S3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1A3FCC07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kWh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kW</w:t>
            </w:r>
          </w:p>
        </w:tc>
        <w:tc>
          <w:tcPr>
            <w:tcW w:w="1136" w:type="dxa"/>
            <w:shd w:val="clear" w:color="auto" w:fill="auto"/>
            <w:vAlign w:val="center"/>
          </w:tcPr>
          <w:p w14:paraId="78883F32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-4,142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7CB7EC5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18.30%</w:t>
            </w:r>
          </w:p>
        </w:tc>
        <w:tc>
          <w:tcPr>
            <w:tcW w:w="1138" w:type="dxa"/>
            <w:shd w:val="clear" w:color="auto" w:fill="auto"/>
            <w:vAlign w:val="center"/>
          </w:tcPr>
          <w:p w14:paraId="571C91C7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8.8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1A4D277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9,100</w:t>
            </w:r>
          </w:p>
        </w:tc>
      </w:tr>
    </w:tbl>
    <w:p w14:paraId="3F9A1CA9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0AAA2DDD">
      <w:pPr>
        <w:ind w:left="0"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S2和S3策略的年电费明显优于S1（改善约600~630元/年），且峰值购电更低。但三种策略的最优储能配置完全相同，说明储能的边际贡献在不同EV策略下趋于一致。</w:t>
      </w:r>
    </w:p>
    <w:p w14:paraId="0FB6478E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45078DE8">
      <w:pPr>
        <w:ind w:left="0" w:leftChars="0" w:firstLine="420" w:firstLineChars="200"/>
        <w:rPr>
          <w:rFonts w:hint="eastAsia" w:ascii="方正书宋简体" w:hAnsi="方正书宋简体" w:eastAsia="方正书宋简体" w:cs="方正书宋简体"/>
          <w:b/>
          <w:bCs/>
          <w:sz w:val="24"/>
          <w:szCs w:val="24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4"/>
          <w:szCs w:val="24"/>
        </w:rPr>
        <w:t>5.5 敏感性分析</w:t>
      </w:r>
    </w:p>
    <w:p w14:paraId="6C9B593D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57F56150">
      <w:pPr>
        <w:ind w:leftChars="200" w:firstLine="420" w:firstLineChars="200"/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5.5.1 电池成本敏感性（5kWh/2kW方案）</w:t>
      </w:r>
    </w:p>
    <w:p w14:paraId="59507032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tbl>
      <w:tblPr>
        <w:tblStyle w:val="5"/>
        <w:tblW w:w="7210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3"/>
        <w:gridCol w:w="1802"/>
        <w:gridCol w:w="1803"/>
        <w:gridCol w:w="1802"/>
      </w:tblGrid>
      <w:tr w14:paraId="39882F64">
        <w:tblPrEx>
          <w:tblLayout w:type="fixed"/>
        </w:tblPrEx>
        <w:trPr>
          <w:trHeight w:val="598" w:hRule="atLeast"/>
          <w:jc w:val="center"/>
        </w:trPr>
        <w:tc>
          <w:tcPr>
            <w:tcW w:w="1803" w:type="dxa"/>
            <w:shd w:val="clear" w:color="auto" w:fill="auto"/>
            <w:vAlign w:val="center"/>
          </w:tcPr>
          <w:p w14:paraId="512AF33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电池成本（元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/kWh）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21BAE6F2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投资成本（元）</w:t>
            </w:r>
          </w:p>
        </w:tc>
        <w:tc>
          <w:tcPr>
            <w:tcW w:w="1803" w:type="dxa"/>
            <w:shd w:val="clear" w:color="auto" w:fill="auto"/>
            <w:vAlign w:val="center"/>
          </w:tcPr>
          <w:p w14:paraId="729707E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静态回收期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2DB7BF7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经济性评价</w:t>
            </w:r>
          </w:p>
        </w:tc>
      </w:tr>
      <w:tr w14:paraId="518BE6E5">
        <w:tblPrEx>
          <w:tblLayout w:type="fixed"/>
        </w:tblPrEx>
        <w:trPr>
          <w:trHeight w:val="327" w:hRule="atLeast"/>
          <w:jc w:val="center"/>
        </w:trPr>
        <w:tc>
          <w:tcPr>
            <w:tcW w:w="1803" w:type="dxa"/>
            <w:shd w:val="clear" w:color="auto" w:fill="auto"/>
            <w:vAlign w:val="center"/>
          </w:tcPr>
          <w:p w14:paraId="66B8C07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1500（当前）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108928B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9,100</w:t>
            </w:r>
          </w:p>
        </w:tc>
        <w:tc>
          <w:tcPr>
            <w:tcW w:w="1803" w:type="dxa"/>
            <w:shd w:val="clear" w:color="auto" w:fill="auto"/>
            <w:vAlign w:val="center"/>
          </w:tcPr>
          <w:p w14:paraId="4358FD4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大于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4FFDEFD2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无法回本</w:t>
            </w:r>
          </w:p>
        </w:tc>
      </w:tr>
      <w:tr w14:paraId="6D29FC65">
        <w:tblPrEx>
          <w:tblLayout w:type="fixed"/>
        </w:tblPrEx>
        <w:trPr>
          <w:trHeight w:val="327" w:hRule="atLeast"/>
          <w:jc w:val="center"/>
        </w:trPr>
        <w:tc>
          <w:tcPr>
            <w:tcW w:w="1803" w:type="dxa"/>
            <w:shd w:val="clear" w:color="auto" w:fill="auto"/>
            <w:vAlign w:val="center"/>
          </w:tcPr>
          <w:p w14:paraId="40929B9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5F92F23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7,600</w:t>
            </w:r>
          </w:p>
        </w:tc>
        <w:tc>
          <w:tcPr>
            <w:tcW w:w="1803" w:type="dxa"/>
            <w:shd w:val="clear" w:color="auto" w:fill="auto"/>
            <w:vAlign w:val="center"/>
          </w:tcPr>
          <w:p w14:paraId="273306B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大于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4592E4A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无法回本</w:t>
            </w:r>
          </w:p>
        </w:tc>
      </w:tr>
      <w:tr w14:paraId="56A8215F">
        <w:tblPrEx>
          <w:tblLayout w:type="fixed"/>
        </w:tblPrEx>
        <w:trPr>
          <w:trHeight w:val="327" w:hRule="atLeast"/>
          <w:jc w:val="center"/>
        </w:trPr>
        <w:tc>
          <w:tcPr>
            <w:tcW w:w="1803" w:type="dxa"/>
            <w:shd w:val="clear" w:color="auto" w:fill="auto"/>
            <w:vAlign w:val="center"/>
          </w:tcPr>
          <w:p w14:paraId="50023F9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1000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24B55C76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6,600</w:t>
            </w:r>
          </w:p>
        </w:tc>
        <w:tc>
          <w:tcPr>
            <w:tcW w:w="1803" w:type="dxa"/>
            <w:shd w:val="clear" w:color="auto" w:fill="auto"/>
            <w:vAlign w:val="center"/>
          </w:tcPr>
          <w:p w14:paraId="7067E77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大于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488C1FC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无法回本</w:t>
            </w:r>
          </w:p>
        </w:tc>
      </w:tr>
      <w:tr w14:paraId="6EE809E5">
        <w:tblPrEx>
          <w:tblLayout w:type="fixed"/>
        </w:tblPrEx>
        <w:trPr>
          <w:trHeight w:val="327" w:hRule="atLeast"/>
          <w:jc w:val="center"/>
        </w:trPr>
        <w:tc>
          <w:tcPr>
            <w:tcW w:w="1803" w:type="dxa"/>
            <w:shd w:val="clear" w:color="auto" w:fill="auto"/>
            <w:vAlign w:val="center"/>
          </w:tcPr>
          <w:p w14:paraId="101ADFCE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67ED4D4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5,600</w:t>
            </w:r>
          </w:p>
        </w:tc>
        <w:tc>
          <w:tcPr>
            <w:tcW w:w="1803" w:type="dxa"/>
            <w:shd w:val="clear" w:color="auto" w:fill="auto"/>
            <w:vAlign w:val="center"/>
          </w:tcPr>
          <w:p w14:paraId="50C9876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约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10~12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79305B6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临界状态</w:t>
            </w:r>
          </w:p>
        </w:tc>
      </w:tr>
      <w:tr w14:paraId="71124D3D">
        <w:tblPrEx>
          <w:tblLayout w:type="fixed"/>
        </w:tblPrEx>
        <w:trPr>
          <w:trHeight w:val="327" w:hRule="atLeast"/>
          <w:jc w:val="center"/>
        </w:trPr>
        <w:tc>
          <w:tcPr>
            <w:tcW w:w="1803" w:type="dxa"/>
            <w:shd w:val="clear" w:color="auto" w:fill="auto"/>
            <w:vAlign w:val="center"/>
          </w:tcPr>
          <w:p w14:paraId="1F4F519A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600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23649AB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4,600</w:t>
            </w:r>
          </w:p>
        </w:tc>
        <w:tc>
          <w:tcPr>
            <w:tcW w:w="1803" w:type="dxa"/>
            <w:shd w:val="clear" w:color="auto" w:fill="auto"/>
            <w:vAlign w:val="center"/>
          </w:tcPr>
          <w:p w14:paraId="13D530D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约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年</w:t>
            </w:r>
          </w:p>
        </w:tc>
        <w:tc>
          <w:tcPr>
            <w:tcW w:w="1802" w:type="dxa"/>
            <w:shd w:val="clear" w:color="auto" w:fill="auto"/>
            <w:vAlign w:val="center"/>
          </w:tcPr>
          <w:p w14:paraId="220B6D41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具备经济性</w:t>
            </w:r>
          </w:p>
        </w:tc>
      </w:tr>
    </w:tbl>
    <w:p w14:paraId="7271DA86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1DD863E9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电池成本需降至800元/kWh以下，储能方案才可能在寿命周期内回收投资。</w:t>
      </w:r>
    </w:p>
    <w:p w14:paraId="1913100C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78880531">
      <w:pPr>
        <w:ind w:leftChars="200" w:firstLine="420" w:firstLineChars="200"/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5.5.2 峰谷价差敏感性</w:t>
      </w:r>
    </w:p>
    <w:p w14:paraId="13680127">
      <w:pPr>
        <w:ind w:leftChars="2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tbl>
      <w:tblPr>
        <w:tblStyle w:val="5"/>
        <w:tblW w:w="5376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8"/>
        <w:gridCol w:w="2688"/>
      </w:tblGrid>
      <w:tr w14:paraId="377746EC">
        <w:tblPrEx>
          <w:tblLayout w:type="fixed"/>
        </w:tblPrEx>
        <w:trPr>
          <w:trHeight w:val="412" w:hRule="atLeast"/>
          <w:jc w:val="center"/>
        </w:trPr>
        <w:tc>
          <w:tcPr>
            <w:tcW w:w="2688" w:type="dxa"/>
            <w:shd w:val="clear" w:color="auto" w:fill="auto"/>
            <w:vAlign w:val="center"/>
          </w:tcPr>
          <w:p w14:paraId="17AC157E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峰谷价差（元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/kWh）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3D6ABFD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经济性评价</w:t>
            </w:r>
          </w:p>
        </w:tc>
      </w:tr>
      <w:tr w14:paraId="0A7F7AC2">
        <w:tblPrEx>
          <w:tblLayout w:type="fixed"/>
        </w:tblPrEx>
        <w:trPr>
          <w:trHeight w:val="412" w:hRule="atLeast"/>
          <w:jc w:val="center"/>
        </w:trPr>
        <w:tc>
          <w:tcPr>
            <w:tcW w:w="2688" w:type="dxa"/>
            <w:shd w:val="clear" w:color="auto" w:fill="auto"/>
            <w:vAlign w:val="center"/>
          </w:tcPr>
          <w:p w14:paraId="199C4FA4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0.31（当前）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5115D1F6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无法回本</w:t>
            </w:r>
          </w:p>
        </w:tc>
      </w:tr>
      <w:tr w14:paraId="799F1E20">
        <w:tblPrEx>
          <w:tblLayout w:type="fixed"/>
        </w:tblPrEx>
        <w:trPr>
          <w:trHeight w:val="412" w:hRule="atLeast"/>
          <w:jc w:val="center"/>
        </w:trPr>
        <w:tc>
          <w:tcPr>
            <w:tcW w:w="2688" w:type="dxa"/>
            <w:shd w:val="clear" w:color="auto" w:fill="auto"/>
            <w:vAlign w:val="center"/>
          </w:tcPr>
          <w:p w14:paraId="1FF3C2D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0.4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02122F9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无法回本</w:t>
            </w:r>
          </w:p>
        </w:tc>
      </w:tr>
      <w:tr w14:paraId="78D8CAF9">
        <w:tblPrEx>
          <w:tblLayout w:type="fixed"/>
        </w:tblPrEx>
        <w:trPr>
          <w:trHeight w:val="412" w:hRule="atLeast"/>
          <w:jc w:val="center"/>
        </w:trPr>
        <w:tc>
          <w:tcPr>
            <w:tcW w:w="2688" w:type="dxa"/>
            <w:shd w:val="clear" w:color="auto" w:fill="auto"/>
            <w:vAlign w:val="center"/>
          </w:tcPr>
          <w:p w14:paraId="5683F8AF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30F530B2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临界状态</w:t>
            </w:r>
          </w:p>
        </w:tc>
      </w:tr>
      <w:tr w14:paraId="41D70916">
        <w:tblPrEx>
          <w:tblLayout w:type="fixed"/>
        </w:tblPrEx>
        <w:trPr>
          <w:trHeight w:val="412" w:hRule="atLeast"/>
          <w:jc w:val="center"/>
        </w:trPr>
        <w:tc>
          <w:tcPr>
            <w:tcW w:w="2688" w:type="dxa"/>
            <w:shd w:val="clear" w:color="auto" w:fill="auto"/>
            <w:vAlign w:val="center"/>
          </w:tcPr>
          <w:p w14:paraId="56A58121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</w:t>
            </w:r>
          </w:p>
        </w:tc>
        <w:tc>
          <w:tcPr>
            <w:tcW w:w="2688" w:type="dxa"/>
            <w:shd w:val="clear" w:color="auto" w:fill="auto"/>
            <w:vAlign w:val="center"/>
          </w:tcPr>
          <w:p w14:paraId="3C833ED9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具备经济性</w:t>
            </w:r>
          </w:p>
        </w:tc>
      </w:tr>
    </w:tbl>
    <w:p w14:paraId="1CF4B711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50E5A10F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6F5A1465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660A9373">
      <w:pPr>
        <w:ind w:leftChars="200" w:firstLine="420" w:firstLineChars="200"/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5.5.3 临界条件</w:t>
      </w:r>
    </w:p>
    <w:p w14:paraId="539A4B6E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tbl>
      <w:tblPr>
        <w:tblStyle w:val="5"/>
        <w:tblW w:w="6010" w:type="dxa"/>
        <w:jc w:val="center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3"/>
        <w:gridCol w:w="1502"/>
        <w:gridCol w:w="1503"/>
        <w:gridCol w:w="1502"/>
      </w:tblGrid>
      <w:tr w14:paraId="0F62183F">
        <w:tblPrEx>
          <w:tblLayout w:type="fixed"/>
        </w:tblPrEx>
        <w:trPr>
          <w:trHeight w:val="355" w:hRule="atLeast"/>
          <w:jc w:val="center"/>
        </w:trPr>
        <w:tc>
          <w:tcPr>
            <w:tcW w:w="1503" w:type="dxa"/>
            <w:shd w:val="clear" w:color="auto" w:fill="auto"/>
            <w:vAlign w:val="center"/>
          </w:tcPr>
          <w:p w14:paraId="09FE52C5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bookmarkStart w:id="0" w:name="_GoBack"/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变量</w:t>
            </w:r>
          </w:p>
        </w:tc>
        <w:tc>
          <w:tcPr>
            <w:tcW w:w="1502" w:type="dxa"/>
            <w:shd w:val="clear" w:color="auto" w:fill="auto"/>
            <w:vAlign w:val="center"/>
          </w:tcPr>
          <w:p w14:paraId="65B727C6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当前值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391BD34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临界值</w:t>
            </w:r>
          </w:p>
        </w:tc>
        <w:tc>
          <w:tcPr>
            <w:tcW w:w="1502" w:type="dxa"/>
            <w:shd w:val="clear" w:color="auto" w:fill="auto"/>
            <w:vAlign w:val="center"/>
          </w:tcPr>
          <w:p w14:paraId="3A9EB8BC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所需变化</w:t>
            </w:r>
          </w:p>
        </w:tc>
      </w:tr>
      <w:tr w14:paraId="6B514859">
        <w:tblPrEx>
          <w:tblLayout w:type="fixed"/>
        </w:tblPrEx>
        <w:trPr>
          <w:trHeight w:val="630" w:hRule="atLeast"/>
          <w:jc w:val="center"/>
        </w:trPr>
        <w:tc>
          <w:tcPr>
            <w:tcW w:w="1503" w:type="dxa"/>
            <w:shd w:val="clear" w:color="auto" w:fill="auto"/>
            <w:vAlign w:val="center"/>
          </w:tcPr>
          <w:p w14:paraId="08B32F2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电池成本</w:t>
            </w:r>
          </w:p>
        </w:tc>
        <w:tc>
          <w:tcPr>
            <w:tcW w:w="1502" w:type="dxa"/>
            <w:shd w:val="clear" w:color="auto" w:fill="auto"/>
            <w:vAlign w:val="center"/>
          </w:tcPr>
          <w:p w14:paraId="5280834E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元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/kWh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5F493CC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800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元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/kWh</w:t>
            </w:r>
          </w:p>
        </w:tc>
        <w:tc>
          <w:tcPr>
            <w:tcW w:w="1502" w:type="dxa"/>
            <w:shd w:val="clear" w:color="auto" w:fill="auto"/>
            <w:vAlign w:val="center"/>
          </w:tcPr>
          <w:p w14:paraId="4CA5EC03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下降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47%</w:t>
            </w:r>
          </w:p>
        </w:tc>
      </w:tr>
      <w:tr w14:paraId="32DB1CD0">
        <w:tblPrEx>
          <w:tblLayout w:type="fixed"/>
        </w:tblPrEx>
        <w:trPr>
          <w:trHeight w:val="630" w:hRule="atLeast"/>
          <w:jc w:val="center"/>
        </w:trPr>
        <w:tc>
          <w:tcPr>
            <w:tcW w:w="1503" w:type="dxa"/>
            <w:shd w:val="clear" w:color="auto" w:fill="auto"/>
            <w:vAlign w:val="center"/>
          </w:tcPr>
          <w:p w14:paraId="3400DF18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峰谷价差</w:t>
            </w:r>
          </w:p>
        </w:tc>
        <w:tc>
          <w:tcPr>
            <w:tcW w:w="1502" w:type="dxa"/>
            <w:shd w:val="clear" w:color="auto" w:fill="auto"/>
            <w:vAlign w:val="center"/>
          </w:tcPr>
          <w:p w14:paraId="40FD5C20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0.31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元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/kWh</w:t>
            </w:r>
          </w:p>
        </w:tc>
        <w:tc>
          <w:tcPr>
            <w:tcW w:w="1503" w:type="dxa"/>
            <w:shd w:val="clear" w:color="auto" w:fill="auto"/>
            <w:vAlign w:val="center"/>
          </w:tcPr>
          <w:p w14:paraId="7097A2FF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0.55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元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/kWh</w:t>
            </w:r>
          </w:p>
        </w:tc>
        <w:tc>
          <w:tcPr>
            <w:tcW w:w="1502" w:type="dxa"/>
            <w:shd w:val="clear" w:color="auto" w:fill="auto"/>
            <w:vAlign w:val="center"/>
          </w:tcPr>
          <w:p w14:paraId="3A3CEE4D">
            <w:pPr>
              <w:widowControl/>
              <w:jc w:val="center"/>
              <w:textAlignment w:val="center"/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扩大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</w:t>
            </w:r>
            <w:r>
              <w:rPr>
                <w:rFonts w:hint="eastAsia" w:ascii="方正书宋简体" w:hAnsi="方正书宋简体" w:eastAsia="方正书宋简体" w:cs="方正书宋简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77%</w:t>
            </w:r>
          </w:p>
        </w:tc>
      </w:tr>
      <w:bookmarkEnd w:id="0"/>
    </w:tbl>
    <w:p w14:paraId="29D20588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162A131E">
      <w:pPr>
        <w:ind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储能系统距离经济可行性仍有较大差距，需同时依赖"电池成本大幅下降"和"电价机制改革"两个条件的改善。</w:t>
      </w:r>
    </w:p>
    <w:p w14:paraId="332B5C5C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62958FA5">
      <w:pPr>
        <w:ind w:left="0" w:leftChars="0" w:firstLine="420" w:firstLineChars="200"/>
        <w:rPr>
          <w:rFonts w:hint="eastAsia" w:ascii="方正书宋简体" w:hAnsi="方正书宋简体" w:eastAsia="方正书宋简体" w:cs="方正书宋简体"/>
          <w:b/>
          <w:bCs/>
          <w:sz w:val="24"/>
          <w:szCs w:val="24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4"/>
          <w:szCs w:val="24"/>
        </w:rPr>
        <w:t>5.6 结论与建议</w:t>
      </w:r>
    </w:p>
    <w:p w14:paraId="39F0889A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483E64CC">
      <w:pPr>
        <w:ind w:leftChars="200" w:firstLine="420" w:firstLineChars="200"/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5.6.1 主要结论</w:t>
      </w:r>
    </w:p>
    <w:p w14:paraId="4F14D0B0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65037B8C">
      <w:pPr>
        <w:numPr>
          <w:ilvl w:val="0"/>
          <w:numId w:val="4"/>
        </w:numPr>
        <w:ind w:left="1265" w:leftChars="0" w:hanging="425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储能系统不具备经济性：所有配置的静态回收期均超过10年电池寿命。</w:t>
      </w:r>
    </w:p>
    <w:p w14:paraId="70E47490">
      <w:pPr>
        <w:numPr>
          <w:ilvl w:val="0"/>
          <w:numId w:val="4"/>
        </w:numPr>
        <w:ind w:left="1265" w:leftChars="0" w:hanging="425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自发自用率极低：仅18~19%，远低于行业通常认为的"有经济性"水平（60%以上）。</w:t>
      </w:r>
    </w:p>
    <w:p w14:paraId="014FC459">
      <w:pPr>
        <w:numPr>
          <w:ilvl w:val="0"/>
          <w:numId w:val="4"/>
        </w:numPr>
        <w:ind w:left="1265" w:leftChars="0" w:hanging="425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光伏卖电比储电更划算：年电费为负，卖电收入已超过购电支出，储能反而降低收益。</w:t>
      </w:r>
    </w:p>
    <w:p w14:paraId="08F29104">
      <w:pPr>
        <w:numPr>
          <w:ilvl w:val="0"/>
          <w:numId w:val="4"/>
        </w:numPr>
        <w:ind w:left="1265" w:leftChars="0" w:hanging="425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5kWh/2kW仅为"亏得最少"的方案：在当前经济性为负的条件下，该配置被选为最优，恰恰反映了现实状况的严峻性。</w:t>
      </w:r>
    </w:p>
    <w:p w14:paraId="0D25542D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22875D2B">
      <w:pPr>
        <w:ind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这反映了中国居民储能的真实市场现状：居民电价偏低、峰谷价差有限、储能成本仍处高位，是制约家用储能普及的三大根本因素。</w:t>
      </w:r>
    </w:p>
    <w:p w14:paraId="55611E01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40BA03A0">
      <w:pPr>
        <w:ind w:leftChars="200" w:firstLine="420" w:firstLineChars="200"/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5.6.2 未来展望</w:t>
      </w:r>
    </w:p>
    <w:p w14:paraId="20037B22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007D6D70">
      <w:pPr>
        <w:ind w:leftChars="400" w:firstLine="420" w:firstLineChars="20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储能系统将在以下条件逐步具备经济性：</w:t>
      </w:r>
    </w:p>
    <w:p w14:paraId="230B6183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34A52485">
      <w:pPr>
        <w:numPr>
          <w:ilvl w:val="0"/>
          <w:numId w:val="5"/>
        </w:numPr>
        <w:ind w:left="1265" w:leftChars="0" w:hanging="425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电池成本降至1000元/kWh以</w:t>
      </w:r>
      <w:r>
        <w:rPr>
          <w:rFonts w:hint="eastAsia" w:ascii="方正书宋简体" w:hAnsi="方正书宋简体" w:eastAsia="方正书宋简体" w:cs="方正书宋简体"/>
          <w:sz w:val="21"/>
          <w:szCs w:val="21"/>
          <w:lang w:eastAsia="zh-CN"/>
        </w:rPr>
        <w:t>下</w:t>
      </w:r>
      <w:r>
        <w:rPr>
          <w:rFonts w:hint="eastAsia" w:ascii="方正书宋简体" w:hAnsi="方正书宋简体" w:eastAsia="方正书宋简体" w:cs="方正书宋简体"/>
          <w:sz w:val="21"/>
          <w:szCs w:val="21"/>
        </w:rPr>
        <w:t>，回收期可缩短至10年以内；</w:t>
      </w:r>
    </w:p>
    <w:p w14:paraId="1C38379E">
      <w:pPr>
        <w:numPr>
          <w:ilvl w:val="0"/>
          <w:numId w:val="5"/>
        </w:numPr>
        <w:ind w:left="1265" w:leftChars="0" w:hanging="425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峰谷价差扩大至0.50元/kWh以上，套利空间显著增大；</w:t>
      </w:r>
    </w:p>
    <w:p w14:paraId="585A27E2">
      <w:pPr>
        <w:numPr>
          <w:ilvl w:val="0"/>
          <w:numId w:val="5"/>
        </w:numPr>
        <w:ind w:left="1265" w:leftChars="0" w:hanging="425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上网电价降低或取消补贴，自用价值上升；</w:t>
      </w:r>
    </w:p>
    <w:p w14:paraId="0D96B1AC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3DD5BDA9">
      <w:pPr>
        <w:ind w:leftChars="200" w:firstLine="420" w:firstLineChars="200"/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b/>
          <w:bCs/>
          <w:sz w:val="21"/>
          <w:szCs w:val="21"/>
        </w:rPr>
        <w:t>5.6.3 对本项目整体方案的建议</w:t>
      </w:r>
    </w:p>
    <w:p w14:paraId="1FA6919F">
      <w:pPr>
        <w:rPr>
          <w:rFonts w:hint="eastAsia" w:ascii="方正书宋简体" w:hAnsi="方正书宋简体" w:eastAsia="方正书宋简体" w:cs="方正书宋简体"/>
          <w:sz w:val="21"/>
          <w:szCs w:val="21"/>
        </w:rPr>
      </w:pPr>
    </w:p>
    <w:p w14:paraId="1C0A672A">
      <w:pPr>
        <w:numPr>
          <w:ilvl w:val="0"/>
          <w:numId w:val="6"/>
        </w:numPr>
        <w:ind w:left="1265" w:leftChars="0" w:hanging="425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适当降低光伏装机规模：14kWp光伏配置下已实现正收益，进一步配置储能的边际收益极低，建议评估降至8~10kWp的可行性，以减少投资浪费。</w:t>
      </w:r>
    </w:p>
    <w:p w14:paraId="29929892">
      <w:pPr>
        <w:numPr>
          <w:ilvl w:val="0"/>
          <w:numId w:val="6"/>
        </w:numPr>
        <w:ind w:left="1265" w:leftChars="0" w:hanging="425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储能定位调整：建议将储能定位从"经济收益型"调整为"试验示范型"或"后备电源型"，重点关注削峰填谷的技术价值而非经济回报。</w:t>
      </w:r>
    </w:p>
    <w:p w14:paraId="11ABECC9">
      <w:pPr>
        <w:numPr>
          <w:ilvl w:val="0"/>
          <w:numId w:val="6"/>
        </w:numPr>
        <w:ind w:left="1265" w:leftChars="0" w:hanging="425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优先推广EV充电策略优化：S2和S3策略在无储能条件下已改善年电费约600元/年，建议优先推广此类低成本"软措施"替代硬性的储能投资。</w:t>
      </w:r>
    </w:p>
    <w:p w14:paraId="7E814B6B">
      <w:pPr>
        <w:numPr>
          <w:ilvl w:val="0"/>
          <w:numId w:val="6"/>
        </w:numPr>
        <w:ind w:left="1265" w:leftChars="0" w:hanging="425" w:firstLineChars="0"/>
        <w:rPr>
          <w:rFonts w:hint="eastAsia" w:ascii="方正书宋简体" w:hAnsi="方正书宋简体" w:eastAsia="方正书宋简体" w:cs="方正书宋简体"/>
          <w:sz w:val="21"/>
          <w:szCs w:val="21"/>
        </w:rPr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持续追踪敏感性参数：当电池成本降至1000元/kWh以下或峰谷价差扩大至0.50元/kWh以上时，建议重新进行储能经济性评估。</w:t>
      </w:r>
    </w:p>
    <w:p w14:paraId="0EE15331">
      <w:pPr>
        <w:ind w:leftChars="400" w:firstLine="420" w:firstLineChars="200"/>
      </w:pPr>
      <w:r>
        <w:rPr>
          <w:rFonts w:hint="eastAsia" w:ascii="方正书宋简体" w:hAnsi="方正书宋简体" w:eastAsia="方正书宋简体" w:cs="方正书宋简体"/>
          <w:sz w:val="21"/>
          <w:szCs w:val="21"/>
        </w:rPr>
        <w:t>本章分析表明，在当前上海居民电价体系和储能成本水平下，配置储能的经济性依据尚不充分，建议项目整体方案以优化EV充电策略和合理配置光伏规模为重点方向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简体"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67F1BA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B5DE2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A47AC7C"/>
    <w:multiLevelType w:val="singleLevel"/>
    <w:tmpl w:val="6A47AC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A47ACF9"/>
    <w:multiLevelType w:val="singleLevel"/>
    <w:tmpl w:val="6A47AC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6A47ADE4"/>
    <w:multiLevelType w:val="singleLevel"/>
    <w:tmpl w:val="6A47AD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6A47AF9B"/>
    <w:multiLevelType w:val="singleLevel"/>
    <w:tmpl w:val="6A47AF9B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6A47AFEB"/>
    <w:multiLevelType w:val="singleLevel"/>
    <w:tmpl w:val="6A47AFEB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6A47B04B"/>
    <w:multiLevelType w:val="singleLevel"/>
    <w:tmpl w:val="6A47B04B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adjustLineHeightInTable/>
    <w:doNotBreakWrappedTables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2026-07-04T04:03:28Z</dcterms:created>
  <dc:creator>iPad</dc:creator>
  <cp:lastModifiedBy>iPad</cp:lastModifiedBy>
  <dcterms:modified xsi:type="dcterms:W3CDTF">2026-07-03T21:02:08Z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2052-26.6.2</vt:lpwstr>
  </property>
  <property fmtid="{D5CDD505-2E9C-101B-9397-08002B2CF9AE}" pid="3" name="ICV">
    <vt:lpwstr>CB867C7A6376A83A10A5476A9FF1B1D9_31</vt:lpwstr>
  </property>
</Properties>
</file>