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2051D" w14:textId="77777777" w:rsidR="00C17CAD" w:rsidRDefault="00C17CAD"/>
    <w:p w14:paraId="52BAF61C" w14:textId="77777777" w:rsidR="00C17CAD" w:rsidRDefault="00C17CAD"/>
    <w:p w14:paraId="6980826F" w14:textId="77777777" w:rsidR="00C17CAD" w:rsidRDefault="00C17CAD"/>
    <w:p w14:paraId="0218DC9B" w14:textId="77777777" w:rsidR="00C17CAD" w:rsidRDefault="00C17CAD"/>
    <w:p w14:paraId="0ED3D897" w14:textId="77777777" w:rsidR="00C17CAD" w:rsidRDefault="00C17CAD"/>
    <w:p w14:paraId="7028C7C3" w14:textId="77777777" w:rsidR="00C17CAD" w:rsidRDefault="00C17CAD"/>
    <w:p w14:paraId="67846971" w14:textId="77777777" w:rsidR="00C17CAD" w:rsidRDefault="00C17CAD"/>
    <w:p w14:paraId="5DCDF994" w14:textId="77777777" w:rsidR="00C17CAD" w:rsidRDefault="00C17CAD"/>
    <w:p w14:paraId="41EC8153" w14:textId="77777777" w:rsidR="00C17CAD" w:rsidRDefault="00000000">
      <w:pPr>
        <w:jc w:val="center"/>
        <w:rPr>
          <w:lang w:eastAsia="zh-CN"/>
        </w:rPr>
      </w:pPr>
      <w:r>
        <w:rPr>
          <w:b/>
          <w:sz w:val="48"/>
          <w:lang w:eastAsia="zh-CN"/>
        </w:rPr>
        <w:t>基础负荷与光伏出力分析</w:t>
      </w:r>
    </w:p>
    <w:p w14:paraId="292A2FD6" w14:textId="77777777" w:rsidR="00C17CAD" w:rsidRDefault="00C17CAD">
      <w:pPr>
        <w:rPr>
          <w:lang w:eastAsia="zh-CN"/>
        </w:rPr>
      </w:pPr>
    </w:p>
    <w:p w14:paraId="5279E0AF" w14:textId="77777777" w:rsidR="00C17CAD" w:rsidRDefault="00C17CAD">
      <w:pPr>
        <w:rPr>
          <w:lang w:eastAsia="zh-CN"/>
        </w:rPr>
      </w:pPr>
    </w:p>
    <w:p w14:paraId="28AD7F67" w14:textId="77777777" w:rsidR="00C17CAD" w:rsidRDefault="00C17CAD">
      <w:pPr>
        <w:rPr>
          <w:lang w:eastAsia="zh-CN"/>
        </w:rPr>
      </w:pPr>
    </w:p>
    <w:p w14:paraId="22FD667D" w14:textId="77777777" w:rsidR="00C17CAD" w:rsidRDefault="00C17CAD">
      <w:pPr>
        <w:rPr>
          <w:lang w:eastAsia="zh-CN"/>
        </w:rPr>
      </w:pPr>
    </w:p>
    <w:p w14:paraId="6E519B9B" w14:textId="77777777" w:rsidR="00C17CAD" w:rsidRDefault="00000000">
      <w:pPr>
        <w:jc w:val="center"/>
        <w:rPr>
          <w:lang w:eastAsia="zh-CN"/>
        </w:rPr>
      </w:pPr>
      <w:r>
        <w:rPr>
          <w:sz w:val="28"/>
          <w:lang w:eastAsia="zh-CN"/>
        </w:rPr>
        <w:t>任务二：全年家庭基础负荷分析</w:t>
      </w:r>
    </w:p>
    <w:p w14:paraId="4BCB6D1D" w14:textId="77777777" w:rsidR="00C17CAD" w:rsidRDefault="00000000">
      <w:pPr>
        <w:jc w:val="center"/>
        <w:rPr>
          <w:lang w:eastAsia="zh-CN"/>
        </w:rPr>
      </w:pPr>
      <w:r>
        <w:rPr>
          <w:sz w:val="28"/>
          <w:lang w:eastAsia="zh-CN"/>
        </w:rPr>
        <w:t>任务三：全年光伏出力分析</w:t>
      </w:r>
    </w:p>
    <w:p w14:paraId="5625C946" w14:textId="77777777" w:rsidR="00C17CAD" w:rsidRDefault="00C17CAD">
      <w:pPr>
        <w:jc w:val="center"/>
        <w:rPr>
          <w:lang w:eastAsia="zh-CN"/>
        </w:rPr>
      </w:pPr>
    </w:p>
    <w:p w14:paraId="02A7772C" w14:textId="14A2E6AC" w:rsidR="00C17CAD" w:rsidRDefault="00000000">
      <w:pPr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负责人</w:t>
      </w:r>
      <w:r w:rsidR="00CE5BCC">
        <w:rPr>
          <w:rFonts w:hint="eastAsia"/>
          <w:sz w:val="28"/>
          <w:lang w:eastAsia="zh-CN"/>
        </w:rPr>
        <w:t>：刘逸文</w:t>
      </w:r>
    </w:p>
    <w:p w14:paraId="6D93864F" w14:textId="77777777" w:rsidR="00C17CA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F946ECD" w14:textId="77777777" w:rsidR="00C17CAD" w:rsidRDefault="00000000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lastRenderedPageBreak/>
        <w:t>任务二</w:t>
      </w:r>
      <w:r>
        <w:rPr>
          <w:rFonts w:ascii="Arial" w:eastAsia="黑体" w:hAnsi="Arial"/>
          <w:lang w:eastAsia="zh-CN"/>
        </w:rPr>
        <w:t xml:space="preserve">  </w:t>
      </w:r>
      <w:r>
        <w:rPr>
          <w:rFonts w:ascii="Arial" w:eastAsia="黑体" w:hAnsi="Arial"/>
          <w:lang w:eastAsia="zh-CN"/>
        </w:rPr>
        <w:t>全年家庭基础负荷分析</w:t>
      </w:r>
    </w:p>
    <w:p w14:paraId="0C6B80D3" w14:textId="77777777" w:rsidR="00C17CAD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2.1 </w:t>
      </w:r>
      <w:r>
        <w:rPr>
          <w:rFonts w:ascii="Arial" w:eastAsia="黑体" w:hAnsi="Arial"/>
          <w:lang w:eastAsia="zh-CN"/>
        </w:rPr>
        <w:t>数据预处理</w:t>
      </w:r>
    </w:p>
    <w:p w14:paraId="1339C3AC" w14:textId="77777777" w:rsidR="00C17CAD" w:rsidRDefault="00000000">
      <w:pPr>
        <w:ind w:firstLine="420"/>
        <w:rPr>
          <w:lang w:eastAsia="zh-CN"/>
        </w:rPr>
      </w:pPr>
      <w:r>
        <w:rPr>
          <w:lang w:eastAsia="zh-CN"/>
        </w:rPr>
        <w:t>家用基础负荷原始数据为</w:t>
      </w:r>
      <w:r>
        <w:rPr>
          <w:lang w:eastAsia="zh-CN"/>
        </w:rPr>
        <w:t xml:space="preserve"> 15 </w:t>
      </w:r>
      <w:r>
        <w:rPr>
          <w:lang w:eastAsia="zh-CN"/>
        </w:rPr>
        <w:t>分钟分辨率。利用线性插值将其平滑升采样至</w:t>
      </w:r>
      <w:r>
        <w:rPr>
          <w:lang w:eastAsia="zh-CN"/>
        </w:rPr>
        <w:t xml:space="preserve"> 5 </w:t>
      </w:r>
      <w:r>
        <w:rPr>
          <w:lang w:eastAsia="zh-CN"/>
        </w:rPr>
        <w:t>分钟分辨率以匹配微电网的高频控制需求。同时为模拟家电突发开启的随机峰值，在基准线中注入了</w:t>
      </w:r>
      <w:r>
        <w:rPr>
          <w:lang w:eastAsia="zh-CN"/>
        </w:rPr>
        <w:t xml:space="preserve"> Gaussian </w:t>
      </w:r>
      <w:r>
        <w:rPr>
          <w:lang w:eastAsia="zh-CN"/>
        </w:rPr>
        <w:t>噪声。</w:t>
      </w:r>
    </w:p>
    <w:p w14:paraId="2A14469F" w14:textId="77777777" w:rsidR="00C17CAD" w:rsidRDefault="00000000">
      <w:pPr>
        <w:pStyle w:val="21"/>
      </w:pPr>
      <w:r>
        <w:rPr>
          <w:rFonts w:ascii="Arial" w:eastAsia="黑体" w:hAnsi="Arial"/>
        </w:rPr>
        <w:t xml:space="preserve">2.2 </w:t>
      </w:r>
      <w:r>
        <w:rPr>
          <w:rFonts w:ascii="Arial" w:eastAsia="黑体" w:hAnsi="Arial"/>
        </w:rPr>
        <w:t>年度统计结果</w:t>
      </w:r>
    </w:p>
    <w:p w14:paraId="66E610E2" w14:textId="77777777" w:rsidR="00C17CAD" w:rsidRDefault="00C17CAD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C17CAD" w14:paraId="33B37FA9" w14:textId="77777777">
        <w:trPr>
          <w:jc w:val="center"/>
        </w:trPr>
        <w:tc>
          <w:tcPr>
            <w:tcW w:w="2878" w:type="dxa"/>
            <w:shd w:val="clear" w:color="auto" w:fill="D9E2F3"/>
          </w:tcPr>
          <w:p w14:paraId="2322A71D" w14:textId="77777777" w:rsidR="00C17CAD" w:rsidRDefault="00000000"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w="2878" w:type="dxa"/>
            <w:shd w:val="clear" w:color="auto" w:fill="D9E2F3"/>
          </w:tcPr>
          <w:p w14:paraId="0371C46D" w14:textId="77777777" w:rsidR="00C17CAD" w:rsidRDefault="00000000">
            <w:pPr>
              <w:jc w:val="center"/>
            </w:pPr>
            <w:r>
              <w:rPr>
                <w:b/>
                <w:sz w:val="20"/>
              </w:rPr>
              <w:t>数值</w:t>
            </w:r>
          </w:p>
        </w:tc>
        <w:tc>
          <w:tcPr>
            <w:tcW w:w="2878" w:type="dxa"/>
            <w:shd w:val="clear" w:color="auto" w:fill="D9E2F3"/>
          </w:tcPr>
          <w:p w14:paraId="3E89489D" w14:textId="77777777" w:rsidR="00C17CAD" w:rsidRDefault="00000000">
            <w:pPr>
              <w:jc w:val="center"/>
            </w:pPr>
            <w:r>
              <w:rPr>
                <w:b/>
                <w:sz w:val="20"/>
              </w:rPr>
              <w:t>单位</w:t>
            </w:r>
          </w:p>
        </w:tc>
      </w:tr>
      <w:tr w:rsidR="00C17CAD" w14:paraId="6EB1B342" w14:textId="77777777">
        <w:trPr>
          <w:jc w:val="center"/>
        </w:trPr>
        <w:tc>
          <w:tcPr>
            <w:tcW w:w="2878" w:type="dxa"/>
          </w:tcPr>
          <w:p w14:paraId="08353AF5" w14:textId="77777777" w:rsidR="00C17CAD" w:rsidRDefault="00000000">
            <w:pPr>
              <w:jc w:val="center"/>
            </w:pPr>
            <w:r>
              <w:rPr>
                <w:sz w:val="20"/>
              </w:rPr>
              <w:t>年总负荷量</w:t>
            </w:r>
          </w:p>
        </w:tc>
        <w:tc>
          <w:tcPr>
            <w:tcW w:w="2878" w:type="dxa"/>
          </w:tcPr>
          <w:p w14:paraId="7D238432" w14:textId="77777777" w:rsidR="00C17CAD" w:rsidRDefault="00000000">
            <w:pPr>
              <w:jc w:val="center"/>
            </w:pPr>
            <w:r>
              <w:rPr>
                <w:sz w:val="20"/>
              </w:rPr>
              <w:t>7,139.36</w:t>
            </w:r>
          </w:p>
        </w:tc>
        <w:tc>
          <w:tcPr>
            <w:tcW w:w="2878" w:type="dxa"/>
          </w:tcPr>
          <w:p w14:paraId="56935F09" w14:textId="77777777" w:rsidR="00C17CAD" w:rsidRDefault="00000000">
            <w:pPr>
              <w:jc w:val="center"/>
            </w:pPr>
            <w:r>
              <w:rPr>
                <w:sz w:val="20"/>
              </w:rPr>
              <w:t>kWh</w:t>
            </w:r>
          </w:p>
        </w:tc>
      </w:tr>
      <w:tr w:rsidR="00C17CAD" w14:paraId="754F47AF" w14:textId="77777777">
        <w:trPr>
          <w:jc w:val="center"/>
        </w:trPr>
        <w:tc>
          <w:tcPr>
            <w:tcW w:w="2878" w:type="dxa"/>
          </w:tcPr>
          <w:p w14:paraId="3236E6C2" w14:textId="42DDEBC4" w:rsidR="00C17CAD" w:rsidRDefault="006D1EEB">
            <w:pPr>
              <w:jc w:val="center"/>
            </w:pPr>
            <w:r>
              <w:rPr>
                <w:rFonts w:hint="eastAsia"/>
                <w:sz w:val="20"/>
                <w:lang w:eastAsia="zh-CN"/>
              </w:rPr>
              <w:t>5min</w:t>
            </w:r>
            <w:r w:rsidR="00000000">
              <w:rPr>
                <w:sz w:val="20"/>
              </w:rPr>
              <w:t>平均负荷</w:t>
            </w:r>
          </w:p>
        </w:tc>
        <w:tc>
          <w:tcPr>
            <w:tcW w:w="2878" w:type="dxa"/>
          </w:tcPr>
          <w:p w14:paraId="7F3F7D02" w14:textId="77777777" w:rsidR="00C17CAD" w:rsidRDefault="00000000">
            <w:pPr>
              <w:jc w:val="center"/>
            </w:pPr>
            <w:r>
              <w:rPr>
                <w:sz w:val="20"/>
              </w:rPr>
              <w:t>0.8150</w:t>
            </w:r>
          </w:p>
        </w:tc>
        <w:tc>
          <w:tcPr>
            <w:tcW w:w="2878" w:type="dxa"/>
          </w:tcPr>
          <w:p w14:paraId="41ABC271" w14:textId="77777777" w:rsidR="00C17CAD" w:rsidRDefault="00000000">
            <w:pPr>
              <w:jc w:val="center"/>
            </w:pPr>
            <w:r>
              <w:rPr>
                <w:sz w:val="20"/>
              </w:rPr>
              <w:t>kW</w:t>
            </w:r>
          </w:p>
        </w:tc>
      </w:tr>
      <w:tr w:rsidR="00C17CAD" w14:paraId="7D39321A" w14:textId="77777777">
        <w:trPr>
          <w:jc w:val="center"/>
        </w:trPr>
        <w:tc>
          <w:tcPr>
            <w:tcW w:w="2878" w:type="dxa"/>
          </w:tcPr>
          <w:p w14:paraId="7D7DEE38" w14:textId="32D9BA79" w:rsidR="00C17CAD" w:rsidRDefault="006D1EEB">
            <w:pPr>
              <w:jc w:val="center"/>
            </w:pPr>
            <w:r>
              <w:rPr>
                <w:rFonts w:hint="eastAsia"/>
                <w:sz w:val="20"/>
                <w:lang w:eastAsia="zh-CN"/>
              </w:rPr>
              <w:t>5min</w:t>
            </w:r>
            <w:r w:rsidR="00000000">
              <w:rPr>
                <w:sz w:val="20"/>
              </w:rPr>
              <w:t>最大负荷</w:t>
            </w:r>
          </w:p>
        </w:tc>
        <w:tc>
          <w:tcPr>
            <w:tcW w:w="2878" w:type="dxa"/>
          </w:tcPr>
          <w:p w14:paraId="6328DF0A" w14:textId="77777777" w:rsidR="00C17CAD" w:rsidRDefault="00000000">
            <w:pPr>
              <w:jc w:val="center"/>
            </w:pPr>
            <w:r>
              <w:rPr>
                <w:sz w:val="20"/>
              </w:rPr>
              <w:t>3.50</w:t>
            </w:r>
          </w:p>
        </w:tc>
        <w:tc>
          <w:tcPr>
            <w:tcW w:w="2878" w:type="dxa"/>
          </w:tcPr>
          <w:p w14:paraId="320176D9" w14:textId="77777777" w:rsidR="00C17CAD" w:rsidRDefault="00000000">
            <w:pPr>
              <w:jc w:val="center"/>
            </w:pPr>
            <w:r>
              <w:rPr>
                <w:sz w:val="20"/>
              </w:rPr>
              <w:t>kW</w:t>
            </w:r>
          </w:p>
        </w:tc>
      </w:tr>
      <w:tr w:rsidR="00C17CAD" w14:paraId="36A7D5FC" w14:textId="77777777">
        <w:trPr>
          <w:jc w:val="center"/>
        </w:trPr>
        <w:tc>
          <w:tcPr>
            <w:tcW w:w="2878" w:type="dxa"/>
          </w:tcPr>
          <w:p w14:paraId="16441665" w14:textId="7AA39FAC" w:rsidR="00C17CAD" w:rsidRDefault="006D1EEB">
            <w:pPr>
              <w:jc w:val="center"/>
            </w:pPr>
            <w:r>
              <w:rPr>
                <w:rFonts w:hint="eastAsia"/>
                <w:sz w:val="20"/>
                <w:lang w:eastAsia="zh-CN"/>
              </w:rPr>
              <w:t>5min</w:t>
            </w:r>
            <w:r w:rsidR="00000000">
              <w:rPr>
                <w:sz w:val="20"/>
              </w:rPr>
              <w:t>最小负荷</w:t>
            </w:r>
          </w:p>
        </w:tc>
        <w:tc>
          <w:tcPr>
            <w:tcW w:w="2878" w:type="dxa"/>
          </w:tcPr>
          <w:p w14:paraId="4D1BD969" w14:textId="77777777" w:rsidR="00C17CAD" w:rsidRDefault="00000000">
            <w:pPr>
              <w:jc w:val="center"/>
            </w:pPr>
            <w:r>
              <w:rPr>
                <w:sz w:val="20"/>
              </w:rPr>
              <w:t>0.26</w:t>
            </w:r>
          </w:p>
        </w:tc>
        <w:tc>
          <w:tcPr>
            <w:tcW w:w="2878" w:type="dxa"/>
          </w:tcPr>
          <w:p w14:paraId="40707E3E" w14:textId="77777777" w:rsidR="00C17CAD" w:rsidRDefault="00000000">
            <w:pPr>
              <w:jc w:val="center"/>
            </w:pPr>
            <w:r>
              <w:rPr>
                <w:sz w:val="20"/>
              </w:rPr>
              <w:t>kW</w:t>
            </w:r>
          </w:p>
        </w:tc>
      </w:tr>
    </w:tbl>
    <w:p w14:paraId="5FC8E6A2" w14:textId="77777777" w:rsidR="00C17CAD" w:rsidRDefault="00C17CAD"/>
    <w:p w14:paraId="3944B6A2" w14:textId="77777777" w:rsidR="00C17CAD" w:rsidRDefault="00000000">
      <w:pPr>
        <w:pStyle w:val="21"/>
      </w:pPr>
      <w:r>
        <w:rPr>
          <w:rFonts w:ascii="Arial" w:eastAsia="黑体" w:hAnsi="Arial"/>
        </w:rPr>
        <w:t xml:space="preserve">2.3 </w:t>
      </w:r>
      <w:r>
        <w:rPr>
          <w:rFonts w:ascii="Arial" w:eastAsia="黑体" w:hAnsi="Arial"/>
        </w:rPr>
        <w:t>负荷特征趋势分析</w:t>
      </w:r>
    </w:p>
    <w:p w14:paraId="1C1F4044" w14:textId="77777777" w:rsidR="00C17CAD" w:rsidRDefault="00000000">
      <w:pPr>
        <w:ind w:firstLine="420"/>
        <w:rPr>
          <w:lang w:eastAsia="zh-CN"/>
        </w:rPr>
      </w:pPr>
      <w:r>
        <w:rPr>
          <w:lang w:eastAsia="zh-CN"/>
        </w:rPr>
        <w:t>从月平均负荷图（图</w:t>
      </w:r>
      <w:r>
        <w:rPr>
          <w:lang w:eastAsia="zh-CN"/>
        </w:rPr>
        <w:t>2-2</w:t>
      </w:r>
      <w:r>
        <w:rPr>
          <w:lang w:eastAsia="zh-CN"/>
        </w:rPr>
        <w:t>）可以观察到以下趋势：</w:t>
      </w:r>
    </w:p>
    <w:p w14:paraId="75F13B41" w14:textId="77777777" w:rsidR="00C17CAD" w:rsidRDefault="00000000">
      <w:pPr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）季节性趋势：全年月平均负荷呈现明显的</w:t>
      </w:r>
      <w:r>
        <w:rPr>
          <w:lang w:eastAsia="zh-CN"/>
        </w:rPr>
        <w:t>"</w:t>
      </w:r>
      <w:r>
        <w:rPr>
          <w:lang w:eastAsia="zh-CN"/>
        </w:rPr>
        <w:t>中间高、两头次高、过渡季低</w:t>
      </w:r>
      <w:r>
        <w:rPr>
          <w:lang w:eastAsia="zh-CN"/>
        </w:rPr>
        <w:t>"</w:t>
      </w:r>
      <w:r>
        <w:rPr>
          <w:lang w:eastAsia="zh-CN"/>
        </w:rPr>
        <w:t>的格局。夏季月份（</w:t>
      </w:r>
      <w:r>
        <w:rPr>
          <w:lang w:eastAsia="zh-CN"/>
        </w:rPr>
        <w:t>6-9</w:t>
      </w:r>
      <w:r>
        <w:rPr>
          <w:lang w:eastAsia="zh-CN"/>
        </w:rPr>
        <w:t>月）平均负荷显著高于其他季节，主要由空调制冷负荷驱动</w:t>
      </w:r>
      <w:r>
        <w:rPr>
          <w:lang w:eastAsia="zh-CN"/>
        </w:rPr>
        <w:t>——</w:t>
      </w:r>
      <w:r>
        <w:rPr>
          <w:lang w:eastAsia="zh-CN"/>
        </w:rPr>
        <w:t>上海夏季高温高湿，空调运行时间长，是用电峰值时段。冬季月份（</w:t>
      </w:r>
      <w:r>
        <w:rPr>
          <w:lang w:eastAsia="zh-CN"/>
        </w:rPr>
        <w:t>12-2</w:t>
      </w:r>
      <w:r>
        <w:rPr>
          <w:lang w:eastAsia="zh-CN"/>
        </w:rPr>
        <w:t>月）为次高峰，电热水器及取暖需求拉高了负荷。春季（</w:t>
      </w:r>
      <w:r>
        <w:rPr>
          <w:lang w:eastAsia="zh-CN"/>
        </w:rPr>
        <w:t>3-5</w:t>
      </w:r>
      <w:r>
        <w:rPr>
          <w:lang w:eastAsia="zh-CN"/>
        </w:rPr>
        <w:t>月）和秋季（</w:t>
      </w:r>
      <w:r>
        <w:rPr>
          <w:lang w:eastAsia="zh-CN"/>
        </w:rPr>
        <w:t>10-11</w:t>
      </w:r>
      <w:r>
        <w:rPr>
          <w:lang w:eastAsia="zh-CN"/>
        </w:rPr>
        <w:t>月）气温适中，空调基本停用，为全年用电低谷。这种季节性波动意味着家庭用电对气温高度敏感，且与光伏出力的季节分布存在耦合关系。</w:t>
      </w:r>
    </w:p>
    <w:p w14:paraId="427B228D" w14:textId="77777777" w:rsidR="00C17CAD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>（</w:t>
      </w:r>
      <w:r>
        <w:rPr>
          <w:lang w:eastAsia="zh-CN"/>
        </w:rPr>
        <w:t>2</w:t>
      </w:r>
      <w:r>
        <w:rPr>
          <w:lang w:eastAsia="zh-CN"/>
        </w:rPr>
        <w:t>）日内双峰特征：从基础负荷曲线（图</w:t>
      </w:r>
      <w:r>
        <w:rPr>
          <w:lang w:eastAsia="zh-CN"/>
        </w:rPr>
        <w:t>2-1</w:t>
      </w:r>
      <w:r>
        <w:rPr>
          <w:lang w:eastAsia="zh-CN"/>
        </w:rPr>
        <w:t>）可看出，典型工作日负荷呈现早晚双峰形态。早高峰出现在</w:t>
      </w:r>
      <w:r>
        <w:rPr>
          <w:lang w:eastAsia="zh-CN"/>
        </w:rPr>
        <w:t xml:space="preserve"> 06:30-08:30 </w:t>
      </w:r>
      <w:r>
        <w:rPr>
          <w:lang w:eastAsia="zh-CN"/>
        </w:rPr>
        <w:t>左右，家庭成员起床洗漱、准备早餐导致用电集中。日间（</w:t>
      </w:r>
      <w:r>
        <w:rPr>
          <w:lang w:eastAsia="zh-CN"/>
        </w:rPr>
        <w:t>09:00-16:00</w:t>
      </w:r>
      <w:r>
        <w:rPr>
          <w:lang w:eastAsia="zh-CN"/>
        </w:rPr>
        <w:t>）负荷处于低谷，成员外出后仅冰箱和待机设备运行。晚高峰出现在</w:t>
      </w:r>
      <w:r>
        <w:rPr>
          <w:lang w:eastAsia="zh-CN"/>
        </w:rPr>
        <w:t xml:space="preserve"> 17:30-22:30</w:t>
      </w:r>
      <w:r>
        <w:rPr>
          <w:lang w:eastAsia="zh-CN"/>
        </w:rPr>
        <w:t>，做饭、洗澡、空调、照明等叠加，为全天负荷最高时段。这一晚高峰与光伏出力（正午峰值、日落后为零）形成严重的时间错配</w:t>
      </w:r>
      <w:r>
        <w:rPr>
          <w:lang w:eastAsia="zh-CN"/>
        </w:rPr>
        <w:t>——</w:t>
      </w:r>
      <w:r>
        <w:rPr>
          <w:lang w:eastAsia="zh-CN"/>
        </w:rPr>
        <w:t>负荷最高的时候光伏为零，这是引入储能系统的核心动因。</w:t>
      </w:r>
    </w:p>
    <w:p w14:paraId="08E95178" w14:textId="77777777" w:rsidR="00C17CAD" w:rsidRDefault="00000000">
      <w:pPr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）工作日与周末差异：周末日间负荷明显高于工作日（成员居家活动增多），早高峰推迟约</w:t>
      </w:r>
      <w:r>
        <w:rPr>
          <w:lang w:eastAsia="zh-CN"/>
        </w:rPr>
        <w:t xml:space="preserve"> 1-2 </w:t>
      </w:r>
      <w:r>
        <w:rPr>
          <w:lang w:eastAsia="zh-CN"/>
        </w:rPr>
        <w:t>小时，晚高峰相对平缓。周末日用电量整体高于工作日。</w:t>
      </w:r>
    </w:p>
    <w:p w14:paraId="79E71EB0" w14:textId="77777777" w:rsidR="00C17CAD" w:rsidRDefault="00000000">
      <w:pPr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</w:t>
      </w:r>
      <w:r>
        <w:rPr>
          <w:lang w:eastAsia="zh-CN"/>
        </w:rPr>
        <w:t>5</w:t>
      </w:r>
      <w:r>
        <w:rPr>
          <w:lang w:eastAsia="zh-CN"/>
        </w:rPr>
        <w:t>分钟分辨率与噪声注入的意义：</w:t>
      </w:r>
      <w:r>
        <w:rPr>
          <w:lang w:eastAsia="zh-CN"/>
        </w:rPr>
        <w:t xml:space="preserve">Figure 1 </w:t>
      </w:r>
      <w:r>
        <w:rPr>
          <w:lang w:eastAsia="zh-CN"/>
        </w:rPr>
        <w:t>中对比了原始</w:t>
      </w:r>
      <w:r>
        <w:rPr>
          <w:lang w:eastAsia="zh-CN"/>
        </w:rPr>
        <w:t xml:space="preserve"> 15 </w:t>
      </w:r>
      <w:r>
        <w:rPr>
          <w:lang w:eastAsia="zh-CN"/>
        </w:rPr>
        <w:t>分钟均值与注入</w:t>
      </w:r>
      <w:r>
        <w:rPr>
          <w:lang w:eastAsia="zh-CN"/>
        </w:rPr>
        <w:t xml:space="preserve"> Gaussian </w:t>
      </w:r>
      <w:r>
        <w:rPr>
          <w:lang w:eastAsia="zh-CN"/>
        </w:rPr>
        <w:t>噪声后的</w:t>
      </w:r>
      <w:r>
        <w:rPr>
          <w:lang w:eastAsia="zh-CN"/>
        </w:rPr>
        <w:t xml:space="preserve"> 5 </w:t>
      </w:r>
      <w:r>
        <w:rPr>
          <w:lang w:eastAsia="zh-CN"/>
        </w:rPr>
        <w:t>分钟曲线。</w:t>
      </w:r>
      <w:r>
        <w:rPr>
          <w:lang w:eastAsia="zh-CN"/>
        </w:rPr>
        <w:t xml:space="preserve">15 </w:t>
      </w:r>
      <w:r>
        <w:rPr>
          <w:lang w:eastAsia="zh-CN"/>
        </w:rPr>
        <w:t>分钟均值天然平滑了短时功率尖峰（如微波炉</w:t>
      </w:r>
      <w:r>
        <w:rPr>
          <w:lang w:eastAsia="zh-CN"/>
        </w:rPr>
        <w:t xml:space="preserve"> 2-10 </w:t>
      </w:r>
      <w:r>
        <w:rPr>
          <w:lang w:eastAsia="zh-CN"/>
        </w:rPr>
        <w:t>分钟、电热水壶</w:t>
      </w:r>
      <w:r>
        <w:rPr>
          <w:lang w:eastAsia="zh-CN"/>
        </w:rPr>
        <w:t xml:space="preserve"> 3-5 </w:t>
      </w:r>
      <w:r>
        <w:rPr>
          <w:lang w:eastAsia="zh-CN"/>
        </w:rPr>
        <w:t>分钟的大功率脉冲），而</w:t>
      </w:r>
      <w:r>
        <w:rPr>
          <w:lang w:eastAsia="zh-CN"/>
        </w:rPr>
        <w:t xml:space="preserve"> 5 </w:t>
      </w:r>
      <w:r>
        <w:rPr>
          <w:lang w:eastAsia="zh-CN"/>
        </w:rPr>
        <w:t>分钟分辨率加噪声后更能反映真实工况。这对后续储能控制仿真至关重要</w:t>
      </w:r>
      <w:r>
        <w:rPr>
          <w:lang w:eastAsia="zh-CN"/>
        </w:rPr>
        <w:t>——</w:t>
      </w:r>
      <w:r>
        <w:rPr>
          <w:lang w:eastAsia="zh-CN"/>
        </w:rPr>
        <w:t>储能充放电决策需要在几分钟内响应负荷波动，过于平滑的数据会使仿真结果偏乐观。</w:t>
      </w:r>
    </w:p>
    <w:p w14:paraId="32914BB0" w14:textId="77777777" w:rsidR="00C17CAD" w:rsidRDefault="00000000">
      <w:pPr>
        <w:pStyle w:val="21"/>
      </w:pPr>
      <w:r>
        <w:rPr>
          <w:rFonts w:ascii="Arial" w:eastAsia="黑体" w:hAnsi="Arial"/>
        </w:rPr>
        <w:t xml:space="preserve">2.4 </w:t>
      </w:r>
      <w:r>
        <w:rPr>
          <w:rFonts w:ascii="Arial" w:eastAsia="黑体" w:hAnsi="Arial"/>
        </w:rPr>
        <w:t>关键图表</w:t>
      </w:r>
    </w:p>
    <w:p w14:paraId="0B115B42" w14:textId="77777777" w:rsidR="00C17CAD" w:rsidRDefault="00000000">
      <w:pPr>
        <w:jc w:val="center"/>
      </w:pPr>
      <w:r>
        <w:rPr>
          <w:noProof/>
        </w:rPr>
        <w:drawing>
          <wp:inline distT="0" distB="0" distL="0" distR="0" wp14:anchorId="73E159BB" wp14:editId="273C3FB7">
            <wp:extent cx="5029200" cy="21743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基础负荷曲线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7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AEEC" w14:textId="77777777" w:rsidR="00C17CAD" w:rsidRDefault="00000000">
      <w:pPr>
        <w:jc w:val="center"/>
        <w:rPr>
          <w:lang w:eastAsia="zh-CN"/>
        </w:rPr>
      </w:pPr>
      <w:r>
        <w:rPr>
          <w:sz w:val="20"/>
          <w:lang w:eastAsia="zh-CN"/>
        </w:rPr>
        <w:t>图</w:t>
      </w:r>
      <w:r>
        <w:rPr>
          <w:sz w:val="20"/>
          <w:lang w:eastAsia="zh-CN"/>
        </w:rPr>
        <w:t xml:space="preserve">2-1  </w:t>
      </w:r>
      <w:r>
        <w:rPr>
          <w:sz w:val="20"/>
          <w:lang w:eastAsia="zh-CN"/>
        </w:rPr>
        <w:t>基础负荷曲线（原始</w:t>
      </w:r>
      <w:r>
        <w:rPr>
          <w:sz w:val="20"/>
          <w:lang w:eastAsia="zh-CN"/>
        </w:rPr>
        <w:t>15min vs 5min</w:t>
      </w:r>
      <w:r>
        <w:rPr>
          <w:sz w:val="20"/>
          <w:lang w:eastAsia="zh-CN"/>
        </w:rPr>
        <w:t>含噪声）</w:t>
      </w:r>
    </w:p>
    <w:p w14:paraId="33D15333" w14:textId="77777777" w:rsidR="00C17CAD" w:rsidRDefault="00000000">
      <w:pPr>
        <w:ind w:firstLine="420"/>
        <w:rPr>
          <w:lang w:eastAsia="zh-CN"/>
        </w:rPr>
      </w:pPr>
      <w:r>
        <w:rPr>
          <w:lang w:eastAsia="zh-CN"/>
        </w:rPr>
        <w:t>Figure 1</w:t>
      </w:r>
      <w:r>
        <w:rPr>
          <w:lang w:eastAsia="zh-CN"/>
        </w:rPr>
        <w:t>：清晰展示了升采样前后的对比。</w:t>
      </w:r>
      <w:r>
        <w:rPr>
          <w:lang w:eastAsia="zh-CN"/>
        </w:rPr>
        <w:t xml:space="preserve">15min </w:t>
      </w:r>
      <w:r>
        <w:rPr>
          <w:lang w:eastAsia="zh-CN"/>
        </w:rPr>
        <w:t>均值曲线较为平滑，</w:t>
      </w:r>
      <w:r>
        <w:rPr>
          <w:lang w:eastAsia="zh-CN"/>
        </w:rPr>
        <w:t xml:space="preserve">5min </w:t>
      </w:r>
      <w:r>
        <w:rPr>
          <w:lang w:eastAsia="zh-CN"/>
        </w:rPr>
        <w:t>噪声注入后的曲线呈现真实的锯齿状波动，负荷越大的时段波动幅度越大。</w:t>
      </w:r>
    </w:p>
    <w:p w14:paraId="00719F9A" w14:textId="77777777" w:rsidR="00C17CA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D650ECB" wp14:editId="38F56E3E">
            <wp:extent cx="5029200" cy="2514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月平均负荷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82C8" w14:textId="77777777" w:rsidR="00C17CAD" w:rsidRDefault="00000000">
      <w:pPr>
        <w:jc w:val="center"/>
        <w:rPr>
          <w:lang w:eastAsia="zh-CN"/>
        </w:rPr>
      </w:pPr>
      <w:r>
        <w:rPr>
          <w:sz w:val="20"/>
          <w:lang w:eastAsia="zh-CN"/>
        </w:rPr>
        <w:t>图</w:t>
      </w:r>
      <w:r>
        <w:rPr>
          <w:sz w:val="20"/>
          <w:lang w:eastAsia="zh-CN"/>
        </w:rPr>
        <w:t xml:space="preserve">2-2  </w:t>
      </w:r>
      <w:r>
        <w:rPr>
          <w:sz w:val="20"/>
          <w:lang w:eastAsia="zh-CN"/>
        </w:rPr>
        <w:t>全年月平均负荷分布图</w:t>
      </w:r>
    </w:p>
    <w:p w14:paraId="2219F01A" w14:textId="77777777" w:rsidR="00C17CAD" w:rsidRDefault="00000000">
      <w:pPr>
        <w:ind w:firstLine="420"/>
        <w:rPr>
          <w:lang w:eastAsia="zh-CN"/>
        </w:rPr>
      </w:pPr>
      <w:r>
        <w:rPr>
          <w:lang w:eastAsia="zh-CN"/>
        </w:rPr>
        <w:t>Figure 2</w:t>
      </w:r>
      <w:r>
        <w:rPr>
          <w:lang w:eastAsia="zh-CN"/>
        </w:rPr>
        <w:t>：全年</w:t>
      </w:r>
      <w:r>
        <w:rPr>
          <w:lang w:eastAsia="zh-CN"/>
        </w:rPr>
        <w:t xml:space="preserve"> 12 </w:t>
      </w:r>
      <w:r>
        <w:rPr>
          <w:lang w:eastAsia="zh-CN"/>
        </w:rPr>
        <w:t>月平均负荷一览。可观察夏季高峰、冬季次高峰、过渡季低谷的</w:t>
      </w:r>
      <w:r>
        <w:rPr>
          <w:lang w:eastAsia="zh-CN"/>
        </w:rPr>
        <w:t>"</w:t>
      </w:r>
      <w:r>
        <w:rPr>
          <w:lang w:eastAsia="zh-CN"/>
        </w:rPr>
        <w:t>倒</w:t>
      </w:r>
      <w:r>
        <w:rPr>
          <w:lang w:eastAsia="zh-CN"/>
        </w:rPr>
        <w:t>U</w:t>
      </w:r>
      <w:r>
        <w:rPr>
          <w:lang w:eastAsia="zh-CN"/>
        </w:rPr>
        <w:t>型</w:t>
      </w:r>
      <w:r>
        <w:rPr>
          <w:lang w:eastAsia="zh-CN"/>
        </w:rPr>
        <w:t>"</w:t>
      </w:r>
      <w:r>
        <w:rPr>
          <w:lang w:eastAsia="zh-CN"/>
        </w:rPr>
        <w:t>季节趋势。</w:t>
      </w:r>
    </w:p>
    <w:p w14:paraId="581CD253" w14:textId="77777777" w:rsidR="00C17CA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4BD972D" w14:textId="77777777" w:rsidR="00C17CAD" w:rsidRDefault="00000000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lastRenderedPageBreak/>
        <w:t>任务三</w:t>
      </w:r>
      <w:r>
        <w:rPr>
          <w:rFonts w:ascii="Arial" w:eastAsia="黑体" w:hAnsi="Arial"/>
          <w:lang w:eastAsia="zh-CN"/>
        </w:rPr>
        <w:t xml:space="preserve">  </w:t>
      </w:r>
      <w:r>
        <w:rPr>
          <w:rFonts w:ascii="Arial" w:eastAsia="黑体" w:hAnsi="Arial"/>
          <w:lang w:eastAsia="zh-CN"/>
        </w:rPr>
        <w:t>全年光伏出力分析</w:t>
      </w:r>
    </w:p>
    <w:p w14:paraId="585D7369" w14:textId="77777777" w:rsidR="00C17CAD" w:rsidRDefault="00000000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3.1 </w:t>
      </w:r>
      <w:r>
        <w:rPr>
          <w:rFonts w:ascii="Arial" w:eastAsia="黑体" w:hAnsi="Arial"/>
          <w:lang w:eastAsia="zh-CN"/>
        </w:rPr>
        <w:t>光伏模型说明</w:t>
      </w:r>
    </w:p>
    <w:p w14:paraId="142169B9" w14:textId="77777777" w:rsidR="00C17CAD" w:rsidRDefault="00000000">
      <w:pPr>
        <w:ind w:firstLine="420"/>
        <w:rPr>
          <w:lang w:eastAsia="zh-CN"/>
        </w:rPr>
      </w:pPr>
      <w:r>
        <w:rPr>
          <w:lang w:eastAsia="zh-CN"/>
        </w:rPr>
        <w:t>光伏出力基于上海地区气象数据计算，建模中考虑了夏季云层遮挡波动及季节天气差异，使出力更贴近真实工况。</w:t>
      </w:r>
    </w:p>
    <w:p w14:paraId="60E1AB3B" w14:textId="77777777" w:rsidR="00C17CAD" w:rsidRDefault="00000000">
      <w:pPr>
        <w:pStyle w:val="21"/>
      </w:pPr>
      <w:r>
        <w:rPr>
          <w:rFonts w:ascii="Arial" w:eastAsia="黑体" w:hAnsi="Arial"/>
        </w:rPr>
        <w:t xml:space="preserve">3.2 </w:t>
      </w:r>
      <w:r>
        <w:rPr>
          <w:rFonts w:ascii="Arial" w:eastAsia="黑体" w:hAnsi="Arial"/>
        </w:rPr>
        <w:t>年度统计结果</w:t>
      </w:r>
    </w:p>
    <w:p w14:paraId="4C72EC25" w14:textId="77777777" w:rsidR="00C17CAD" w:rsidRDefault="00C17CAD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C17CAD" w14:paraId="195856FC" w14:textId="77777777">
        <w:trPr>
          <w:jc w:val="center"/>
        </w:trPr>
        <w:tc>
          <w:tcPr>
            <w:tcW w:w="2878" w:type="dxa"/>
            <w:shd w:val="clear" w:color="auto" w:fill="D9E2F3"/>
          </w:tcPr>
          <w:p w14:paraId="6FDA2EFD" w14:textId="77777777" w:rsidR="00C17CAD" w:rsidRDefault="00000000"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w="2878" w:type="dxa"/>
            <w:shd w:val="clear" w:color="auto" w:fill="D9E2F3"/>
          </w:tcPr>
          <w:p w14:paraId="2049A12A" w14:textId="77777777" w:rsidR="00C17CAD" w:rsidRDefault="00000000">
            <w:pPr>
              <w:jc w:val="center"/>
            </w:pPr>
            <w:r>
              <w:rPr>
                <w:b/>
                <w:sz w:val="20"/>
              </w:rPr>
              <w:t>数值</w:t>
            </w:r>
          </w:p>
        </w:tc>
        <w:tc>
          <w:tcPr>
            <w:tcW w:w="2878" w:type="dxa"/>
            <w:shd w:val="clear" w:color="auto" w:fill="D9E2F3"/>
          </w:tcPr>
          <w:p w14:paraId="43B88879" w14:textId="77777777" w:rsidR="00C17CAD" w:rsidRDefault="00000000">
            <w:pPr>
              <w:jc w:val="center"/>
            </w:pPr>
            <w:r>
              <w:rPr>
                <w:b/>
                <w:sz w:val="20"/>
              </w:rPr>
              <w:t>单位</w:t>
            </w:r>
          </w:p>
        </w:tc>
      </w:tr>
      <w:tr w:rsidR="00C17CAD" w14:paraId="73BABFE3" w14:textId="77777777">
        <w:trPr>
          <w:jc w:val="center"/>
        </w:trPr>
        <w:tc>
          <w:tcPr>
            <w:tcW w:w="2878" w:type="dxa"/>
          </w:tcPr>
          <w:p w14:paraId="6D0DD0E5" w14:textId="77777777" w:rsidR="00C17CAD" w:rsidRDefault="00000000">
            <w:pPr>
              <w:jc w:val="center"/>
            </w:pPr>
            <w:r>
              <w:rPr>
                <w:sz w:val="20"/>
              </w:rPr>
              <w:t>年总光伏发电量</w:t>
            </w:r>
          </w:p>
        </w:tc>
        <w:tc>
          <w:tcPr>
            <w:tcW w:w="2878" w:type="dxa"/>
          </w:tcPr>
          <w:p w14:paraId="4613C8BE" w14:textId="77777777" w:rsidR="00C17CAD" w:rsidRDefault="00000000">
            <w:pPr>
              <w:jc w:val="center"/>
            </w:pPr>
            <w:r>
              <w:rPr>
                <w:sz w:val="20"/>
              </w:rPr>
              <w:t>24,762.30</w:t>
            </w:r>
          </w:p>
        </w:tc>
        <w:tc>
          <w:tcPr>
            <w:tcW w:w="2878" w:type="dxa"/>
          </w:tcPr>
          <w:p w14:paraId="0008FC11" w14:textId="77777777" w:rsidR="00C17CAD" w:rsidRDefault="00000000">
            <w:pPr>
              <w:jc w:val="center"/>
            </w:pPr>
            <w:r>
              <w:rPr>
                <w:sz w:val="20"/>
              </w:rPr>
              <w:t>kWh</w:t>
            </w:r>
          </w:p>
        </w:tc>
      </w:tr>
    </w:tbl>
    <w:p w14:paraId="5E604BA5" w14:textId="77777777" w:rsidR="00C17CAD" w:rsidRDefault="00C17CAD"/>
    <w:p w14:paraId="2F42DAE0" w14:textId="77777777" w:rsidR="00C17CAD" w:rsidRDefault="00000000">
      <w:pPr>
        <w:pStyle w:val="21"/>
      </w:pPr>
      <w:r>
        <w:rPr>
          <w:rFonts w:ascii="Arial" w:eastAsia="黑体" w:hAnsi="Arial"/>
        </w:rPr>
        <w:t xml:space="preserve">3.3 </w:t>
      </w:r>
      <w:r>
        <w:rPr>
          <w:rFonts w:ascii="Arial" w:eastAsia="黑体" w:hAnsi="Arial"/>
        </w:rPr>
        <w:t>光伏出力趋势分析</w:t>
      </w:r>
    </w:p>
    <w:p w14:paraId="32D3865D" w14:textId="77777777" w:rsidR="00C17CAD" w:rsidRDefault="00000000">
      <w:pPr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）日内钟形曲线：从冬夏对比图（图</w:t>
      </w:r>
      <w:r>
        <w:rPr>
          <w:lang w:eastAsia="zh-CN"/>
        </w:rPr>
        <w:t>3-1</w:t>
      </w:r>
      <w:r>
        <w:rPr>
          <w:lang w:eastAsia="zh-CN"/>
        </w:rPr>
        <w:t>）和三维矩阵图（图</w:t>
      </w:r>
      <w:r>
        <w:rPr>
          <w:lang w:eastAsia="zh-CN"/>
        </w:rPr>
        <w:t>3-2</w:t>
      </w:r>
      <w:r>
        <w:rPr>
          <w:lang w:eastAsia="zh-CN"/>
        </w:rPr>
        <w:t>）均可观察到，光伏出力在一天内呈现标准的钟形曲线。日出后出力从零开始快速攀升，正午前后达到峰值，午后逐步下降，日落后归零。这一形状由太阳辐照度的余弦变化规律决定，是光伏发电的固有物理特征。</w:t>
      </w:r>
    </w:p>
    <w:p w14:paraId="77D66018" w14:textId="77777777" w:rsidR="00C17CAD" w:rsidRDefault="00000000">
      <w:pPr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）夏强冬弱的季节不对称性：夏季光伏出力在三个方面明显优于冬季</w:t>
      </w:r>
      <w:r>
        <w:rPr>
          <w:lang w:eastAsia="zh-CN"/>
        </w:rPr>
        <w:t>——</w:t>
      </w:r>
      <w:r>
        <w:rPr>
          <w:lang w:eastAsia="zh-CN"/>
        </w:rPr>
        <w:t>峰值功率更高（太阳高度角大、辐照度强）、出力持续时间更长（日照时数约</w:t>
      </w:r>
      <w:r>
        <w:rPr>
          <w:lang w:eastAsia="zh-CN"/>
        </w:rPr>
        <w:t xml:space="preserve"> 13-14 </w:t>
      </w:r>
      <w:r>
        <w:rPr>
          <w:lang w:eastAsia="zh-CN"/>
        </w:rPr>
        <w:t>小时</w:t>
      </w:r>
      <w:r>
        <w:rPr>
          <w:lang w:eastAsia="zh-CN"/>
        </w:rPr>
        <w:t xml:space="preserve"> vs </w:t>
      </w:r>
      <w:r>
        <w:rPr>
          <w:lang w:eastAsia="zh-CN"/>
        </w:rPr>
        <w:t>冬季约</w:t>
      </w:r>
      <w:r>
        <w:rPr>
          <w:lang w:eastAsia="zh-CN"/>
        </w:rPr>
        <w:t xml:space="preserve"> 10 </w:t>
      </w:r>
      <w:r>
        <w:rPr>
          <w:lang w:eastAsia="zh-CN"/>
        </w:rPr>
        <w:t>小时）、日出更早日落更晚。这一季节不对称性与负荷的季节分布有一定程度的重叠（夏天空调负荷也高），但在日内尺度上仍然存在严重错配：光伏峰值在正午、负荷峰值在晚间。</w:t>
      </w:r>
    </w:p>
    <w:p w14:paraId="76316F67" w14:textId="77777777" w:rsidR="00C17CAD" w:rsidRDefault="00000000">
      <w:pPr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）天气扰动的影响：光伏出力在夏季午后并非完美的平滑钟形。云层快速移动会造成</w:t>
      </w:r>
      <w:r>
        <w:rPr>
          <w:lang w:eastAsia="zh-CN"/>
        </w:rPr>
        <w:t xml:space="preserve"> 5 </w:t>
      </w:r>
      <w:r>
        <w:rPr>
          <w:lang w:eastAsia="zh-CN"/>
        </w:rPr>
        <w:t>分钟尺度的功率骤降和回升，波动幅度可观。梅雨季（</w:t>
      </w:r>
      <w:r>
        <w:rPr>
          <w:lang w:eastAsia="zh-CN"/>
        </w:rPr>
        <w:t>6</w:t>
      </w:r>
      <w:r>
        <w:rPr>
          <w:lang w:eastAsia="zh-CN"/>
        </w:rPr>
        <w:t>月中下旬至</w:t>
      </w:r>
      <w:r>
        <w:rPr>
          <w:lang w:eastAsia="zh-CN"/>
        </w:rPr>
        <w:t>7</w:t>
      </w:r>
      <w:r>
        <w:rPr>
          <w:lang w:eastAsia="zh-CN"/>
        </w:rPr>
        <w:t>月初）可能出现连续多日出力偏低。台风天气时全天发电量可能仅为晴天的</w:t>
      </w:r>
      <w:r>
        <w:rPr>
          <w:lang w:eastAsia="zh-CN"/>
        </w:rPr>
        <w:t xml:space="preserve"> </w:t>
      </w:r>
      <w:r>
        <w:rPr>
          <w:lang w:eastAsia="zh-CN"/>
        </w:rPr>
        <w:lastRenderedPageBreak/>
        <w:t>10%-20%</w:t>
      </w:r>
      <w:r>
        <w:rPr>
          <w:lang w:eastAsia="zh-CN"/>
        </w:rPr>
        <w:t>。这些扰动为储能控制增加了难度</w:t>
      </w:r>
      <w:r>
        <w:rPr>
          <w:lang w:eastAsia="zh-CN"/>
        </w:rPr>
        <w:t>——</w:t>
      </w:r>
      <w:r>
        <w:rPr>
          <w:lang w:eastAsia="zh-CN"/>
        </w:rPr>
        <w:t>储能系统需要在晴天时充分充电以应对后续阴雨天，而非简单按每日固定模式运行。</w:t>
      </w:r>
    </w:p>
    <w:p w14:paraId="618BB7D4" w14:textId="77777777" w:rsidR="00C17CAD" w:rsidRDefault="00000000">
      <w:pPr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）光伏</w:t>
      </w:r>
      <w:r>
        <w:rPr>
          <w:lang w:eastAsia="zh-CN"/>
        </w:rPr>
        <w:t>-</w:t>
      </w:r>
      <w:r>
        <w:rPr>
          <w:lang w:eastAsia="zh-CN"/>
        </w:rPr>
        <w:t>负荷匹配度：光伏年发电量（</w:t>
      </w:r>
      <w:r>
        <w:rPr>
          <w:lang w:eastAsia="zh-CN"/>
        </w:rPr>
        <w:t>24,762 kWh</w:t>
      </w:r>
      <w:r>
        <w:rPr>
          <w:lang w:eastAsia="zh-CN"/>
        </w:rPr>
        <w:t>）远超家庭年用电量（</w:t>
      </w:r>
      <w:r>
        <w:rPr>
          <w:lang w:eastAsia="zh-CN"/>
        </w:rPr>
        <w:t>7,139 kWh</w:t>
      </w:r>
      <w:r>
        <w:rPr>
          <w:lang w:eastAsia="zh-CN"/>
        </w:rPr>
        <w:t>），在年度尺度上产能严重过剩。然而日内的匹配却极端不利：正午光伏出力最大时家庭负荷处于低谷（仅</w:t>
      </w:r>
      <w:r>
        <w:rPr>
          <w:lang w:eastAsia="zh-CN"/>
        </w:rPr>
        <w:t xml:space="preserve"> 0.3-0.8 kW</w:t>
      </w:r>
      <w:r>
        <w:rPr>
          <w:lang w:eastAsia="zh-CN"/>
        </w:rPr>
        <w:t>），产生大量余电需上网或储存；晚间负荷高峰时光伏出力为零，全部依赖电网或储能。这一</w:t>
      </w:r>
      <w:r>
        <w:rPr>
          <w:lang w:eastAsia="zh-CN"/>
        </w:rPr>
        <w:t>"</w:t>
      </w:r>
      <w:r>
        <w:rPr>
          <w:lang w:eastAsia="zh-CN"/>
        </w:rPr>
        <w:t>时间错配</w:t>
      </w:r>
      <w:r>
        <w:rPr>
          <w:lang w:eastAsia="zh-CN"/>
        </w:rPr>
        <w:t>"</w:t>
      </w:r>
      <w:r>
        <w:rPr>
          <w:lang w:eastAsia="zh-CN"/>
        </w:rPr>
        <w:t>正是储能系统存在的根本价值</w:t>
      </w:r>
      <w:r>
        <w:rPr>
          <w:lang w:eastAsia="zh-CN"/>
        </w:rPr>
        <w:t>——</w:t>
      </w:r>
      <w:r>
        <w:rPr>
          <w:lang w:eastAsia="zh-CN"/>
        </w:rPr>
        <w:t>将正午过剩电力搬运至晚间使用。</w:t>
      </w:r>
    </w:p>
    <w:p w14:paraId="48183222" w14:textId="77777777" w:rsidR="00C17CAD" w:rsidRDefault="00000000">
      <w:pPr>
        <w:pStyle w:val="21"/>
      </w:pPr>
      <w:r>
        <w:rPr>
          <w:rFonts w:ascii="Arial" w:eastAsia="黑体" w:hAnsi="Arial"/>
        </w:rPr>
        <w:t xml:space="preserve">3.4 </w:t>
      </w:r>
      <w:r>
        <w:rPr>
          <w:rFonts w:ascii="Arial" w:eastAsia="黑体" w:hAnsi="Arial"/>
        </w:rPr>
        <w:t>关键图表</w:t>
      </w:r>
    </w:p>
    <w:p w14:paraId="63480E54" w14:textId="77777777" w:rsidR="00C17CAD" w:rsidRDefault="00000000">
      <w:pPr>
        <w:jc w:val="center"/>
      </w:pPr>
      <w:r>
        <w:rPr>
          <w:noProof/>
        </w:rPr>
        <w:drawing>
          <wp:inline distT="0" distB="0" distL="0" distR="0" wp14:anchorId="3A931AF6" wp14:editId="387E326C">
            <wp:extent cx="5029200" cy="21743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冬夏光伏出力对比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7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8D65" w14:textId="77777777" w:rsidR="00C17CAD" w:rsidRDefault="00000000">
      <w:pPr>
        <w:jc w:val="center"/>
        <w:rPr>
          <w:lang w:eastAsia="zh-CN"/>
        </w:rPr>
      </w:pPr>
      <w:r>
        <w:rPr>
          <w:sz w:val="20"/>
          <w:lang w:eastAsia="zh-CN"/>
        </w:rPr>
        <w:t>图</w:t>
      </w:r>
      <w:r>
        <w:rPr>
          <w:sz w:val="20"/>
          <w:lang w:eastAsia="zh-CN"/>
        </w:rPr>
        <w:t xml:space="preserve">3-1  </w:t>
      </w:r>
      <w:r>
        <w:rPr>
          <w:sz w:val="20"/>
          <w:lang w:eastAsia="zh-CN"/>
        </w:rPr>
        <w:t>冬夏两季光伏出力对比</w:t>
      </w:r>
    </w:p>
    <w:p w14:paraId="52EF5693" w14:textId="77777777" w:rsidR="00C17CAD" w:rsidRDefault="00000000">
      <w:pPr>
        <w:ind w:firstLine="420"/>
        <w:rPr>
          <w:lang w:eastAsia="zh-CN"/>
        </w:rPr>
      </w:pPr>
      <w:r>
        <w:rPr>
          <w:lang w:eastAsia="zh-CN"/>
        </w:rPr>
        <w:t>Figure 3</w:t>
      </w:r>
      <w:r>
        <w:rPr>
          <w:lang w:eastAsia="zh-CN"/>
        </w:rPr>
        <w:t>：直观呈现夏季（长日照、高峰值）与冬季（短日照、低峰值）的光伏出力差异。夏季曲线更宽更高，冬季曲线更窄更低。</w:t>
      </w:r>
    </w:p>
    <w:p w14:paraId="42D91B0C" w14:textId="77777777" w:rsidR="00C17CA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C613804" wp14:editId="18AEE90B">
            <wp:extent cx="5029200" cy="28581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光伏矩阵三维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6671" w14:textId="77777777" w:rsidR="00C17CAD" w:rsidRDefault="00000000">
      <w:pPr>
        <w:jc w:val="center"/>
        <w:rPr>
          <w:lang w:eastAsia="zh-CN"/>
        </w:rPr>
      </w:pPr>
      <w:r>
        <w:rPr>
          <w:sz w:val="20"/>
          <w:lang w:eastAsia="zh-CN"/>
        </w:rPr>
        <w:t>图</w:t>
      </w:r>
      <w:r>
        <w:rPr>
          <w:sz w:val="20"/>
          <w:lang w:eastAsia="zh-CN"/>
        </w:rPr>
        <w:t xml:space="preserve">3-2  </w:t>
      </w:r>
      <w:r>
        <w:rPr>
          <w:sz w:val="20"/>
          <w:lang w:eastAsia="zh-CN"/>
        </w:rPr>
        <w:t>全年光伏出力三维矩阵图（月份</w:t>
      </w:r>
      <w:r>
        <w:rPr>
          <w:sz w:val="20"/>
          <w:lang w:eastAsia="zh-CN"/>
        </w:rPr>
        <w:t>×</w:t>
      </w:r>
      <w:r>
        <w:rPr>
          <w:sz w:val="20"/>
          <w:lang w:eastAsia="zh-CN"/>
        </w:rPr>
        <w:t>时刻</w:t>
      </w:r>
      <w:r>
        <w:rPr>
          <w:sz w:val="20"/>
          <w:lang w:eastAsia="zh-CN"/>
        </w:rPr>
        <w:t>×</w:t>
      </w:r>
      <w:r>
        <w:rPr>
          <w:sz w:val="20"/>
          <w:lang w:eastAsia="zh-CN"/>
        </w:rPr>
        <w:t>功率）</w:t>
      </w:r>
    </w:p>
    <w:p w14:paraId="0439B0AE" w14:textId="77777777" w:rsidR="00C17CAD" w:rsidRDefault="00000000">
      <w:pPr>
        <w:ind w:firstLine="420"/>
        <w:rPr>
          <w:lang w:eastAsia="zh-CN"/>
        </w:rPr>
      </w:pPr>
      <w:r>
        <w:rPr>
          <w:lang w:eastAsia="zh-CN"/>
        </w:rPr>
        <w:t>Figure 4</w:t>
      </w:r>
      <w:r>
        <w:rPr>
          <w:lang w:eastAsia="zh-CN"/>
        </w:rPr>
        <w:t>（三维图）：从月份和时刻两个维度全景展示全年光伏出力。可观察到夏季正午形成明显</w:t>
      </w:r>
      <w:r>
        <w:rPr>
          <w:lang w:eastAsia="zh-CN"/>
        </w:rPr>
        <w:t>"</w:t>
      </w:r>
      <w:r>
        <w:rPr>
          <w:lang w:eastAsia="zh-CN"/>
        </w:rPr>
        <w:t>山峰</w:t>
      </w:r>
      <w:r>
        <w:rPr>
          <w:lang w:eastAsia="zh-CN"/>
        </w:rPr>
        <w:t>"</w:t>
      </w:r>
      <w:r>
        <w:rPr>
          <w:lang w:eastAsia="zh-CN"/>
        </w:rPr>
        <w:t>，冬季整体偏低，夜间全区域为零。</w:t>
      </w:r>
    </w:p>
    <w:p w14:paraId="343BBC75" w14:textId="77777777" w:rsidR="00C17CA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2B9A5A6" w14:textId="77777777" w:rsidR="00C17CAD" w:rsidRDefault="00000000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lastRenderedPageBreak/>
        <w:t>综合分析：负荷与光伏的耦合特征</w:t>
      </w:r>
    </w:p>
    <w:p w14:paraId="5714C6A4" w14:textId="77777777" w:rsidR="00C17CAD" w:rsidRDefault="00000000">
      <w:pPr>
        <w:ind w:firstLine="420"/>
        <w:rPr>
          <w:lang w:eastAsia="zh-CN"/>
        </w:rPr>
      </w:pPr>
      <w:r>
        <w:rPr>
          <w:lang w:eastAsia="zh-CN"/>
        </w:rPr>
        <w:t>将任务二和任务三的结果放在一起对比，可以得出以下关键耦合特征：</w:t>
      </w:r>
    </w:p>
    <w:p w14:paraId="53156CCD" w14:textId="77777777" w:rsidR="00C17CAD" w:rsidRDefault="00000000">
      <w:pPr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）年度余电充足、日内缺口巨大：全年光伏发电量（</w:t>
      </w:r>
      <w:r>
        <w:rPr>
          <w:lang w:eastAsia="zh-CN"/>
        </w:rPr>
        <w:t>24,762 kWh</w:t>
      </w:r>
      <w:r>
        <w:rPr>
          <w:lang w:eastAsia="zh-CN"/>
        </w:rPr>
        <w:t>）是家庭用电量（</w:t>
      </w:r>
      <w:r>
        <w:rPr>
          <w:lang w:eastAsia="zh-CN"/>
        </w:rPr>
        <w:t>7,139 kWh</w:t>
      </w:r>
      <w:r>
        <w:rPr>
          <w:lang w:eastAsia="zh-CN"/>
        </w:rPr>
        <w:t>）的约</w:t>
      </w:r>
      <w:r>
        <w:rPr>
          <w:lang w:eastAsia="zh-CN"/>
        </w:rPr>
        <w:t xml:space="preserve"> 3.5 </w:t>
      </w:r>
      <w:r>
        <w:rPr>
          <w:lang w:eastAsia="zh-CN"/>
        </w:rPr>
        <w:t>倍，从年度总账看完全自给有余。但日内的匹配情况截然不同</w:t>
      </w:r>
      <w:r>
        <w:rPr>
          <w:lang w:eastAsia="zh-CN"/>
        </w:rPr>
        <w:t>——</w:t>
      </w:r>
      <w:r>
        <w:rPr>
          <w:lang w:eastAsia="zh-CN"/>
        </w:rPr>
        <w:t>正午余电无法在晚间被直接使用，导致实际自发自用率远低于年度盈余比例暗示的水平。</w:t>
      </w:r>
    </w:p>
    <w:p w14:paraId="77FBCB89" w14:textId="77777777" w:rsidR="00C17CAD" w:rsidRDefault="00000000">
      <w:pPr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</w:t>
      </w:r>
      <w:r>
        <w:rPr>
          <w:lang w:eastAsia="zh-CN"/>
        </w:rPr>
        <w:t>"</w:t>
      </w:r>
      <w:r>
        <w:rPr>
          <w:lang w:eastAsia="zh-CN"/>
        </w:rPr>
        <w:t>鸭子曲线</w:t>
      </w:r>
      <w:r>
        <w:rPr>
          <w:lang w:eastAsia="zh-CN"/>
        </w:rPr>
        <w:t>"</w:t>
      </w:r>
      <w:r>
        <w:rPr>
          <w:lang w:eastAsia="zh-CN"/>
        </w:rPr>
        <w:t>特征：将光伏出力减去负荷得到净负荷曲线，典型工作日的净负荷呈现标准</w:t>
      </w:r>
      <w:r>
        <w:rPr>
          <w:lang w:eastAsia="zh-CN"/>
        </w:rPr>
        <w:t>"</w:t>
      </w:r>
      <w:r>
        <w:rPr>
          <w:lang w:eastAsia="zh-CN"/>
        </w:rPr>
        <w:t>鸭子曲线</w:t>
      </w:r>
      <w:r>
        <w:rPr>
          <w:lang w:eastAsia="zh-CN"/>
        </w:rPr>
        <w:t>"——</w:t>
      </w:r>
      <w:r>
        <w:rPr>
          <w:lang w:eastAsia="zh-CN"/>
        </w:rPr>
        <w:t>正午净负荷为负（光伏余电上网），傍晚净负荷急剧攀升（光伏归零</w:t>
      </w:r>
      <w:r>
        <w:rPr>
          <w:lang w:eastAsia="zh-CN"/>
        </w:rPr>
        <w:t xml:space="preserve"> + </w:t>
      </w:r>
      <w:r>
        <w:rPr>
          <w:lang w:eastAsia="zh-CN"/>
        </w:rPr>
        <w:t>晚高峰叠加），形成陡峭的爬坡。这一爬坡速率对电网调峰能力构成压力，也决定了储能系统所需的最小放电功率。</w:t>
      </w:r>
    </w:p>
    <w:p w14:paraId="11BC4986" w14:textId="77777777" w:rsidR="00C17CAD" w:rsidRDefault="00000000">
      <w:pPr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）季节耦合：夏季负荷高峰与光伏发电高峰在季节尺度上是同向的（都高），这在一定程度上缓解了储能的季节级容量需求。但冬季两者出现</w:t>
      </w:r>
      <w:r>
        <w:rPr>
          <w:lang w:eastAsia="zh-CN"/>
        </w:rPr>
        <w:t>"</w:t>
      </w:r>
      <w:r>
        <w:rPr>
          <w:lang w:eastAsia="zh-CN"/>
        </w:rPr>
        <w:t>错位加剧</w:t>
      </w:r>
      <w:r>
        <w:rPr>
          <w:lang w:eastAsia="zh-CN"/>
        </w:rPr>
        <w:t>"——</w:t>
      </w:r>
      <w:r>
        <w:rPr>
          <w:lang w:eastAsia="zh-CN"/>
        </w:rPr>
        <w:t>负荷偏高而光伏偏低，冬季对电网的依赖程度可能比夏季更大。</w:t>
      </w:r>
    </w:p>
    <w:p w14:paraId="7F5D4BCE" w14:textId="77777777" w:rsidR="00C17CAD" w:rsidRDefault="00000000">
      <w:pPr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）对后续任务的指导意义：以上分析为后续储能容量选型和充放电策略优化提供了清晰的输入</w:t>
      </w:r>
      <w:r>
        <w:rPr>
          <w:lang w:eastAsia="zh-CN"/>
        </w:rPr>
        <w:t>——</w:t>
      </w:r>
      <w:r>
        <w:rPr>
          <w:lang w:eastAsia="zh-CN"/>
        </w:rPr>
        <w:t>储能的容量应能覆盖典型日晚间的负荷缺额，功率应能匹配晚间爬坡速率，策略需根据光伏预测和负荷预测动态调整充放电计划。</w:t>
      </w:r>
    </w:p>
    <w:p w14:paraId="39320B88" w14:textId="77777777" w:rsidR="00C17CAD" w:rsidRDefault="00000000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t>数据一致性声明</w:t>
      </w:r>
    </w:p>
    <w:p w14:paraId="4FF1373F" w14:textId="74302C57" w:rsidR="00C17CAD" w:rsidRDefault="00000000">
      <w:pPr>
        <w:ind w:firstLine="420"/>
        <w:rPr>
          <w:lang w:eastAsia="zh-CN"/>
        </w:rPr>
      </w:pPr>
      <w:r>
        <w:rPr>
          <w:lang w:eastAsia="zh-CN"/>
        </w:rPr>
        <w:t>本报告所有数值均来源于</w:t>
      </w:r>
      <w:r>
        <w:rPr>
          <w:lang w:eastAsia="zh-CN"/>
        </w:rPr>
        <w:t xml:space="preserve"> MATLAB </w:t>
      </w:r>
      <w:r>
        <w:rPr>
          <w:lang w:eastAsia="zh-CN"/>
        </w:rPr>
        <w:t>仿真计算结果。图表与</w:t>
      </w:r>
      <w:r>
        <w:rPr>
          <w:lang w:eastAsia="zh-CN"/>
        </w:rPr>
        <w:t xml:space="preserve"> CSV </w:t>
      </w:r>
      <w:r>
        <w:rPr>
          <w:lang w:eastAsia="zh-CN"/>
        </w:rPr>
        <w:t>数据文件一致。负荷数据（</w:t>
      </w:r>
      <w:r>
        <w:rPr>
          <w:lang w:eastAsia="zh-CN"/>
        </w:rPr>
        <w:t>7,139.36 kWh</w:t>
      </w:r>
      <w:r>
        <w:rPr>
          <w:lang w:eastAsia="zh-CN"/>
        </w:rPr>
        <w:t>）及光伏数据（</w:t>
      </w:r>
      <w:r>
        <w:rPr>
          <w:lang w:eastAsia="zh-CN"/>
        </w:rPr>
        <w:t>24,762.30 kWh</w:t>
      </w:r>
      <w:r>
        <w:rPr>
          <w:lang w:eastAsia="zh-CN"/>
        </w:rPr>
        <w:t>）已作为后续成员的数据输入基础。</w:t>
      </w:r>
    </w:p>
    <w:sectPr w:rsidR="00C17CAD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C2910" w14:textId="77777777" w:rsidR="00426C64" w:rsidRDefault="00426C64" w:rsidP="006D1EEB">
      <w:pPr>
        <w:spacing w:after="0" w:line="240" w:lineRule="auto"/>
      </w:pPr>
      <w:r>
        <w:separator/>
      </w:r>
    </w:p>
  </w:endnote>
  <w:endnote w:type="continuationSeparator" w:id="0">
    <w:p w14:paraId="053C88BD" w14:textId="77777777" w:rsidR="00426C64" w:rsidRDefault="00426C64" w:rsidP="006D1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67425" w14:textId="77777777" w:rsidR="00426C64" w:rsidRDefault="00426C64" w:rsidP="006D1EEB">
      <w:pPr>
        <w:spacing w:after="0" w:line="240" w:lineRule="auto"/>
      </w:pPr>
      <w:r>
        <w:separator/>
      </w:r>
    </w:p>
  </w:footnote>
  <w:footnote w:type="continuationSeparator" w:id="0">
    <w:p w14:paraId="6670AA96" w14:textId="77777777" w:rsidR="00426C64" w:rsidRDefault="00426C64" w:rsidP="006D1E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3657843">
    <w:abstractNumId w:val="8"/>
  </w:num>
  <w:num w:numId="2" w16cid:durableId="1047294646">
    <w:abstractNumId w:val="6"/>
  </w:num>
  <w:num w:numId="3" w16cid:durableId="36201473">
    <w:abstractNumId w:val="5"/>
  </w:num>
  <w:num w:numId="4" w16cid:durableId="893590446">
    <w:abstractNumId w:val="4"/>
  </w:num>
  <w:num w:numId="5" w16cid:durableId="606083988">
    <w:abstractNumId w:val="7"/>
  </w:num>
  <w:num w:numId="6" w16cid:durableId="1634286313">
    <w:abstractNumId w:val="3"/>
  </w:num>
  <w:num w:numId="7" w16cid:durableId="901599429">
    <w:abstractNumId w:val="2"/>
  </w:num>
  <w:num w:numId="8" w16cid:durableId="1826161582">
    <w:abstractNumId w:val="1"/>
  </w:num>
  <w:num w:numId="9" w16cid:durableId="1191841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6C64"/>
    <w:rsid w:val="006D1EEB"/>
    <w:rsid w:val="00990B3B"/>
    <w:rsid w:val="00AA1D8D"/>
    <w:rsid w:val="00B47730"/>
    <w:rsid w:val="00C17CAD"/>
    <w:rsid w:val="00CB0664"/>
    <w:rsid w:val="00CE5B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76417F"/>
  <w14:defaultImageDpi w14:val="300"/>
  <w15:docId w15:val="{D8B8FFDC-8A3E-4A45-8644-7FCC61F8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Arial" w:eastAsia="宋体" w:hAnsi="Arial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Liu</cp:lastModifiedBy>
  <cp:revision>3</cp:revision>
  <dcterms:created xsi:type="dcterms:W3CDTF">2013-12-23T23:15:00Z</dcterms:created>
  <dcterms:modified xsi:type="dcterms:W3CDTF">2026-07-03T12:41:00Z</dcterms:modified>
  <cp:category/>
</cp:coreProperties>
</file>