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3E50"/>
          <w:sz w:val="44"/>
          <w:szCs w:val="44"/>
        </w:rPr>
        <w:t xml:space="preserve">llms.txt Research &amp; Tooling Initiative</w:t>
      </w:r>
    </w:p>
    <w:p>
      <w:pPr>
        <w:spacing w:after="40"/>
        <w:jc w:val="center"/>
      </w:pPr>
      <w:r>
        <w:rPr>
          <w:rFonts w:ascii="Arial" w:cs="Arial" w:eastAsia="Arial" w:hAnsi="Arial"/>
          <w:color w:val="566573"/>
          <w:sz w:val="32"/>
          <w:szCs w:val="32"/>
        </w:rPr>
        <w:t xml:space="preserve">Lane-Based Roadmap</w:t>
      </w:r>
    </w:p>
    <w:p>
      <w:pPr>
        <w:spacing w:after="300"/>
        <w:jc w:val="center"/>
      </w:pPr>
      <w:r>
        <w:rPr>
          <w:rFonts w:ascii="Arial" w:cs="Arial" w:eastAsia="Arial" w:hAnsi="Arial"/>
          <w:color w:val="95A5A6"/>
          <w:sz w:val="18"/>
          <w:szCs w:val="18"/>
        </w:rPr>
        <w:t xml:space="preserve">Author: Ryan  |  Version: 1.0  |  February 14, 2026  |  Status: Working Document</w:t>
      </w:r>
    </w:p>
    <w:p>
      <w:pPr>
        <w:pStyle w:val="Heading1"/>
      </w:pPr>
      <w:r>
        <w:t xml:space="preserve">How to Read This Document</w:t>
      </w:r>
    </w:p>
    <w:p>
      <w:pPr>
        <w:spacing w:after="160"/>
      </w:pPr>
      <w:r>
        <w:rPr>
          <w:rFonts w:ascii="Arial" w:cs="Arial" w:eastAsia="Arial" w:hAnsi="Arial"/>
          <w:sz w:val="20"/>
          <w:szCs w:val="20"/>
        </w:rPr>
        <w:t xml:space="preserve">This roadmap organizes the entire initiative into six independent lanes. Each lane represents a distinct stream of work with its own deliverables, phases, and internal sequencing. The lanes run in parallel — you can focus on one lane at a time without needing to hold the whole initiative in your head simultaneously.</w:t>
      </w:r>
    </w:p>
    <w:p>
      <w:pPr>
        <w:spacing w:after="160"/>
      </w:pPr>
      <w:r>
        <w:rPr>
          <w:rFonts w:ascii="Arial" w:cs="Arial" w:eastAsia="Arial" w:hAnsi="Arial"/>
          <w:sz w:val="20"/>
          <w:szCs w:val="20"/>
        </w:rPr>
        <w:t xml:space="preserve">Within each lane, work items are grouped by phase (Gather → Analyze → Write, or Spec → Build → Test → Ship, etc.). Phases are sequential within a lane, but lanes themselves are parallel. The dependency map at the end shows the specific handoff points where one lane’s output feeds into another.</w:t>
      </w:r>
    </w:p>
    <w:p>
      <w:pPr>
        <w:spacing w:after="120"/>
        <w:ind w:left="360"/>
      </w:pPr>
      <w:r>
        <w:rPr>
          <w:rFonts w:ascii="Arial" w:cs="Arial" w:eastAsia="Arial" w:hAnsi="Arial"/>
          <w:b/>
          <w:bCs/>
          <w:sz w:val="20"/>
          <w:szCs w:val="20"/>
        </w:rPr>
        <w:t xml:space="preserve">Focus rule: </w:t>
      </w:r>
      <w:r>
        <w:rPr>
          <w:rFonts w:ascii="Arial" w:cs="Arial" w:eastAsia="Arial" w:hAnsi="Arial"/>
          <w:sz w:val="20"/>
          <w:szCs w:val="20"/>
        </w:rPr>
        <w:t xml:space="preserve">Pick one lane. Work its current phase to completion. Move to the next phase. Switch lanes only at phase boundaries or when blocked by a cross-lane dependency.</w:t>
      </w:r>
    </w:p>
    <w:p>
      <w:pPr>
        <w:spacing w:after="120"/>
        <w:ind w:left="360"/>
      </w:pPr>
      <w:r>
        <w:rPr>
          <w:rFonts w:ascii="Arial" w:cs="Arial" w:eastAsia="Arial" w:hAnsi="Arial"/>
          <w:b/>
          <w:bCs/>
          <w:sz w:val="20"/>
          <w:szCs w:val="20"/>
        </w:rPr>
        <w:t xml:space="preserve">Dependency rule: </w:t>
      </w:r>
      <w:r>
        <w:rPr>
          <w:rFonts w:ascii="Arial" w:cs="Arial" w:eastAsia="Arial" w:hAnsi="Arial"/>
          <w:sz w:val="20"/>
          <w:szCs w:val="20"/>
        </w:rPr>
        <w:t xml:space="preserve">If a work item says it depends on another lane, check the dependency map. If the upstream item isn’t done yet, move to a different work item in your current lane or switch to the upstream lane to unblock yourself.</w:t>
      </w:r>
    </w:p>
    <w:p>
      <w:pPr>
        <w:spacing w:after="120"/>
        <w:ind w:left="360"/>
      </w:pPr>
      <w:r>
        <w:rPr>
          <w:rFonts w:ascii="Arial" w:cs="Arial" w:eastAsia="Arial" w:hAnsi="Arial"/>
          <w:b/>
          <w:bCs/>
          <w:sz w:val="20"/>
          <w:szCs w:val="20"/>
        </w:rPr>
        <w:t xml:space="preserve">Status tracking: </w:t>
      </w:r>
      <w:r>
        <w:rPr>
          <w:rFonts w:ascii="Arial" w:cs="Arial" w:eastAsia="Arial" w:hAnsi="Arial"/>
          <w:sz w:val="20"/>
          <w:szCs w:val="20"/>
        </w:rPr>
        <w:t xml:space="preserve">Use the checkboxes in the printed version, or track via the GitHub Projects board described in Lane 6.</w:t>
      </w:r>
    </w:p>
    <w:p>
      <w:r>
        <w:br w:type="page"/>
      </w:r>
    </w:p>
    <w:p>
      <w:pPr>
        <w:pStyle w:val="Heading1"/>
      </w:pPr>
      <w:r>
        <w:t xml:space="preserve">The Six 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2000"/>
        <w:gridCol w:w="1400"/>
      </w:tblGrid>
      <w:tr>
        <w:tc>
          <w:tcPr>
            <w:tcW w:type="dxa" w:w="9360"/>
            <w:gridSpan w:val="4"/>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  LANE 1: Research Paper</w:t>
            </w:r>
            <w:r>
              <w:rPr>
                <w:rFonts w:ascii="Arial" w:cs="Arial" w:eastAsia="Arial" w:hAnsi="Arial"/>
                <w:i/>
                <w:iCs/>
                <w:color w:val="D5D8DC"/>
                <w:sz w:val="18"/>
                <w:szCs w:val="18"/>
              </w:rPr>
              <w:t xml:space="preserve">     llmstxt-research/paper/</w:t>
            </w:r>
          </w:p>
        </w:tc>
      </w:tr>
      <w:tr>
        <w:tc>
          <w:tcPr>
            <w:tcW w:type="dxa" w:w="16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Phase</w:t>
            </w:r>
          </w:p>
        </w:tc>
        <w:tc>
          <w:tcPr>
            <w:tcW w:type="dxa" w:w="436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Work Item</w:t>
            </w:r>
          </w:p>
        </w:tc>
        <w:tc>
          <w:tcPr>
            <w:tcW w:type="dxa" w:w="20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Depends On</w:t>
            </w:r>
          </w:p>
        </w:tc>
        <w:tc>
          <w:tcPr>
            <w:tcW w:type="dxa" w:w="14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Status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Gather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Finalize shared/references.md with all primary sources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Gather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Compile server log evidence (Yoast, Mintlify, indie devs)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Gather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Verify notable adopter llms.txt files (fetch &amp; screenshot)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Gather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Cross-reference domains.md (ref repo) with adoption stats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Ref repo</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Gather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Document Cloudflare WAF blocking mechanics (primary source)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Gather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Catalog Google statements (Mueller, Illyes, Search Central)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Gather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Map competing standards (Content Signals, CC Signals, aipref)</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Analyze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Analyze reference parser behavior for §2 claims 2.6–2.7</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Ref repo</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Analyze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Build adoption-stats.csv from directory + Majestic data</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Gather phase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Analyze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Draft infrastructure paradox technical analysis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Gather phase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Write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Draft Sections 1–4 (Abstract through Inference Gap)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Analyze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Write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Draft Sections 5–7 (Paradox, Trust, Fragmentation)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Analyze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Write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Draft Sections 8–10 (Implications, Gaps, References)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Benchmark</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Review</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Internal consistency review + fact-check all claims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Full draft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Review</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Incorporate benchmark results into §9 (Research Gaps)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Benchmark</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bl>
    <w:p>
      <w:pPr>
        <w:spacing w:after="80"/>
      </w:pPr>
    </w:p>
    <w:p>
      <w:pPr>
        <w:spacing w:before="80" w:after="200"/>
        <w:ind w:left="200"/>
      </w:pPr>
      <w:r>
        <w:rPr>
          <w:rFonts w:ascii="Arial" w:cs="Arial" w:eastAsia="Arial" w:hAnsi="Arial"/>
          <w:b/>
          <w:bCs/>
          <w:color w:val="1B4F72"/>
          <w:sz w:val="18"/>
          <w:szCs w:val="18"/>
        </w:rPr>
        <w:t xml:space="preserve">Key insight: </w:t>
      </w:r>
      <w:r>
        <w:rPr>
          <w:rFonts w:ascii="Arial" w:cs="Arial" w:eastAsia="Arial" w:hAnsi="Arial"/>
          <w:color w:val="566573"/>
          <w:sz w:val="18"/>
          <w:szCs w:val="18"/>
        </w:rPr>
        <w:t xml:space="preserve">The paper is the intellectual backbone but the last thing to finish. Its final sections depend on benchmark data. Front-load the Gather and Analyze phases — those are independent and can start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2000"/>
        <w:gridCol w:w="1400"/>
      </w:tblGrid>
      <w:tr>
        <w:tc>
          <w:tcPr>
            <w:tcW w:type="dxa" w:w="9360"/>
            <w:gridSpan w:val="4"/>
            <w:tcBorders>
              <w:top w:val="single" w:color="BDC3C7" w:sz="1"/>
              <w:left w:val="single" w:color="BDC3C7" w:sz="1"/>
              <w:bottom w:val="single" w:color="BDC3C7" w:sz="1"/>
              <w:right w:val="single" w:color="BDC3C7" w:sz="1"/>
            </w:tcBorders>
            <w:shd w:fill="6C3483"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  LANE 2: LlmsTxtKit (.NET Library + MCP)</w:t>
            </w:r>
            <w:r>
              <w:rPr>
                <w:rFonts w:ascii="Arial" w:cs="Arial" w:eastAsia="Arial" w:hAnsi="Arial"/>
                <w:i/>
                <w:iCs/>
                <w:color w:val="D5D8DC"/>
                <w:sz w:val="18"/>
                <w:szCs w:val="18"/>
              </w:rPr>
              <w:t xml:space="preserve">     LlmsTxtKit/</w:t>
            </w:r>
          </w:p>
        </w:tc>
      </w:tr>
      <w:tr>
        <w:tc>
          <w:tcPr>
            <w:tcW w:type="dxa" w:w="16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Phase</w:t>
            </w:r>
          </w:p>
        </w:tc>
        <w:tc>
          <w:tcPr>
            <w:tcW w:type="dxa" w:w="436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Work Item</w:t>
            </w:r>
          </w:p>
        </w:tc>
        <w:tc>
          <w:tcPr>
            <w:tcW w:type="dxa" w:w="20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Depends On</w:t>
            </w:r>
          </w:p>
        </w:tc>
        <w:tc>
          <w:tcPr>
            <w:tcW w:type="dxa" w:w="14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Status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Spec</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Complete user-stories.md (stub)</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PRS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Spec</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Complete test-plan.md (stub)</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Design spec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Spec</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Validate parser spec against reference miniparse.py behavior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Ref repo</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LlmsDocumentParser (Core.Parsing)</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Spec phase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LlmsTxtFetcher (Core.Fetching)</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Spec phase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Validator (Core.Validation)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Parser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Cache (Core.Caching)</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Fetcher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ContextGenerator (Core.Context)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Parser + Fetcher</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5 MCP tools (Mcp.Tools)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All Core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Test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Unit tests: parser (spec inputs, edge cases, malformed)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Parser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Test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Unit tests: validator, fetcher (mock HTTP), cache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Each module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Test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Integration tests: real-world corpus from ref repo domains.md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Ref repo</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Test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MCP protocol tests: tool response structure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MCP tools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Ship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NuGet packaging + metadata (LlmsTxtKit.Core, .Mcp)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Tests pass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Ship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README, API docs, CONTRIBUTING.md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Package ready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bl>
    <w:p>
      <w:pPr>
        <w:spacing w:after="80"/>
      </w:pPr>
    </w:p>
    <w:p>
      <w:pPr>
        <w:spacing w:before="80" w:after="200"/>
        <w:ind w:left="200"/>
      </w:pPr>
      <w:r>
        <w:rPr>
          <w:rFonts w:ascii="Arial" w:cs="Arial" w:eastAsia="Arial" w:hAnsi="Arial"/>
          <w:b/>
          <w:bCs/>
          <w:color w:val="6C3483"/>
          <w:sz w:val="18"/>
          <w:szCs w:val="18"/>
        </w:rPr>
        <w:t xml:space="preserve">Key insight: </w:t>
      </w:r>
      <w:r>
        <w:rPr>
          <w:rFonts w:ascii="Arial" w:cs="Arial" w:eastAsia="Arial" w:hAnsi="Arial"/>
          <w:color w:val="566573"/>
          <w:sz w:val="18"/>
          <w:szCs w:val="18"/>
        </w:rPr>
        <w:t xml:space="preserve">The Spec phase must be completed before any Build work. The reference repo’s miniparse.py is your behavioral test oracle — every parsing decision in LlmsTxtKit should produce equivalent output for well-formed inputs. The llmstxt_compare tool is a hard dependency for the Benchmark lane.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2000"/>
        <w:gridCol w:w="1400"/>
      </w:tblGrid>
      <w:tr>
        <w:tc>
          <w:tcPr>
            <w:tcW w:type="dxa" w:w="9360"/>
            <w:gridSpan w:val="4"/>
            <w:tcBorders>
              <w:top w:val="single" w:color="BDC3C7" w:sz="1"/>
              <w:left w:val="single" w:color="BDC3C7" w:sz="1"/>
              <w:bottom w:val="single" w:color="BDC3C7" w:sz="1"/>
              <w:right w:val="single" w:color="BDC3C7" w:sz="1"/>
            </w:tcBorders>
            <w:shd w:fill="117A65"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  LANE 3: DocStratum (Validator)</w:t>
            </w:r>
            <w:r>
              <w:rPr>
                <w:rFonts w:ascii="Arial" w:cs="Arial" w:eastAsia="Arial" w:hAnsi="Arial"/>
                <w:i/>
                <w:iCs/>
                <w:color w:val="D5D8DC"/>
                <w:sz w:val="18"/>
                <w:szCs w:val="18"/>
              </w:rPr>
              <w:t xml:space="preserve">     docstratum/</w:t>
            </w:r>
          </w:p>
        </w:tc>
      </w:tr>
      <w:tr>
        <w:tc>
          <w:tcPr>
            <w:tcW w:type="dxa" w:w="16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Phase</w:t>
            </w:r>
          </w:p>
        </w:tc>
        <w:tc>
          <w:tcPr>
            <w:tcW w:type="dxa" w:w="436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Work Item</w:t>
            </w:r>
          </w:p>
        </w:tc>
        <w:tc>
          <w:tcPr>
            <w:tcW w:type="dxa" w:w="20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Depends On</w:t>
            </w:r>
          </w:p>
        </w:tc>
        <w:tc>
          <w:tcPr>
            <w:tcW w:type="dxa" w:w="14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Status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Design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Finalize ASoT standards library (170 files ratified)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Design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Label extensions vs. spec-compliant rules (per ref repo)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Ref repo</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Design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Resolve 6 documentation backlog items (RR-META)</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L0 parser (UTF-8, non-empty, valid Markdown)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Design phase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L1 structural validation (6 criteria)</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Parser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L2 content quality checks (URL resolution, etc.)</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L1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L3 best practices (canonical sections, token budgets)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L2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L4 DocStratum extended (LLM optimization)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L3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diagnostic reporting (38 codes: E/W/I)</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Validation pipeline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Test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Validate against real-world specimens (24 audited files)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L1+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Test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Validate blog llms.txt as living test subject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Blog llms.txt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Calibrate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Feed benchmark results into quality definitions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Benchmark</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Calibrate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Adjust L2–L3 thresholds based on empirical evidence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Benchmark</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bl>
    <w:p>
      <w:pPr>
        <w:spacing w:after="80"/>
      </w:pPr>
    </w:p>
    <w:p>
      <w:pPr>
        <w:spacing w:before="80" w:after="200"/>
        <w:ind w:left="200"/>
      </w:pPr>
      <w:r>
        <w:rPr>
          <w:rFonts w:ascii="Arial" w:cs="Arial" w:eastAsia="Arial" w:hAnsi="Arial"/>
          <w:b/>
          <w:bCs/>
          <w:color w:val="117A65"/>
          <w:sz w:val="18"/>
          <w:szCs w:val="18"/>
        </w:rPr>
        <w:t xml:space="preserve">Key insight: </w:t>
      </w:r>
      <w:r>
        <w:rPr>
          <w:rFonts w:ascii="Arial" w:cs="Arial" w:eastAsia="Arial" w:hAnsi="Arial"/>
          <w:color w:val="566573"/>
          <w:sz w:val="18"/>
          <w:szCs w:val="18"/>
        </w:rPr>
        <w:t xml:space="preserve">DocStratum’s L0–L1 levels are self-contained and can ship independently. L2–L3 calibration depends on benchmark evidence. The new “extension labeling” task (distinguishing spec-compliant rules from DocStratum extensions) can start immediately using the reference repo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2000"/>
        <w:gridCol w:w="1400"/>
      </w:tblGrid>
      <w:tr>
        <w:tc>
          <w:tcPr>
            <w:tcW w:type="dxa" w:w="9360"/>
            <w:gridSpan w:val="4"/>
            <w:tcBorders>
              <w:top w:val="single" w:color="BDC3C7" w:sz="1"/>
              <w:left w:val="single" w:color="BDC3C7" w:sz="1"/>
              <w:bottom w:val="single" w:color="BDC3C7" w:sz="1"/>
              <w:right w:val="single" w:color="BDC3C7" w:sz="1"/>
            </w:tcBorders>
            <w:shd w:fill="B9770E"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  LANE 4: Benchmark Study</w:t>
            </w:r>
            <w:r>
              <w:rPr>
                <w:rFonts w:ascii="Arial" w:cs="Arial" w:eastAsia="Arial" w:hAnsi="Arial"/>
                <w:i/>
                <w:iCs/>
                <w:color w:val="D5D8DC"/>
                <w:sz w:val="18"/>
                <w:szCs w:val="18"/>
              </w:rPr>
              <w:t xml:space="preserve">     llmstxt-research/benchmark/</w:t>
            </w:r>
          </w:p>
        </w:tc>
      </w:tr>
      <w:tr>
        <w:tc>
          <w:tcPr>
            <w:tcW w:type="dxa" w:w="16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Phase</w:t>
            </w:r>
          </w:p>
        </w:tc>
        <w:tc>
          <w:tcPr>
            <w:tcW w:type="dxa" w:w="436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Work Item</w:t>
            </w:r>
          </w:p>
        </w:tc>
        <w:tc>
          <w:tcPr>
            <w:tcW w:type="dxa" w:w="20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Depends On</w:t>
            </w:r>
          </w:p>
        </w:tc>
        <w:tc>
          <w:tcPr>
            <w:tcW w:type="dxa" w:w="14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Status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Design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Finalize methodology (paired HTML vs. Markdown, 30–50 sites)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Design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Define evaluation rubric (accuracy, hallucination, relevance)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Design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Select corpus from ref repo domains.md + manual curation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Ref repo</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Collect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Build site-list.csv with paired URLs (HTML + .md versions)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Corpus selected</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Collect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Use llmstxt_compare tool to generate paired content data</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LlmsTxtKit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Collect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Validate content pairs (strip comments/base64 per ref impl)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Ref repo</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Run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Execute local LLM inference: Condition A (raw HTML)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Content pairs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Run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Execute local LLM inference: Condition B (curated Markdown)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Content pairs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Run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Score responses against rubric (automated + manual sample)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Both conditions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Analyze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Statistical analysis in Jupyter notebook (Colab-compatible)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All scores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Analyze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Generate visualizations (accuracy delta, hallucination rates)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Stats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Write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Write benchmark report (methodology, results, limitations)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Analysis done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bl>
    <w:p>
      <w:pPr>
        <w:spacing w:after="80"/>
      </w:pPr>
    </w:p>
    <w:p>
      <w:pPr>
        <w:spacing w:before="80" w:after="200"/>
        <w:ind w:left="200"/>
      </w:pPr>
      <w:r>
        <w:rPr>
          <w:rFonts w:ascii="Arial" w:cs="Arial" w:eastAsia="Arial" w:hAnsi="Arial"/>
          <w:b/>
          <w:bCs/>
          <w:color w:val="B9770E"/>
          <w:sz w:val="18"/>
          <w:szCs w:val="18"/>
        </w:rPr>
        <w:t xml:space="preserve">Key insight: </w:t>
      </w:r>
      <w:r>
        <w:rPr>
          <w:rFonts w:ascii="Arial" w:cs="Arial" w:eastAsia="Arial" w:hAnsi="Arial"/>
          <w:color w:val="566573"/>
          <w:sz w:val="18"/>
          <w:szCs w:val="18"/>
        </w:rPr>
        <w:t xml:space="preserve">The Design phase is fully independent — start it now. The Collect phase has a hard dependency on LlmsTxtKit’s llmstxt_compare tool. The ref repo’s domains.md provides your initial corpus list. Content preprocessing should match the reference implementation (strip HTML comments, base64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2000"/>
        <w:gridCol w:w="1400"/>
      </w:tblGrid>
      <w:tr>
        <w:tc>
          <w:tcPr>
            <w:tcW w:type="dxa" w:w="9360"/>
            <w:gridSpan w:val="4"/>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  LANE 5: Blog Series (8 Posts)</w:t>
            </w:r>
            <w:r>
              <w:rPr>
                <w:rFonts w:ascii="Arial" w:cs="Arial" w:eastAsia="Arial" w:hAnsi="Arial"/>
                <w:i/>
                <w:iCs/>
                <w:color w:val="D5D8DC"/>
                <w:sz w:val="18"/>
                <w:szCs w:val="18"/>
              </w:rPr>
              <w:t xml:space="preserve">     southpawriter-blog/</w:t>
            </w:r>
          </w:p>
        </w:tc>
      </w:tr>
      <w:tr>
        <w:tc>
          <w:tcPr>
            <w:tcW w:type="dxa" w:w="16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Phase</w:t>
            </w:r>
          </w:p>
        </w:tc>
        <w:tc>
          <w:tcPr>
            <w:tcW w:type="dxa" w:w="436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Work Item</w:t>
            </w:r>
          </w:p>
        </w:tc>
        <w:tc>
          <w:tcPr>
            <w:tcW w:type="dxa" w:w="20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Depends On</w:t>
            </w:r>
          </w:p>
        </w:tc>
        <w:tc>
          <w:tcPr>
            <w:tcW w:type="dxa" w:w="14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Status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Post 1</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"What Is llms.txt?" — Explainer for practitioners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Paper §2</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Post 2</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"The Infrastructure Paradox" — WAF/CDN deep dive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Paper §5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Post 3</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"Building an llms.txt Validator" — DocStratum intro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DocStratum L1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Post 4</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"Adding llms.txt to Docusaurus" — Practical how-to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Blog llms.txt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Post 5</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"A .NET Developer’s Guide to llms.txt" — LlmsTxtKit intro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LlmsTxtKit Core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Post 6</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"Does Curated Markdown Beat Raw HTML?" — Benchmark teaser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Benchmark run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Post 7</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"The Trust Problem" — Validation and Google’s objections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Paper §6</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Post 8</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"The State of AI Content Standards" — Landscape synthesis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Full paper</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Infra</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Maintain blog’s own llms.txt (dogfooding for DocStratum)</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Post 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Infra</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Implement GEO best practices on each post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Ongoing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bl>
    <w:p>
      <w:pPr>
        <w:spacing w:after="80"/>
      </w:pPr>
    </w:p>
    <w:p>
      <w:pPr>
        <w:spacing w:before="80" w:after="200"/>
        <w:ind w:left="200"/>
      </w:pPr>
      <w:r>
        <w:rPr>
          <w:rFonts w:ascii="Arial" w:cs="Arial" w:eastAsia="Arial" w:hAnsi="Arial"/>
          <w:b/>
          <w:bCs/>
          <w:color w:val="922B21"/>
          <w:sz w:val="18"/>
          <w:szCs w:val="18"/>
        </w:rPr>
        <w:t xml:space="preserve">Key insight: </w:t>
      </w:r>
      <w:r>
        <w:rPr>
          <w:rFonts w:ascii="Arial" w:cs="Arial" w:eastAsia="Arial" w:hAnsi="Arial"/>
          <w:color w:val="566573"/>
          <w:sz w:val="18"/>
          <w:szCs w:val="18"/>
        </w:rPr>
        <w:t xml:space="preserve">Each post has a specific upstream dependency shown in the “Depends On” column. Posts 1–2 can be written as soon as the paper’s early sections are drafted. Posts 3–5 require working software. Posts 6–8 require benchmark results. The blog’s own llms.txt is a continuous dogfooding target for DocStratum.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2000"/>
        <w:gridCol w:w="1400"/>
      </w:tblGrid>
      <w:tr>
        <w:tc>
          <w:tcPr>
            <w:tcW w:type="dxa" w:w="9360"/>
            <w:gridSpan w:val="4"/>
            <w:tcBorders>
              <w:top w:val="single" w:color="BDC3C7" w:sz="1"/>
              <w:left w:val="single" w:color="BDC3C7" w:sz="1"/>
              <w:bottom w:val="single" w:color="BDC3C7" w:sz="1"/>
              <w:right w:val="single" w:color="BDC3C7" w:sz="1"/>
            </w:tcBorders>
            <w:shd w:fill="566573"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  LANE 6: Cross-Cutting / Project Management</w:t>
            </w:r>
            <w:r>
              <w:rPr>
                <w:rFonts w:ascii="Arial" w:cs="Arial" w:eastAsia="Arial" w:hAnsi="Arial"/>
                <w:i/>
                <w:iCs/>
                <w:color w:val="D5D8DC"/>
                <w:sz w:val="18"/>
                <w:szCs w:val="18"/>
              </w:rPr>
              <w:t xml:space="preserve">     All repos</w:t>
            </w:r>
          </w:p>
        </w:tc>
      </w:tr>
      <w:tr>
        <w:tc>
          <w:tcPr>
            <w:tcW w:type="dxa" w:w="16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Phase</w:t>
            </w:r>
          </w:p>
        </w:tc>
        <w:tc>
          <w:tcPr>
            <w:tcW w:type="dxa" w:w="436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Work Item</w:t>
            </w:r>
          </w:p>
        </w:tc>
        <w:tc>
          <w:tcPr>
            <w:tcW w:type="dxa" w:w="20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Depends On</w:t>
            </w:r>
          </w:p>
        </w:tc>
        <w:tc>
          <w:tcPr>
            <w:tcW w:type="dxa" w:w="14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Status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Setup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GitHub Projects V2 board with all 4 repos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Setup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Milestone definitions aligned to lane phases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Setup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Issue templates (paper-task, impl-task, blog-task, etc.)</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Ongoing</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Maintain shared/references.md as single source of truth</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Ongoing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Ongoing</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Keep ref repo analysis doc current as upstream changes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Ongoing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Ongoing</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Cross-repo dependency tracking (blockers, handoffs)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Ongoing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Ongoing</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Weekly progress review against this roadmap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iCs/>
                <w:color w:val="7F8C8D"/>
                <w:sz w:val="16"/>
                <w:szCs w:val="16"/>
              </w:rPr>
              <w:t xml:space="preserve">Ongoing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8"/>
                <w:szCs w:val="18"/>
              </w:rPr>
              <w:t xml:space="preserve">☐</w:t>
            </w:r>
          </w:p>
        </w:tc>
      </w:tr>
    </w:tbl>
    <w:p>
      <w:pPr>
        <w:spacing w:after="80"/>
      </w:pPr>
    </w:p>
    <w:p>
      <w:pPr>
        <w:spacing w:before="80" w:after="300"/>
        <w:ind w:left="200"/>
      </w:pPr>
      <w:r>
        <w:rPr>
          <w:rFonts w:ascii="Arial" w:cs="Arial" w:eastAsia="Arial" w:hAnsi="Arial"/>
          <w:b/>
          <w:bCs/>
          <w:color w:val="566573"/>
          <w:sz w:val="18"/>
          <w:szCs w:val="18"/>
        </w:rPr>
        <w:t xml:space="preserve">Key insight: </w:t>
      </w:r>
      <w:r>
        <w:rPr>
          <w:rFonts w:ascii="Arial" w:cs="Arial" w:eastAsia="Arial" w:hAnsi="Arial"/>
          <w:color w:val="566573"/>
          <w:sz w:val="18"/>
          <w:szCs w:val="18"/>
        </w:rPr>
        <w:t xml:space="preserve">The Setup tasks should be done first — they take 30 minutes and give you a centralized view of everything. The Ongoing tasks are maintenance habits, not discrete work items. Weekly reviews against this roadmap are how you avoid drifting.</w:t>
      </w:r>
    </w:p>
    <w:p>
      <w:pPr>
        <w:pStyle w:val="Heading1"/>
      </w:pPr>
      <w:r>
        <w:t xml:space="preserve">Cross-Lane Dependency Map</w:t>
      </w:r>
    </w:p>
    <w:p>
      <w:pPr>
        <w:spacing w:after="200"/>
      </w:pPr>
      <w:r>
        <w:rPr>
          <w:rFonts w:ascii="Arial" w:cs="Arial" w:eastAsia="Arial" w:hAnsi="Arial"/>
          <w:sz w:val="20"/>
          <w:szCs w:val="20"/>
        </w:rPr>
        <w:t xml:space="preserve">These are the specific handoff points between lanes. When you’re blocked in one lane, check this map to see which upstream lane needs attention. The reference repo feeds into everything — it’s already analyzed and documented, so it’s never a blocker.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4400"/>
      </w:tblGrid>
      <w:tr>
        <w:tc>
          <w:tcPr>
            <w:tcW w:type="dxa" w:w="22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From</w:t>
            </w:r>
          </w:p>
        </w:tc>
        <w:tc>
          <w:tcPr>
            <w:tcW w:type="dxa" w:w="56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20"/>
                <w:szCs w:val="20"/>
              </w:rPr>
              <w:t xml:space="preserve"/>
            </w:r>
          </w:p>
        </w:tc>
        <w:tc>
          <w:tcPr>
            <w:tcW w:type="dxa" w:w="22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To</w:t>
            </w:r>
          </w:p>
        </w:tc>
        <w:tc>
          <w:tcPr>
            <w:tcW w:type="dxa" w:w="4400"/>
            <w:tcBorders>
              <w:top w:val="single" w:color="BDC3C7" w:sz="1"/>
              <w:left w:val="single" w:color="BDC3C7" w:sz="1"/>
              <w:bottom w:val="single" w:color="BDC3C7" w:sz="1"/>
              <w:right w:val="single" w:color="BDC3C7" w:sz="1"/>
            </w:tcBorders>
            <w:shd w:fill="D5D8D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What Flows</w:t>
            </w:r>
          </w:p>
        </w:tc>
      </w:tr>
      <w:tr>
        <w:tc>
          <w:tcPr>
            <w:tcW w:type="dxa" w:w="2200"/>
            <w:tcBorders>
              <w:top w:val="single" w:color="BDC3C7" w:sz="1"/>
              <w:left w:val="single" w:color="BDC3C7" w:sz="1"/>
              <w:bottom w:val="single" w:color="BDC3C7" w:sz="1"/>
              <w:right w:val="single" w:color="BDC3C7" w:sz="1"/>
            </w:tcBorders>
            <w:shd w:fill="E5E8E8"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Ref Repo</w:t>
            </w:r>
          </w:p>
        </w:tc>
        <w:tc>
          <w:tcPr>
            <w:tcW w:type="dxa" w:w="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20"/>
                <w:szCs w:val="20"/>
              </w:rPr>
              <w:t xml:space="preserve">→</w:t>
            </w:r>
          </w:p>
        </w:tc>
        <w:tc>
          <w:tcPr>
            <w:tcW w:type="dxa" w:w="2200"/>
            <w:tcBorders>
              <w:top w:val="single" w:color="BDC3C7" w:sz="1"/>
              <w:left w:val="single" w:color="BDC3C7" w:sz="1"/>
              <w:bottom w:val="single" w:color="BDC3C7" w:sz="1"/>
              <w:right w:val="single" w:color="BDC3C7"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LlmsTxtKit</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Canonical parsing behavior, regex patterns, XML format, Optional default</w:t>
            </w:r>
          </w:p>
        </w:tc>
      </w:tr>
      <w:tr>
        <w:tc>
          <w:tcPr>
            <w:tcW w:type="dxa" w:w="2200"/>
            <w:tcBorders>
              <w:top w:val="single" w:color="BDC3C7" w:sz="1"/>
              <w:left w:val="single" w:color="BDC3C7" w:sz="1"/>
              <w:bottom w:val="single" w:color="BDC3C7" w:sz="1"/>
              <w:right w:val="single" w:color="BDC3C7" w:sz="1"/>
            </w:tcBorders>
            <w:shd w:fill="E5E8E8"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Ref Repo</w:t>
            </w:r>
          </w:p>
        </w:tc>
        <w:tc>
          <w:tcPr>
            <w:tcW w:type="dxa" w:w="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20"/>
                <w:szCs w:val="20"/>
              </w:rPr>
              <w:t xml:space="preserve">→</w:t>
            </w:r>
          </w:p>
        </w:tc>
        <w:tc>
          <w:tcPr>
            <w:tcW w:type="dxa" w:w="2200"/>
            <w:tcBorders>
              <w:top w:val="single" w:color="BDC3C7" w:sz="1"/>
              <w:left w:val="single" w:color="BDC3C7" w:sz="1"/>
              <w:bottom w:val="single" w:color="BDC3C7" w:sz="1"/>
              <w:right w:val="single" w:color="BDC3C7" w:sz="1"/>
            </w:tcBorders>
            <w:shd w:fill="D1F2EB"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DocStratum</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Spec ground truth, extension labeling, blockquote behavior</w:t>
            </w:r>
          </w:p>
        </w:tc>
      </w:tr>
      <w:tr>
        <w:tc>
          <w:tcPr>
            <w:tcW w:type="dxa" w:w="2200"/>
            <w:tcBorders>
              <w:top w:val="single" w:color="BDC3C7" w:sz="1"/>
              <w:left w:val="single" w:color="BDC3C7" w:sz="1"/>
              <w:bottom w:val="single" w:color="BDC3C7" w:sz="1"/>
              <w:right w:val="single" w:color="BDC3C7" w:sz="1"/>
            </w:tcBorders>
            <w:shd w:fill="E5E8E8"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Ref Repo</w:t>
            </w:r>
          </w:p>
        </w:tc>
        <w:tc>
          <w:tcPr>
            <w:tcW w:type="dxa" w:w="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20"/>
                <w:szCs w:val="20"/>
              </w:rPr>
              <w:t xml:space="preserve">→</w:t>
            </w:r>
          </w:p>
        </w:tc>
        <w:tc>
          <w:tcPr>
            <w:tcW w:type="dxa" w:w="220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Paper</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Evidence items 2.6–2.7, domains.md for adoption stats</w:t>
            </w:r>
          </w:p>
        </w:tc>
      </w:tr>
      <w:tr>
        <w:tc>
          <w:tcPr>
            <w:tcW w:type="dxa" w:w="2200"/>
            <w:tcBorders>
              <w:top w:val="single" w:color="BDC3C7" w:sz="1"/>
              <w:left w:val="single" w:color="BDC3C7" w:sz="1"/>
              <w:bottom w:val="single" w:color="BDC3C7" w:sz="1"/>
              <w:right w:val="single" w:color="BDC3C7" w:sz="1"/>
            </w:tcBorders>
            <w:shd w:fill="E5E8E8"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Ref Repo</w:t>
            </w:r>
          </w:p>
        </w:tc>
        <w:tc>
          <w:tcPr>
            <w:tcW w:type="dxa" w:w="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20"/>
                <w:szCs w:val="20"/>
              </w:rPr>
              <w:t xml:space="preserve">→</w:t>
            </w:r>
          </w:p>
        </w:tc>
        <w:tc>
          <w:tcPr>
            <w:tcW w:type="dxa" w:w="2200"/>
            <w:tcBorders>
              <w:top w:val="single" w:color="BDC3C7" w:sz="1"/>
              <w:left w:val="single" w:color="BDC3C7" w:sz="1"/>
              <w:bottom w:val="single" w:color="BDC3C7" w:sz="1"/>
              <w:right w:val="single" w:color="BDC3C7" w:sz="1"/>
            </w:tcBorders>
            <w:shd w:fill="FAE5D3"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Benchmark</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domains.md for corpus selection, content preprocessing rules</w:t>
            </w:r>
          </w:p>
        </w:tc>
      </w:tr>
      <w:tr>
        <w:tc>
          <w:tcPr>
            <w:tcW w:type="dxa" w:w="2200"/>
            <w:tcBorders>
              <w:top w:val="single" w:color="BDC3C7" w:sz="1"/>
              <w:left w:val="single" w:color="BDC3C7" w:sz="1"/>
              <w:bottom w:val="single" w:color="BDC3C7" w:sz="1"/>
              <w:right w:val="single" w:color="BDC3C7"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LlmsTxtKit</w:t>
            </w:r>
          </w:p>
        </w:tc>
        <w:tc>
          <w:tcPr>
            <w:tcW w:type="dxa" w:w="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20"/>
                <w:szCs w:val="20"/>
              </w:rPr>
              <w:t xml:space="preserve">→</w:t>
            </w:r>
          </w:p>
        </w:tc>
        <w:tc>
          <w:tcPr>
            <w:tcW w:type="dxa" w:w="2200"/>
            <w:tcBorders>
              <w:top w:val="single" w:color="BDC3C7" w:sz="1"/>
              <w:left w:val="single" w:color="BDC3C7" w:sz="1"/>
              <w:bottom w:val="single" w:color="BDC3C7" w:sz="1"/>
              <w:right w:val="single" w:color="BDC3C7" w:sz="1"/>
            </w:tcBorders>
            <w:shd w:fill="FAE5D3"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Benchmark</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llmstxt_compare tool for paired content data collection</w:t>
            </w:r>
          </w:p>
        </w:tc>
      </w:tr>
      <w:tr>
        <w:tc>
          <w:tcPr>
            <w:tcW w:type="dxa" w:w="2200"/>
            <w:tcBorders>
              <w:top w:val="single" w:color="BDC3C7" w:sz="1"/>
              <w:left w:val="single" w:color="BDC3C7" w:sz="1"/>
              <w:bottom w:val="single" w:color="BDC3C7" w:sz="1"/>
              <w:right w:val="single" w:color="BDC3C7" w:sz="1"/>
            </w:tcBorders>
            <w:shd w:fill="FAE5D3"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Benchmark</w:t>
            </w:r>
          </w:p>
        </w:tc>
        <w:tc>
          <w:tcPr>
            <w:tcW w:type="dxa" w:w="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20"/>
                <w:szCs w:val="20"/>
              </w:rPr>
              <w:t xml:space="preserve">→</w:t>
            </w:r>
          </w:p>
        </w:tc>
        <w:tc>
          <w:tcPr>
            <w:tcW w:type="dxa" w:w="220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Paper</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Empirical results for §9 (Research Gaps)</w:t>
            </w:r>
          </w:p>
        </w:tc>
      </w:tr>
      <w:tr>
        <w:tc>
          <w:tcPr>
            <w:tcW w:type="dxa" w:w="2200"/>
            <w:tcBorders>
              <w:top w:val="single" w:color="BDC3C7" w:sz="1"/>
              <w:left w:val="single" w:color="BDC3C7" w:sz="1"/>
              <w:bottom w:val="single" w:color="BDC3C7" w:sz="1"/>
              <w:right w:val="single" w:color="BDC3C7" w:sz="1"/>
            </w:tcBorders>
            <w:shd w:fill="FAE5D3"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Benchmark</w:t>
            </w:r>
          </w:p>
        </w:tc>
        <w:tc>
          <w:tcPr>
            <w:tcW w:type="dxa" w:w="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20"/>
                <w:szCs w:val="20"/>
              </w:rPr>
              <w:t xml:space="preserve">→</w:t>
            </w:r>
          </w:p>
        </w:tc>
        <w:tc>
          <w:tcPr>
            <w:tcW w:type="dxa" w:w="2200"/>
            <w:tcBorders>
              <w:top w:val="single" w:color="BDC3C7" w:sz="1"/>
              <w:left w:val="single" w:color="BDC3C7" w:sz="1"/>
              <w:bottom w:val="single" w:color="BDC3C7" w:sz="1"/>
              <w:right w:val="single" w:color="BDC3C7" w:sz="1"/>
            </w:tcBorders>
            <w:shd w:fill="D1F2EB"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DocStratum</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Evidence-based quality thresholds for L2–L3 calibration</w:t>
            </w:r>
          </w:p>
        </w:tc>
      </w:tr>
      <w:tr>
        <w:tc>
          <w:tcPr>
            <w:tcW w:type="dxa" w:w="2200"/>
            <w:tcBorders>
              <w:top w:val="single" w:color="BDC3C7" w:sz="1"/>
              <w:left w:val="single" w:color="BDC3C7" w:sz="1"/>
              <w:bottom w:val="single" w:color="BDC3C7" w:sz="1"/>
              <w:right w:val="single" w:color="BDC3C7" w:sz="1"/>
            </w:tcBorders>
            <w:shd w:fill="D1F2EB"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DocStratum</w:t>
            </w:r>
          </w:p>
        </w:tc>
        <w:tc>
          <w:tcPr>
            <w:tcW w:type="dxa" w:w="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20"/>
                <w:szCs w:val="20"/>
              </w:rPr>
              <w:t xml:space="preserve">→</w:t>
            </w:r>
          </w:p>
        </w:tc>
        <w:tc>
          <w:tcPr>
            <w:tcW w:type="dxa" w:w="2200"/>
            <w:tcBorders>
              <w:top w:val="single" w:color="BDC3C7" w:sz="1"/>
              <w:left w:val="single" w:color="BDC3C7" w:sz="1"/>
              <w:bottom w:val="single" w:color="BDC3C7" w:sz="1"/>
              <w:right w:val="single" w:color="BDC3C7"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LlmsTxtKit</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Quality definitions informing validator rule alignment</w:t>
            </w:r>
          </w:p>
        </w:tc>
      </w:tr>
      <w:tr>
        <w:tc>
          <w:tcPr>
            <w:tcW w:type="dxa" w:w="220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Paper</w:t>
            </w:r>
          </w:p>
        </w:tc>
        <w:tc>
          <w:tcPr>
            <w:tcW w:type="dxa" w:w="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20"/>
                <w:szCs w:val="20"/>
              </w:rPr>
              <w:t xml:space="preserve">→</w:t>
            </w:r>
          </w:p>
        </w:tc>
        <w:tc>
          <w:tcPr>
            <w:tcW w:type="dxa" w:w="2200"/>
            <w:tcBorders>
              <w:top w:val="single" w:color="BDC3C7" w:sz="1"/>
              <w:left w:val="single" w:color="BDC3C7" w:sz="1"/>
              <w:bottom w:val="single" w:color="BDC3C7" w:sz="1"/>
              <w:right w:val="single" w:color="BDC3C7" w:sz="1"/>
            </w:tcBorders>
            <w:shd w:fill="F2D7D5"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Blog</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Research findings translated into practitioner posts</w:t>
            </w:r>
          </w:p>
        </w:tc>
      </w:tr>
      <w:tr>
        <w:tc>
          <w:tcPr>
            <w:tcW w:type="dxa" w:w="2200"/>
            <w:tcBorders>
              <w:top w:val="single" w:color="BDC3C7" w:sz="1"/>
              <w:left w:val="single" w:color="BDC3C7" w:sz="1"/>
              <w:bottom w:val="single" w:color="BDC3C7" w:sz="1"/>
              <w:right w:val="single" w:color="BDC3C7" w:sz="1"/>
            </w:tcBorders>
            <w:shd w:fill="F2D7D5"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Blog</w:t>
            </w:r>
          </w:p>
        </w:tc>
        <w:tc>
          <w:tcPr>
            <w:tcW w:type="dxa" w:w="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20"/>
                <w:szCs w:val="20"/>
              </w:rPr>
              <w:t xml:space="preserve">→</w:t>
            </w:r>
          </w:p>
        </w:tc>
        <w:tc>
          <w:tcPr>
            <w:tcW w:type="dxa" w:w="2200"/>
            <w:tcBorders>
              <w:top w:val="single" w:color="BDC3C7" w:sz="1"/>
              <w:left w:val="single" w:color="BDC3C7" w:sz="1"/>
              <w:bottom w:val="single" w:color="BDC3C7" w:sz="1"/>
              <w:right w:val="single" w:color="BDC3C7" w:sz="1"/>
            </w:tcBorders>
            <w:shd w:fill="D1F2EB"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8"/>
                <w:szCs w:val="18"/>
              </w:rPr>
              <w:t xml:space="preserve">DocStratum</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8"/>
                <w:szCs w:val="18"/>
              </w:rPr>
              <w:t xml:space="preserve">Blog llms.txt as living validation test subject</w:t>
            </w:r>
          </w:p>
        </w:tc>
      </w:tr>
    </w:tbl>
    <w:p>
      <w:pPr>
        <w:pStyle w:val="Heading1"/>
        <w:spacing w:before="400"/>
      </w:pPr>
      <w:r>
        <w:t xml:space="preserve">Where to Start Right Now</w:t>
      </w:r>
    </w:p>
    <w:p>
      <w:pPr>
        <w:spacing w:after="160"/>
      </w:pPr>
      <w:r>
        <w:rPr>
          <w:rFonts w:ascii="Arial" w:cs="Arial" w:eastAsia="Arial" w:hAnsi="Arial"/>
          <w:sz w:val="20"/>
          <w:szCs w:val="20"/>
        </w:rPr>
        <w:t xml:space="preserve">If you’re looking at this and thinking “okay, but what do I literally do tomorrow morning?” — here’s the recommended sequence of first moves, designed to maximize parallel progress across lanes while respecting dependencies:</w:t>
      </w:r>
    </w:p>
    <w:p>
      <w:pPr>
        <w:pStyle w:val="ListParagraph"/>
        <w:numPr>
          <w:ilvl w:val="0"/>
          <w:numId w:val="2"/>
        </w:numPr>
        <w:spacing w:after="100"/>
      </w:pPr>
      <w:r>
        <w:rPr>
          <w:rFonts w:ascii="Arial" w:cs="Arial" w:eastAsia="Arial" w:hAnsi="Arial"/>
          <w:b/>
          <w:bCs/>
          <w:sz w:val="20"/>
          <w:szCs w:val="20"/>
        </w:rPr>
        <w:t xml:space="preserve">Lane 6 Setup tasks </w:t>
      </w:r>
      <w:r>
        <w:rPr>
          <w:rFonts w:ascii="Arial" w:cs="Arial" w:eastAsia="Arial" w:hAnsi="Arial"/>
          <w:sz w:val="20"/>
          <w:szCs w:val="20"/>
        </w:rPr>
        <w:t xml:space="preserve">(30 min) — Create the GitHub Projects board. This gives you a single place to track everything and makes the rest of the lanes feel less scattered.</w:t>
      </w:r>
    </w:p>
    <w:p>
      <w:pPr>
        <w:pStyle w:val="ListParagraph"/>
        <w:numPr>
          <w:ilvl w:val="0"/>
          <w:numId w:val="2"/>
        </w:numPr>
        <w:spacing w:after="100"/>
      </w:pPr>
      <w:r>
        <w:rPr>
          <w:rFonts w:ascii="Arial" w:cs="Arial" w:eastAsia="Arial" w:hAnsi="Arial"/>
          <w:b/>
          <w:bCs/>
          <w:sz w:val="20"/>
          <w:szCs w:val="20"/>
        </w:rPr>
        <w:t xml:space="preserve">Lane 2 Spec phase </w:t>
      </w:r>
      <w:r>
        <w:rPr>
          <w:rFonts w:ascii="Arial" w:cs="Arial" w:eastAsia="Arial" w:hAnsi="Arial"/>
          <w:sz w:val="20"/>
          <w:szCs w:val="20"/>
        </w:rPr>
        <w:t xml:space="preserve">(2–3 sessions) — Complete the user-stories.md and test-plan.md stubs. This unblocks all Build work in Lane 2, which in turn unblocks the Benchmark’s data collection.</w:t>
      </w:r>
    </w:p>
    <w:p>
      <w:pPr>
        <w:pStyle w:val="ListParagraph"/>
        <w:numPr>
          <w:ilvl w:val="0"/>
          <w:numId w:val="2"/>
        </w:numPr>
        <w:spacing w:after="100"/>
      </w:pPr>
      <w:r>
        <w:rPr>
          <w:rFonts w:ascii="Arial" w:cs="Arial" w:eastAsia="Arial" w:hAnsi="Arial"/>
          <w:b/>
          <w:bCs/>
          <w:sz w:val="20"/>
          <w:szCs w:val="20"/>
        </w:rPr>
        <w:t xml:space="preserve">Lane 1 Gather phase </w:t>
      </w:r>
      <w:r>
        <w:rPr>
          <w:rFonts w:ascii="Arial" w:cs="Arial" w:eastAsia="Arial" w:hAnsi="Arial"/>
          <w:sz w:val="20"/>
          <w:szCs w:val="20"/>
        </w:rPr>
        <w:t xml:space="preserve">(parallel with Lane 2) — Start compiling evidence. This is pure research — no code, no dependencies. Every source you gather now becomes a sentence in the paper later.</w:t>
      </w:r>
    </w:p>
    <w:p>
      <w:pPr>
        <w:pStyle w:val="ListParagraph"/>
        <w:numPr>
          <w:ilvl w:val="0"/>
          <w:numId w:val="2"/>
        </w:numPr>
        <w:spacing w:after="100"/>
      </w:pPr>
      <w:r>
        <w:rPr>
          <w:rFonts w:ascii="Arial" w:cs="Arial" w:eastAsia="Arial" w:hAnsi="Arial"/>
          <w:b/>
          <w:bCs/>
          <w:sz w:val="20"/>
          <w:szCs w:val="20"/>
        </w:rPr>
        <w:t xml:space="preserve">Lane 4 Design phase </w:t>
      </w:r>
      <w:r>
        <w:rPr>
          <w:rFonts w:ascii="Arial" w:cs="Arial" w:eastAsia="Arial" w:hAnsi="Arial"/>
          <w:sz w:val="20"/>
          <w:szCs w:val="20"/>
        </w:rPr>
        <w:t xml:space="preserve">(parallel with Lanes 1–2) — Finalize the benchmark methodology and select the corpus. This is also pure design work with no code dependencies.</w:t>
      </w:r>
    </w:p>
    <w:p>
      <w:pPr>
        <w:pStyle w:val="ListParagraph"/>
        <w:numPr>
          <w:ilvl w:val="0"/>
          <w:numId w:val="2"/>
        </w:numPr>
        <w:spacing w:after="100"/>
      </w:pPr>
      <w:r>
        <w:rPr>
          <w:rFonts w:ascii="Arial" w:cs="Arial" w:eastAsia="Arial" w:hAnsi="Arial"/>
          <w:b/>
          <w:bCs/>
          <w:sz w:val="20"/>
          <w:szCs w:val="20"/>
        </w:rPr>
        <w:t xml:space="preserve">Lane 3 Design phase </w:t>
      </w:r>
      <w:r>
        <w:rPr>
          <w:rFonts w:ascii="Arial" w:cs="Arial" w:eastAsia="Arial" w:hAnsi="Arial"/>
          <w:sz w:val="20"/>
          <w:szCs w:val="20"/>
        </w:rPr>
        <w:t xml:space="preserve">(parallel) — Label which DocStratum rules are spec-compliant vs. extensions. Resolve the documentation backlog. This is independent and can run alongside everything else.</w:t>
      </w:r>
    </w:p>
    <w:p>
      <w:pPr>
        <w:spacing w:before="200" w:after="200"/>
      </w:pPr>
      <w:r>
        <w:rPr>
          <w:rFonts w:ascii="Arial" w:cs="Arial" w:eastAsia="Arial" w:hAnsi="Arial"/>
          <w:sz w:val="20"/>
          <w:szCs w:val="20"/>
        </w:rPr>
        <w:t xml:space="preserve">The first five moves are all parallelizable. By the time you’ve finished them, Lane 2’s Build phase is unblocked, Lane 4 is ready for data collection (pending the llmstxt_compare tool), and Lane 1 has enough evidence to start drafting. That’s the moment the lanes stop being a plan and start producing output.</w:t>
      </w:r>
    </w:p>
    <w:p>
      <w:pPr>
        <w:spacing w:before="300"/>
      </w:pPr>
      <w:r>
        <w:rPr>
          <w:rFonts w:ascii="Arial" w:cs="Arial" w:eastAsia="Arial" w:hAnsi="Arial"/>
          <w:i/>
          <w:iCs/>
          <w:color w:val="95A5A6"/>
          <w:sz w:val="18"/>
          <w:szCs w:val="18"/>
        </w:rPr>
        <w:t xml:space="preserve">This document is a working roadmap, not a contract. Update it as lanes progress and dependencies resolve. </w:t>
      </w:r>
      <w:r>
        <w:rPr>
          <w:rFonts w:ascii="Arial" w:cs="Arial" w:eastAsia="Arial" w:hAnsi="Arial"/>
          <w:i/>
          <w:iCs/>
          <w:color w:val="95A5A6"/>
          <w:sz w:val="18"/>
          <w:szCs w:val="18"/>
        </w:rPr>
        <w:t xml:space="preserve">Companion documents: </w:t>
      </w:r>
      <w:r>
        <w:rPr>
          <w:rFonts w:ascii="Arial" w:cs="Arial" w:eastAsia="Arial" w:hAnsi="Arial"/>
          <w:i/>
          <w:iCs/>
          <w:color w:val="95A5A6"/>
          <w:sz w:val="18"/>
          <w:szCs w:val="18"/>
        </w:rPr>
        <w:t xml:space="preserve">llmstxt-project-proposals.md, llmstxt-project-management-blueprint.md, llms-txt-reference-repo-analysis.md</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llms.txt Research &amp; Tooling Initiative — Lane-Based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2026-02-15T01:41:18.591Z</dcterms:created>
  <dcterms:modified xsi:type="dcterms:W3CDTF">2026-02-15T01:41:18.591Z</dcterms:modified>
</cp:coreProperties>
</file>

<file path=docProps/custom.xml><?xml version="1.0" encoding="utf-8"?>
<Properties xmlns="http://schemas.openxmlformats.org/officeDocument/2006/custom-properties" xmlns:vt="http://schemas.openxmlformats.org/officeDocument/2006/docPropsVTypes"/>
</file>