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6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CF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96" w:lineRule="exact"/>
        <w:ind w:left="0"/>
        <w:textAlignment w:val="auto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-553085</wp:posOffset>
            </wp:positionH>
            <wp:positionV relativeFrom="page">
              <wp:posOffset>732790</wp:posOffset>
            </wp:positionV>
            <wp:extent cx="7559040" cy="1520825"/>
            <wp:effectExtent l="0" t="0" r="0" b="3175"/>
            <wp:wrapNone/>
            <wp:docPr id="3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36830</wp:posOffset>
            </wp:positionH>
            <wp:positionV relativeFrom="page">
              <wp:posOffset>368300</wp:posOffset>
            </wp:positionV>
            <wp:extent cx="1345565" cy="1794510"/>
            <wp:effectExtent l="36830" t="36830" r="50165" b="43180"/>
            <wp:wrapNone/>
            <wp:docPr id="1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5880" cy="1794507"/>
                    </a:xfrm>
                    <a:prstGeom prst="rect">
                      <a:avLst/>
                    </a:prstGeom>
                    <a:ln w="36873">
                      <a:solidFill>
                        <a:srgbClr val="C9AE96"/>
                      </a:solidFill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-553085</wp:posOffset>
            </wp:positionH>
            <wp:positionV relativeFrom="page">
              <wp:posOffset>553085</wp:posOffset>
            </wp:positionV>
            <wp:extent cx="7559040" cy="165735"/>
            <wp:effectExtent l="0" t="0" r="0" b="1905"/>
            <wp:wrapNone/>
            <wp:docPr id="2" name="Drawing 0" descr="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1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90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725" w:lineRule="exact"/>
        <w:ind w:left="2760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FFFFFF"/>
          <w:sz w:val="52"/>
        </w:rPr>
        <w:t>董巨擘</w:t>
      </w:r>
      <w:r>
        <w:rPr>
          <w:rFonts w:hint="eastAsia" w:ascii="微软雅黑" w:hAnsi="微软雅黑" w:eastAsia="微软雅黑" w:cs="微软雅黑"/>
          <w:color w:val="FFFFFF"/>
          <w:sz w:val="36"/>
          <w:szCs w:val="18"/>
          <w:u w:val="single"/>
          <w:vertAlign w:val="subscript"/>
          <w:lang w:val="en-US" w:eastAsia="zh-CN"/>
        </w:rPr>
        <w:t>Dongjubo</w:t>
      </w:r>
    </w:p>
    <w:p w14:paraId="7CEAE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52" w:lineRule="exact"/>
        <w:ind w:left="0"/>
        <w:textAlignment w:val="auto"/>
        <w:rPr>
          <w:rFonts w:hint="default"/>
          <w:lang w:val="en-US" w:eastAsia="zh-CN"/>
        </w:rPr>
      </w:pPr>
    </w:p>
    <w:tbl>
      <w:tblPr>
        <w:tblStyle w:val="7"/>
        <w:tblW w:w="7880" w:type="dxa"/>
        <w:tblInd w:w="27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26"/>
        <w:gridCol w:w="2627"/>
        <w:gridCol w:w="2627"/>
      </w:tblGrid>
      <w:tr w14:paraId="11287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exact"/>
        </w:trPr>
        <w:tc>
          <w:tcPr>
            <w:tcW w:w="2626" w:type="dxa"/>
            <w:tcBorders>
              <w:tl2br w:val="nil"/>
              <w:tr2bl w:val="nil"/>
            </w:tcBorders>
            <w:vAlign w:val="top"/>
          </w:tcPr>
          <w:p w14:paraId="1131A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男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top"/>
          </w:tcPr>
          <w:p w14:paraId="7A339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33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top"/>
          </w:tcPr>
          <w:p w14:paraId="0BCDD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17688997882</w:t>
            </w:r>
          </w:p>
        </w:tc>
      </w:tr>
      <w:tr w14:paraId="5B493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exact"/>
        </w:trPr>
        <w:tc>
          <w:tcPr>
            <w:tcW w:w="2626" w:type="dxa"/>
            <w:gridSpan w:val="2"/>
            <w:tcBorders>
              <w:tl2br w:val="nil"/>
              <w:tr2bl w:val="nil"/>
            </w:tcBorders>
            <w:vAlign w:val="top"/>
          </w:tcPr>
          <w:p w14:paraId="4ABFF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galaxyost@outlook.com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top"/>
          </w:tcPr>
          <w:p w14:paraId="15502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54" w:lineRule="exact"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5624E32">
      <w:pPr>
        <w:spacing w:before="0" w:after="0" w:line="464" w:lineRule="exact"/>
        <w:textAlignment w:val="center"/>
        <w:rPr>
          <w:rFonts w:ascii="微软雅黑" w:hAnsi="微软雅黑" w:eastAsia="微软雅黑" w:cs="微软雅黑"/>
          <w:b/>
          <w:color w:val="374957"/>
          <w:sz w:val="10"/>
          <w:szCs w:val="10"/>
        </w:rPr>
      </w:pPr>
    </w:p>
    <w:p w14:paraId="0434FF29">
      <w:pPr>
        <w:spacing w:before="0" w:after="0" w:line="464" w:lineRule="exact"/>
        <w:ind w:left="76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74957"/>
          <w:sz w:val="26"/>
        </w:rPr>
        <w:t>求职意向</w:t>
      </w:r>
      <w:r>
        <w:rPr>
          <w:rFonts w:ascii="微软雅黑" w:hAnsi="微软雅黑" w:eastAsia="微软雅黑" w:cs="微软雅黑"/>
          <w:b/>
          <w:color w:val="374957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9525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6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求职意向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8890" b="4445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3FF9C">
      <w:pPr>
        <w:spacing w:before="0" w:after="0" w:line="116" w:lineRule="exact"/>
        <w:rPr>
          <w:sz w:val="21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 w14:paraId="7AB75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DEB8B2">
            <w:pPr>
              <w:spacing w:before="0" w:after="0" w:line="377" w:lineRule="exact"/>
              <w:ind w:left="0" w:right="0"/>
              <w:textAlignment w:val="center"/>
              <w:rPr>
                <w:rFonts w:hint="default" w:eastAsia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意向岗位：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投资拓展岗、市场开发岗</w:t>
            </w:r>
          </w:p>
        </w:tc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A63C27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意向城市：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广州</w:t>
            </w:r>
          </w:p>
        </w:tc>
      </w:tr>
      <w:tr w14:paraId="374CB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71119A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面议</w:t>
            </w:r>
          </w:p>
        </w:tc>
        <w:tc>
          <w:tcPr>
            <w:tcW w:w="504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D3E54D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社招</w:t>
            </w:r>
          </w:p>
        </w:tc>
      </w:tr>
    </w:tbl>
    <w:p w14:paraId="3B1AFD71">
      <w:pPr>
        <w:spacing w:before="0" w:after="0" w:line="464" w:lineRule="exact"/>
        <w:ind w:left="76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74957"/>
          <w:sz w:val="26"/>
        </w:rPr>
        <w:t>教育经历</w:t>
      </w:r>
      <w:r>
        <w:rPr>
          <w:rFonts w:ascii="微软雅黑" w:hAnsi="微软雅黑" w:eastAsia="微软雅黑" w:cs="微软雅黑"/>
          <w:b/>
          <w:color w:val="374957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9525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0"/>
            <wp:wrapNone/>
            <wp:docPr id="15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sv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8890" b="4445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1F4B1">
      <w:pPr>
        <w:spacing w:before="0" w:after="0" w:line="116" w:lineRule="exact"/>
        <w:rPr>
          <w:sz w:val="21"/>
        </w:rPr>
      </w:pPr>
    </w:p>
    <w:p w14:paraId="6D2DCC0F">
      <w:pPr>
        <w:tabs>
          <w:tab w:val="right" w:pos="1020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color w:val="374957"/>
          <w:sz w:val="22"/>
        </w:rPr>
        <w:t>2012-2016</w:t>
      </w:r>
      <w:r>
        <w:rPr>
          <w:rFonts w:ascii="微软雅黑" w:hAnsi="微软雅黑" w:eastAsia="微软雅黑" w:cs="微软雅黑"/>
          <w:b/>
          <w:color w:val="374957"/>
          <w:sz w:val="22"/>
        </w:rPr>
        <w:tab/>
      </w:r>
      <w:r>
        <w:rPr>
          <w:rFonts w:ascii="微软雅黑" w:hAnsi="微软雅黑" w:eastAsia="微软雅黑" w:cs="微软雅黑"/>
          <w:b/>
          <w:color w:val="374957"/>
          <w:sz w:val="22"/>
        </w:rPr>
        <w:t>中国石油大学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eastAsia="zh-CN"/>
        </w:rPr>
        <w:t>（</w:t>
      </w:r>
      <w:r>
        <w:rPr>
          <w:rFonts w:ascii="微软雅黑" w:hAnsi="微软雅黑" w:eastAsia="微软雅黑" w:cs="微软雅黑"/>
          <w:b/>
          <w:color w:val="374957"/>
          <w:sz w:val="22"/>
        </w:rPr>
        <w:t>北京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eastAsia="zh-CN"/>
        </w:rPr>
        <w:t>）</w:t>
      </w:r>
    </w:p>
    <w:p w14:paraId="776ABF96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374957"/>
          <w:sz w:val="22"/>
        </w:rPr>
        <w:t>市场营销</w:t>
      </w:r>
      <w:r>
        <w:rPr>
          <w:rFonts w:hint="eastAsia" w:ascii="微软雅黑" w:hAnsi="微软雅黑" w:eastAsia="微软雅黑" w:cs="微软雅黑"/>
          <w:color w:val="374957"/>
          <w:sz w:val="22"/>
          <w:lang w:eastAsia="zh-CN"/>
        </w:rPr>
        <w:t>｜</w:t>
      </w:r>
      <w:r>
        <w:rPr>
          <w:rFonts w:ascii="微软雅黑" w:hAnsi="微软雅黑" w:eastAsia="微软雅黑" w:cs="微软雅黑"/>
          <w:color w:val="374957"/>
          <w:sz w:val="22"/>
        </w:rPr>
        <w:t>本科</w:t>
      </w:r>
    </w:p>
    <w:p w14:paraId="1AE5B321">
      <w:pPr>
        <w:spacing w:before="0" w:after="0" w:line="71" w:lineRule="exact"/>
        <w:ind w:left="0"/>
        <w:jc w:val="left"/>
      </w:pPr>
    </w:p>
    <w:p w14:paraId="3E27B821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主修课程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：</w:t>
      </w:r>
      <w:r>
        <w:rPr>
          <w:rFonts w:ascii="微软雅黑" w:hAnsi="微软雅黑" w:eastAsia="微软雅黑" w:cs="微软雅黑"/>
          <w:color w:val="666666"/>
          <w:sz w:val="20"/>
        </w:rPr>
        <w:t>经济学、管理学、财务管理、市场调查与预测、消费者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心理学等</w:t>
      </w:r>
      <w:r>
        <w:rPr>
          <w:rFonts w:ascii="微软雅黑" w:hAnsi="微软雅黑" w:eastAsia="微软雅黑" w:cs="微软雅黑"/>
          <w:color w:val="666666"/>
          <w:sz w:val="20"/>
        </w:rPr>
        <w:t>基础相关课程</w:t>
      </w:r>
    </w:p>
    <w:p w14:paraId="6A948472">
      <w:pPr>
        <w:spacing w:before="0" w:after="0" w:line="377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辅修课程：国际金融与贸易、计算机科学</w:t>
      </w:r>
    </w:p>
    <w:p w14:paraId="139AA8B7">
      <w:pPr>
        <w:spacing w:before="0" w:after="0" w:line="464" w:lineRule="exact"/>
        <w:ind w:left="769"/>
        <w:textAlignment w:val="center"/>
        <w:rPr>
          <w:rFonts w:hint="default" w:ascii="微软雅黑" w:hAnsi="微软雅黑" w:eastAsia="微软雅黑" w:cs="微软雅黑"/>
          <w:b/>
          <w:color w:val="374957"/>
          <w:sz w:val="26"/>
          <w:lang w:val="en-US" w:eastAsia="zh-CN"/>
        </w:rPr>
      </w:pPr>
      <w:r>
        <w:rPr>
          <w:rFonts w:ascii="微软雅黑" w:hAnsi="微软雅黑" w:eastAsia="微软雅黑" w:cs="微软雅黑"/>
          <w:b/>
          <w:color w:val="374957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9525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color w:val="374957"/>
          <w:sz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0"/>
            <wp:wrapNone/>
            <wp:docPr id="18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相关技能.sv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color w:val="374957"/>
          <w:sz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8890" b="4445"/>
            <wp:wrapNone/>
            <wp:docPr id="1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374957"/>
          <w:sz w:val="26"/>
          <w:lang w:val="en-US" w:eastAsia="zh-CN"/>
        </w:rPr>
        <w:t>业务能力说明</w:t>
      </w:r>
    </w:p>
    <w:p w14:paraId="4401171A">
      <w:pPr>
        <w:numPr>
          <w:ilvl w:val="0"/>
          <w:numId w:val="0"/>
        </w:numPr>
        <w:spacing w:before="0" w:after="0" w:line="377" w:lineRule="exact"/>
        <w:ind w:left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1FD1C8A6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项目前端运作与商务拓展经验</w:t>
      </w:r>
      <w:r>
        <w:rPr>
          <w:rFonts w:hint="default" w:ascii="微软雅黑" w:hAnsi="微软雅黑" w:eastAsia="微软雅黑" w:cs="微软雅黑"/>
          <w:color w:val="666666"/>
          <w:sz w:val="20"/>
        </w:rPr>
        <w:t>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50+信息化运维及基础设施建设市场开发经验</w:t>
      </w:r>
      <w:r>
        <w:rPr>
          <w:rFonts w:hint="default" w:ascii="微软雅黑" w:hAnsi="微软雅黑" w:eastAsia="微软雅黑" w:cs="微软雅黑"/>
          <w:color w:val="666666"/>
          <w:sz w:val="20"/>
        </w:rPr>
        <w:t>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参与项目前端调研、效益分析及落地的全周期工作，</w:t>
      </w:r>
      <w:r>
        <w:rPr>
          <w:rFonts w:hint="default" w:ascii="微软雅黑" w:hAnsi="微软雅黑" w:eastAsia="微软雅黑" w:cs="微软雅黑"/>
          <w:color w:val="666666"/>
          <w:sz w:val="20"/>
        </w:rPr>
        <w:t>熟悉项目从信息获取、方案制定、竞标谈判到合同签署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及项目运维</w:t>
      </w:r>
      <w:r>
        <w:rPr>
          <w:rFonts w:hint="default" w:ascii="微软雅黑" w:hAnsi="微软雅黑" w:eastAsia="微软雅黑" w:cs="微软雅黑"/>
          <w:color w:val="666666"/>
          <w:sz w:val="20"/>
        </w:rPr>
        <w:t>的全流程。</w:t>
      </w:r>
    </w:p>
    <w:p w14:paraId="1B47FA3E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default" w:ascii="微软雅黑" w:hAnsi="微软雅黑" w:eastAsia="微软雅黑" w:cs="微软雅黑"/>
          <w:b/>
          <w:bCs/>
          <w:color w:val="666666"/>
          <w:sz w:val="20"/>
        </w:rPr>
        <w:t>政企关系维护与资源整合能力：</w:t>
      </w:r>
      <w:r>
        <w:rPr>
          <w:rFonts w:hint="default" w:ascii="微软雅黑" w:hAnsi="微软雅黑" w:eastAsia="微软雅黑" w:cs="微软雅黑"/>
          <w:color w:val="666666"/>
          <w:sz w:val="20"/>
        </w:rPr>
        <w:t>长期对接住建、环保、安监等政府监管部门，以及中海油、中化、中海壳牌等大型央企客户，具备成熟的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B端</w:t>
      </w:r>
      <w:r>
        <w:rPr>
          <w:rFonts w:hint="default" w:ascii="微软雅黑" w:hAnsi="微软雅黑" w:eastAsia="微软雅黑" w:cs="微软雅黑"/>
          <w:color w:val="666666"/>
          <w:sz w:val="20"/>
        </w:rPr>
        <w:t>对接与商务谈判能力。</w:t>
      </w:r>
    </w:p>
    <w:p w14:paraId="71D9CE0E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default" w:ascii="微软雅黑" w:hAnsi="微软雅黑" w:eastAsia="微软雅黑" w:cs="微软雅黑"/>
          <w:b/>
          <w:bCs/>
          <w:color w:val="666666"/>
          <w:sz w:val="20"/>
        </w:rPr>
        <w:t>项目全周期管理与风险管控意识：</w:t>
      </w:r>
      <w:r>
        <w:rPr>
          <w:rFonts w:hint="default" w:ascii="微软雅黑" w:hAnsi="微软雅黑" w:eastAsia="微软雅黑" w:cs="微软雅黑"/>
          <w:color w:val="666666"/>
          <w:sz w:val="20"/>
        </w:rPr>
        <w:t>亿元房地产及多个亿元级石化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EPC</w:t>
      </w:r>
      <w:r>
        <w:rPr>
          <w:rFonts w:hint="default" w:ascii="微软雅黑" w:hAnsi="微软雅黑" w:eastAsia="微软雅黑" w:cs="微软雅黑"/>
          <w:color w:val="666666"/>
          <w:sz w:val="20"/>
        </w:rPr>
        <w:t>项目的全流程管理经验，从项目前期策划、合规审批到施工管控，具备系统性项目管控思维。</w:t>
      </w:r>
    </w:p>
    <w:p w14:paraId="42E7DD68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default" w:ascii="微软雅黑" w:hAnsi="微软雅黑" w:eastAsia="微软雅黑" w:cs="微软雅黑"/>
          <w:b/>
          <w:bCs/>
          <w:color w:val="666666"/>
          <w:sz w:val="20"/>
        </w:rPr>
        <w:t>央企合规与决策体系认知：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中海油及中国化学体系</w:t>
      </w:r>
      <w:r>
        <w:rPr>
          <w:rFonts w:hint="default" w:ascii="微软雅黑" w:hAnsi="微软雅黑" w:eastAsia="微软雅黑" w:cs="微软雅黑"/>
          <w:color w:val="666666"/>
          <w:sz w:val="20"/>
        </w:rPr>
        <w:t>大型央企体系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履历</w:t>
      </w:r>
      <w:r>
        <w:rPr>
          <w:rFonts w:hint="default" w:ascii="微软雅黑" w:hAnsi="微软雅黑" w:eastAsia="微软雅黑" w:cs="微软雅黑"/>
          <w:color w:val="666666"/>
          <w:sz w:val="20"/>
        </w:rPr>
        <w:t>，深度熟悉央企内部决策流程、合规要求和审批机制，可快速适应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企业合规</w:t>
      </w:r>
      <w:r>
        <w:rPr>
          <w:rFonts w:hint="default" w:ascii="微软雅黑" w:hAnsi="微软雅黑" w:eastAsia="微软雅黑" w:cs="微软雅黑"/>
          <w:color w:val="666666"/>
          <w:sz w:val="20"/>
        </w:rPr>
        <w:t>的运作模式。</w:t>
      </w:r>
    </w:p>
    <w:p w14:paraId="07483595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default" w:ascii="微软雅黑" w:hAnsi="微软雅黑" w:eastAsia="微软雅黑" w:cs="微软雅黑"/>
          <w:b/>
          <w:bCs/>
          <w:color w:val="666666"/>
          <w:sz w:val="20"/>
        </w:rPr>
        <w:t>数字化工具与投资分析基础：</w:t>
      </w:r>
      <w:r>
        <w:rPr>
          <w:rFonts w:hint="default" w:ascii="微软雅黑" w:hAnsi="微软雅黑" w:eastAsia="微软雅黑" w:cs="微软雅黑"/>
          <w:color w:val="666666"/>
          <w:sz w:val="20"/>
        </w:rPr>
        <w:t>精通Offic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e、Photoshop</w:t>
      </w:r>
      <w:r>
        <w:rPr>
          <w:rFonts w:hint="default" w:ascii="微软雅黑" w:hAnsi="微软雅黑" w:eastAsia="微软雅黑" w:cs="微软雅黑"/>
          <w:color w:val="666666"/>
          <w:sz w:val="20"/>
        </w:rPr>
        <w:t>及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智能体agent的熟练使用</w:t>
      </w:r>
      <w:r>
        <w:rPr>
          <w:rFonts w:hint="default" w:ascii="微软雅黑" w:hAnsi="微软雅黑" w:eastAsia="微软雅黑" w:cs="微软雅黑"/>
          <w:color w:val="666666"/>
          <w:sz w:val="20"/>
        </w:rPr>
        <w:t>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能够</w:t>
      </w:r>
      <w:r>
        <w:rPr>
          <w:rFonts w:hint="default" w:ascii="微软雅黑" w:hAnsi="微软雅黑" w:eastAsia="微软雅黑" w:cs="微软雅黑"/>
          <w:color w:val="666666"/>
          <w:sz w:val="20"/>
        </w:rPr>
        <w:t>运用AI工具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进行工作</w:t>
      </w:r>
      <w:r>
        <w:rPr>
          <w:rFonts w:hint="default" w:ascii="微软雅黑" w:hAnsi="微软雅黑" w:eastAsia="微软雅黑" w:cs="微软雅黑"/>
          <w:color w:val="666666"/>
          <w:sz w:val="20"/>
        </w:rPr>
        <w:t>辅助，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提升工作效率的同时，巩固</w:t>
      </w:r>
      <w:r>
        <w:rPr>
          <w:rFonts w:hint="default" w:ascii="微软雅黑" w:hAnsi="微软雅黑" w:eastAsia="微软雅黑" w:cs="微软雅黑"/>
          <w:color w:val="666666"/>
          <w:sz w:val="20"/>
        </w:rPr>
        <w:t>快速学习的自驱力。</w:t>
      </w:r>
    </w:p>
    <w:p w14:paraId="6D686047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742805E8">
      <w:pPr>
        <w:spacing w:before="0" w:after="0" w:line="464" w:lineRule="exact"/>
        <w:ind w:left="76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74957"/>
          <w:sz w:val="26"/>
        </w:rPr>
        <w:t>工作经历</w:t>
      </w:r>
      <w:r>
        <w:rPr>
          <w:rFonts w:ascii="微软雅黑" w:hAnsi="微软雅黑" w:eastAsia="微软雅黑" w:cs="微软雅黑"/>
          <w:b/>
          <w:color w:val="374957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9525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9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工作经历.sv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8890" b="4445"/>
            <wp:wrapNone/>
            <wp:docPr id="1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C6351">
      <w:pPr>
        <w:spacing w:before="0" w:after="0" w:line="116" w:lineRule="exact"/>
        <w:rPr>
          <w:sz w:val="21"/>
        </w:rPr>
      </w:pPr>
    </w:p>
    <w:p w14:paraId="7ADF665B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3673F089">
      <w:pPr>
        <w:tabs>
          <w:tab w:val="right" w:pos="1020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color w:val="374957"/>
          <w:sz w:val="22"/>
        </w:rPr>
        <w:t>2024.03-2024.0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color w:val="374957"/>
          <w:sz w:val="22"/>
        </w:rPr>
        <w:tab/>
      </w:r>
      <w:r>
        <w:rPr>
          <w:rFonts w:ascii="微软雅黑" w:hAnsi="微软雅黑" w:eastAsia="微软雅黑" w:cs="微软雅黑"/>
          <w:b/>
          <w:color w:val="374957"/>
          <w:sz w:val="22"/>
        </w:rPr>
        <w:t>中国化学工程第十三建设集团有限公司</w:t>
      </w:r>
    </w:p>
    <w:p w14:paraId="758255C8">
      <w:pPr>
        <w:spacing w:before="0" w:after="0" w:line="348" w:lineRule="exact"/>
        <w:jc w:val="left"/>
        <w:textAlignment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374957"/>
          <w:sz w:val="22"/>
        </w:rPr>
        <w:t>市场</w:t>
      </w:r>
      <w:r>
        <w:rPr>
          <w:rFonts w:hint="eastAsia" w:ascii="微软雅黑" w:hAnsi="微软雅黑" w:eastAsia="微软雅黑" w:cs="微软雅黑"/>
          <w:color w:val="374957"/>
          <w:sz w:val="22"/>
          <w:lang w:val="en-US" w:eastAsia="zh-CN"/>
        </w:rPr>
        <w:t>开发部-市场开发与拓展岗</w:t>
      </w:r>
    </w:p>
    <w:p w14:paraId="6E99EA03">
      <w:pPr>
        <w:spacing w:before="0" w:after="0" w:line="71" w:lineRule="exact"/>
        <w:ind w:left="0"/>
        <w:jc w:val="left"/>
      </w:pPr>
    </w:p>
    <w:p w14:paraId="20233CFB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建筑施工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（</w:t>
      </w:r>
      <w:r>
        <w:rPr>
          <w:rFonts w:ascii="微软雅黑" w:hAnsi="微软雅黑" w:eastAsia="微软雅黑" w:cs="微软雅黑"/>
          <w:color w:val="666666"/>
          <w:sz w:val="20"/>
        </w:rPr>
        <w:t>建筑施工/石化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房地产、</w:t>
      </w:r>
      <w:r>
        <w:rPr>
          <w:rFonts w:ascii="微软雅黑" w:hAnsi="微软雅黑" w:eastAsia="微软雅黑" w:cs="微软雅黑"/>
          <w:color w:val="666666"/>
          <w:sz w:val="20"/>
        </w:rPr>
        <w:t>新能源领域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）</w:t>
      </w:r>
    </w:p>
    <w:p w14:paraId="2AD5608E">
      <w:pPr>
        <w:spacing w:before="0" w:after="0" w:line="377" w:lineRule="exact"/>
        <w:ind w:left="0" w:firstLine="400" w:firstLineChars="200"/>
        <w:textAlignment w:val="center"/>
        <w:rPr>
          <w:rFonts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ascii="微软雅黑" w:hAnsi="微软雅黑" w:eastAsia="微软雅黑" w:cs="微软雅黑"/>
          <w:color w:val="666666"/>
          <w:sz w:val="20"/>
          <w:lang w:val="en-US" w:eastAsia="zh-CN"/>
        </w:rPr>
        <w:t>核心工作：聚焦大湾区建筑、化工、新能源三大领域，统筹公司总部及项目行政全流程管理，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进行项目调研分析、可行性报告编制、</w:t>
      </w:r>
      <w:r>
        <w:rPr>
          <w:rFonts w:ascii="微软雅黑" w:hAnsi="微软雅黑" w:eastAsia="微软雅黑" w:cs="微软雅黑"/>
          <w:color w:val="666666"/>
          <w:sz w:val="20"/>
          <w:lang w:val="en-US" w:eastAsia="zh-CN"/>
        </w:rPr>
        <w:t>投标配套保障等核心工作，深度服务大湾区标杆EPC项目。</w:t>
      </w:r>
    </w:p>
    <w:p w14:paraId="12B0572B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市场调研与分析：持续追踪搜集大湾区行业动态和项目信息，提前做好项目背景调查和可行性分析。</w:t>
      </w:r>
    </w:p>
    <w:p w14:paraId="55989F1F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项目持续跟进：与项目建设方持续跟进，获取详细项目资料，并做好供应商合规入库的相关工作，保障项目招投标前端工作顺利完成。</w:t>
      </w:r>
    </w:p>
    <w:p w14:paraId="20041F19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项目投标：参与制定项目商务标书，并根据建设单位提供的相关信息，协同工程、采购、计价部门做好整套表述的编制，完成投标全流程工作。</w:t>
      </w:r>
    </w:p>
    <w:p w14:paraId="33DD5FB8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项目入库持续跟进：制定项目工作推进计划，维护项目库，对照计划表协同各部门持续跟进项目。</w:t>
      </w:r>
    </w:p>
    <w:p w14:paraId="6EA65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57" w:afterLines="50" w:line="348" w:lineRule="exact"/>
        <w:jc w:val="left"/>
        <w:textAlignment w:val="center"/>
        <w:rPr>
          <w:rFonts w:ascii="微软雅黑" w:hAnsi="微软雅黑" w:eastAsia="微软雅黑" w:cs="微软雅黑"/>
          <w:b/>
          <w:color w:val="374957"/>
          <w:sz w:val="22"/>
        </w:rPr>
      </w:pPr>
      <w:r>
        <w:rPr>
          <w:rFonts w:ascii="微软雅黑" w:hAnsi="微软雅黑" w:eastAsia="微软雅黑" w:cs="微软雅黑"/>
          <w:b/>
          <w:color w:val="374957"/>
          <w:sz w:val="22"/>
        </w:rPr>
        <w:t>20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>18</w:t>
      </w:r>
      <w:r>
        <w:rPr>
          <w:rFonts w:ascii="微软雅黑" w:hAnsi="微软雅黑" w:eastAsia="微软雅黑" w:cs="微软雅黑"/>
          <w:b/>
          <w:color w:val="374957"/>
          <w:sz w:val="22"/>
        </w:rPr>
        <w:t>.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>10</w:t>
      </w:r>
      <w:r>
        <w:rPr>
          <w:rFonts w:ascii="微软雅黑" w:hAnsi="微软雅黑" w:eastAsia="微软雅黑" w:cs="微软雅黑"/>
          <w:b/>
          <w:color w:val="374957"/>
          <w:sz w:val="22"/>
        </w:rPr>
        <w:t>-2024.0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 xml:space="preserve">1                                           </w:t>
      </w:r>
      <w:r>
        <w:rPr>
          <w:rFonts w:ascii="微软雅黑" w:hAnsi="微软雅黑" w:eastAsia="微软雅黑" w:cs="微软雅黑"/>
          <w:b/>
          <w:color w:val="374957"/>
          <w:sz w:val="22"/>
        </w:rPr>
        <w:t>中国化学工程第二建设集团有限公司</w:t>
      </w:r>
    </w:p>
    <w:p w14:paraId="0FB12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57" w:afterLines="50" w:line="348" w:lineRule="exact"/>
        <w:jc w:val="left"/>
        <w:textAlignment w:val="center"/>
        <w:rPr>
          <w:rFonts w:hint="default" w:ascii="微软雅黑" w:hAnsi="微软雅黑" w:eastAsia="微软雅黑" w:cs="微软雅黑"/>
          <w:color w:val="374957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374957"/>
          <w:sz w:val="22"/>
          <w:lang w:val="en-US" w:eastAsia="zh-CN"/>
        </w:rPr>
        <w:t>安全管理部-</w:t>
      </w:r>
      <w:r>
        <w:rPr>
          <w:rFonts w:ascii="微软雅黑" w:hAnsi="微软雅黑" w:eastAsia="微软雅黑" w:cs="微软雅黑"/>
          <w:color w:val="374957"/>
          <w:sz w:val="22"/>
        </w:rPr>
        <w:t>安全工程师、</w:t>
      </w:r>
      <w:r>
        <w:rPr>
          <w:rFonts w:hint="eastAsia" w:ascii="微软雅黑" w:hAnsi="微软雅黑" w:eastAsia="微软雅黑" w:cs="微软雅黑"/>
          <w:color w:val="374957"/>
          <w:sz w:val="22"/>
          <w:lang w:val="en-US" w:eastAsia="zh-CN"/>
        </w:rPr>
        <w:t>项目安全经理</w:t>
      </w:r>
    </w:p>
    <w:p w14:paraId="743E6249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建筑施工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（</w:t>
      </w:r>
      <w:r>
        <w:rPr>
          <w:rFonts w:ascii="微软雅黑" w:hAnsi="微软雅黑" w:eastAsia="微软雅黑" w:cs="微软雅黑"/>
          <w:color w:val="666666"/>
          <w:sz w:val="20"/>
        </w:rPr>
        <w:t>建筑施工/石化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房地产、</w:t>
      </w:r>
      <w:r>
        <w:rPr>
          <w:rFonts w:ascii="微软雅黑" w:hAnsi="微软雅黑" w:eastAsia="微软雅黑" w:cs="微软雅黑"/>
          <w:color w:val="666666"/>
          <w:sz w:val="20"/>
        </w:rPr>
        <w:t>新能源领域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）</w:t>
      </w:r>
    </w:p>
    <w:p w14:paraId="47559A81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核心工作：</w:t>
      </w:r>
    </w:p>
    <w:p w14:paraId="0139082C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全面负责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施工</w:t>
      </w:r>
      <w:r>
        <w:rPr>
          <w:rFonts w:ascii="微软雅黑" w:hAnsi="微软雅黑" w:eastAsia="微软雅黑" w:cs="微软雅黑"/>
          <w:color w:val="666666"/>
          <w:sz w:val="20"/>
        </w:rPr>
        <w:t>项目全周期EHS管理体系搭建与落地，统筹项目土建施工、设备采购安装、调试投产全流程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安全</w:t>
      </w:r>
      <w:r>
        <w:rPr>
          <w:rFonts w:ascii="微软雅黑" w:hAnsi="微软雅黑" w:eastAsia="微软雅黑" w:cs="微软雅黑"/>
          <w:color w:val="666666"/>
          <w:sz w:val="20"/>
        </w:rPr>
        <w:t>合规管控。</w:t>
      </w:r>
    </w:p>
    <w:p w14:paraId="2C84365D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负责安全管理体系资料的编制与管理，进行建设施工安全文明施工资料汇编。</w:t>
      </w:r>
    </w:p>
    <w:p w14:paraId="3AA64970"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负责安委会定期召开，对施工现场安全风险进行定期评估与整改。</w:t>
      </w:r>
    </w:p>
    <w:p w14:paraId="55B322DF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政企对接与接待管理：统筹住建、环保、安监等政府监管部门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上级单位、</w:t>
      </w:r>
      <w:r>
        <w:rPr>
          <w:rFonts w:ascii="微软雅黑" w:hAnsi="微软雅黑" w:eastAsia="微软雅黑" w:cs="微软雅黑"/>
          <w:color w:val="666666"/>
          <w:sz w:val="20"/>
        </w:rPr>
        <w:t>甲方客户接待工作，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协调组织进行现场安全隐患排查与整改，制定政府部门下发的各类政策通知落地方案并跟踪执行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235BA683">
      <w:pPr>
        <w:tabs>
          <w:tab w:val="right" w:pos="1020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color w:val="374957"/>
          <w:sz w:val="22"/>
        </w:rPr>
        <w:t>2016.10-201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>7.11</w:t>
      </w:r>
      <w:r>
        <w:rPr>
          <w:rFonts w:ascii="微软雅黑" w:hAnsi="微软雅黑" w:eastAsia="微软雅黑" w:cs="微软雅黑"/>
          <w:b/>
          <w:color w:val="374957"/>
          <w:sz w:val="22"/>
        </w:rPr>
        <w:tab/>
      </w:r>
      <w:r>
        <w:rPr>
          <w:rFonts w:ascii="微软雅黑" w:hAnsi="微软雅黑" w:eastAsia="微软雅黑" w:cs="微软雅黑"/>
          <w:b/>
          <w:color w:val="374957"/>
          <w:sz w:val="22"/>
        </w:rPr>
        <w:t>中海油信息科技有限公司</w:t>
      </w:r>
    </w:p>
    <w:p w14:paraId="58FF4212">
      <w:pPr>
        <w:spacing w:before="0" w:after="0" w:line="348" w:lineRule="exact"/>
        <w:jc w:val="left"/>
        <w:textAlignment w:val="center"/>
      </w:pPr>
      <w:r>
        <w:rPr>
          <w:rFonts w:hint="eastAsia" w:ascii="微软雅黑" w:hAnsi="微软雅黑" w:eastAsia="微软雅黑" w:cs="微软雅黑"/>
          <w:color w:val="374957"/>
          <w:sz w:val="22"/>
          <w:lang w:val="en-US" w:eastAsia="zh-CN"/>
        </w:rPr>
        <w:t>市场开发部-</w:t>
      </w:r>
      <w:r>
        <w:rPr>
          <w:rFonts w:ascii="微软雅黑" w:hAnsi="微软雅黑" w:eastAsia="微软雅黑" w:cs="微软雅黑"/>
          <w:color w:val="374957"/>
          <w:sz w:val="22"/>
        </w:rPr>
        <w:t>客户经理</w:t>
      </w:r>
    </w:p>
    <w:p w14:paraId="0CA1DD42">
      <w:pPr>
        <w:spacing w:before="0" w:after="0" w:line="71" w:lineRule="exact"/>
        <w:ind w:left="0"/>
        <w:jc w:val="left"/>
      </w:pPr>
    </w:p>
    <w:p w14:paraId="497E9F36">
      <w:pPr>
        <w:spacing w:before="0" w:after="0" w:line="377" w:lineRule="exact"/>
        <w:textAlignment w:val="center"/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基础设施建设及</w:t>
      </w:r>
      <w:r>
        <w:rPr>
          <w:rFonts w:ascii="微软雅黑" w:hAnsi="微软雅黑" w:eastAsia="微软雅黑" w:cs="微软雅黑"/>
          <w:color w:val="666666"/>
          <w:sz w:val="20"/>
        </w:rPr>
        <w:t>信息化服务</w:t>
      </w:r>
    </w:p>
    <w:p w14:paraId="713F3CA9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核心工作：负责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政企</w:t>
      </w:r>
      <w:r>
        <w:rPr>
          <w:rFonts w:ascii="微软雅黑" w:hAnsi="微软雅黑" w:eastAsia="微软雅黑" w:cs="微软雅黑"/>
          <w:color w:val="666666"/>
          <w:sz w:val="20"/>
        </w:rPr>
        <w:t>客户工业自动化、建筑智能化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能源通信等</w:t>
      </w:r>
      <w:r>
        <w:rPr>
          <w:rFonts w:ascii="微软雅黑" w:hAnsi="微软雅黑" w:eastAsia="微软雅黑" w:cs="微软雅黑"/>
          <w:color w:val="666666"/>
          <w:sz w:val="20"/>
        </w:rPr>
        <w:t>项目的全周期管理，深度对接甲方需求，完成客户开发、方案制定、投标竞标、项目交付与回款全流程工作，沉淀核心客户资源。​</w:t>
      </w:r>
    </w:p>
    <w:p w14:paraId="3A04A204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市场调研：对珠三角及华北市场进行长期政策和行业市场分析，获取项目信息，定期制定市场开发的具体方案。维护、更新客户资料库。</w:t>
      </w:r>
    </w:p>
    <w:p w14:paraId="6EECB282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客户对接与方案落地：深度对接政企客户，完成项目的需求调研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市场调研及营收分析，为技术方案提供数据和需求支撑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  <w:r>
        <w:rPr>
          <w:rFonts w:ascii="微软雅黑" w:hAnsi="微软雅黑" w:eastAsia="微软雅黑" w:cs="微软雅黑"/>
          <w:color w:val="666666"/>
          <w:sz w:val="20"/>
        </w:rPr>
        <w:t>​</w:t>
      </w:r>
    </w:p>
    <w:p w14:paraId="6D0D1695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商务竞标与风险管控：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参与主导近100+</w:t>
      </w:r>
      <w:r>
        <w:rPr>
          <w:rFonts w:ascii="微软雅黑" w:hAnsi="微软雅黑" w:eastAsia="微软雅黑" w:cs="微软雅黑"/>
          <w:color w:val="666666"/>
          <w:sz w:val="20"/>
        </w:rPr>
        <w:t>项目的投标工作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协同各部门编制投标文件，参与开标和答疑。</w:t>
      </w:r>
    </w:p>
    <w:p w14:paraId="017EE4F8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负责合同条款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制定</w:t>
      </w:r>
      <w:r>
        <w:rPr>
          <w:rFonts w:ascii="微软雅黑" w:hAnsi="微软雅黑" w:eastAsia="微软雅黑" w:cs="微软雅黑"/>
          <w:color w:val="666666"/>
          <w:sz w:val="20"/>
        </w:rPr>
        <w:t>与修订，从商业与法律维度规避合作风险，实现项目回款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目标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04A91689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项目维护：持续保持项目的动态联络，了解项目过程中的业主需求，优化项目执行方案，保障项目高质量交付。</w:t>
      </w:r>
    </w:p>
    <w:p w14:paraId="51312610">
      <w:pPr>
        <w:numPr>
          <w:ilvl w:val="0"/>
          <w:numId w:val="0"/>
        </w:numPr>
        <w:spacing w:before="0" w:after="0" w:line="377" w:lineRule="exact"/>
        <w:ind w:left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1DB4EDA4">
      <w:pPr>
        <w:spacing w:before="0" w:after="0" w:line="290" w:lineRule="exact"/>
        <w:jc w:val="left"/>
      </w:pPr>
    </w:p>
    <w:p w14:paraId="03CA283C">
      <w:pPr>
        <w:spacing w:before="0" w:after="0" w:line="464" w:lineRule="exact"/>
        <w:ind w:left="76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74957"/>
          <w:sz w:val="26"/>
        </w:rPr>
        <w:t>项目经历</w:t>
      </w:r>
      <w:r>
        <w:rPr>
          <w:rFonts w:ascii="微软雅黑" w:hAnsi="微软雅黑" w:eastAsia="微软雅黑" w:cs="微软雅黑"/>
          <w:b/>
          <w:color w:val="374957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9525" b="9525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2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sv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6452870" cy="18415"/>
            <wp:effectExtent l="0" t="0" r="8890" b="4445"/>
            <wp:wrapNone/>
            <wp:docPr id="1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285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D0277">
      <w:pPr>
        <w:spacing w:before="0" w:after="0" w:line="116" w:lineRule="exact"/>
        <w:rPr>
          <w:sz w:val="21"/>
        </w:rPr>
      </w:pPr>
    </w:p>
    <w:p w14:paraId="3B3D3A1D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3C99B872">
      <w:pPr>
        <w:tabs>
          <w:tab w:val="right" w:pos="10200"/>
        </w:tabs>
        <w:spacing w:before="0" w:after="0" w:line="377" w:lineRule="exact"/>
        <w:jc w:val="left"/>
        <w:textAlignment w:val="center"/>
      </w:pPr>
      <w:bookmarkStart w:id="0" w:name="_GoBack"/>
      <w:bookmarkEnd w:id="0"/>
      <w:r>
        <w:rPr>
          <w:rFonts w:ascii="微软雅黑" w:hAnsi="微软雅黑" w:eastAsia="微软雅黑" w:cs="微软雅黑"/>
          <w:b/>
          <w:color w:val="374957"/>
          <w:sz w:val="22"/>
        </w:rPr>
        <w:t>2024.03</w:t>
      </w:r>
      <w:r>
        <w:rPr>
          <w:rFonts w:ascii="微软雅黑" w:hAnsi="微软雅黑" w:eastAsia="微软雅黑" w:cs="微软雅黑"/>
          <w:b/>
          <w:color w:val="374957"/>
          <w:sz w:val="22"/>
        </w:rPr>
        <w:tab/>
      </w:r>
      <w:r>
        <w:rPr>
          <w:rFonts w:ascii="微软雅黑" w:hAnsi="微软雅黑" w:eastAsia="微软雅黑" w:cs="微软雅黑"/>
          <w:b/>
          <w:color w:val="374957"/>
          <w:sz w:val="22"/>
        </w:rPr>
        <w:t>中海壳牌惠州三期乙烯项目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eastAsia="zh-CN"/>
        </w:rPr>
        <w:t>（</w:t>
      </w:r>
      <w:r>
        <w:rPr>
          <w:rFonts w:ascii="微软雅黑" w:hAnsi="微软雅黑" w:eastAsia="微软雅黑" w:cs="微软雅黑"/>
          <w:b/>
          <w:color w:val="374957"/>
          <w:sz w:val="22"/>
        </w:rPr>
        <w:t>2亿元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eastAsia="zh-CN"/>
        </w:rPr>
        <w:t>）</w:t>
      </w:r>
    </w:p>
    <w:p w14:paraId="102EF4E1">
      <w:pPr>
        <w:spacing w:before="0" w:after="0" w:line="348" w:lineRule="exact"/>
        <w:jc w:val="left"/>
        <w:textAlignment w:val="center"/>
        <w:rPr>
          <w:rFonts w:hint="default" w:ascii="微软雅黑" w:hAnsi="微软雅黑" w:eastAsia="微软雅黑" w:cs="微软雅黑"/>
          <w:color w:val="374957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374957"/>
          <w:sz w:val="22"/>
          <w:lang w:val="en-US" w:eastAsia="zh-CN"/>
        </w:rPr>
        <w:t>商务负责人</w:t>
      </w:r>
    </w:p>
    <w:p w14:paraId="4A3A3B01">
      <w:pPr>
        <w:spacing w:before="0" w:after="0" w:line="71" w:lineRule="exact"/>
        <w:ind w:left="0"/>
        <w:jc w:val="left"/>
      </w:pPr>
    </w:p>
    <w:p w14:paraId="5D9DAC8E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ascii="微软雅黑" w:hAnsi="微软雅黑" w:eastAsia="微软雅黑" w:cs="微软雅黑"/>
          <w:color w:val="666666"/>
          <w:sz w:val="20"/>
          <w:lang w:val="en-US" w:eastAsia="zh-CN"/>
        </w:rPr>
        <w:t>项目背景：大湾区标杆石化 EPC 项目，面对行业头部企业激烈竞争，需统筹项目投标配套行政保障、甲方对接接待、竞标会务全流程工作，保障公司顺利入围竞标环节。</w:t>
      </w:r>
    </w:p>
    <w:p w14:paraId="730EB04B">
      <w:pPr>
        <w:spacing w:before="0" w:after="0" w:line="377" w:lineRule="exact"/>
        <w:ind w:left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项目任职工作职责：</w:t>
      </w:r>
    </w:p>
    <w:p w14:paraId="045E0EC8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统筹项目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调研、竞标可行性分析，参与</w:t>
      </w:r>
      <w:r>
        <w:rPr>
          <w:rFonts w:ascii="微软雅黑" w:hAnsi="微软雅黑" w:eastAsia="微软雅黑" w:cs="微软雅黑"/>
          <w:color w:val="666666"/>
          <w:sz w:val="20"/>
        </w:rPr>
        <w:t>竞标全流程工作，完成竞标分析报告、商务标书的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制作</w:t>
      </w:r>
      <w:r>
        <w:rPr>
          <w:rFonts w:ascii="微软雅黑" w:hAnsi="微软雅黑" w:eastAsia="微软雅黑" w:cs="微软雅黑"/>
          <w:color w:val="666666"/>
          <w:sz w:val="20"/>
        </w:rPr>
        <w:t>，确保商务文件100%响应招标文件要求。</w:t>
      </w:r>
    </w:p>
    <w:p w14:paraId="641BBEE8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作为核心对接人，搭建与甲方项目团队的直接沟通渠道，统筹项目对接、商务接待、会务保障全流程工作。</w:t>
      </w:r>
    </w:p>
    <w:p w14:paraId="7E44BD1A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搭建甲方及公司技术、物资等部门沟通桥梁，及时获取项目需求，整理需求分析报告，连同各部门完善方案。</w:t>
      </w:r>
    </w:p>
    <w:p w14:paraId="737A0C37">
      <w:pPr>
        <w:numPr>
          <w:ilvl w:val="0"/>
          <w:numId w:val="0"/>
        </w:numPr>
        <w:spacing w:before="0" w:after="0" w:line="377" w:lineRule="exact"/>
        <w:ind w:left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项目成果：成功推动公司从众多竞争者中脱颖而出，进入项目最终竞标环节，为公司大湾区业务拓展奠定核心基础。</w:t>
      </w:r>
    </w:p>
    <w:p w14:paraId="106A4609">
      <w:pPr>
        <w:tabs>
          <w:tab w:val="right" w:pos="102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</w:pPr>
      <w:r>
        <w:rPr>
          <w:rFonts w:ascii="微软雅黑" w:hAnsi="微软雅黑" w:eastAsia="微软雅黑" w:cs="微软雅黑"/>
          <w:b/>
          <w:color w:val="374957"/>
          <w:sz w:val="22"/>
        </w:rPr>
        <w:t>20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>16-2017年</w:t>
      </w:r>
      <w:r>
        <w:rPr>
          <w:rFonts w:ascii="微软雅黑" w:hAnsi="微软雅黑" w:eastAsia="微软雅黑" w:cs="微软雅黑"/>
          <w:b/>
          <w:color w:val="374957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 xml:space="preserve">       </w:t>
      </w:r>
      <w:r>
        <w:rPr>
          <w:rFonts w:ascii="微软雅黑" w:hAnsi="微软雅黑" w:eastAsia="微软雅黑" w:cs="微软雅黑"/>
          <w:color w:val="666666"/>
          <w:sz w:val="20"/>
        </w:rPr>
        <w:t>山西大同煤制气2017年信息化运维服务项目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2000</w:t>
      </w:r>
      <w:r>
        <w:rPr>
          <w:rFonts w:ascii="微软雅黑" w:hAnsi="微软雅黑" w:eastAsia="微软雅黑" w:cs="微软雅黑"/>
          <w:color w:val="666666"/>
          <w:sz w:val="20"/>
        </w:rPr>
        <w:t>万元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>）</w:t>
      </w:r>
    </w:p>
    <w:p w14:paraId="7B78C2C2">
      <w:pPr>
        <w:tabs>
          <w:tab w:val="right" w:pos="10200"/>
        </w:tabs>
        <w:spacing w:before="0" w:after="0" w:line="377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4957"/>
          <w:sz w:val="22"/>
          <w:lang w:val="en-US" w:eastAsia="zh-CN"/>
        </w:rPr>
        <w:t>客户经理</w:t>
      </w:r>
    </w:p>
    <w:p w14:paraId="032F5458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ascii="微软雅黑" w:hAnsi="微软雅黑" w:eastAsia="微软雅黑" w:cs="微软雅黑"/>
          <w:color w:val="666666"/>
          <w:sz w:val="20"/>
          <w:lang w:val="en-US" w:eastAsia="zh-CN"/>
        </w:rPr>
        <w:t>项目背景：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中海大同煤制气项目组厂区信息化建设及运维服务项目，由其他项目维护获取</w:t>
      </w:r>
      <w:r>
        <w:rPr>
          <w:rFonts w:ascii="微软雅黑" w:hAnsi="微软雅黑" w:eastAsia="微软雅黑" w:cs="微软雅黑"/>
          <w:color w:val="666666"/>
          <w:sz w:val="20"/>
          <w:lang w:val="en-US" w:eastAsia="zh-CN"/>
        </w:rPr>
        <w:t>。</w:t>
      </w:r>
    </w:p>
    <w:p w14:paraId="556AC585">
      <w:pPr>
        <w:spacing w:before="0" w:after="0" w:line="377" w:lineRule="exact"/>
        <w:ind w:left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项目任职工作职责：</w:t>
      </w:r>
    </w:p>
    <w:p w14:paraId="308D87E3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进行投标前项目可行性审查，制定项目审查方案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2405A344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制定，整理，封装投标文件。</w:t>
      </w:r>
    </w:p>
    <w:p w14:paraId="562A80F1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参与开标答疑等工作。</w:t>
      </w:r>
    </w:p>
    <w:p w14:paraId="78F9D18E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合同起草与组织签订。</w:t>
      </w:r>
    </w:p>
    <w:p w14:paraId="1A547C3F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项目中后期商务活动，进行项目执行过程的反馈收集，联合各部门完善施工方案。</w:t>
      </w:r>
    </w:p>
    <w:p w14:paraId="109471F4">
      <w:pPr>
        <w:numPr>
          <w:ilvl w:val="0"/>
          <w:numId w:val="2"/>
        </w:numPr>
        <w:spacing w:before="0" w:after="0" w:line="377" w:lineRule="exact"/>
        <w:ind w:left="57" w:leftChars="0" w:hanging="57" w:firstLine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项目回款相关工作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</w:p>
    <w:p w14:paraId="05897FE9">
      <w:pPr>
        <w:numPr>
          <w:ilvl w:val="0"/>
          <w:numId w:val="0"/>
        </w:numPr>
        <w:spacing w:before="0" w:after="0" w:line="377" w:lineRule="exact"/>
        <w:ind w:leftChars="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项目成果：为公司提前完成2017年业绩指标奠定了基础。</w:t>
      </w:r>
    </w:p>
    <w:p w14:paraId="6FFBDAC7"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color w:val="374957"/>
          <w:sz w:val="22"/>
          <w:lang w:eastAsia="zh-CN"/>
        </w:rPr>
      </w:pPr>
      <w:r>
        <w:rPr>
          <w:rFonts w:ascii="微软雅黑" w:hAnsi="微软雅黑" w:eastAsia="微软雅黑" w:cs="微软雅黑"/>
          <w:b/>
          <w:color w:val="374957"/>
          <w:sz w:val="22"/>
        </w:rPr>
        <w:t>其他标杆项目经历</w:t>
      </w:r>
      <w:r>
        <w:rPr>
          <w:rFonts w:hint="eastAsia" w:ascii="微软雅黑" w:hAnsi="微软雅黑" w:eastAsia="微软雅黑" w:cs="微软雅黑"/>
          <w:b/>
          <w:color w:val="374957"/>
          <w:sz w:val="22"/>
          <w:lang w:eastAsia="zh-CN"/>
        </w:rPr>
        <w:t>：</w:t>
      </w:r>
    </w:p>
    <w:p w14:paraId="26DB6624">
      <w:pPr>
        <w:spacing w:before="0" w:after="0" w:line="377" w:lineRule="exact"/>
        <w:ind w:left="0" w:firstLine="400" w:firstLineChars="20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2022.03-2023.02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安道麦安邦年产1000吨吡蚜酮项目(5300万元)-安全经理</w:t>
      </w:r>
    </w:p>
    <w:p w14:paraId="38EA984C">
      <w:pPr>
        <w:spacing w:before="0" w:after="0" w:line="377" w:lineRule="exact"/>
        <w:ind w:left="0" w:firstLine="400" w:firstLineChars="20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2018.07-2022.03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ab/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中国天辰天津铭辰雅苑房地产项目（4.3亿元）-安全工程师/安全经理</w:t>
      </w:r>
    </w:p>
    <w:p w14:paraId="676814A4">
      <w:pPr>
        <w:spacing w:before="0" w:after="0" w:line="377" w:lineRule="exact"/>
        <w:ind w:left="0" w:firstLine="400" w:firstLineChars="200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2017年 河北中捷石化新老厂区视频监控改造项目，市场部客户经理（中标额400万元）</w:t>
      </w:r>
    </w:p>
    <w:p w14:paraId="40680F18">
      <w:pPr>
        <w:spacing w:before="0" w:after="0" w:line="377" w:lineRule="exact"/>
        <w:ind w:left="0" w:firstLine="400" w:firstLineChars="200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2017年 中山市嘉明电力有限公司120MW综合发电项目安防信息化设备集采项目，市场部客户经理（中标额890万元）</w:t>
      </w:r>
    </w:p>
    <w:sectPr>
      <w:headerReference r:id="rId3" w:type="default"/>
      <w:pgSz w:w="11906" w:h="16838"/>
      <w:pgMar w:top="850" w:right="850" w:bottom="737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580E0">
    <w:pPr>
      <w:pStyle w:val="4"/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napToGrid w:val="0"/>
      <w:spacing w:line="240" w:lineRule="auto"/>
      <w:jc w:val="both"/>
      <w:outlineLvl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40319D"/>
    <w:multiLevelType w:val="singleLevel"/>
    <w:tmpl w:val="B640319D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1">
    <w:nsid w:val="54E7D2F5"/>
    <w:multiLevelType w:val="singleLevel"/>
    <w:tmpl w:val="54E7D2F5"/>
    <w:lvl w:ilvl="0" w:tentative="0">
      <w:start w:val="1"/>
      <w:numFmt w:val="bullet"/>
      <w:lvlText w:val=""/>
      <w:lvlJc w:val="left"/>
      <w:pPr>
        <w:ind w:left="57" w:leftChars="0" w:hanging="57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  <w:docVar w:name="KSOReumeCategoryDocument" w:val="1"/>
  </w:docVars>
  <w:rsids>
    <w:rsidRoot w:val="00000000"/>
    <w:rsid w:val="00C35C3A"/>
    <w:rsid w:val="01172A03"/>
    <w:rsid w:val="01375B30"/>
    <w:rsid w:val="01BC5A35"/>
    <w:rsid w:val="02D06EF6"/>
    <w:rsid w:val="037B38B7"/>
    <w:rsid w:val="0437561D"/>
    <w:rsid w:val="066B7A06"/>
    <w:rsid w:val="06A54F19"/>
    <w:rsid w:val="08B814DA"/>
    <w:rsid w:val="09AD5FC9"/>
    <w:rsid w:val="0A5371A2"/>
    <w:rsid w:val="0B060C3F"/>
    <w:rsid w:val="0B9424C2"/>
    <w:rsid w:val="0B944B53"/>
    <w:rsid w:val="0BEA088F"/>
    <w:rsid w:val="0CDE0057"/>
    <w:rsid w:val="0D86476E"/>
    <w:rsid w:val="0E2F3A82"/>
    <w:rsid w:val="0ED143A4"/>
    <w:rsid w:val="0F7362C9"/>
    <w:rsid w:val="0FD55BC2"/>
    <w:rsid w:val="11BC0FBF"/>
    <w:rsid w:val="121005F6"/>
    <w:rsid w:val="12E80977"/>
    <w:rsid w:val="13234AE7"/>
    <w:rsid w:val="1401080E"/>
    <w:rsid w:val="147A2136"/>
    <w:rsid w:val="148C72E1"/>
    <w:rsid w:val="14D7452C"/>
    <w:rsid w:val="15513428"/>
    <w:rsid w:val="158158D6"/>
    <w:rsid w:val="15852F26"/>
    <w:rsid w:val="16594AA8"/>
    <w:rsid w:val="171837D5"/>
    <w:rsid w:val="17985ABB"/>
    <w:rsid w:val="187831B6"/>
    <w:rsid w:val="188E1AD6"/>
    <w:rsid w:val="18E51FCF"/>
    <w:rsid w:val="19CE0BFB"/>
    <w:rsid w:val="19CF67DF"/>
    <w:rsid w:val="1A3A17E5"/>
    <w:rsid w:val="1B210BF7"/>
    <w:rsid w:val="1B5F4A3D"/>
    <w:rsid w:val="1C1D0A2D"/>
    <w:rsid w:val="1C456AE2"/>
    <w:rsid w:val="1C6D4FD8"/>
    <w:rsid w:val="1E2017E9"/>
    <w:rsid w:val="1E943B78"/>
    <w:rsid w:val="1EE47F3C"/>
    <w:rsid w:val="1F14160F"/>
    <w:rsid w:val="1F63358C"/>
    <w:rsid w:val="1F6B5F3C"/>
    <w:rsid w:val="215D5774"/>
    <w:rsid w:val="21D72954"/>
    <w:rsid w:val="265E5AFF"/>
    <w:rsid w:val="27361586"/>
    <w:rsid w:val="27E2757A"/>
    <w:rsid w:val="2997125E"/>
    <w:rsid w:val="29DB03AA"/>
    <w:rsid w:val="2ABE39E7"/>
    <w:rsid w:val="2B786611"/>
    <w:rsid w:val="2BB1567F"/>
    <w:rsid w:val="2BCC7832"/>
    <w:rsid w:val="2CBE008D"/>
    <w:rsid w:val="2D9F5148"/>
    <w:rsid w:val="2DBB73FD"/>
    <w:rsid w:val="2DCA53AC"/>
    <w:rsid w:val="2DF437F1"/>
    <w:rsid w:val="2DF829F8"/>
    <w:rsid w:val="2E08390E"/>
    <w:rsid w:val="2E1F28B7"/>
    <w:rsid w:val="2E5A2FF4"/>
    <w:rsid w:val="2F6D3FB3"/>
    <w:rsid w:val="30BB776F"/>
    <w:rsid w:val="3121119F"/>
    <w:rsid w:val="340032DD"/>
    <w:rsid w:val="343D7A29"/>
    <w:rsid w:val="34B561E9"/>
    <w:rsid w:val="36333EC6"/>
    <w:rsid w:val="3921753B"/>
    <w:rsid w:val="393A3157"/>
    <w:rsid w:val="3AC83FDB"/>
    <w:rsid w:val="3B6F440E"/>
    <w:rsid w:val="3BB2342A"/>
    <w:rsid w:val="3BD15402"/>
    <w:rsid w:val="3D317DF4"/>
    <w:rsid w:val="3E536304"/>
    <w:rsid w:val="3FE56E91"/>
    <w:rsid w:val="405968EB"/>
    <w:rsid w:val="40B437EF"/>
    <w:rsid w:val="40FE050B"/>
    <w:rsid w:val="41290C80"/>
    <w:rsid w:val="42497F67"/>
    <w:rsid w:val="437D39A6"/>
    <w:rsid w:val="43FD701B"/>
    <w:rsid w:val="447F1240"/>
    <w:rsid w:val="45113283"/>
    <w:rsid w:val="452D1AB3"/>
    <w:rsid w:val="459133D2"/>
    <w:rsid w:val="463A6B14"/>
    <w:rsid w:val="46DD79D6"/>
    <w:rsid w:val="480A0DBF"/>
    <w:rsid w:val="4A0B27EB"/>
    <w:rsid w:val="4A232255"/>
    <w:rsid w:val="4C601CDE"/>
    <w:rsid w:val="4C773E82"/>
    <w:rsid w:val="4C8F6EBF"/>
    <w:rsid w:val="4CBF6DE0"/>
    <w:rsid w:val="4D5123C6"/>
    <w:rsid w:val="4DDD7C63"/>
    <w:rsid w:val="4E3B7697"/>
    <w:rsid w:val="4E6B787A"/>
    <w:rsid w:val="4F42252D"/>
    <w:rsid w:val="50BE7BE4"/>
    <w:rsid w:val="5333550F"/>
    <w:rsid w:val="53E82400"/>
    <w:rsid w:val="54171005"/>
    <w:rsid w:val="55313FA8"/>
    <w:rsid w:val="55904B7D"/>
    <w:rsid w:val="55E552A9"/>
    <w:rsid w:val="56073D74"/>
    <w:rsid w:val="562208FA"/>
    <w:rsid w:val="56334818"/>
    <w:rsid w:val="5636009E"/>
    <w:rsid w:val="567A06B3"/>
    <w:rsid w:val="56F52AE1"/>
    <w:rsid w:val="57641FFE"/>
    <w:rsid w:val="58530E1C"/>
    <w:rsid w:val="58C33BAC"/>
    <w:rsid w:val="597317D1"/>
    <w:rsid w:val="5A1719FC"/>
    <w:rsid w:val="5B3A7AB8"/>
    <w:rsid w:val="5B433C96"/>
    <w:rsid w:val="5D485F3B"/>
    <w:rsid w:val="5D5604BA"/>
    <w:rsid w:val="5DCF4038"/>
    <w:rsid w:val="5DF550CF"/>
    <w:rsid w:val="5E6261E1"/>
    <w:rsid w:val="5E8720E6"/>
    <w:rsid w:val="5EC56573"/>
    <w:rsid w:val="5F160E23"/>
    <w:rsid w:val="5FB75393"/>
    <w:rsid w:val="601E2A9F"/>
    <w:rsid w:val="63812C84"/>
    <w:rsid w:val="646D2F97"/>
    <w:rsid w:val="65D11CE1"/>
    <w:rsid w:val="666C2F5C"/>
    <w:rsid w:val="66AF24B3"/>
    <w:rsid w:val="66D863DF"/>
    <w:rsid w:val="671C4B69"/>
    <w:rsid w:val="677700BB"/>
    <w:rsid w:val="678E6713"/>
    <w:rsid w:val="686D1172"/>
    <w:rsid w:val="6942733B"/>
    <w:rsid w:val="6A0429FB"/>
    <w:rsid w:val="6A667AF9"/>
    <w:rsid w:val="6AAD7EEA"/>
    <w:rsid w:val="6AD13045"/>
    <w:rsid w:val="6B997BAC"/>
    <w:rsid w:val="6C504F96"/>
    <w:rsid w:val="6C5E2B90"/>
    <w:rsid w:val="6C9962FF"/>
    <w:rsid w:val="6CFF56D4"/>
    <w:rsid w:val="6D8260B9"/>
    <w:rsid w:val="6E68362E"/>
    <w:rsid w:val="6E783D93"/>
    <w:rsid w:val="6EF647E8"/>
    <w:rsid w:val="72997F09"/>
    <w:rsid w:val="7359706F"/>
    <w:rsid w:val="736507F6"/>
    <w:rsid w:val="743E065C"/>
    <w:rsid w:val="74BE34B4"/>
    <w:rsid w:val="74CB2CA9"/>
    <w:rsid w:val="755F2585"/>
    <w:rsid w:val="75A3300B"/>
    <w:rsid w:val="762A61BC"/>
    <w:rsid w:val="76DF4830"/>
    <w:rsid w:val="770E62C0"/>
    <w:rsid w:val="77596DF4"/>
    <w:rsid w:val="77923D52"/>
    <w:rsid w:val="77935D3A"/>
    <w:rsid w:val="77C54AE4"/>
    <w:rsid w:val="786101DD"/>
    <w:rsid w:val="7A3F1373"/>
    <w:rsid w:val="7A4F483C"/>
    <w:rsid w:val="7ACE3009"/>
    <w:rsid w:val="7B445194"/>
    <w:rsid w:val="7C402806"/>
    <w:rsid w:val="7C46568D"/>
    <w:rsid w:val="7CBC1966"/>
    <w:rsid w:val="7EE41F32"/>
    <w:rsid w:val="7F2512E7"/>
    <w:rsid w:val="7F4D156A"/>
    <w:rsid w:val="7F987DCA"/>
    <w:rsid w:val="7FDE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svg"/><Relationship Id="rId18" Type="http://schemas.openxmlformats.org/officeDocument/2006/relationships/image" Target="media/image14.png"/><Relationship Id="rId17" Type="http://schemas.openxmlformats.org/officeDocument/2006/relationships/image" Target="media/image13.svg"/><Relationship Id="rId16" Type="http://schemas.openxmlformats.org/officeDocument/2006/relationships/image" Target="media/image12.png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1f1c346f-87eb-4f0f-93da-e95b3fafdd9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2594</Words>
  <Characters>2820</Characters>
  <Lines>0</Lines>
  <Paragraphs>0</Paragraphs>
  <TotalTime>4</TotalTime>
  <ScaleCrop>false</ScaleCrop>
  <LinksUpToDate>false</LinksUpToDate>
  <CharactersWithSpaces>2924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2020-10-20T01:53:00Z</dcterms:created>
  <dc:creator>FKYPLX2</dc:creator>
  <cp:lastModifiedBy>Galaxyost</cp:lastModifiedBy>
  <dcterms:modified xsi:type="dcterms:W3CDTF">2026-08-25T07:56:49Z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611F93765E2D42338C5789FF4E28074E_13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eyJoZGlkIjoiNmMzMmQ3ZjIwNmNkMWZlZTU2NjEyMDY5OWE1NzA3MGQiLCJ1c2VySWQiOiIyMzA2MDk0NzEifQ==</vt:lpwstr>
  </property>
</Properties>
</file>