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FF90" w14:textId="77777777" w:rsidR="0096364B" w:rsidRDefault="0096364B" w:rsidP="006E3950">
      <w:pPr>
        <w:pStyle w:val="NoSpacing"/>
      </w:pPr>
    </w:p>
    <w:p w14:paraId="5999F02F" w14:textId="10D55217" w:rsidR="006E3950" w:rsidRDefault="006E3950" w:rsidP="006E3950">
      <w:pPr>
        <w:pStyle w:val="NoSpacing"/>
      </w:pPr>
      <w:r>
        <w:t>Author: Dan Kary (Southwick Associates)</w:t>
      </w:r>
    </w:p>
    <w:p w14:paraId="1460434D" w14:textId="585EB00A" w:rsidR="006E3950" w:rsidRDefault="006E3950" w:rsidP="006E3950">
      <w:r>
        <w:t>Date: 2019-09-10</w:t>
      </w:r>
      <w:bookmarkStart w:id="0" w:name="_GoBack"/>
      <w:bookmarkEnd w:id="0"/>
    </w:p>
    <w:p w14:paraId="0EF5580F" w14:textId="1C288599" w:rsidR="00F135AE" w:rsidRDefault="00F135AE" w:rsidP="006D2A71">
      <w:pPr>
        <w:pStyle w:val="Heading2"/>
        <w:spacing w:before="240"/>
      </w:pPr>
      <w:r>
        <w:t>Overview</w:t>
      </w:r>
    </w:p>
    <w:p w14:paraId="1A7E85BE" w14:textId="2C5B1D58" w:rsidR="00F135AE" w:rsidRDefault="00442220" w:rsidP="00F135AE">
      <w:r>
        <w:t xml:space="preserve">FL-FWC provided summary data to Southwick Associates (SA) in July 2019 for use in AFWA’s national/regional dashboard initiative. SA applied </w:t>
      </w:r>
      <w:proofErr w:type="gramStart"/>
      <w:r>
        <w:t>a number of</w:t>
      </w:r>
      <w:proofErr w:type="gramEnd"/>
      <w:r>
        <w:t xml:space="preserve"> adjustments for presentation of the dashboard at the AFWA conference in September of 2019. </w:t>
      </w:r>
    </w:p>
    <w:p w14:paraId="42633A38" w14:textId="77777777" w:rsidR="007F7113" w:rsidRDefault="007F7113" w:rsidP="007F7113">
      <w:pPr>
        <w:pStyle w:val="Heading2"/>
        <w:spacing w:before="240"/>
      </w:pPr>
      <w:r>
        <w:t>License Data Corrections</w:t>
      </w:r>
    </w:p>
    <w:p w14:paraId="73BD3FB2" w14:textId="7074F7C8" w:rsidR="007F7113" w:rsidRPr="007D3E2E" w:rsidRDefault="007F7113" w:rsidP="007F7113">
      <w:r>
        <w:t xml:space="preserve">For </w:t>
      </w:r>
      <w:r>
        <w:t>any future iterations,</w:t>
      </w:r>
      <w:r>
        <w:t xml:space="preserve"> FL-FWC will likely want to address two points regarding license data that was used as a basis for the summary results:</w:t>
      </w:r>
    </w:p>
    <w:p w14:paraId="3E418933" w14:textId="77777777" w:rsidR="007F7113" w:rsidRDefault="007F7113" w:rsidP="007F7113">
      <w:pPr>
        <w:pStyle w:val="ListParagraph"/>
        <w:numPr>
          <w:ilvl w:val="0"/>
          <w:numId w:val="3"/>
        </w:numPr>
      </w:pPr>
      <w:r>
        <w:t>Artifact in hunting data, beginning in 2015:</w:t>
      </w:r>
    </w:p>
    <w:p w14:paraId="733934FA" w14:textId="77777777" w:rsidR="007F7113" w:rsidRDefault="007F7113" w:rsidP="007F7113">
      <w:pPr>
        <w:pStyle w:val="ListParagraph"/>
        <w:numPr>
          <w:ilvl w:val="1"/>
          <w:numId w:val="3"/>
        </w:numPr>
      </w:pPr>
      <w:r>
        <w:t>A large spike appears in hunting data in 2015 (especially for those age 55-64). This is an “artifact” in that it doesn’t represent a real increase in hunting participation. Based on previous work with FL-FWC, SA analysts have found that excluding disabled license types (IDs = 546, 547, 548) should remove this artifact. We recommend applying this adjustment for future iterations.</w:t>
      </w:r>
    </w:p>
    <w:p w14:paraId="74B257A6" w14:textId="77777777" w:rsidR="007F7113" w:rsidRDefault="007F7113" w:rsidP="007F7113">
      <w:pPr>
        <w:pStyle w:val="ListParagraph"/>
        <w:numPr>
          <w:ilvl w:val="1"/>
          <w:numId w:val="3"/>
        </w:numPr>
      </w:pPr>
      <w:r>
        <w:t xml:space="preserve">For the current iteration, SA has smoothed out the data artifact based on linear trends. The effect of this smoothing can be seen by comparing results on pages 2 and 3 of this </w:t>
      </w:r>
      <w:proofErr w:type="gramStart"/>
      <w:r>
        <w:t>document</w:t>
      </w:r>
      <w:proofErr w:type="gramEnd"/>
      <w:r>
        <w:t>.</w:t>
      </w:r>
    </w:p>
    <w:p w14:paraId="78D96CD1" w14:textId="77777777" w:rsidR="007F7113" w:rsidRDefault="007F7113" w:rsidP="007F7113">
      <w:pPr>
        <w:pStyle w:val="ListParagraph"/>
        <w:numPr>
          <w:ilvl w:val="0"/>
          <w:numId w:val="3"/>
        </w:numPr>
      </w:pPr>
      <w:r>
        <w:t xml:space="preserve">Calendar or fiscal </w:t>
      </w:r>
      <w:proofErr w:type="gramStart"/>
      <w:r>
        <w:t>year?:</w:t>
      </w:r>
      <w:proofErr w:type="gramEnd"/>
    </w:p>
    <w:p w14:paraId="48309552" w14:textId="77777777" w:rsidR="007F7113" w:rsidRDefault="007F7113" w:rsidP="007F7113">
      <w:pPr>
        <w:pStyle w:val="ListParagraph"/>
        <w:numPr>
          <w:ilvl w:val="1"/>
          <w:numId w:val="3"/>
        </w:numPr>
      </w:pPr>
      <w:r>
        <w:t>It appears that FL-FWC may have used fiscal year (July 1 through June 30) as the unit of summary. For consistency with other states, a calendar year should be used for summaries in national/regional dashboards.</w:t>
      </w:r>
    </w:p>
    <w:p w14:paraId="0ADD4D53" w14:textId="77777777" w:rsidR="007F7113" w:rsidRDefault="007F7113" w:rsidP="007F7113">
      <w:pPr>
        <w:pStyle w:val="ListParagraph"/>
        <w:numPr>
          <w:ilvl w:val="1"/>
          <w:numId w:val="3"/>
        </w:numPr>
      </w:pPr>
      <w:r>
        <w:t>It is okay to leave as is for this iteration: choosing fiscal or calendar year will likely have a small effect on the results.</w:t>
      </w:r>
    </w:p>
    <w:p w14:paraId="0A1C8797" w14:textId="43B74F4B" w:rsidR="00E7476C" w:rsidRDefault="00E7476C" w:rsidP="007F7113">
      <w:pPr>
        <w:pStyle w:val="Heading2"/>
        <w:spacing w:before="240"/>
      </w:pPr>
      <w:r>
        <w:t>Summary Data Corrections</w:t>
      </w:r>
    </w:p>
    <w:p w14:paraId="6A69D0C0" w14:textId="04147288" w:rsidR="00E7476C" w:rsidRPr="00E7476C" w:rsidRDefault="00E7476C" w:rsidP="008A7EDE">
      <w:pPr>
        <w:spacing w:after="120"/>
      </w:pPr>
      <w:r>
        <w:t xml:space="preserve">Several </w:t>
      </w:r>
      <w:r w:rsidR="007F7113">
        <w:t xml:space="preserve">minor </w:t>
      </w:r>
      <w:r>
        <w:t>corrections were needed to bring FL-supplied metrics in</w:t>
      </w:r>
      <w:r w:rsidR="007D3E2E">
        <w:t>-</w:t>
      </w:r>
      <w:r>
        <w:t>line with SA specifications:</w:t>
      </w:r>
    </w:p>
    <w:p w14:paraId="7183C086" w14:textId="0FAACBF1" w:rsidR="00E7476C" w:rsidRDefault="00E7476C" w:rsidP="00E7476C">
      <w:pPr>
        <w:pStyle w:val="NoSpacing"/>
        <w:numPr>
          <w:ilvl w:val="0"/>
          <w:numId w:val="2"/>
        </w:numPr>
      </w:pPr>
      <w:r>
        <w:t>Churn: 2 adjustments</w:t>
      </w:r>
    </w:p>
    <w:p w14:paraId="35EFE935" w14:textId="16F2FB40" w:rsidR="007D3E2E" w:rsidRDefault="007D3E2E" w:rsidP="00E7476C">
      <w:pPr>
        <w:pStyle w:val="NoSpacing"/>
        <w:numPr>
          <w:ilvl w:val="1"/>
          <w:numId w:val="2"/>
        </w:numPr>
      </w:pPr>
      <w:r>
        <w:t>Shifted one year forward (for example: churn in 2018 represents the proportion of 2017 license holders who did not hold a license in 2018).</w:t>
      </w:r>
    </w:p>
    <w:p w14:paraId="038A7537" w14:textId="2B79FD4D" w:rsidR="00E7476C" w:rsidRDefault="007D3E2E" w:rsidP="00E7476C">
      <w:pPr>
        <w:pStyle w:val="NoSpacing"/>
        <w:numPr>
          <w:ilvl w:val="1"/>
          <w:numId w:val="2"/>
        </w:numPr>
      </w:pPr>
      <w:r>
        <w:t>Specified as churn rate, rather than renewal rate as supplied by FL-FWC (for example: a hunting renewal rate of 60% represents a churn rate of 40%)</w:t>
      </w:r>
    </w:p>
    <w:p w14:paraId="5796EFAF" w14:textId="2AF88EF3" w:rsidR="00E7476C" w:rsidRPr="007D3E2E" w:rsidRDefault="007D3E2E" w:rsidP="00E7476C">
      <w:pPr>
        <w:pStyle w:val="NoSpacing"/>
        <w:numPr>
          <w:ilvl w:val="0"/>
          <w:numId w:val="2"/>
        </w:numPr>
        <w:rPr>
          <w:b/>
          <w:bCs/>
        </w:rPr>
      </w:pPr>
      <w:r>
        <w:t>Segment breakouts (e.g., Male/Female):</w:t>
      </w:r>
    </w:p>
    <w:p w14:paraId="1C90C2E4" w14:textId="51DFEA23" w:rsidR="007D3E2E" w:rsidRPr="00555B32" w:rsidRDefault="007D3E2E" w:rsidP="007D3E2E">
      <w:pPr>
        <w:pStyle w:val="NoSpacing"/>
        <w:numPr>
          <w:ilvl w:val="1"/>
          <w:numId w:val="2"/>
        </w:numPr>
        <w:rPr>
          <w:b/>
          <w:bCs/>
        </w:rPr>
      </w:pPr>
      <w:r>
        <w:t>These were scaled up (where necessary) to ensure that the sum of all categories is equal to the total. This is needed when missing values exist in categories.</w:t>
      </w:r>
    </w:p>
    <w:p w14:paraId="41FF492D" w14:textId="239DE6E4" w:rsidR="00555B32" w:rsidRPr="00555B32" w:rsidRDefault="00555B32" w:rsidP="007F7113">
      <w:pPr>
        <w:pStyle w:val="Heading2"/>
        <w:spacing w:before="240"/>
      </w:pPr>
      <w:r>
        <w:t>Future Iterations</w:t>
      </w:r>
      <w:r w:rsidR="006E3950">
        <w:t xml:space="preserve"> </w:t>
      </w:r>
    </w:p>
    <w:p w14:paraId="0A831B9B" w14:textId="162F8EFE" w:rsidR="00555B32" w:rsidRDefault="006D2A71" w:rsidP="00555B32">
      <w:pPr>
        <w:pStyle w:val="NoSpacing"/>
      </w:pPr>
      <w:r>
        <w:t>SA has recently prepared a template workflow to aid state agencies in preparing summary data for the national/regional dashboards. We recommend this approach if FL-FWC has analysts on staff comfortable with the R programming language:</w:t>
      </w:r>
    </w:p>
    <w:p w14:paraId="398D6C68" w14:textId="5E26C4BF" w:rsidR="006D2A71" w:rsidRDefault="006D2A71" w:rsidP="006D2A71">
      <w:pPr>
        <w:pStyle w:val="NoSpacing"/>
        <w:numPr>
          <w:ilvl w:val="0"/>
          <w:numId w:val="4"/>
        </w:numPr>
      </w:pPr>
      <w:hyperlink r:id="rId6" w:history="1">
        <w:r>
          <w:rPr>
            <w:rStyle w:val="Hyperlink"/>
          </w:rPr>
          <w:t>https://github.com/southwick-associates/dashboard-template</w:t>
        </w:r>
      </w:hyperlink>
    </w:p>
    <w:p w14:paraId="2A4A471C" w14:textId="7E96BF7B" w:rsidR="00555B32" w:rsidRDefault="00555B32">
      <w:r>
        <w:br w:type="page"/>
      </w:r>
    </w:p>
    <w:p w14:paraId="3B88FB11" w14:textId="772C9239" w:rsidR="00986D0F" w:rsidRDefault="00A76311" w:rsidP="00A76311">
      <w:pPr>
        <w:pStyle w:val="Heading2"/>
        <w:spacing w:after="120"/>
      </w:pPr>
      <w:r>
        <w:lastRenderedPageBreak/>
        <w:t xml:space="preserve">Hunting </w:t>
      </w:r>
      <w:r w:rsidR="00C93D38">
        <w:t xml:space="preserve">Full-Year </w:t>
      </w:r>
      <w:r>
        <w:t>Summary Data</w:t>
      </w:r>
      <w:r w:rsidR="00E23C78">
        <w:t xml:space="preserve"> (with summary data corrections</w:t>
      </w:r>
      <w:r w:rsidR="008A7EDE">
        <w:t xml:space="preserve"> </w:t>
      </w:r>
      <w:r w:rsidR="00E23C78">
        <w:t>applied by S</w:t>
      </w:r>
      <w:r>
        <w:t>outhwick</w:t>
      </w:r>
      <w:r w:rsidR="00E23C78">
        <w:t>)</w:t>
      </w:r>
    </w:p>
    <w:p w14:paraId="31CF577B" w14:textId="702C5BD9" w:rsidR="008F681B" w:rsidRPr="008F681B" w:rsidRDefault="008F681B" w:rsidP="008F681B">
      <w:r>
        <w:t>A data artifact shows up in 2015. This is particularly visible in the 55-64 age breakout.</w:t>
      </w:r>
    </w:p>
    <w:p w14:paraId="50B257D9" w14:textId="4431E8C0" w:rsidR="00F4215D" w:rsidRPr="002F4163" w:rsidRDefault="00A76311" w:rsidP="00986D0F">
      <w:pPr>
        <w:rPr>
          <w:b/>
          <w:bCs/>
        </w:rPr>
      </w:pPr>
      <w:r>
        <w:rPr>
          <w:noProof/>
        </w:rPr>
        <w:drawing>
          <wp:inline distT="0" distB="0" distL="0" distR="0" wp14:anchorId="49BAF66D" wp14:editId="0236B04E">
            <wp:extent cx="8312951" cy="6331789"/>
            <wp:effectExtent l="0" t="0" r="0" b="0"/>
            <wp:docPr id="5" name="Picture 5" descr="A picture containing cargo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8D6A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/>
                    <a:stretch/>
                  </pic:blipFill>
                  <pic:spPr bwMode="auto">
                    <a:xfrm>
                      <a:off x="0" y="0"/>
                      <a:ext cx="8329602" cy="634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163">
        <w:br w:type="page"/>
      </w:r>
    </w:p>
    <w:p w14:paraId="4F04EDAC" w14:textId="5FE06A04" w:rsidR="00AF3D02" w:rsidRDefault="00A76311" w:rsidP="00A76311">
      <w:pPr>
        <w:pStyle w:val="Heading2"/>
      </w:pPr>
      <w:r>
        <w:lastRenderedPageBreak/>
        <w:t xml:space="preserve">Hunting </w:t>
      </w:r>
      <w:r w:rsidR="00C93D38">
        <w:t xml:space="preserve">Full-Year </w:t>
      </w:r>
      <w:r>
        <w:t xml:space="preserve">Summary Data (with </w:t>
      </w:r>
      <w:r w:rsidR="002C443C">
        <w:t xml:space="preserve">both </w:t>
      </w:r>
      <w:r w:rsidR="008A7EDE">
        <w:t xml:space="preserve">summary </w:t>
      </w:r>
      <w:r w:rsidR="008A7EDE" w:rsidRPr="008A7EDE">
        <w:rPr>
          <w:u w:val="single"/>
        </w:rPr>
        <w:t>and</w:t>
      </w:r>
      <w:r w:rsidR="008A7EDE">
        <w:t xml:space="preserve"> </w:t>
      </w:r>
      <w:r w:rsidR="002C443C">
        <w:t>license data corrections</w:t>
      </w:r>
      <w:r>
        <w:t xml:space="preserve"> applied by Southwick)</w:t>
      </w:r>
    </w:p>
    <w:p w14:paraId="72ED93E0" w14:textId="6A2AF5FB" w:rsidR="008F681B" w:rsidRDefault="008F681B" w:rsidP="00762468">
      <w:pPr>
        <w:pStyle w:val="NoSpacing"/>
        <w:spacing w:after="120"/>
      </w:pPr>
      <w:r>
        <w:t>Smoothing (</w:t>
      </w:r>
      <w:r w:rsidR="00C93D38">
        <w:t xml:space="preserve">using </w:t>
      </w:r>
      <w:r>
        <w:t>linear trends) w</w:t>
      </w:r>
      <w:r w:rsidR="00875A2C">
        <w:t>as</w:t>
      </w:r>
      <w:r>
        <w:t xml:space="preserve"> applied to remove data artifacts.</w:t>
      </w:r>
      <w:r w:rsidR="00C93D38">
        <w:t xml:space="preserve"> Smoothing was also applied for 2019 mid-year results, with similar outcomes.</w:t>
      </w:r>
    </w:p>
    <w:p w14:paraId="45A2E37F" w14:textId="5355DA20" w:rsidR="00762468" w:rsidRPr="008F681B" w:rsidRDefault="0034166B" w:rsidP="00762468">
      <w:pPr>
        <w:pStyle w:val="NoSpacing"/>
      </w:pPr>
      <w:r>
        <w:rPr>
          <w:noProof/>
        </w:rPr>
        <w:drawing>
          <wp:inline distT="0" distB="0" distL="0" distR="0" wp14:anchorId="1F9DDD3C" wp14:editId="0D21F080">
            <wp:extent cx="8639451" cy="6590581"/>
            <wp:effectExtent l="0" t="0" r="0" b="1270"/>
            <wp:docPr id="3" name="Picture 3" descr="A picture containing cargo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8D9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3675" cy="6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68" w:rsidRPr="008F681B" w:rsidSect="008F681B">
      <w:pgSz w:w="15840" w:h="12240" w:orient="landscape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9CF"/>
    <w:multiLevelType w:val="hybridMultilevel"/>
    <w:tmpl w:val="250E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261F"/>
    <w:multiLevelType w:val="hybridMultilevel"/>
    <w:tmpl w:val="4D38E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67159"/>
    <w:multiLevelType w:val="hybridMultilevel"/>
    <w:tmpl w:val="6F6A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9690E"/>
    <w:multiLevelType w:val="hybridMultilevel"/>
    <w:tmpl w:val="FD10F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64"/>
    <w:rsid w:val="000249A7"/>
    <w:rsid w:val="00120DA0"/>
    <w:rsid w:val="00224492"/>
    <w:rsid w:val="00232564"/>
    <w:rsid w:val="002C443C"/>
    <w:rsid w:val="002E1F10"/>
    <w:rsid w:val="002F4163"/>
    <w:rsid w:val="0034166B"/>
    <w:rsid w:val="00426647"/>
    <w:rsid w:val="00442220"/>
    <w:rsid w:val="00555B32"/>
    <w:rsid w:val="00625F3B"/>
    <w:rsid w:val="006D2A71"/>
    <w:rsid w:val="006E3950"/>
    <w:rsid w:val="00762468"/>
    <w:rsid w:val="0076468C"/>
    <w:rsid w:val="007D3E2E"/>
    <w:rsid w:val="007F7113"/>
    <w:rsid w:val="008309E3"/>
    <w:rsid w:val="008637E0"/>
    <w:rsid w:val="00875A2C"/>
    <w:rsid w:val="008A2C08"/>
    <w:rsid w:val="008A7EDE"/>
    <w:rsid w:val="008F681B"/>
    <w:rsid w:val="0096364B"/>
    <w:rsid w:val="00986D0F"/>
    <w:rsid w:val="00A76311"/>
    <w:rsid w:val="00AF0F83"/>
    <w:rsid w:val="00AF3D02"/>
    <w:rsid w:val="00C93D38"/>
    <w:rsid w:val="00D6511E"/>
    <w:rsid w:val="00DF76AB"/>
    <w:rsid w:val="00E23C78"/>
    <w:rsid w:val="00E7476C"/>
    <w:rsid w:val="00F135AE"/>
    <w:rsid w:val="00F4215D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C74E"/>
  <w15:chartTrackingRefBased/>
  <w15:docId w15:val="{87D7A205-5C40-4665-B9FA-16645DB4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3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0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F41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41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3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5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D2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uthwick-associates/dashboard-templa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61A1E-ED62-4E0B-85E2-F9374613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Kary</dc:creator>
  <cp:keywords/>
  <dc:description/>
  <cp:lastModifiedBy>Daniel Kary</cp:lastModifiedBy>
  <cp:revision>27</cp:revision>
  <dcterms:created xsi:type="dcterms:W3CDTF">2019-09-09T19:22:00Z</dcterms:created>
  <dcterms:modified xsi:type="dcterms:W3CDTF">2019-09-10T20:57:00Z</dcterms:modified>
</cp:coreProperties>
</file>