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Structured Reasoning in LLMs</w:t>
      </w:r>
    </w:p>
    <w:p>
      <w:pPr>
        <w:spacing w:after="60"/>
      </w:pPr>
      <w:r>
        <w:rPr>
          <w:i/>
          <w:iCs/>
          <w:color w:val="555555"/>
          <w:sz w:val="24"/>
          <w:szCs w:val="24"/>
        </w:rPr>
        <w:t xml:space="preserve">A Study of Knowledge Graph-Infused Fine-Tuning and a Proposal to Reduce Hallucinations</w:t>
      </w:r>
    </w:p>
    <w:p>
      <w:pPr>
        <w:spacing w:after="400"/>
      </w:pPr>
      <w:r>
        <w:rPr>
          <w:color w:val="777777"/>
          <w:sz w:val="20"/>
          <w:szCs w:val="20"/>
        </w:rPr>
        <w:t xml:space="preserve">Based on: "Knowledge Graph-Infused Fine-Tuning for Structured Reasoning in Large Language Models" (Zhang et al.)</w:t>
      </w:r>
    </w:p>
    <w:p>
      <w:pPr>
        <w:pStyle w:val="Heading1"/>
        <w:spacing w:after="120" w:before="260"/>
      </w:pPr>
      <w:r>
        <w:t xml:space="preserve">1. Introduction and Motivation</w:t>
      </w:r>
    </w:p>
    <w:p>
      <w:pPr>
        <w:spacing w:after="150"/>
      </w:pPr>
      <w:r>
        <w:t xml:space="preserve">Large language models (LLMs) are powerful at generating fluent text, but they often produce hallucinations — confident-sounding statements that are factually wrong. This happens because LLMs learn patterns from text rather than verified facts. My research interest is Structured Reasoning: the idea that connecting a language model to organized, fact-based knowledge (like a knowledge graph) can make its outputs more accurate, logical, and less prone to hallucination.</w:t>
      </w:r>
    </w:p>
    <w:p>
      <w:pPr>
        <w:spacing w:after="150"/>
      </w:pPr>
      <w:r>
        <w:t xml:space="preserve">To explore this, I studied a research paper that fine-tunes an LLM using knowledge graph injection, and I am proposing modifications to extend that work specifically toward hallucination reduction.</w:t>
      </w:r>
    </w:p>
    <w:p>
      <w:pPr>
        <w:pStyle w:val="Heading1"/>
        <w:spacing w:after="120" w:before="260"/>
      </w:pPr>
      <w:r>
        <w:t xml:space="preserve">2. Summary of the Research Paper I Studied</w:t>
      </w:r>
    </w:p>
    <w:p>
      <w:pPr>
        <w:pStyle w:val="Heading2"/>
        <w:spacing w:after="100" w:before="160"/>
      </w:pPr>
      <w:r>
        <w:t xml:space="preserve">2.1 Problem Addressed</w:t>
      </w:r>
    </w:p>
    <w:p>
      <w:pPr>
        <w:spacing w:after="150"/>
      </w:pPr>
      <w:r>
        <w:t xml:space="preserve">The paper identifies two key weaknesses in LLMs: missing reasoning chains (the model cannot connect facts logically) and weak entity-level understanding (the model does not deeply understand what an entity is or how it relates to others). It argues that injecting structured knowledge graphs (KGs) into LLMs during fine-tuning can fix both problems.</w:t>
      </w:r>
    </w:p>
    <w:p>
      <w:pPr>
        <w:pStyle w:val="Heading2"/>
        <w:spacing w:after="100" w:before="160"/>
      </w:pPr>
      <w:r>
        <w:t xml:space="preserve">2.2 Proposed Method</w:t>
      </w:r>
    </w:p>
    <w:p>
      <w:pPr>
        <w:pStyle w:val="ListParagraph"/>
        <w:numPr>
          <w:ilvl w:val="0"/>
          <w:numId w:val="2"/>
        </w:numPr>
        <w:spacing w:after="80"/>
      </w:pPr>
      <w:r>
        <w:t xml:space="preserve">A Graph Neural Network (GCN/R-GCN) encodes entities and relations from a knowledge graph into vector representations.</w:t>
      </w:r>
    </w:p>
    <w:p>
      <w:pPr>
        <w:pStyle w:val="ListParagraph"/>
        <w:numPr>
          <w:ilvl w:val="0"/>
          <w:numId w:val="2"/>
        </w:numPr>
        <w:spacing w:after="80"/>
      </w:pPr>
      <w:r>
        <w:t xml:space="preserve">A gating mechanism dynamically balances how much the model relies on plain text understanding versus structured graph knowledge.</w:t>
      </w:r>
    </w:p>
    <w:p>
      <w:pPr>
        <w:pStyle w:val="ListParagraph"/>
        <w:numPr>
          <w:ilvl w:val="0"/>
          <w:numId w:val="2"/>
        </w:numPr>
        <w:spacing w:after="80"/>
      </w:pPr>
      <w:r>
        <w:t xml:space="preserve">A joint loss function trains the model on both the main task (e.g., question answering) and an alignment objective that keeps text and graph representations consistent.</w:t>
      </w:r>
    </w:p>
    <w:p>
      <w:pPr>
        <w:pStyle w:val="ListParagraph"/>
        <w:numPr>
          <w:ilvl w:val="0"/>
          <w:numId w:val="2"/>
        </w:numPr>
        <w:spacing w:after="80"/>
      </w:pPr>
      <w:r>
        <w:t xml:space="preserve">A knowledge-aware attention mechanism lets each word in the context attend to related entities in the graph.</w:t>
      </w:r>
    </w:p>
    <w:p>
      <w:pPr>
        <w:pStyle w:val="Heading2"/>
        <w:spacing w:after="100" w:before="160"/>
      </w:pPr>
      <w:r>
        <w:t xml:space="preserve">2.3 Dataset Used</w:t>
      </w:r>
    </w:p>
    <w:p>
      <w:pPr>
        <w:spacing w:after="150"/>
      </w:pPr>
      <w:r>
        <w:t xml:space="preserve">The paper uses T-REx, a large-scale Wikipedia-based knowledge graph dataset containing millions of entity-relation-entity triples, each aligned with natural language sentences. The authors filtered and pruned T-REx into smaller, semantically dense subgraphs before using it for training.</w:t>
      </w:r>
    </w:p>
    <w:p>
      <w:pPr>
        <w:pStyle w:val="Heading2"/>
        <w:spacing w:after="100" w:before="160"/>
      </w:pPr>
      <w:r>
        <w:t xml:space="preserve">2.4 Results</w:t>
      </w:r>
    </w:p>
    <w:p>
      <w:pPr>
        <w:spacing w:after="150"/>
      </w:pPr>
      <w:r>
        <w:t xml:space="preserve">The proposed method outperformed three baseline models (KGLM, DRAGON, KG-SFT) across QA accuracy (86.4%), F1-score (82.1%), and BLEU (29.7%). The paper also showed that a moderate learning rate (1e-4) and higher graph subgraph coverage (90%+) produced the best and most stable results.</w:t>
      </w:r>
    </w:p>
    <w:p>
      <w:pPr>
        <w:pStyle w:val="Heading1"/>
        <w:spacing w:after="120" w:before="260"/>
      </w:pPr>
      <w:r>
        <w:t xml:space="preserve">3. What I Learned</w:t>
      </w:r>
    </w:p>
    <w:p>
      <w:pPr>
        <w:pStyle w:val="ListParagraph"/>
        <w:numPr>
          <w:ilvl w:val="0"/>
          <w:numId w:val="2"/>
        </w:numPr>
        <w:spacing w:after="80"/>
      </w:pPr>
      <w:r>
        <w:t xml:space="preserve">A dataset is not just training data — for structured reasoning, it must contain organized facts (entities and relations), not just raw text.</w:t>
      </w:r>
    </w:p>
    <w:p>
      <w:pPr>
        <w:pStyle w:val="ListParagraph"/>
        <w:numPr>
          <w:ilvl w:val="0"/>
          <w:numId w:val="2"/>
        </w:numPr>
        <w:spacing w:after="80"/>
      </w:pPr>
      <w:r>
        <w:t xml:space="preserve">Knowledge graphs give LLMs a way to "check" their reasoning against verified facts rather than relying purely on learned language patterns.</w:t>
      </w:r>
    </w:p>
    <w:p>
      <w:pPr>
        <w:pStyle w:val="ListParagraph"/>
        <w:numPr>
          <w:ilvl w:val="0"/>
          <w:numId w:val="2"/>
        </w:numPr>
        <w:spacing w:after="80"/>
      </w:pPr>
      <w:r>
        <w:t xml:space="preserve">Fusing two very different data types (sequential text vs. graph structure) requires special mechanisms like gating and joint loss functions — simply combining them does not work well.</w:t>
      </w:r>
    </w:p>
    <w:p>
      <w:pPr>
        <w:pStyle w:val="ListParagraph"/>
        <w:numPr>
          <w:ilvl w:val="0"/>
          <w:numId w:val="2"/>
        </w:numPr>
        <w:spacing w:after="80"/>
      </w:pPr>
      <w:r>
        <w:t xml:space="preserve">The choice of learning rate and how much of the knowledge graph is used (coverage) significantly affects model stability and accuracy.</w:t>
      </w:r>
    </w:p>
    <w:p>
      <w:pPr>
        <w:pStyle w:val="ListParagraph"/>
        <w:numPr>
          <w:ilvl w:val="0"/>
          <w:numId w:val="2"/>
        </w:numPr>
        <w:spacing w:after="80"/>
      </w:pPr>
      <w:r>
        <w:t xml:space="preserve">The paper only used one dataset (T-REx) and did not test hallucination directly — it measured task accuracy (QA-Acc, F1, BLEU), not factual reliability. This is a gap I want to address.</w:t>
      </w:r>
    </w:p>
    <w:p>
      <w:pPr>
        <w:pStyle w:val="Heading1"/>
        <w:spacing w:after="120" w:before="260"/>
      </w:pPr>
      <w:r>
        <w:t xml:space="preserve">4. My Research Focus: Structured Reasoning to Reduce Hallucination</w:t>
      </w:r>
    </w:p>
    <w:p>
      <w:pPr>
        <w:spacing w:after="150"/>
      </w:pPr>
      <w:r>
        <w:t xml:space="preserve">Building on this paper, my personal research angle is to use structured reasoning specifically as a tool to reduce LLM hallucinations, rather than only to improve task accuracy. This shifts the goal from "does the model perform the task well" to "does the model tell the truth, and can we measure that directly."</w:t>
      </w:r>
    </w:p>
    <w:p>
      <w:pPr>
        <w:pStyle w:val="Heading1"/>
        <w:spacing w:after="120" w:before="260"/>
      </w:pPr>
      <w:r>
        <w:t xml:space="preserve">5. Datasets I Plan to Use</w:t>
      </w:r>
    </w:p>
    <w:p>
      <w:pPr>
        <w:spacing w:after="150"/>
      </w:pPr>
      <w:r>
        <w:t xml:space="preserve">I am proposing a combination of datasets, each serving a different purpose in my research design: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00"/>
      </w:tblGrid>
      <w:tr>
        <w:trPr>
          <w:tblHeader/>
        </w:trPr>
        <w:tc>
          <w:tcPr>
            <w:tcW w:type="dxa" w:w="2400"/>
            <w:shd w:fill="2F5496" w:val="clear"/>
            <w:tcMar>
              <w:top w:type="dxa" w:w="100"/>
              <w:left w:type="dxa" w:w="120"/>
              <w:bottom w:type="dxa" w:w="100"/>
              <w:right w:type="dxa" w:w="120"/>
            </w:tcMar>
          </w:tcPr>
          <w:p>
            <w:r>
              <w:rPr>
                <w:b/>
                <w:bCs/>
                <w:color w:val="FFFFFF"/>
              </w:rPr>
              <w:t xml:space="preserve">Dataset</w:t>
            </w:r>
          </w:p>
        </w:tc>
        <w:tc>
          <w:tcPr>
            <w:tcW w:type="dxa" w:w="2000"/>
            <w:shd w:fill="2F5496" w:val="clear"/>
            <w:tcMar>
              <w:top w:type="dxa" w:w="100"/>
              <w:left w:type="dxa" w:w="120"/>
              <w:bottom w:type="dxa" w:w="100"/>
              <w:right w:type="dxa" w:w="120"/>
            </w:tcMar>
          </w:tcPr>
          <w:p>
            <w:r>
              <w:rPr>
                <w:b/>
                <w:bCs/>
                <w:color w:val="FFFFFF"/>
              </w:rPr>
              <w:t xml:space="preserve">Role</w:t>
            </w:r>
          </w:p>
        </w:tc>
        <w:tc>
          <w:tcPr>
            <w:tcW w:type="dxa" w:w="4800"/>
            <w:shd w:fill="2F5496" w:val="clear"/>
            <w:tcMar>
              <w:top w:type="dxa" w:w="100"/>
              <w:left w:type="dxa" w:w="120"/>
              <w:bottom w:type="dxa" w:w="100"/>
              <w:right w:type="dxa" w:w="120"/>
            </w:tcMar>
          </w:tcPr>
          <w:p>
            <w:r>
              <w:rPr>
                <w:b/>
                <w:bCs/>
                <w:color w:val="FFFFFF"/>
              </w:rPr>
              <w:t xml:space="preserve">Purpose</w:t>
            </w:r>
          </w:p>
        </w:tc>
      </w:tr>
      <w:tr>
        <w:tc>
          <w:tcPr>
            <w:tcW w:type="dxa" w:w="2400"/>
            <w:tcMar>
              <w:top w:type="dxa" w:w="100"/>
              <w:left w:type="dxa" w:w="120"/>
              <w:bottom w:type="dxa" w:w="100"/>
              <w:right w:type="dxa" w:w="120"/>
            </w:tcMar>
          </w:tcPr>
          <w:p>
            <w:r>
              <w:t xml:space="preserve">Wikidata5M</w:t>
            </w:r>
          </w:p>
        </w:tc>
        <w:tc>
          <w:tcPr>
            <w:tcW w:type="dxa" w:w="2000"/>
            <w:tcMar>
              <w:top w:type="dxa" w:w="100"/>
              <w:left w:type="dxa" w:w="120"/>
              <w:bottom w:type="dxa" w:w="100"/>
              <w:right w:type="dxa" w:w="120"/>
            </w:tcMar>
          </w:tcPr>
          <w:p>
            <w:r>
              <w:t xml:space="preserve">Knowledge source</w:t>
            </w:r>
          </w:p>
        </w:tc>
        <w:tc>
          <w:tcPr>
            <w:tcW w:type="dxa" w:w="4800"/>
            <w:tcMar>
              <w:top w:type="dxa" w:w="100"/>
              <w:left w:type="dxa" w:w="120"/>
              <w:bottom w:type="dxa" w:w="100"/>
              <w:right w:type="dxa" w:w="120"/>
            </w:tcMar>
          </w:tcPr>
          <w:p>
            <w:r>
              <w:t xml:space="preserve">Larger, cleaner replacement for T-REx; provides structured entity-relation facts</w:t>
            </w:r>
          </w:p>
        </w:tc>
      </w:tr>
      <w:tr>
        <w:tc>
          <w:tcPr>
            <w:tcW w:type="dxa" w:w="2400"/>
            <w:shd w:fill="EDF1F8" w:val="clear"/>
            <w:tcMar>
              <w:top w:type="dxa" w:w="100"/>
              <w:left w:type="dxa" w:w="120"/>
              <w:bottom w:type="dxa" w:w="100"/>
              <w:right w:type="dxa" w:w="120"/>
            </w:tcMar>
          </w:tcPr>
          <w:p>
            <w:r>
              <w:t xml:space="preserve">FB15k-237</w:t>
            </w:r>
          </w:p>
        </w:tc>
        <w:tc>
          <w:tcPr>
            <w:tcW w:type="dxa" w:w="2000"/>
            <w:shd w:fill="EDF1F8" w:val="clear"/>
            <w:tcMar>
              <w:top w:type="dxa" w:w="100"/>
              <w:left w:type="dxa" w:w="120"/>
              <w:bottom w:type="dxa" w:w="100"/>
              <w:right w:type="dxa" w:w="120"/>
            </w:tcMar>
          </w:tcPr>
          <w:p>
            <w:r>
              <w:t xml:space="preserve">Cross-check benchmark</w:t>
            </w:r>
          </w:p>
        </w:tc>
        <w:tc>
          <w:tcPr>
            <w:tcW w:type="dxa" w:w="4800"/>
            <w:shd w:fill="EDF1F8" w:val="clear"/>
            <w:tcMar>
              <w:top w:type="dxa" w:w="100"/>
              <w:left w:type="dxa" w:w="120"/>
              <w:bottom w:type="dxa" w:w="100"/>
              <w:right w:type="dxa" w:w="120"/>
            </w:tcMar>
          </w:tcPr>
          <w:p>
            <w:r>
              <w:t xml:space="preserve">Standard KG embedding benchmark to confirm generalization</w:t>
            </w:r>
          </w:p>
        </w:tc>
      </w:tr>
      <w:tr>
        <w:tc>
          <w:tcPr>
            <w:tcW w:type="dxa" w:w="2400"/>
            <w:tcMar>
              <w:top w:type="dxa" w:w="100"/>
              <w:left w:type="dxa" w:w="120"/>
              <w:bottom w:type="dxa" w:w="100"/>
              <w:right w:type="dxa" w:w="120"/>
            </w:tcMar>
          </w:tcPr>
          <w:p>
            <w:r>
              <w:t xml:space="preserve">HotpotQA</w:t>
            </w:r>
          </w:p>
        </w:tc>
        <w:tc>
          <w:tcPr>
            <w:tcW w:type="dxa" w:w="2000"/>
            <w:tcMar>
              <w:top w:type="dxa" w:w="100"/>
              <w:left w:type="dxa" w:w="120"/>
              <w:bottom w:type="dxa" w:w="100"/>
              <w:right w:type="dxa" w:w="120"/>
            </w:tcMar>
          </w:tcPr>
          <w:p>
            <w:r>
              <w:t xml:space="preserve">Multi-hop reasoning</w:t>
            </w:r>
          </w:p>
        </w:tc>
        <w:tc>
          <w:tcPr>
            <w:tcW w:type="dxa" w:w="4800"/>
            <w:tcMar>
              <w:top w:type="dxa" w:w="100"/>
              <w:left w:type="dxa" w:w="120"/>
              <w:bottom w:type="dxa" w:w="100"/>
              <w:right w:type="dxa" w:w="120"/>
            </w:tcMar>
          </w:tcPr>
          <w:p>
            <w:r>
              <w:t xml:space="preserve">Tests whether the model can chain multiple facts together</w:t>
            </w:r>
          </w:p>
        </w:tc>
      </w:tr>
      <w:tr>
        <w:tc>
          <w:tcPr>
            <w:tcW w:type="dxa" w:w="2400"/>
            <w:shd w:fill="EDF1F8" w:val="clear"/>
            <w:tcMar>
              <w:top w:type="dxa" w:w="100"/>
              <w:left w:type="dxa" w:w="120"/>
              <w:bottom w:type="dxa" w:w="100"/>
              <w:right w:type="dxa" w:w="120"/>
            </w:tcMar>
          </w:tcPr>
          <w:p>
            <w:r>
              <w:t xml:space="preserve">ComplexWebQuestions</w:t>
            </w:r>
          </w:p>
        </w:tc>
        <w:tc>
          <w:tcPr>
            <w:tcW w:type="dxa" w:w="2000"/>
            <w:shd w:fill="EDF1F8" w:val="clear"/>
            <w:tcMar>
              <w:top w:type="dxa" w:w="100"/>
              <w:left w:type="dxa" w:w="120"/>
              <w:bottom w:type="dxa" w:w="100"/>
              <w:right w:type="dxa" w:w="120"/>
            </w:tcMar>
          </w:tcPr>
          <w:p>
            <w:r>
              <w:t xml:space="preserve">Multi-hop reasoning</w:t>
            </w:r>
          </w:p>
        </w:tc>
        <w:tc>
          <w:tcPr>
            <w:tcW w:type="dxa" w:w="4800"/>
            <w:shd w:fill="EDF1F8" w:val="clear"/>
            <w:tcMar>
              <w:top w:type="dxa" w:w="100"/>
              <w:left w:type="dxa" w:w="120"/>
              <w:bottom w:type="dxa" w:w="100"/>
              <w:right w:type="dxa" w:w="120"/>
            </w:tcMar>
          </w:tcPr>
          <w:p>
            <w:r>
              <w:t xml:space="preserve">Multi-hop QA specifically built over knowledge graphs</w:t>
            </w:r>
          </w:p>
        </w:tc>
      </w:tr>
      <w:tr>
        <w:tc>
          <w:tcPr>
            <w:tcW w:type="dxa" w:w="2400"/>
            <w:tcMar>
              <w:top w:type="dxa" w:w="100"/>
              <w:left w:type="dxa" w:w="120"/>
              <w:bottom w:type="dxa" w:w="100"/>
              <w:right w:type="dxa" w:w="120"/>
            </w:tcMar>
          </w:tcPr>
          <w:p>
            <w:r>
              <w:t xml:space="preserve">TruthfulQA</w:t>
            </w:r>
          </w:p>
        </w:tc>
        <w:tc>
          <w:tcPr>
            <w:tcW w:type="dxa" w:w="2000"/>
            <w:tcMar>
              <w:top w:type="dxa" w:w="100"/>
              <w:left w:type="dxa" w:w="120"/>
              <w:bottom w:type="dxa" w:w="100"/>
              <w:right w:type="dxa" w:w="120"/>
            </w:tcMar>
          </w:tcPr>
          <w:p>
            <w:r>
              <w:t xml:space="preserve">Hallucination test</w:t>
            </w:r>
          </w:p>
        </w:tc>
        <w:tc>
          <w:tcPr>
            <w:tcW w:type="dxa" w:w="4800"/>
            <w:tcMar>
              <w:top w:type="dxa" w:w="100"/>
              <w:left w:type="dxa" w:w="120"/>
              <w:bottom w:type="dxa" w:w="100"/>
              <w:right w:type="dxa" w:w="120"/>
            </w:tcMar>
          </w:tcPr>
          <w:p>
            <w:r>
              <w:t xml:space="preserve">Measures whether the model gives false but plausible-sounding answers</w:t>
            </w:r>
          </w:p>
        </w:tc>
      </w:tr>
      <w:tr>
        <w:tc>
          <w:tcPr>
            <w:tcW w:type="dxa" w:w="2400"/>
            <w:shd w:fill="EDF1F8" w:val="clear"/>
            <w:tcMar>
              <w:top w:type="dxa" w:w="100"/>
              <w:left w:type="dxa" w:w="120"/>
              <w:bottom w:type="dxa" w:w="100"/>
              <w:right w:type="dxa" w:w="120"/>
            </w:tcMar>
          </w:tcPr>
          <w:p>
            <w:r>
              <w:t xml:space="preserve">HaluEval</w:t>
            </w:r>
          </w:p>
        </w:tc>
        <w:tc>
          <w:tcPr>
            <w:tcW w:type="dxa" w:w="2000"/>
            <w:shd w:fill="EDF1F8" w:val="clear"/>
            <w:tcMar>
              <w:top w:type="dxa" w:w="100"/>
              <w:left w:type="dxa" w:w="120"/>
              <w:bottom w:type="dxa" w:w="100"/>
              <w:right w:type="dxa" w:w="120"/>
            </w:tcMar>
          </w:tcPr>
          <w:p>
            <w:r>
              <w:t xml:space="preserve">Hallucination test</w:t>
            </w:r>
          </w:p>
        </w:tc>
        <w:tc>
          <w:tcPr>
            <w:tcW w:type="dxa" w:w="4800"/>
            <w:shd w:fill="EDF1F8" w:val="clear"/>
            <w:tcMar>
              <w:top w:type="dxa" w:w="100"/>
              <w:left w:type="dxa" w:w="120"/>
              <w:bottom w:type="dxa" w:w="100"/>
              <w:right w:type="dxa" w:w="120"/>
            </w:tcMar>
          </w:tcPr>
          <w:p>
            <w:r>
              <w:t xml:space="preserve">Benchmarks hallucination across QA, dialogue, and summarization</w:t>
            </w:r>
          </w:p>
        </w:tc>
      </w:tr>
      <w:tr>
        <w:tc>
          <w:tcPr>
            <w:tcW w:type="dxa" w:w="2400"/>
            <w:tcMar>
              <w:top w:type="dxa" w:w="100"/>
              <w:left w:type="dxa" w:w="120"/>
              <w:bottom w:type="dxa" w:w="100"/>
              <w:right w:type="dxa" w:w="120"/>
            </w:tcMar>
          </w:tcPr>
          <w:p>
            <w:r>
              <w:t xml:space="preserve">FEVER</w:t>
            </w:r>
          </w:p>
        </w:tc>
        <w:tc>
          <w:tcPr>
            <w:tcW w:type="dxa" w:w="2000"/>
            <w:tcMar>
              <w:top w:type="dxa" w:w="100"/>
              <w:left w:type="dxa" w:w="120"/>
              <w:bottom w:type="dxa" w:w="100"/>
              <w:right w:type="dxa" w:w="120"/>
            </w:tcMar>
          </w:tcPr>
          <w:p>
            <w:r>
              <w:t xml:space="preserve">Fact verification</w:t>
            </w:r>
          </w:p>
        </w:tc>
        <w:tc>
          <w:tcPr>
            <w:tcW w:type="dxa" w:w="4800"/>
            <w:tcMar>
              <w:top w:type="dxa" w:w="100"/>
              <w:left w:type="dxa" w:w="120"/>
              <w:bottom w:type="dxa" w:w="100"/>
              <w:right w:type="dxa" w:w="120"/>
            </w:tcMar>
          </w:tcPr>
          <w:p>
            <w:r>
              <w:t xml:space="preserve">Checks whether generated claims are supported by evidence</w:t>
            </w:r>
          </w:p>
        </w:tc>
      </w:tr>
    </w:tbl>
    <w:p>
      <w:pPr>
        <w:pStyle w:val="Heading2"/>
        <w:spacing w:after="100" w:before="160"/>
      </w:pPr>
      <w:r>
        <w:t xml:space="preserve">5.1 Why More Than One Dataset Is Needed</w:t>
      </w:r>
    </w:p>
    <w:p>
      <w:pPr>
        <w:pStyle w:val="ListParagraph"/>
        <w:numPr>
          <w:ilvl w:val="0"/>
          <w:numId w:val="2"/>
        </w:numPr>
        <w:spacing w:after="80"/>
      </w:pPr>
      <w:r>
        <w:t xml:space="preserve">T-REx / Wikidata5M provide the structured facts the model reasons over.</w:t>
      </w:r>
    </w:p>
    <w:p>
      <w:pPr>
        <w:pStyle w:val="ListParagraph"/>
        <w:numPr>
          <w:ilvl w:val="0"/>
          <w:numId w:val="2"/>
        </w:numPr>
        <w:spacing w:after="80"/>
      </w:pPr>
      <w:r>
        <w:t xml:space="preserve">HotpotQA / ComplexWebQuestions test whether the model can chain multiple facts together (multi-hop reasoning).</w:t>
      </w:r>
    </w:p>
    <w:p>
      <w:pPr>
        <w:pStyle w:val="ListParagraph"/>
        <w:numPr>
          <w:ilvl w:val="0"/>
          <w:numId w:val="2"/>
        </w:numPr>
        <w:spacing w:after="80"/>
      </w:pPr>
      <w:r>
        <w:t xml:space="preserve">TruthfulQA / HaluEval directly test whether the model's answers are truthful — this is missing from the original paper and is the core of my motivation.</w:t>
      </w:r>
    </w:p>
    <w:p>
      <w:pPr>
        <w:pStyle w:val="ListParagraph"/>
        <w:numPr>
          <w:ilvl w:val="0"/>
          <w:numId w:val="2"/>
        </w:numPr>
        <w:spacing w:after="80"/>
      </w:pPr>
      <w:r>
        <w:t xml:space="preserve">FEVER checks whether generated claims are actually supported by evidence, adding a verification layer.</w:t>
      </w:r>
    </w:p>
    <w:p>
      <w:pPr>
        <w:pStyle w:val="Heading1"/>
        <w:spacing w:after="120" w:before="260"/>
      </w:pPr>
      <w:r>
        <w:t xml:space="preserve">6. Modifications I Propose to the Original Method</w:t>
      </w:r>
    </w:p>
    <w:p>
      <w:pPr>
        <w:spacing w:after="130"/>
      </w:pPr>
      <w:r>
        <w:rPr>
          <w:b/>
          <w:bCs/>
        </w:rPr>
        <w:t xml:space="preserve">1. Upgrade the knowledge source: </w:t>
      </w:r>
      <w:r>
        <w:t xml:space="preserve">Replace T-REx with Wikidata5M for larger, cleaner, more current entity coverage, while keeping T-REx as a comparison baseline.</w:t>
      </w:r>
    </w:p>
    <w:p>
      <w:pPr>
        <w:spacing w:after="130"/>
      </w:pPr>
      <w:r>
        <w:rPr>
          <w:b/>
          <w:bCs/>
        </w:rPr>
        <w:t xml:space="preserve">2. Add a hallucination-specific evaluation stage: </w:t>
      </w:r>
      <w:r>
        <w:t xml:space="preserve">Introduce TruthfulQA and HaluEval as evaluation benchmarks, since the original paper never measures hallucination directly — only QA accuracy, F1, and BLEU.</w:t>
      </w:r>
    </w:p>
    <w:p>
      <w:pPr>
        <w:spacing w:after="130"/>
      </w:pPr>
      <w:r>
        <w:rPr>
          <w:b/>
          <w:bCs/>
        </w:rPr>
        <w:t xml:space="preserve">3. Add a fact-verification loss term: </w:t>
      </w:r>
      <w:r>
        <w:t xml:space="preserve">Extend the joint loss function (Ltotal = Ltask + λLalign) with an additional verification term based on FEVER-style evidence checking, so the model is penalized when it generates unsupported claims.</w:t>
      </w:r>
    </w:p>
    <w:p>
      <w:pPr>
        <w:spacing w:after="130"/>
      </w:pPr>
      <w:r>
        <w:rPr>
          <w:b/>
          <w:bCs/>
        </w:rPr>
        <w:t xml:space="preserve">4. Test multi-hop reasoning explicitly: </w:t>
      </w:r>
      <w:r>
        <w:t xml:space="preserve">Use HotpotQA / ComplexWebQuestions to evaluate whether the knowledge-aware attention mechanism can correctly chain multiple facts, not just retrieve single facts.</w:t>
      </w:r>
    </w:p>
    <w:p>
      <w:pPr>
        <w:spacing w:after="130"/>
      </w:pPr>
      <w:r>
        <w:rPr>
          <w:b/>
          <w:bCs/>
        </w:rPr>
        <w:t xml:space="preserve">5. Report a hallucination rate metric: </w:t>
      </w:r>
      <w:r>
        <w:t xml:space="preserve">Alongside QA-Acc, F1, and BLEU, add a hallucination rate (percentage of factually unsupported statements) as a primary reported metric, since this directly reflects my research motivation.</w:t>
      </w:r>
    </w:p>
    <w:p>
      <w:pPr>
        <w:pStyle w:val="Heading1"/>
        <w:spacing w:after="120" w:before="260"/>
      </w:pPr>
      <w:r>
        <w:t xml:space="preserve">7. Expected Outcome</w:t>
      </w:r>
    </w:p>
    <w:p>
      <w:pPr>
        <w:spacing w:after="150"/>
      </w:pPr>
      <w:r>
        <w:t xml:space="preserve">By combining a stronger knowledge graph (Wikidata5M), multi-hop reasoning benchmarks (HotpotQA), and hallucination-specific evaluation (TruthfulQA, HaluEval, FEVER), I expect to show that structured reasoning not only improves task accuracy — as the original paper demonstrated — but also measurably reduces hallucination rate, which is the gap the original paper left unaddressed.</w:t>
      </w:r>
    </w:p>
    <w:p>
      <w:pPr>
        <w:pStyle w:val="Heading1"/>
        <w:spacing w:after="120" w:before="260"/>
      </w:pPr>
      <w:r>
        <w:t xml:space="preserve">8. Conclusion</w:t>
      </w:r>
    </w:p>
    <w:p>
      <w:pPr>
        <w:spacing w:after="150"/>
      </w:pPr>
      <w:r>
        <w:t xml:space="preserve">The original paper gave me a strong technical foundation: how knowledge graphs are encoded, fused with language models, and jointly trained. My contribution is to redirect this framework toward a specific, measurable goal — reducing hallucination — by introducing hallucination-focused datasets and an additional verification objective that the original work did not include.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2026-07-02T14:49:52.265Z</dcterms:created>
  <dcterms:modified xsi:type="dcterms:W3CDTF">2026-07-02T14:49:52.278Z</dcterms:modified>
</cp:coreProperties>
</file>

<file path=docProps/custom.xml><?xml version="1.0" encoding="utf-8"?>
<Properties xmlns="http://schemas.openxmlformats.org/officeDocument/2006/custom-properties" xmlns:vt="http://schemas.openxmlformats.org/officeDocument/2006/docPropsVTypes"/>
</file>