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6A3" w:rsidRPr="004636A3" w:rsidRDefault="004636A3" w:rsidP="004636A3">
      <w:pPr>
        <w:pStyle w:val="Default"/>
        <w:rPr>
          <w:sz w:val="26"/>
        </w:rPr>
      </w:pPr>
      <w:bookmarkStart w:id="0" w:name="_GoBack"/>
      <w:r w:rsidRPr="004636A3">
        <w:rPr>
          <w:sz w:val="26"/>
        </w:rPr>
        <w:t xml:space="preserve">REFERENCES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r w:rsidRPr="004636A3">
        <w:rPr>
          <w:sz w:val="25"/>
          <w:szCs w:val="23"/>
        </w:rPr>
        <w:t xml:space="preserve">Taylor &amp; Francis follows </w:t>
      </w:r>
      <w:r w:rsidRPr="004636A3">
        <w:rPr>
          <w:i/>
          <w:iCs/>
          <w:sz w:val="25"/>
          <w:szCs w:val="23"/>
        </w:rPr>
        <w:t>Chicago Manual of Style, 16</w:t>
      </w:r>
      <w:r w:rsidRPr="004636A3">
        <w:rPr>
          <w:i/>
          <w:iCs/>
          <w:sz w:val="18"/>
          <w:szCs w:val="16"/>
        </w:rPr>
        <w:t>th</w:t>
      </w:r>
      <w:r w:rsidRPr="004636A3">
        <w:rPr>
          <w:i/>
          <w:iCs/>
          <w:sz w:val="25"/>
          <w:szCs w:val="23"/>
        </w:rPr>
        <w:t xml:space="preserve">edition </w:t>
      </w:r>
      <w:r w:rsidRPr="004636A3">
        <w:rPr>
          <w:sz w:val="25"/>
          <w:szCs w:val="23"/>
        </w:rPr>
        <w:t xml:space="preserve">for reference style but other styles are acceptable if in common use and done consistently. </w:t>
      </w:r>
    </w:p>
    <w:p w:rsidR="004636A3" w:rsidRPr="004636A3" w:rsidRDefault="004636A3" w:rsidP="004636A3">
      <w:pPr>
        <w:pStyle w:val="Default"/>
        <w:rPr>
          <w:b/>
          <w:bCs/>
          <w:i/>
          <w:iCs/>
          <w:szCs w:val="22"/>
        </w:rPr>
      </w:pPr>
    </w:p>
    <w:p w:rsidR="004636A3" w:rsidRPr="004636A3" w:rsidRDefault="004636A3" w:rsidP="004636A3">
      <w:pPr>
        <w:pStyle w:val="Default"/>
        <w:rPr>
          <w:szCs w:val="22"/>
        </w:rPr>
      </w:pPr>
      <w:r w:rsidRPr="004636A3">
        <w:rPr>
          <w:b/>
          <w:bCs/>
          <w:i/>
          <w:iCs/>
          <w:szCs w:val="22"/>
        </w:rPr>
        <w:t xml:space="preserve">Authored book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r w:rsidRPr="004636A3">
        <w:rPr>
          <w:sz w:val="25"/>
          <w:szCs w:val="23"/>
        </w:rPr>
        <w:t xml:space="preserve">Woods, D. D. and E. </w:t>
      </w:r>
      <w:proofErr w:type="spellStart"/>
      <w:r w:rsidRPr="004636A3">
        <w:rPr>
          <w:sz w:val="25"/>
          <w:szCs w:val="23"/>
        </w:rPr>
        <w:t>Hollnagel</w:t>
      </w:r>
      <w:proofErr w:type="spellEnd"/>
      <w:r w:rsidRPr="004636A3">
        <w:rPr>
          <w:sz w:val="25"/>
          <w:szCs w:val="23"/>
        </w:rPr>
        <w:t xml:space="preserve">. 2006. </w:t>
      </w:r>
      <w:r w:rsidRPr="004636A3">
        <w:rPr>
          <w:i/>
          <w:iCs/>
          <w:sz w:val="25"/>
          <w:szCs w:val="23"/>
        </w:rPr>
        <w:t>Joint cognitive systems</w:t>
      </w:r>
      <w:r w:rsidRPr="004636A3">
        <w:rPr>
          <w:sz w:val="25"/>
          <w:szCs w:val="23"/>
        </w:rPr>
        <w:t xml:space="preserve">. Boca Raton: Taylor &amp; Francis.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r w:rsidRPr="004636A3">
        <w:rPr>
          <w:i/>
          <w:iCs/>
          <w:sz w:val="25"/>
          <w:szCs w:val="23"/>
        </w:rPr>
        <w:t xml:space="preserve">In text: </w:t>
      </w:r>
      <w:r w:rsidRPr="004636A3">
        <w:rPr>
          <w:sz w:val="25"/>
          <w:szCs w:val="23"/>
        </w:rPr>
        <w:t xml:space="preserve">(Woods and </w:t>
      </w:r>
      <w:proofErr w:type="spellStart"/>
      <w:r w:rsidRPr="004636A3">
        <w:rPr>
          <w:sz w:val="25"/>
          <w:szCs w:val="23"/>
        </w:rPr>
        <w:t>Hollnagel</w:t>
      </w:r>
      <w:proofErr w:type="spellEnd"/>
      <w:r w:rsidRPr="004636A3">
        <w:rPr>
          <w:sz w:val="25"/>
          <w:szCs w:val="23"/>
        </w:rPr>
        <w:t xml:space="preserve"> 2006) </w:t>
      </w:r>
    </w:p>
    <w:p w:rsidR="004636A3" w:rsidRPr="004636A3" w:rsidRDefault="004636A3" w:rsidP="004636A3">
      <w:pPr>
        <w:pStyle w:val="Default"/>
        <w:rPr>
          <w:b/>
          <w:bCs/>
          <w:i/>
          <w:iCs/>
          <w:szCs w:val="22"/>
        </w:rPr>
      </w:pPr>
    </w:p>
    <w:p w:rsidR="004636A3" w:rsidRPr="004636A3" w:rsidRDefault="004636A3" w:rsidP="004636A3">
      <w:pPr>
        <w:pStyle w:val="Default"/>
        <w:rPr>
          <w:szCs w:val="22"/>
        </w:rPr>
      </w:pPr>
      <w:r w:rsidRPr="004636A3">
        <w:rPr>
          <w:b/>
          <w:bCs/>
          <w:i/>
          <w:iCs/>
          <w:szCs w:val="22"/>
        </w:rPr>
        <w:t xml:space="preserve">Chapter in Multi-Authored book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r w:rsidRPr="004636A3">
        <w:rPr>
          <w:sz w:val="25"/>
          <w:szCs w:val="23"/>
        </w:rPr>
        <w:t xml:space="preserve">Wiens, J. A. 1983. Avian community ecology: An iconoclastic view. In </w:t>
      </w:r>
      <w:r w:rsidRPr="004636A3">
        <w:rPr>
          <w:i/>
          <w:iCs/>
          <w:sz w:val="25"/>
          <w:szCs w:val="23"/>
        </w:rPr>
        <w:t>Perspectives in ornithology</w:t>
      </w:r>
      <w:r w:rsidRPr="004636A3">
        <w:rPr>
          <w:sz w:val="25"/>
          <w:szCs w:val="23"/>
        </w:rPr>
        <w:t xml:space="preserve">, ed. A. H. Brush, and G. A. Clark, 355–403. Cambridge: Cambridge Univ. Press. </w:t>
      </w:r>
    </w:p>
    <w:p w:rsidR="004636A3" w:rsidRPr="004636A3" w:rsidRDefault="004636A3" w:rsidP="004636A3">
      <w:pPr>
        <w:rPr>
          <w:sz w:val="25"/>
          <w:szCs w:val="23"/>
        </w:rPr>
      </w:pPr>
      <w:r w:rsidRPr="004636A3">
        <w:rPr>
          <w:i/>
          <w:iCs/>
          <w:sz w:val="25"/>
          <w:szCs w:val="23"/>
        </w:rPr>
        <w:t xml:space="preserve">Note: </w:t>
      </w:r>
      <w:r w:rsidRPr="004636A3">
        <w:rPr>
          <w:sz w:val="25"/>
          <w:szCs w:val="23"/>
        </w:rPr>
        <w:t>In Reference section, when there are more than six authors, first three are listed, followed by et al. In text, first author listed followed by et al.</w:t>
      </w:r>
    </w:p>
    <w:p w:rsidR="004636A3" w:rsidRPr="004636A3" w:rsidRDefault="004636A3" w:rsidP="004636A3">
      <w:pPr>
        <w:rPr>
          <w:sz w:val="24"/>
        </w:rPr>
      </w:pPr>
      <w:r w:rsidRPr="004636A3">
        <w:rPr>
          <w:b/>
          <w:bCs/>
          <w:i/>
          <w:iCs/>
          <w:sz w:val="24"/>
        </w:rPr>
        <w:t xml:space="preserve">Journals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proofErr w:type="spellStart"/>
      <w:r w:rsidRPr="004636A3">
        <w:rPr>
          <w:sz w:val="25"/>
          <w:szCs w:val="23"/>
        </w:rPr>
        <w:t>Terborgh</w:t>
      </w:r>
      <w:proofErr w:type="spellEnd"/>
      <w:r w:rsidRPr="004636A3">
        <w:rPr>
          <w:sz w:val="25"/>
          <w:szCs w:val="23"/>
        </w:rPr>
        <w:t xml:space="preserve">, J. 1974. Preservation of natural diversity. </w:t>
      </w:r>
      <w:proofErr w:type="spellStart"/>
      <w:r w:rsidRPr="004636A3">
        <w:rPr>
          <w:i/>
          <w:iCs/>
          <w:sz w:val="25"/>
          <w:szCs w:val="23"/>
        </w:rPr>
        <w:t>BioScience</w:t>
      </w:r>
      <w:proofErr w:type="spellEnd"/>
      <w:r w:rsidRPr="004636A3">
        <w:rPr>
          <w:i/>
          <w:iCs/>
          <w:sz w:val="25"/>
          <w:szCs w:val="23"/>
        </w:rPr>
        <w:t xml:space="preserve"> </w:t>
      </w:r>
      <w:r w:rsidRPr="004636A3">
        <w:rPr>
          <w:sz w:val="25"/>
          <w:szCs w:val="23"/>
        </w:rPr>
        <w:t>24:715–22.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r w:rsidRPr="004636A3">
        <w:rPr>
          <w:sz w:val="25"/>
          <w:szCs w:val="23"/>
        </w:rPr>
        <w:t xml:space="preserve"> </w:t>
      </w:r>
    </w:p>
    <w:p w:rsidR="004636A3" w:rsidRPr="004636A3" w:rsidRDefault="004636A3" w:rsidP="004636A3">
      <w:pPr>
        <w:pStyle w:val="Default"/>
        <w:rPr>
          <w:szCs w:val="22"/>
        </w:rPr>
      </w:pPr>
      <w:r w:rsidRPr="004636A3">
        <w:rPr>
          <w:b/>
          <w:bCs/>
          <w:i/>
          <w:iCs/>
          <w:szCs w:val="22"/>
        </w:rPr>
        <w:t xml:space="preserve">Electronic journal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r w:rsidRPr="004636A3">
        <w:rPr>
          <w:sz w:val="25"/>
          <w:szCs w:val="23"/>
        </w:rPr>
        <w:t xml:space="preserve">Testa, B., and L. B. Kier. 2000. Emergence and </w:t>
      </w:r>
      <w:proofErr w:type="spellStart"/>
      <w:r w:rsidRPr="004636A3">
        <w:rPr>
          <w:sz w:val="25"/>
          <w:szCs w:val="23"/>
        </w:rPr>
        <w:t>dissolvence</w:t>
      </w:r>
      <w:proofErr w:type="spellEnd"/>
      <w:r w:rsidRPr="004636A3">
        <w:rPr>
          <w:sz w:val="25"/>
          <w:szCs w:val="23"/>
        </w:rPr>
        <w:t xml:space="preserve"> in the self-organization of complex systems. </w:t>
      </w:r>
      <w:r w:rsidRPr="004636A3">
        <w:rPr>
          <w:i/>
          <w:iCs/>
          <w:sz w:val="25"/>
          <w:szCs w:val="23"/>
        </w:rPr>
        <w:t xml:space="preserve">Entropy </w:t>
      </w:r>
      <w:r w:rsidRPr="004636A3">
        <w:rPr>
          <w:sz w:val="25"/>
          <w:szCs w:val="23"/>
        </w:rPr>
        <w:t xml:space="preserve">2, no. 1 (March): 1–25. http://www.mdpi.org/entropy/papers/e2010001.pdf. </w:t>
      </w:r>
    </w:p>
    <w:p w:rsidR="004636A3" w:rsidRPr="004636A3" w:rsidRDefault="004636A3" w:rsidP="004636A3">
      <w:pPr>
        <w:pStyle w:val="Default"/>
        <w:rPr>
          <w:b/>
          <w:bCs/>
          <w:i/>
          <w:iCs/>
          <w:szCs w:val="22"/>
        </w:rPr>
      </w:pPr>
    </w:p>
    <w:p w:rsidR="004636A3" w:rsidRPr="004636A3" w:rsidRDefault="004636A3" w:rsidP="004636A3">
      <w:pPr>
        <w:pStyle w:val="Default"/>
        <w:rPr>
          <w:szCs w:val="22"/>
        </w:rPr>
      </w:pPr>
      <w:r w:rsidRPr="004636A3">
        <w:rPr>
          <w:b/>
          <w:bCs/>
          <w:i/>
          <w:iCs/>
          <w:szCs w:val="22"/>
        </w:rPr>
        <w:t xml:space="preserve">Unpublished Documents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r w:rsidRPr="004636A3">
        <w:rPr>
          <w:sz w:val="25"/>
          <w:szCs w:val="23"/>
        </w:rPr>
        <w:t xml:space="preserve">Schwartz, G. J. 2000. Multiwavelength analyses of classical carbon-oxygen novae. PhD diss., Arizona State Univ. </w:t>
      </w:r>
    </w:p>
    <w:p w:rsidR="004636A3" w:rsidRPr="004636A3" w:rsidRDefault="004636A3" w:rsidP="004636A3">
      <w:pPr>
        <w:pStyle w:val="Default"/>
        <w:rPr>
          <w:sz w:val="25"/>
          <w:szCs w:val="23"/>
        </w:rPr>
      </w:pPr>
      <w:proofErr w:type="spellStart"/>
      <w:r w:rsidRPr="004636A3">
        <w:rPr>
          <w:sz w:val="25"/>
          <w:szCs w:val="23"/>
        </w:rPr>
        <w:t>O’Guinn</w:t>
      </w:r>
      <w:proofErr w:type="spellEnd"/>
      <w:r w:rsidRPr="004636A3">
        <w:rPr>
          <w:sz w:val="25"/>
          <w:szCs w:val="23"/>
        </w:rPr>
        <w:t xml:space="preserve">, T. C. 1987. Touching greatness. Paper presented at the annual meeting of the American Psychological Association, New York. </w:t>
      </w:r>
    </w:p>
    <w:p w:rsidR="004636A3" w:rsidRPr="004636A3" w:rsidRDefault="004636A3" w:rsidP="004636A3">
      <w:pPr>
        <w:pStyle w:val="Default"/>
        <w:rPr>
          <w:b/>
          <w:bCs/>
          <w:i/>
          <w:iCs/>
          <w:szCs w:val="22"/>
        </w:rPr>
      </w:pPr>
    </w:p>
    <w:p w:rsidR="004636A3" w:rsidRPr="004636A3" w:rsidRDefault="004636A3" w:rsidP="004636A3">
      <w:pPr>
        <w:pStyle w:val="Default"/>
        <w:rPr>
          <w:szCs w:val="22"/>
        </w:rPr>
      </w:pPr>
      <w:r w:rsidRPr="004636A3">
        <w:rPr>
          <w:b/>
          <w:bCs/>
          <w:i/>
          <w:iCs/>
          <w:szCs w:val="22"/>
        </w:rPr>
        <w:t xml:space="preserve">Online Documents </w:t>
      </w:r>
    </w:p>
    <w:p w:rsidR="004636A3" w:rsidRPr="004636A3" w:rsidRDefault="004636A3" w:rsidP="004636A3">
      <w:pPr>
        <w:rPr>
          <w:sz w:val="25"/>
          <w:szCs w:val="23"/>
        </w:rPr>
      </w:pPr>
      <w:r w:rsidRPr="004636A3">
        <w:rPr>
          <w:sz w:val="25"/>
          <w:szCs w:val="23"/>
        </w:rPr>
        <w:t xml:space="preserve">Adamic, L.A., and B.A. Huberman. 1999. The nature of markets in the World Wide Web. Working paper, Xerox Palo Alto Research Center. http://www.parc.xerox.com/istl/groups/ </w:t>
      </w:r>
      <w:proofErr w:type="spellStart"/>
      <w:r w:rsidRPr="004636A3">
        <w:rPr>
          <w:sz w:val="25"/>
          <w:szCs w:val="23"/>
        </w:rPr>
        <w:t>iea</w:t>
      </w:r>
      <w:proofErr w:type="spellEnd"/>
      <w:r w:rsidRPr="004636A3">
        <w:rPr>
          <w:sz w:val="25"/>
          <w:szCs w:val="23"/>
        </w:rPr>
        <w:t>/www/webmarkets.html (accessed March 12, 2001).</w:t>
      </w:r>
    </w:p>
    <w:bookmarkEnd w:id="0"/>
    <w:p w:rsidR="004636A3" w:rsidRPr="004636A3" w:rsidRDefault="004636A3" w:rsidP="004636A3">
      <w:pPr>
        <w:rPr>
          <w:sz w:val="24"/>
        </w:rPr>
      </w:pPr>
    </w:p>
    <w:sectPr w:rsidR="004636A3" w:rsidRPr="00463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6A3"/>
    <w:rsid w:val="0046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EFE9"/>
  <w15:chartTrackingRefBased/>
  <w15:docId w15:val="{6D76EE16-E839-452E-8636-37F8E07A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36A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Garg, Shikha</dc:creator>
  <cp:keywords/>
  <dc:description/>
  <cp:lastModifiedBy>Garg, Shikha</cp:lastModifiedBy>
  <cp:revision>1</cp:revision>
  <dcterms:created xsi:type="dcterms:W3CDTF">2018-06-18T11:39:00Z</dcterms:created>
  <dcterms:modified xsi:type="dcterms:W3CDTF">2018-06-18T11:48:00Z</dcterms:modified>
</cp:coreProperties>
</file>