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Evaluating a RAG System</w:t>
      </w:r>
    </w:p>
    <w:p>
      <w:r>
        <w:t>A RAG system has two halves that fail for different reasons, and they must be measured separately. If retrieval never surfaces the right passage, no language model can recover; if retrieval succeeds but generation ignores the context, the fault lies in the prompt or the model.</w:t>
      </w:r>
    </w:p>
    <w:p>
      <w:pPr>
        <w:pStyle w:val="Heading1"/>
      </w:pPr>
      <w:r>
        <w:t>Retrieval metrics</w:t>
      </w:r>
    </w:p>
    <w:p>
      <w:r>
        <w:t>Hit rate measures how often the correct document appears anywhere in the top k results. Mean Reciprocal Rank rewards placing the correct document higher: it averages one divided by the rank of the first correct hit. Recall at k measures what fraction of all relevant documents were found.</w:t>
      </w:r>
    </w:p>
    <w:p>
      <w:pPr>
        <w:pStyle w:val="Heading1"/>
      </w:pPr>
      <w:r>
        <w:t>Generation metrics</w:t>
      </w:r>
    </w:p>
    <w:p>
      <w:r>
        <w:t>Groundedness asks whether every claim in the answer is supported by the retrieved context; an ungrounded answer is a hallucination even when it happens to be true. Relevance asks whether the answer actually addresses the question that was asked. Both are commonly scored by using a language model as a judge.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