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 w:before="60"/>
        <w:jc w:val="left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Sunita Krishnamurthy</w:t>
      </w:r>
    </w:p>
    <w:p>
      <w:pPr>
        <w:spacing w:after="8" w:before="60"/>
        <w:jc w:val="left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urmila.sunita.k@gmail.com   ·   +91 97893 24510   ·   Chennai / Mumbai</w:t>
      </w:r>
    </w:p>
    <w:p>
      <w:pPr>
        <w:spacing w:after="200" w:before="60"/>
        <w:jc w:val="left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linkedin.com/in/sunitak-ops</w:t>
      </w:r>
    </w:p>
    <w:p>
      <w:pPr>
        <w:pBdr>
          <w:left w:val="single" w:color="0d7377" w:sz="18" w:space="8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Profile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Operations professional with seven years of experience across freight forwarding documentation, customs compliance, and logistics process improvement. Spent four years managing high-volume shipment documentation at a mid-sized freight forwarder before transitioning to independent consulting. Comfortable owning processes from start to finish with limited oversight. IATA DGR certified.</w:t>
      </w:r>
    </w:p>
    <w:p>
      <w:pPr>
        <w:pBdr>
          <w:left w:val="single" w:color="0d7377" w:sz="18" w:space="8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Experience</w:t>
      </w:r>
    </w:p>
    <w:p>
      <w:pPr>
        <w:spacing w:after="12" w:before="140"/>
        <w:jc w:val="left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Operations Consultant (Independent)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Self-employed, Mumbai   ·   Oct 2020 – Present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Engaged by three logistics firms (a licensed customs broker, a freight forwarder, and a bonded warehouse operator) for operations assessment and workflow redesign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Led one client through a complete migration from paper-based shipment records to a cloud-based freight management system — scoped the project, managed the vendor relationship, ran staff training, and monitored the first 30 days of go-live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Conducted a DGFT compliance audit for an exporter client ahead of a departmental inspection — identified and resolved four documentation gaps in advance; client passed inspection without any observations raised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Developed standard operating procedures for a small CHA firm covering documentation, client communication, and escalation handling; procedures adopted in full within 60 days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Provides ad hoc advisory on IEC registration, MEIS and RoDTEP claims, and EDI filing process for SME exporter clients</w:t>
      </w:r>
    </w:p>
    <w:p>
      <w:pPr>
        <w:spacing w:after="12" w:before="140"/>
        <w:jc w:val="left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Documentation &amp; Compliance Executive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Trident Freight Services Pvt. Ltd., Chennai   ·   Jul 2017 – Sep 2020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Managed Bills of Lading, Shipping Instructions, Certificates of Origin, packing lists, and customs documentation for 200+ import and export shipments monthly across sea and air modes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Primary coordination point between Trident's operations team, customs brokers (CHAs), freight agents, port authorities, and the DGFT office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When the company's FMS vendor changed their data export format without notice, independently redesigned the team's documentation intake and filing workflow over a weekend to ensure no disruption; the updated process was retained permanently by the team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Handled documentation for one of the firm's largest accounts — a pharma exporter shipping to 12 countries — including special requirements for CDSCO, WHO-GMP, and country-specific regulatory certificates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Trained two junior documentation executives and reviewed their work for the first six months; one was promoted to team lead within 18 months of joining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Liaised with Customs Preventive and Audit teams during two shipment-level inspections; both closed without penalties</w:t>
      </w:r>
    </w:p>
    <w:p>
      <w:pPr>
        <w:spacing w:after="12" w:before="140"/>
        <w:jc w:val="left"/>
      </w:pPr>
      <w:r>
        <w:rPr>
          <w:rFonts w:ascii="Calibri" w:cs="Calibri" w:eastAsia="Calibri" w:hAnsi="Calibri"/>
          <w:b/>
          <w:bCs/>
          <w:color w:val="14213d"/>
          <w:sz w:val="22"/>
          <w:szCs w:val="22"/>
        </w:rPr>
        <w:t xml:space="preserve">Junior Documentation Executive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Blue Anchor Freight Pvt. Ltd., Chennai   ·   Aug 2016 – Jun 2017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Entry-level role handling HBL preparation, SI submission, and carrier coordination for a small NVOCC operator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Managed a portfolio of 30–40 LCL shipments monthly under supervision of a senior executive</w:t>
      </w:r>
    </w:p>
    <w:p>
      <w:pPr>
        <w:pBdr>
          <w:left w:val="single" w:color="0d7377" w:sz="18" w:space="8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Education</w:t>
      </w:r>
    </w:p>
    <w:p>
      <w:pPr>
        <w:spacing w:after="3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B.Com (Hons.)   ·   Loyola College, Chennai   ·   2013–2016   ·   Distinction</w:t>
      </w:r>
    </w:p>
    <w:p>
      <w:pPr>
        <w:pBdr>
          <w:left w:val="single" w:color="0d7377" w:sz="18" w:space="8"/>
        </w:pBdr>
        <w:spacing w:after="80" w:before="260"/>
        <w:jc w:val="left"/>
      </w:pPr>
      <w:r>
        <w:rPr>
          <w:rFonts w:ascii="Calibri" w:cs="Calibri" w:eastAsia="Calibri" w:hAnsi="Calibri"/>
          <w:b/>
          <w:bCs/>
          <w:color w:val="0d7377"/>
          <w:sz w:val="20"/>
          <w:szCs w:val="20"/>
        </w:rPr>
        <w:t xml:space="preserve">  Certifications &amp; Tools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IATA Dangerous Goods Regulations (DGR) – Category 6 (2019, renewed 2022)  ·  EXIM Procedures &amp; Documentation – Indian Institute of Export Management (2017)  ·  CargoWise One  ·  ICEGATE  ·  IceGate EDI  ·  Customs EDI  ·  MS Excel (advanced)  ·  Tally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2026-09-26T06:27:45.411Z</dcterms:created>
  <dcterms:modified xsi:type="dcterms:W3CDTF">2026-09-26T06:27:45.411Z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