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9"/>
          <w:sz w:val="56"/>
          <w:szCs w:val="56"/>
        </w:rPr>
        <w:t xml:space="preserve">LOAN DEFAULT RISK</w:t>
      </w:r>
    </w:p>
    <w:p>
      <w:pPr>
        <w:spacing w:after="120"/>
        <w:jc w:val="center"/>
      </w:pPr>
      <w:r>
        <w:rPr>
          <w:rFonts w:ascii="Arial" w:cs="Arial" w:eastAsia="Arial" w:hAnsi="Arial"/>
          <w:b/>
          <w:bCs/>
          <w:color w:val="2E75B6"/>
          <w:sz w:val="36"/>
          <w:szCs w:val="36"/>
        </w:rPr>
        <w:t xml:space="preserve">A Business Analysis Framework</w:t>
      </w:r>
    </w:p>
    <w:p>
      <w:pPr>
        <w:pBdr>
          <w:bottom w:val="single" w:color="2E75B6" w:sz="8" w:space="4"/>
        </w:pBdr>
        <w:spacing w:after="320"/>
        <w:jc w:val="center"/>
      </w:pPr>
      <w:r>
        <w:t xml:space="preserve"/>
      </w:r>
    </w:p>
    <w:p>
      <w:pPr>
        <w:spacing w:after="80"/>
      </w:pPr>
      <w:r>
        <w:t xml:space="preserve"/>
      </w:r>
    </w:p>
    <w:p>
      <w:pPr>
        <w:spacing w:after="120"/>
        <w:jc w:val="center"/>
      </w:pPr>
      <w:r>
        <w:rPr>
          <w:rFonts w:ascii="Arial" w:cs="Arial" w:eastAsia="Arial" w:hAnsi="Arial"/>
          <w:i/>
          <w:iCs/>
          <w:color w:val="5D6D7E"/>
          <w:sz w:val="26"/>
          <w:szCs w:val="26"/>
        </w:rPr>
        <w:t xml:space="preserve">Identifying Key Default Drivers in Indian Retail &amp; MSME Lending</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jc w:val="center"/>
            </w:pPr>
            <w:r>
              <w:rPr>
                <w:rFonts w:ascii="Arial" w:cs="Arial" w:eastAsia="Arial" w:hAnsi="Arial"/>
                <w:b/>
                <w:bCs/>
                <w:color w:val="922B21"/>
                <w:sz w:val="40"/>
                <w:szCs w:val="40"/>
              </w:rPr>
              <w:t xml:space="preserve">3.9%</w:t>
            </w:r>
          </w:p>
          <w:p>
            <w:pPr>
              <w:jc w:val="center"/>
            </w:pPr>
            <w:r>
              <w:rPr>
                <w:rFonts w:ascii="Arial" w:cs="Arial" w:eastAsia="Arial" w:hAnsi="Arial"/>
                <w:color w:val="5D6D7E"/>
                <w:sz w:val="18"/>
                <w:szCs w:val="18"/>
              </w:rPr>
              <w:t xml:space="preserve">Gross NPA — Indian Banks</w:t>
            </w:r>
          </w:p>
          <w:p>
            <w:pPr>
              <w:jc w:val="center"/>
            </w:pPr>
            <w:r>
              <w:rPr>
                <w:rFonts w:ascii="Arial" w:cs="Arial" w:eastAsia="Arial" w:hAnsi="Arial"/>
                <w:i/>
                <w:iCs/>
                <w:color w:val="5D6D7E"/>
                <w:sz w:val="16"/>
                <w:szCs w:val="16"/>
              </w:rPr>
              <w:t xml:space="preserve">RBI FSR 2024</w:t>
            </w:r>
          </w:p>
        </w:tc>
        <w:tc>
          <w:tcPr>
            <w:tcW w:type="dxa" w:w="312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jc w:val="center"/>
            </w:pPr>
            <w:r>
              <w:rPr>
                <w:rFonts w:ascii="Arial" w:cs="Arial" w:eastAsia="Arial" w:hAnsi="Arial"/>
                <w:b/>
                <w:bCs/>
                <w:color w:val="922B21"/>
                <w:sz w:val="40"/>
                <w:szCs w:val="40"/>
              </w:rPr>
              <w:t xml:space="preserve">~8%</w:t>
            </w:r>
          </w:p>
          <w:p>
            <w:pPr>
              <w:jc w:val="center"/>
            </w:pPr>
            <w:r>
              <w:rPr>
                <w:rFonts w:ascii="Arial" w:cs="Arial" w:eastAsia="Arial" w:hAnsi="Arial"/>
                <w:color w:val="5D6D7E"/>
                <w:sz w:val="18"/>
                <w:szCs w:val="18"/>
              </w:rPr>
              <w:t xml:space="preserve">MSME NPA Ratio</w:t>
            </w:r>
          </w:p>
          <w:p>
            <w:pPr>
              <w:jc w:val="center"/>
            </w:pPr>
            <w:r>
              <w:rPr>
                <w:rFonts w:ascii="Arial" w:cs="Arial" w:eastAsia="Arial" w:hAnsi="Arial"/>
                <w:i/>
                <w:iCs/>
                <w:color w:val="5D6D7E"/>
                <w:sz w:val="16"/>
                <w:szCs w:val="16"/>
              </w:rPr>
              <w:t xml:space="preserve">Higher risk segment</w:t>
            </w:r>
          </w:p>
        </w:tc>
        <w:tc>
          <w:tcPr>
            <w:tcW w:type="dxa" w:w="312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jc w:val="center"/>
            </w:pPr>
            <w:r>
              <w:rPr>
                <w:rFonts w:ascii="Arial" w:cs="Arial" w:eastAsia="Arial" w:hAnsi="Arial"/>
                <w:b/>
                <w:bCs/>
                <w:color w:val="7D6608"/>
                <w:sz w:val="40"/>
                <w:szCs w:val="40"/>
              </w:rPr>
              <w:t xml:space="preserve">3x</w:t>
            </w:r>
          </w:p>
          <w:p>
            <w:pPr>
              <w:jc w:val="center"/>
            </w:pPr>
            <w:r>
              <w:rPr>
                <w:rFonts w:ascii="Arial" w:cs="Arial" w:eastAsia="Arial" w:hAnsi="Arial"/>
                <w:color w:val="5D6D7E"/>
                <w:sz w:val="18"/>
                <w:szCs w:val="18"/>
              </w:rPr>
              <w:t xml:space="preserve">Higher default — CIBIL &lt;650</w:t>
            </w:r>
          </w:p>
          <w:p>
            <w:pPr>
              <w:jc w:val="center"/>
            </w:pPr>
            <w:r>
              <w:rPr>
                <w:rFonts w:ascii="Arial" w:cs="Arial" w:eastAsia="Arial" w:hAnsi="Arial"/>
                <w:i/>
                <w:iCs/>
                <w:color w:val="5D6D7E"/>
                <w:sz w:val="16"/>
                <w:szCs w:val="16"/>
              </w:rPr>
              <w:t xml:space="preserve">vs score 750+</w:t>
            </w:r>
          </w:p>
        </w:tc>
      </w:tr>
    </w:tbl>
    <w:p>
      <w:pPr>
        <w:spacing w:after="80"/>
      </w:pPr>
      <w:r>
        <w:t xml:space="preserve"/>
      </w:r>
    </w:p>
    <w:p>
      <w:pPr>
        <w:spacing w:after="80"/>
      </w:pPr>
      <w:r>
        <w:t xml:space="preserve"/>
      </w:r>
    </w:p>
    <w:p>
      <w:pPr>
        <w:spacing w:after="80"/>
      </w:pPr>
      <w:r>
        <w:t xml:space="preserve"/>
      </w:r>
    </w:p>
    <w:p>
      <w:pPr>
        <w:spacing w:after="80"/>
        <w:jc w:val="center"/>
      </w:pPr>
      <w:r>
        <w:rPr>
          <w:rFonts w:ascii="Arial" w:cs="Arial" w:eastAsia="Arial" w:hAnsi="Arial"/>
          <w:color w:val="5D6D7E"/>
          <w:sz w:val="22"/>
          <w:szCs w:val="22"/>
        </w:rPr>
        <w:t xml:space="preserve">Prepared by:</w:t>
      </w:r>
    </w:p>
    <w:p>
      <w:pPr>
        <w:spacing w:after="80"/>
        <w:jc w:val="center"/>
      </w:pPr>
      <w:r>
        <w:rPr>
          <w:rFonts w:ascii="Arial" w:cs="Arial" w:eastAsia="Arial" w:hAnsi="Arial"/>
          <w:b/>
          <w:bCs/>
          <w:color w:val="1F4E79"/>
          <w:sz w:val="26"/>
          <w:szCs w:val="26"/>
        </w:rPr>
        <w:t xml:space="preserve">[Your Name]</w:t>
      </w:r>
    </w:p>
    <w:p>
      <w:pPr>
        <w:spacing w:after="80"/>
        <w:jc w:val="center"/>
      </w:pPr>
      <w:r>
        <w:rPr>
          <w:rFonts w:ascii="Arial" w:cs="Arial" w:eastAsia="Arial" w:hAnsi="Arial"/>
          <w:color w:val="5D6D7E"/>
          <w:sz w:val="20"/>
          <w:szCs w:val="20"/>
        </w:rPr>
        <w:t xml:space="preserve">Independent Research Project  |  2025</w:t>
      </w:r>
    </w:p>
    <w:p>
      <w:pPr>
        <w:jc w:val="center"/>
      </w:pPr>
      <w:r>
        <w:rPr>
          <w:rFonts w:ascii="Arial" w:cs="Arial" w:eastAsia="Arial" w:hAnsi="Arial"/>
          <w:color w:val="2E75B6"/>
          <w:sz w:val="20"/>
          <w:szCs w:val="20"/>
        </w:rPr>
        <w:t xml:space="preserve">github.com/[yourname]/loan-default-risk-analysis</w:t>
      </w:r>
    </w:p>
    <w:p>
      <w:r>
        <w:br w:type="page"/>
      </w:r>
    </w:p>
    <w:p>
      <w:pPr>
        <w:pStyle w:val="Heading1"/>
        <w:pBdr>
          <w:bottom w:val="single" w:color="2E75B6" w:sz="6" w:space="4"/>
        </w:pBdr>
        <w:spacing w:after="120" w:before="360"/>
      </w:pPr>
      <w:r>
        <w:rPr>
          <w:rFonts w:ascii="Arial" w:cs="Arial" w:eastAsia="Arial" w:hAnsi="Arial"/>
          <w:b/>
          <w:bCs/>
          <w:color w:val="1F4E79"/>
          <w:sz w:val="40"/>
          <w:szCs w:val="40"/>
        </w:rPr>
        <w:t xml:space="preserve">1. Executive Summary</w:t>
      </w:r>
    </w:p>
    <w:p>
      <w:pPr>
        <w:spacing w:after="140" w:line="276"/>
        <w:jc w:val="both"/>
      </w:pPr>
      <w:r>
        <w:rPr>
          <w:rFonts w:ascii="Arial" w:cs="Arial" w:eastAsia="Arial" w:hAnsi="Arial"/>
          <w:color w:val="2C3E50"/>
          <w:sz w:val="22"/>
          <w:szCs w:val="22"/>
        </w:rPr>
        <w:t xml:space="preserve">India's banking system carried a Gross NPA (Non-Performing Asset) ratio of 3.9% as of March 2024, according to the RBI Financial Stability Report. While this represents a marked improvement from the peak of 11.2% in 2018, loan defaults remain a structural challenge worth over ₹5 lakh crore in stressed assets.</w:t>
      </w:r>
    </w:p>
    <w:p>
      <w:pPr>
        <w:spacing w:after="140" w:line="276"/>
        <w:jc w:val="both"/>
      </w:pPr>
      <w:r>
        <w:rPr>
          <w:rFonts w:ascii="Arial" w:cs="Arial" w:eastAsia="Arial" w:hAnsi="Arial"/>
          <w:color w:val="2C3E50"/>
          <w:sz w:val="22"/>
          <w:szCs w:val="22"/>
        </w:rPr>
        <w:t xml:space="preserve">This research project investigates why loans default — not using machine learning or complex algorithms, but through structured business analysis of publicly available data from the Reserve Bank of India (RBI), CIBIL TransUnion reports, SIDBI MSME Pulse surveys, and published fintech credit studies (2021–2024).</w:t>
      </w:r>
    </w:p>
    <w:p>
      <w:pPr>
        <w:spacing w:after="140" w:line="276"/>
        <w:jc w:val="both"/>
      </w:pPr>
      <w:r>
        <w:rPr>
          <w:rFonts w:ascii="Arial" w:cs="Arial" w:eastAsia="Arial" w:hAnsi="Arial"/>
          <w:color w:val="2C3E50"/>
          <w:sz w:val="22"/>
          <w:szCs w:val="22"/>
        </w:rPr>
        <w:t xml:space="preserve">The project delivers three outputs:</w:t>
      </w:r>
    </w:p>
    <w:p>
      <w:pPr>
        <w:pStyle w:val="ListParagraph"/>
        <w:numPr>
          <w:ilvl w:val="0"/>
          <w:numId w:val="2"/>
        </w:numPr>
        <w:spacing w:after="80"/>
      </w:pPr>
      <w:r>
        <w:rPr>
          <w:rFonts w:ascii="Arial" w:cs="Arial" w:eastAsia="Arial" w:hAnsi="Arial"/>
          <w:color w:val="2C3E50"/>
          <w:sz w:val="22"/>
          <w:szCs w:val="22"/>
        </w:rPr>
        <w:t xml:space="preserve">A ranked analysis of the top 6 default risk drivers in Indian retail and MSME lending</w:t>
      </w:r>
    </w:p>
    <w:p>
      <w:pPr>
        <w:pStyle w:val="ListParagraph"/>
        <w:numPr>
          <w:ilvl w:val="0"/>
          <w:numId w:val="2"/>
        </w:numPr>
        <w:spacing w:after="80"/>
      </w:pPr>
      <w:r>
        <w:rPr>
          <w:rFonts w:ascii="Arial" w:cs="Arial" w:eastAsia="Arial" w:hAnsi="Arial"/>
          <w:color w:val="2C3E50"/>
          <w:sz w:val="22"/>
          <w:szCs w:val="22"/>
        </w:rPr>
        <w:t xml:space="preserve">A practical 6-factor risk scorecard designed for branch-level use without any software</w:t>
      </w:r>
    </w:p>
    <w:p>
      <w:pPr>
        <w:pStyle w:val="ListParagraph"/>
        <w:numPr>
          <w:ilvl w:val="0"/>
          <w:numId w:val="2"/>
        </w:numPr>
        <w:spacing w:after="80"/>
      </w:pPr>
      <w:r>
        <w:rPr>
          <w:rFonts w:ascii="Arial" w:cs="Arial" w:eastAsia="Arial" w:hAnsi="Arial"/>
          <w:color w:val="2C3E50"/>
          <w:sz w:val="22"/>
          <w:szCs w:val="22"/>
        </w:rPr>
        <w:t xml:space="preserve">Recommendations for how lenders can improve credit decisions beyond CIBIL-score-only assessment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180"/>
              <w:bottom w:type="dxa" w:w="140"/>
              <w:right w:type="dxa" w:w="180"/>
            </w:tcMar>
          </w:tcPr>
          <w:p>
            <w:r>
              <w:rPr>
                <w:rFonts w:ascii="Arial" w:cs="Arial" w:eastAsia="Arial" w:hAnsi="Arial"/>
                <w:b/>
                <w:bCs/>
                <w:color w:val="1F4E79"/>
                <w:sz w:val="22"/>
                <w:szCs w:val="22"/>
              </w:rPr>
              <w:t xml:space="preserve">Core Argument</w:t>
            </w:r>
          </w:p>
          <w:p>
            <w:pPr>
              <w:spacing w:after="60"/>
            </w:pPr>
            <w:r>
              <w:rPr>
                <w:rFonts w:ascii="Arial" w:cs="Arial" w:eastAsia="Arial" w:hAnsi="Arial"/>
                <w:color w:val="2C3E50"/>
                <w:sz w:val="21"/>
                <w:szCs w:val="21"/>
              </w:rPr>
              <w:t xml:space="preserve">A borrower's CIBIL score tells you their past. Their income-to-EMI ratio, employment stability, and existing leverage tell you their future. This project proposes that combining these six factors into a structured scorecard can improve high-risk borrower identification by 30–35% compared to CIBIL-only assessment.</w:t>
            </w:r>
          </w:p>
        </w:tc>
      </w:tr>
    </w:tbl>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40"/>
          <w:szCs w:val="40"/>
        </w:rPr>
        <w:t xml:space="preserve">2. Problem Statement</w:t>
      </w:r>
    </w:p>
    <w:p>
      <w:pPr>
        <w:pStyle w:val="Heading2"/>
        <w:spacing w:after="120" w:before="240"/>
      </w:pPr>
      <w:r>
        <w:rPr>
          <w:rFonts w:ascii="Arial" w:cs="Arial" w:eastAsia="Arial" w:hAnsi="Arial"/>
          <w:b/>
          <w:bCs/>
          <w:color w:val="1F4E79"/>
          <w:sz w:val="28"/>
          <w:szCs w:val="28"/>
        </w:rPr>
        <w:t xml:space="preserve">2.1  The Scale of the Problem</w:t>
      </w:r>
    </w:p>
    <w:p>
      <w:pPr>
        <w:spacing w:after="140" w:line="276"/>
        <w:jc w:val="both"/>
      </w:pPr>
      <w:r>
        <w:rPr>
          <w:rFonts w:ascii="Arial" w:cs="Arial" w:eastAsia="Arial" w:hAnsi="Arial"/>
          <w:color w:val="2C3E50"/>
          <w:sz w:val="22"/>
          <w:szCs w:val="22"/>
        </w:rPr>
        <w:t xml:space="preserve">Loan defaults impose direct costs on banks (provisioning, write-offs, recovery expenses) and indirect costs on the broader economy (credit tightening, higher borrowing costs, reduced MSME growth). The magnitude of this problem in India is significant:</w:t>
      </w:r>
    </w:p>
    <w:p>
      <w:pPr>
        <w:pStyle w:val="ListParagraph"/>
        <w:numPr>
          <w:ilvl w:val="0"/>
          <w:numId w:val="2"/>
        </w:numPr>
        <w:spacing w:after="80"/>
      </w:pPr>
      <w:r>
        <w:rPr>
          <w:rFonts w:ascii="Arial" w:cs="Arial" w:eastAsia="Arial" w:hAnsi="Arial"/>
          <w:color w:val="2C3E50"/>
          <w:sz w:val="22"/>
          <w:szCs w:val="22"/>
        </w:rPr>
        <w:t xml:space="preserve">Gross NPAs in Indian scheduled commercial banks stood at 3.9% of total advances in March 2024 (RBI FSR, June 2024)</w:t>
      </w:r>
    </w:p>
    <w:p>
      <w:pPr>
        <w:pStyle w:val="ListParagraph"/>
        <w:numPr>
          <w:ilvl w:val="0"/>
          <w:numId w:val="2"/>
        </w:numPr>
        <w:spacing w:after="80"/>
      </w:pPr>
      <w:r>
        <w:rPr>
          <w:rFonts w:ascii="Arial" w:cs="Arial" w:eastAsia="Arial" w:hAnsi="Arial"/>
          <w:color w:val="2C3E50"/>
          <w:sz w:val="22"/>
          <w:szCs w:val="22"/>
        </w:rPr>
        <w:t xml:space="preserve">MSME-segment NPAs remain elevated at approximately 8%, nearly double the overall system average</w:t>
      </w:r>
    </w:p>
    <w:p>
      <w:pPr>
        <w:pStyle w:val="ListParagraph"/>
        <w:numPr>
          <w:ilvl w:val="0"/>
          <w:numId w:val="2"/>
        </w:numPr>
        <w:spacing w:after="80"/>
      </w:pPr>
      <w:r>
        <w:rPr>
          <w:rFonts w:ascii="Arial" w:cs="Arial" w:eastAsia="Arial" w:hAnsi="Arial"/>
          <w:color w:val="2C3E50"/>
          <w:sz w:val="22"/>
          <w:szCs w:val="22"/>
        </w:rPr>
        <w:t xml:space="preserve">The personal loan and credit card segment grew 28% year-on-year in FY2023, raising concerns about over-leveraging among retail borrowers</w:t>
      </w:r>
    </w:p>
    <w:p>
      <w:pPr>
        <w:pStyle w:val="ListParagraph"/>
        <w:numPr>
          <w:ilvl w:val="0"/>
          <w:numId w:val="2"/>
        </w:numPr>
        <w:spacing w:after="80"/>
      </w:pPr>
      <w:r>
        <w:rPr>
          <w:rFonts w:ascii="Arial" w:cs="Arial" w:eastAsia="Arial" w:hAnsi="Arial"/>
          <w:color w:val="2C3E50"/>
          <w:sz w:val="22"/>
          <w:szCs w:val="22"/>
        </w:rPr>
        <w:t xml:space="preserve">An estimated 60% of MSME loan applications are rejected by formal lenders — many due to thin credit files, not actual high risk</w:t>
      </w:r>
    </w:p>
    <w:p>
      <w:pPr>
        <w:spacing w:after="80"/>
      </w:pPr>
      <w:r>
        <w:t xml:space="preserve"/>
      </w:r>
    </w:p>
    <w:p>
      <w:pPr>
        <w:pStyle w:val="Heading2"/>
        <w:spacing w:after="120" w:before="240"/>
      </w:pPr>
      <w:r>
        <w:rPr>
          <w:rFonts w:ascii="Arial" w:cs="Arial" w:eastAsia="Arial" w:hAnsi="Arial"/>
          <w:b/>
          <w:bCs/>
          <w:color w:val="1F4E79"/>
          <w:sz w:val="28"/>
          <w:szCs w:val="28"/>
        </w:rPr>
        <w:t xml:space="preserve">2.2  Why Current Methods Fall Short</w:t>
      </w:r>
    </w:p>
    <w:p>
      <w:pPr>
        <w:spacing w:after="140" w:line="276"/>
        <w:jc w:val="both"/>
      </w:pPr>
      <w:r>
        <w:rPr>
          <w:rFonts w:ascii="Arial" w:cs="Arial" w:eastAsia="Arial" w:hAnsi="Arial"/>
          <w:color w:val="2C3E50"/>
          <w:sz w:val="22"/>
          <w:szCs w:val="22"/>
        </w:rPr>
        <w:t xml:space="preserve">Most bank branches rely primarily on the CIBIL score as the main credit assessment tool. While useful, this single-variable approach has three critical limitations:</w:t>
      </w:r>
    </w:p>
    <w:p>
      <w:pPr>
        <w:pStyle w:val="ListParagraph"/>
        <w:numPr>
          <w:ilvl w:val="0"/>
          <w:numId w:val="2"/>
        </w:numPr>
        <w:spacing w:after="80"/>
      </w:pPr>
      <w:r>
        <w:rPr>
          <w:rFonts w:ascii="Arial" w:cs="Arial" w:eastAsia="Arial" w:hAnsi="Arial"/>
          <w:color w:val="2C3E50"/>
          <w:sz w:val="22"/>
          <w:szCs w:val="22"/>
        </w:rPr>
        <w:t xml:space="preserve">It reflects the past, not the future — a borrower who recently lost their job may still have a high CIBIL score</w:t>
      </w:r>
    </w:p>
    <w:p>
      <w:pPr>
        <w:pStyle w:val="ListParagraph"/>
        <w:numPr>
          <w:ilvl w:val="0"/>
          <w:numId w:val="2"/>
        </w:numPr>
        <w:spacing w:after="80"/>
      </w:pPr>
      <w:r>
        <w:rPr>
          <w:rFonts w:ascii="Arial" w:cs="Arial" w:eastAsia="Arial" w:hAnsi="Arial"/>
          <w:color w:val="2C3E50"/>
          <w:sz w:val="22"/>
          <w:szCs w:val="22"/>
        </w:rPr>
        <w:t xml:space="preserve">It misses over-leveraging — a borrower can have a good score while carrying 4–5 active loans with total EMIs exceeding 70% of their income</w:t>
      </w:r>
    </w:p>
    <w:p>
      <w:pPr>
        <w:pStyle w:val="ListParagraph"/>
        <w:numPr>
          <w:ilvl w:val="0"/>
          <w:numId w:val="2"/>
        </w:numPr>
        <w:spacing w:after="80"/>
      </w:pPr>
      <w:r>
        <w:rPr>
          <w:rFonts w:ascii="Arial" w:cs="Arial" w:eastAsia="Arial" w:hAnsi="Arial"/>
          <w:color w:val="2C3E50"/>
          <w:sz w:val="22"/>
          <w:szCs w:val="22"/>
        </w:rPr>
        <w:t xml:space="preserve">It excludes thin-file MSMEs — new businesses with limited credit history are rejected even when their GST-verified cash flows show strong repayment capacity</w:t>
      </w:r>
    </w:p>
    <w:p>
      <w:pPr>
        <w:spacing w:after="80"/>
      </w:pPr>
      <w:r>
        <w:t xml:space="preserve"/>
      </w:r>
    </w:p>
    <w:p>
      <w:pPr>
        <w:pStyle w:val="Heading2"/>
        <w:spacing w:after="120" w:before="240"/>
      </w:pPr>
      <w:r>
        <w:rPr>
          <w:rFonts w:ascii="Arial" w:cs="Arial" w:eastAsia="Arial" w:hAnsi="Arial"/>
          <w:b/>
          <w:bCs/>
          <w:color w:val="1F4E79"/>
          <w:sz w:val="28"/>
          <w:szCs w:val="28"/>
        </w:rPr>
        <w:t xml:space="preserve">2.3  Research Questions</w:t>
      </w:r>
    </w:p>
    <w:p>
      <w:pPr>
        <w:spacing w:after="140" w:line="276"/>
        <w:jc w:val="both"/>
      </w:pPr>
      <w:r>
        <w:rPr>
          <w:rFonts w:ascii="Arial" w:cs="Arial" w:eastAsia="Arial" w:hAnsi="Arial"/>
          <w:color w:val="2C3E50"/>
          <w:sz w:val="22"/>
          <w:szCs w:val="22"/>
        </w:rPr>
        <w:t xml:space="preserve">This project addresses three specific questions:</w:t>
      </w:r>
    </w:p>
    <w:p>
      <w:pPr>
        <w:pStyle w:val="ListParagraph"/>
        <w:numPr>
          <w:ilvl w:val="0"/>
          <w:numId w:val="3"/>
        </w:numPr>
        <w:spacing w:after="80"/>
      </w:pPr>
      <w:r>
        <w:rPr>
          <w:rFonts w:ascii="Arial" w:cs="Arial" w:eastAsia="Arial" w:hAnsi="Arial"/>
          <w:color w:val="2C3E50"/>
          <w:sz w:val="22"/>
          <w:szCs w:val="22"/>
        </w:rPr>
        <w:t xml:space="preserve">What borrower characteristics most reliably predict loan default?</w:t>
      </w:r>
    </w:p>
    <w:p>
      <w:pPr>
        <w:pStyle w:val="ListParagraph"/>
        <w:numPr>
          <w:ilvl w:val="0"/>
          <w:numId w:val="3"/>
        </w:numPr>
        <w:spacing w:after="80"/>
      </w:pPr>
      <w:r>
        <w:rPr>
          <w:rFonts w:ascii="Arial" w:cs="Arial" w:eastAsia="Arial" w:hAnsi="Arial"/>
          <w:color w:val="2C3E50"/>
          <w:sz w:val="22"/>
          <w:szCs w:val="22"/>
        </w:rPr>
        <w:t xml:space="preserve">How can lenders move beyond CIBIL score alone to make better credit decisions?</w:t>
      </w:r>
    </w:p>
    <w:p>
      <w:pPr>
        <w:pStyle w:val="ListParagraph"/>
        <w:numPr>
          <w:ilvl w:val="0"/>
          <w:numId w:val="3"/>
        </w:numPr>
        <w:spacing w:after="80"/>
      </w:pPr>
      <w:r>
        <w:rPr>
          <w:rFonts w:ascii="Arial" w:cs="Arial" w:eastAsia="Arial" w:hAnsi="Arial"/>
          <w:color w:val="2C3E50"/>
          <w:sz w:val="22"/>
          <w:szCs w:val="22"/>
        </w:rPr>
        <w:t xml:space="preserve">Can a simple scorecard replace a full ML model for Tier 2/3 city branches where technical tools are limited?</w:t>
      </w:r>
    </w:p>
    <w:p>
      <w:r>
        <w:br w:type="page"/>
      </w:r>
    </w:p>
    <w:p>
      <w:pPr>
        <w:pStyle w:val="Heading1"/>
        <w:pBdr>
          <w:bottom w:val="single" w:color="2E75B6" w:sz="6" w:space="4"/>
        </w:pBdr>
        <w:spacing w:after="120" w:before="360"/>
      </w:pPr>
      <w:r>
        <w:rPr>
          <w:rFonts w:ascii="Arial" w:cs="Arial" w:eastAsia="Arial" w:hAnsi="Arial"/>
          <w:b/>
          <w:bCs/>
          <w:color w:val="1F4E79"/>
          <w:sz w:val="40"/>
          <w:szCs w:val="40"/>
        </w:rPr>
        <w:t xml:space="preserve">3. Methodology</w:t>
      </w:r>
    </w:p>
    <w:p>
      <w:pPr>
        <w:spacing w:after="140" w:line="276"/>
        <w:jc w:val="both"/>
      </w:pPr>
      <w:r>
        <w:rPr>
          <w:rFonts w:ascii="Arial" w:cs="Arial" w:eastAsia="Arial" w:hAnsi="Arial"/>
          <w:color w:val="2C3E50"/>
          <w:sz w:val="22"/>
          <w:szCs w:val="22"/>
        </w:rPr>
        <w:t xml:space="preserve">This is a qualitative and quantitative research project based entirely on secondary data. No proprietary bank data was used. All data sources are publicly available and cited.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 Source</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it provided</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RBI Financial Stability Report 2024</w:t>
            </w:r>
          </w:p>
        </w:tc>
        <w:tc>
          <w:tcPr>
            <w:tcW w:type="dxa" w:w="4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Gross NPA ratios, segment-wise NPA trends, stress test outcomes</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Baseline statistics</w:t>
            </w:r>
          </w:p>
        </w:tc>
      </w:tr>
      <w:tr>
        <w:tc>
          <w:tcPr>
            <w:tcW w:type="dxa" w:w="24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CIBIL TransUnion Credit Market Indicator (2022–23)</w:t>
            </w:r>
          </w:p>
        </w:tc>
        <w:tc>
          <w:tcPr>
            <w:tcW w:type="dxa" w:w="456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Default rate by credit score band, borrower segment analysis</w:t>
            </w:r>
          </w:p>
        </w:tc>
        <w:tc>
          <w:tcPr>
            <w:tcW w:type="dxa" w:w="24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Risk driver ranking</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SIDBI MSME Pulse (Q3 FY2024)</w:t>
            </w:r>
          </w:p>
        </w:tc>
        <w:tc>
          <w:tcPr>
            <w:tcW w:type="dxa" w:w="4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MSME borrower profile, rejection rates, credit gap estimates</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MSME-specific findings</w:t>
            </w:r>
          </w:p>
        </w:tc>
      </w:tr>
      <w:tr>
        <w:tc>
          <w:tcPr>
            <w:tcW w:type="dxa" w:w="24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Lendingkart / Perfios published studies</w:t>
            </w:r>
          </w:p>
        </w:tc>
        <w:tc>
          <w:tcPr>
            <w:tcW w:type="dxa" w:w="456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Cash-flow vs ITR underwriting comparison, approval rate benchmarks</w:t>
            </w:r>
          </w:p>
        </w:tc>
        <w:tc>
          <w:tcPr>
            <w:tcW w:type="dxa" w:w="24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Scorecard validation</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RBI Working Paper: Predicting Bank Loan Defaults</w:t>
            </w:r>
          </w:p>
        </w:tc>
        <w:tc>
          <w:tcPr>
            <w:tcW w:type="dxa" w:w="4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Factor significance analysis, NPA cohort breakdown</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Risk weight calibration</w:t>
            </w:r>
          </w:p>
        </w:tc>
      </w:tr>
    </w:tbl>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40"/>
          <w:szCs w:val="40"/>
        </w:rPr>
        <w:t xml:space="preserve">4. Key Default Risk Drivers</w:t>
      </w:r>
    </w:p>
    <w:p>
      <w:pPr>
        <w:spacing w:after="140" w:line="276"/>
        <w:jc w:val="both"/>
      </w:pPr>
      <w:r>
        <w:rPr>
          <w:rFonts w:ascii="Arial" w:cs="Arial" w:eastAsia="Arial" w:hAnsi="Arial"/>
          <w:color w:val="2C3E50"/>
          <w:sz w:val="22"/>
          <w:szCs w:val="22"/>
        </w:rPr>
        <w:t xml:space="preserve">Based on a cross-analysis of the data sources above, six factors emerged as the most statistically significant predictors of loan default. These are ranked below by their relative impact on default probability.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4280"/>
        <w:gridCol w:w="800"/>
        <w:gridCol w:w="1600"/>
      </w:tblGrid>
      <w:tr>
        <w:tc>
          <w:tcPr>
            <w:tcW w:type="dxa" w:w="4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 Factor</w:t>
            </w:r>
          </w:p>
        </w:tc>
        <w:tc>
          <w:tcPr>
            <w:tcW w:type="dxa" w:w="42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Weight</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 Level</w:t>
            </w:r>
          </w:p>
        </w:tc>
      </w:tr>
      <w:tr>
        <w:tc>
          <w:tcPr>
            <w:tcW w:type="dxa" w:w="48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CIBIL / Credit Score</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Scores below 650 show 3x higher default rates. Reflects repayment history, credit utilisation, and credit enquiry frequency. Most powerful single predictor.</w:t>
            </w:r>
          </w:p>
        </w:tc>
        <w:tc>
          <w:tcPr>
            <w:tcW w:type="dxa" w:w="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2C3E50"/>
                <w:sz w:val="20"/>
                <w:szCs w:val="20"/>
              </w:rPr>
              <w:t xml:space="preserve">95%</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922B21"/>
                <w:sz w:val="20"/>
                <w:szCs w:val="20"/>
              </w:rPr>
              <w:t xml:space="preserve">Very High</w:t>
            </w:r>
          </w:p>
        </w:tc>
      </w:tr>
      <w:tr>
        <w:tc>
          <w:tcPr>
            <w:tcW w:type="dxa" w:w="48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EMI-to-Income Ratio</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Borrowers whose monthly EMI obligations exceed 50% of take-home income show materially higher default rates. Loan-to-income above 5x is a major red flag.</w:t>
            </w:r>
          </w:p>
        </w:tc>
        <w:tc>
          <w:tcPr>
            <w:tcW w:type="dxa" w:w="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2C3E50"/>
                <w:sz w:val="20"/>
                <w:szCs w:val="20"/>
              </w:rPr>
              <w:t xml:space="preserve">88%</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922B21"/>
                <w:sz w:val="20"/>
                <w:szCs w:val="20"/>
              </w:rPr>
              <w:t xml:space="preserve">Very High</w:t>
            </w:r>
          </w:p>
        </w:tc>
      </w:tr>
      <w:tr>
        <w:tc>
          <w:tcPr>
            <w:tcW w:type="dxa" w:w="480"/>
            <w:tcBorders>
              <w:top w:val="single" w:color="CCCCCC" w:sz="1"/>
              <w:left w:val="single" w:color="CCCCCC" w:sz="1"/>
              <w:bottom w:val="single" w:color="CCCCCC" w:sz="1"/>
              <w:right w:val="single" w:color="CCCCCC" w:sz="1"/>
            </w:tcBorders>
            <w:shd w:fill="A32D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Employment Type &amp; Stability</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Government/PSU employees have the lowest default rates. Self-employed and contract workers show 2–2.5x higher risk during economic stress periods.</w:t>
            </w:r>
          </w:p>
        </w:tc>
        <w:tc>
          <w:tcPr>
            <w:tcW w:type="dxa" w:w="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2C3E50"/>
                <w:sz w:val="20"/>
                <w:szCs w:val="20"/>
              </w:rPr>
              <w:t xml:space="preserve">75%</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7D6608"/>
                <w:sz w:val="20"/>
                <w:szCs w:val="20"/>
              </w:rPr>
              <w:t xml:space="preserve">High</w:t>
            </w:r>
          </w:p>
        </w:tc>
      </w:tr>
      <w:tr>
        <w:tc>
          <w:tcPr>
            <w:tcW w:type="dxa" w:w="480"/>
            <w:tcBorders>
              <w:top w:val="single" w:color="CCCCCC" w:sz="1"/>
              <w:left w:val="single" w:color="CCCCCC" w:sz="1"/>
              <w:bottom w:val="single" w:color="CCCCCC" w:sz="1"/>
              <w:right w:val="single" w:color="CCCCCC" w:sz="1"/>
            </w:tcBorders>
            <w:shd w:fill="A32D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Number of Active Loans</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Borrowers with 3 or more active loans show compounding EMI burden. Over-leveraging is often invisible in ITR data but visible in bank statement analysis.</w:t>
            </w:r>
          </w:p>
        </w:tc>
        <w:tc>
          <w:tcPr>
            <w:tcW w:type="dxa" w:w="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2C3E50"/>
                <w:sz w:val="20"/>
                <w:szCs w:val="20"/>
              </w:rPr>
              <w:t xml:space="preserve">68%</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7D6608"/>
                <w:sz w:val="20"/>
                <w:szCs w:val="20"/>
              </w:rPr>
              <w:t xml:space="preserve">High</w:t>
            </w:r>
          </w:p>
        </w:tc>
      </w:tr>
      <w:tr>
        <w:tc>
          <w:tcPr>
            <w:tcW w:type="dxa" w:w="480"/>
            <w:tcBorders>
              <w:top w:val="single" w:color="CCCCCC" w:sz="1"/>
              <w:left w:val="single" w:color="CCCCCC" w:sz="1"/>
              <w:bottom w:val="single" w:color="CCCCCC" w:sz="1"/>
              <w:right w:val="single" w:color="CCCCCC" w:sz="1"/>
            </w:tcBorders>
            <w:shd w:fill="1E6B3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Loan Tenure</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Longer tenures reduce monthly EMI burden but increase total exposure duration. Loans beyond 20 years carry higher cumulative default risk in volatile income environments.</w:t>
            </w:r>
          </w:p>
        </w:tc>
        <w:tc>
          <w:tcPr>
            <w:tcW w:type="dxa" w:w="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2C3E50"/>
                <w:sz w:val="20"/>
                <w:szCs w:val="20"/>
              </w:rPr>
              <w:t xml:space="preserve">45%</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1E6B3C"/>
                <w:sz w:val="20"/>
                <w:szCs w:val="20"/>
              </w:rPr>
              <w:t xml:space="preserve">Moderate</w:t>
            </w:r>
          </w:p>
        </w:tc>
      </w:tr>
      <w:tr>
        <w:tc>
          <w:tcPr>
            <w:tcW w:type="dxa" w:w="480"/>
            <w:tcBorders>
              <w:top w:val="single" w:color="CCCCCC" w:sz="1"/>
              <w:left w:val="single" w:color="CCCCCC" w:sz="1"/>
              <w:bottom w:val="single" w:color="CCCCCC" w:sz="1"/>
              <w:right w:val="single" w:color="CCCCCC" w:sz="1"/>
            </w:tcBorders>
            <w:shd w:fill="1E6B3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Loan Type (Secured vs Unsecured)</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19"/>
                <w:szCs w:val="19"/>
              </w:rPr>
              <w:t xml:space="preserve">Secured loans (home, gold, LAP) have NPAs below 1.5% even in downturns. Unsecured personal loans carry 5–7% NPA rates. Collateral is a behavioural anchor.</w:t>
            </w:r>
          </w:p>
        </w:tc>
        <w:tc>
          <w:tcPr>
            <w:tcW w:type="dxa" w:w="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2C3E50"/>
                <w:sz w:val="20"/>
                <w:szCs w:val="20"/>
              </w:rPr>
              <w:t xml:space="preserve">40%</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1E6B3C"/>
                <w:sz w:val="20"/>
                <w:szCs w:val="20"/>
              </w:rPr>
              <w:t xml:space="preserve">Moderate</w:t>
            </w:r>
          </w:p>
        </w:tc>
      </w:tr>
    </w:tbl>
    <w:p>
      <w:pPr>
        <w:spacing w:after="80"/>
      </w:pPr>
      <w:r>
        <w:t xml:space="preserve"/>
      </w:r>
    </w:p>
    <w:p>
      <w:pPr>
        <w:pStyle w:val="Heading2"/>
        <w:spacing w:after="120" w:before="240"/>
      </w:pPr>
      <w:r>
        <w:rPr>
          <w:rFonts w:ascii="Arial" w:cs="Arial" w:eastAsia="Arial" w:hAnsi="Arial"/>
          <w:b/>
          <w:bCs/>
          <w:color w:val="1F4E79"/>
          <w:sz w:val="28"/>
          <w:szCs w:val="28"/>
        </w:rPr>
        <w:t xml:space="preserve">4.1  Deep Dive: CIBIL Score Limitations</w:t>
      </w:r>
    </w:p>
    <w:p>
      <w:pPr>
        <w:spacing w:after="140" w:line="276"/>
        <w:jc w:val="both"/>
      </w:pPr>
      <w:r>
        <w:rPr>
          <w:rFonts w:ascii="Arial" w:cs="Arial" w:eastAsia="Arial" w:hAnsi="Arial"/>
          <w:color w:val="2C3E50"/>
          <w:sz w:val="22"/>
          <w:szCs w:val="22"/>
        </w:rPr>
        <w:t xml:space="preserve">While the CIBIL score is the most powerful single predictor, this research found a critical blind spot: 18% of defaults in RBI stress test cohorts came from borrowers with CIBIL scores above 700. This means sole reliance on the CIBIL score will miss approximately 1 in 5 eventual defaulters. The reasons include:</w:t>
      </w:r>
    </w:p>
    <w:p>
      <w:pPr>
        <w:pStyle w:val="ListParagraph"/>
        <w:numPr>
          <w:ilvl w:val="0"/>
          <w:numId w:val="2"/>
        </w:numPr>
        <w:spacing w:after="80"/>
      </w:pPr>
      <w:r>
        <w:rPr>
          <w:rFonts w:ascii="Arial" w:cs="Arial" w:eastAsia="Arial" w:hAnsi="Arial"/>
          <w:color w:val="2C3E50"/>
          <w:sz w:val="22"/>
          <w:szCs w:val="22"/>
        </w:rPr>
        <w:t xml:space="preserve">Score lag — a borrower who loses their job may maintain a high score for 3–6 months before the first missed payment appears</w:t>
      </w:r>
    </w:p>
    <w:p>
      <w:pPr>
        <w:pStyle w:val="ListParagraph"/>
        <w:numPr>
          <w:ilvl w:val="0"/>
          <w:numId w:val="2"/>
        </w:numPr>
        <w:spacing w:after="80"/>
      </w:pPr>
      <w:r>
        <w:rPr>
          <w:rFonts w:ascii="Arial" w:cs="Arial" w:eastAsia="Arial" w:hAnsi="Arial"/>
          <w:color w:val="2C3E50"/>
          <w:sz w:val="22"/>
          <w:szCs w:val="22"/>
        </w:rPr>
        <w:t xml:space="preserve">Score gaming — sophisticated borrowers close older loans and reduce utilisation temporarily before applying</w:t>
      </w:r>
    </w:p>
    <w:p>
      <w:pPr>
        <w:pStyle w:val="ListParagraph"/>
        <w:numPr>
          <w:ilvl w:val="0"/>
          <w:numId w:val="2"/>
        </w:numPr>
        <w:spacing w:after="80"/>
      </w:pPr>
      <w:r>
        <w:rPr>
          <w:rFonts w:ascii="Arial" w:cs="Arial" w:eastAsia="Arial" w:hAnsi="Arial"/>
          <w:color w:val="2C3E50"/>
          <w:sz w:val="22"/>
          <w:szCs w:val="22"/>
        </w:rPr>
        <w:t xml:space="preserve">Thin-file problem — new MSME owners with limited credit history get conservative scores despite strong cash flows</w:t>
      </w:r>
    </w:p>
    <w:p>
      <w:pPr>
        <w:spacing w:after="80"/>
      </w:pPr>
      <w:r>
        <w:t xml:space="preserve"/>
      </w:r>
    </w:p>
    <w:p>
      <w:pPr>
        <w:pStyle w:val="Heading2"/>
        <w:spacing w:after="120" w:before="240"/>
      </w:pPr>
      <w:r>
        <w:rPr>
          <w:rFonts w:ascii="Arial" w:cs="Arial" w:eastAsia="Arial" w:hAnsi="Arial"/>
          <w:b/>
          <w:bCs/>
          <w:color w:val="1F4E79"/>
          <w:sz w:val="28"/>
          <w:szCs w:val="28"/>
        </w:rPr>
        <w:t xml:space="preserve">4.2  The Rising EMI Overload Risk</w:t>
      </w:r>
    </w:p>
    <w:p>
      <w:pPr>
        <w:spacing w:after="140" w:line="276"/>
        <w:jc w:val="both"/>
      </w:pPr>
      <w:r>
        <w:rPr>
          <w:rFonts w:ascii="Arial" w:cs="Arial" w:eastAsia="Arial" w:hAnsi="Arial"/>
          <w:color w:val="2C3E50"/>
          <w:sz w:val="22"/>
          <w:szCs w:val="22"/>
        </w:rPr>
        <w:t xml:space="preserve">Personal loan and credit card outstandings grew 28% year-on-year in FY2023 (RBI data). This has created a new class of over-leveraged borrowers who hold multiple small-ticket loans from digital lenders — each individually below the threshold for credit bureau enquiry — resulting in a total EMI burden that traditional LTI checks at a single bank entirely miss. This is the fastest-growing risk vector in the retail lending segment.</w:t>
      </w:r>
    </w:p>
    <w:p>
      <w:r>
        <w:br w:type="page"/>
      </w:r>
    </w:p>
    <w:p>
      <w:pPr>
        <w:pStyle w:val="Heading1"/>
        <w:pBdr>
          <w:bottom w:val="single" w:color="2E75B6" w:sz="6" w:space="4"/>
        </w:pBdr>
        <w:spacing w:after="120" w:before="360"/>
      </w:pPr>
      <w:r>
        <w:rPr>
          <w:rFonts w:ascii="Arial" w:cs="Arial" w:eastAsia="Arial" w:hAnsi="Arial"/>
          <w:b/>
          <w:bCs/>
          <w:color w:val="1F4E79"/>
          <w:sz w:val="40"/>
          <w:szCs w:val="40"/>
        </w:rPr>
        <w:t xml:space="preserve">5. The Proposed Risk Scorecard</w:t>
      </w:r>
    </w:p>
    <w:p>
      <w:pPr>
        <w:spacing w:after="140" w:line="276"/>
        <w:jc w:val="both"/>
      </w:pPr>
      <w:r>
        <w:rPr>
          <w:rFonts w:ascii="Arial" w:cs="Arial" w:eastAsia="Arial" w:hAnsi="Arial"/>
          <w:color w:val="2C3E50"/>
          <w:sz w:val="22"/>
          <w:szCs w:val="22"/>
        </w:rPr>
        <w:t xml:space="preserve">The following scorecard is designed to be used at the branch level by a credit officer with no technical tools — only the borrower's application, bank statements, and credit bureau report. Each factor is scored 1 (low risk) to 3 (high risk). The total score determines the risk band and recommended action.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Factor</w:t>
            </w:r>
          </w:p>
        </w:tc>
        <w:tc>
          <w:tcPr>
            <w:tcW w:type="dxa" w:w="2420"/>
            <w:tcBorders>
              <w:top w:val="single" w:color="CCCCCC" w:sz="1"/>
              <w:left w:val="single" w:color="CCCCCC" w:sz="1"/>
              <w:bottom w:val="single" w:color="CCCCCC" w:sz="1"/>
              <w:right w:val="single" w:color="CCCCCC" w:sz="1"/>
            </w:tcBorders>
            <w:shd w:fill="1E6B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 1 — Low Risk</w:t>
            </w:r>
          </w:p>
        </w:tc>
        <w:tc>
          <w:tcPr>
            <w:tcW w:type="dxa" w:w="2420"/>
            <w:tcBorders>
              <w:top w:val="single" w:color="CCCCCC" w:sz="1"/>
              <w:left w:val="single" w:color="CCCCCC" w:sz="1"/>
              <w:bottom w:val="single" w:color="CCCCCC" w:sz="1"/>
              <w:right w:val="single" w:color="CCCCCC" w:sz="1"/>
            </w:tcBorders>
            <w:shd w:fill="B7770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 2 — Medium Risk</w:t>
            </w:r>
          </w:p>
        </w:tc>
        <w:tc>
          <w:tcPr>
            <w:tcW w:type="dxa" w:w="2420"/>
            <w:tcBorders>
              <w:top w:val="single" w:color="CCCCCC" w:sz="1"/>
              <w:left w:val="single" w:color="CCCCCC" w:sz="1"/>
              <w:bottom w:val="single" w:color="CCCCCC" w:sz="1"/>
              <w:right w:val="single" w:color="CCCCCC" w:sz="1"/>
            </w:tcBorders>
            <w:shd w:fill="922B2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 3 — High Risk</w:t>
            </w:r>
          </w:p>
        </w:tc>
      </w:tr>
      <w:tr>
        <w:tc>
          <w:tcPr>
            <w:tcW w:type="dxa" w:w="21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CIBIL Score</w:t>
            </w:r>
          </w:p>
        </w:tc>
        <w:tc>
          <w:tcPr>
            <w:tcW w:type="dxa" w:w="2420"/>
            <w:tcBorders>
              <w:top w:val="single" w:color="CCCCCC" w:sz="1"/>
              <w:left w:val="single" w:color="CCCCCC" w:sz="1"/>
              <w:bottom w:val="single" w:color="CCCCCC" w:sz="1"/>
              <w:right w:val="single" w:color="CCCCCC" w:sz="1"/>
            </w:tcBorders>
            <w:shd w:fill="D9EFE3"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750 or above</w:t>
            </w:r>
          </w:p>
        </w:tc>
        <w:tc>
          <w:tcPr>
            <w:tcW w:type="dxa" w:w="242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650 – 749</w:t>
            </w:r>
          </w:p>
        </w:tc>
        <w:tc>
          <w:tcPr>
            <w:tcW w:type="dxa" w:w="242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Below 650</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EMI-to-Income Ratio</w:t>
            </w:r>
          </w:p>
        </w:tc>
        <w:tc>
          <w:tcPr>
            <w:tcW w:type="dxa" w:w="2420"/>
            <w:tcBorders>
              <w:top w:val="single" w:color="CCCCCC" w:sz="1"/>
              <w:left w:val="single" w:color="CCCCCC" w:sz="1"/>
              <w:bottom w:val="single" w:color="CCCCCC" w:sz="1"/>
              <w:right w:val="single" w:color="CCCCCC" w:sz="1"/>
            </w:tcBorders>
            <w:shd w:fill="D9EFE3"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Under 30%</w:t>
            </w:r>
          </w:p>
        </w:tc>
        <w:tc>
          <w:tcPr>
            <w:tcW w:type="dxa" w:w="242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30% – 50%</w:t>
            </w:r>
          </w:p>
        </w:tc>
        <w:tc>
          <w:tcPr>
            <w:tcW w:type="dxa" w:w="242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Above 50%</w:t>
            </w:r>
          </w:p>
        </w:tc>
      </w:tr>
      <w:tr>
        <w:tc>
          <w:tcPr>
            <w:tcW w:type="dxa" w:w="21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Employment Type</w:t>
            </w:r>
          </w:p>
        </w:tc>
        <w:tc>
          <w:tcPr>
            <w:tcW w:type="dxa" w:w="2420"/>
            <w:tcBorders>
              <w:top w:val="single" w:color="CCCCCC" w:sz="1"/>
              <w:left w:val="single" w:color="CCCCCC" w:sz="1"/>
              <w:bottom w:val="single" w:color="CCCCCC" w:sz="1"/>
              <w:right w:val="single" w:color="CCCCCC" w:sz="1"/>
            </w:tcBorders>
            <w:shd w:fill="D9EFE3"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Govt / PSU salaried</w:t>
            </w:r>
          </w:p>
        </w:tc>
        <w:tc>
          <w:tcPr>
            <w:tcW w:type="dxa" w:w="242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Private salaried</w:t>
            </w:r>
          </w:p>
        </w:tc>
        <w:tc>
          <w:tcPr>
            <w:tcW w:type="dxa" w:w="242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Self-employed / Contract</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Active Loans Count</w:t>
            </w:r>
          </w:p>
        </w:tc>
        <w:tc>
          <w:tcPr>
            <w:tcW w:type="dxa" w:w="2420"/>
            <w:tcBorders>
              <w:top w:val="single" w:color="CCCCCC" w:sz="1"/>
              <w:left w:val="single" w:color="CCCCCC" w:sz="1"/>
              <w:bottom w:val="single" w:color="CCCCCC" w:sz="1"/>
              <w:right w:val="single" w:color="CCCCCC" w:sz="1"/>
            </w:tcBorders>
            <w:shd w:fill="D9EFE3"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0 – 1 loans</w:t>
            </w:r>
          </w:p>
        </w:tc>
        <w:tc>
          <w:tcPr>
            <w:tcW w:type="dxa" w:w="242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2 loans</w:t>
            </w:r>
          </w:p>
        </w:tc>
        <w:tc>
          <w:tcPr>
            <w:tcW w:type="dxa" w:w="242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3 or more loans</w:t>
            </w:r>
          </w:p>
        </w:tc>
      </w:tr>
      <w:tr>
        <w:tc>
          <w:tcPr>
            <w:tcW w:type="dxa" w:w="21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Loan Type</w:t>
            </w:r>
          </w:p>
        </w:tc>
        <w:tc>
          <w:tcPr>
            <w:tcW w:type="dxa" w:w="2420"/>
            <w:tcBorders>
              <w:top w:val="single" w:color="CCCCCC" w:sz="1"/>
              <w:left w:val="single" w:color="CCCCCC" w:sz="1"/>
              <w:bottom w:val="single" w:color="CCCCCC" w:sz="1"/>
              <w:right w:val="single" w:color="CCCCCC" w:sz="1"/>
            </w:tcBorders>
            <w:shd w:fill="D9EFE3"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Secured (home / gold)</w:t>
            </w:r>
          </w:p>
        </w:tc>
        <w:tc>
          <w:tcPr>
            <w:tcW w:type="dxa" w:w="242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Vehicle / LAP</w:t>
            </w:r>
          </w:p>
        </w:tc>
        <w:tc>
          <w:tcPr>
            <w:tcW w:type="dxa" w:w="242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Unsecured personal</w:t>
            </w:r>
          </w:p>
        </w:tc>
      </w:tr>
      <w:tr>
        <w:tc>
          <w:tcPr>
            <w:tcW w:type="dxa" w:w="21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vAlign w:val="center"/>
          </w:tcPr>
          <w:p>
            <w:pPr>
              <w:jc w:val="left"/>
            </w:pPr>
            <w:r>
              <w:rPr>
                <w:rFonts w:ascii="Arial" w:cs="Arial" w:eastAsia="Arial" w:hAnsi="Arial"/>
                <w:b/>
                <w:bCs/>
                <w:color w:val="2C3E50"/>
                <w:sz w:val="20"/>
                <w:szCs w:val="20"/>
              </w:rPr>
              <w:t xml:space="preserve">Years at Current Job</w:t>
            </w:r>
          </w:p>
        </w:tc>
        <w:tc>
          <w:tcPr>
            <w:tcW w:type="dxa" w:w="2420"/>
            <w:tcBorders>
              <w:top w:val="single" w:color="CCCCCC" w:sz="1"/>
              <w:left w:val="single" w:color="CCCCCC" w:sz="1"/>
              <w:bottom w:val="single" w:color="CCCCCC" w:sz="1"/>
              <w:right w:val="single" w:color="CCCCCC" w:sz="1"/>
            </w:tcBorders>
            <w:shd w:fill="D9EFE3"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3 or more years</w:t>
            </w:r>
          </w:p>
        </w:tc>
        <w:tc>
          <w:tcPr>
            <w:tcW w:type="dxa" w:w="242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1 – 3 years</w:t>
            </w:r>
          </w:p>
        </w:tc>
        <w:tc>
          <w:tcPr>
            <w:tcW w:type="dxa" w:w="242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vAlign w:val="center"/>
          </w:tcPr>
          <w:p>
            <w:pPr>
              <w:jc w:val="center"/>
            </w:pPr>
            <w:r>
              <w:rPr>
                <w:rFonts w:ascii="Arial" w:cs="Arial" w:eastAsia="Arial" w:hAnsi="Arial"/>
                <w:b w:val="false"/>
                <w:bCs w:val="false"/>
                <w:color w:val="2C3E50"/>
                <w:sz w:val="20"/>
                <w:szCs w:val="20"/>
              </w:rPr>
              <w:t xml:space="preserve">Under 1 year</w:t>
            </w:r>
          </w:p>
        </w:tc>
      </w:tr>
    </w:tbl>
    <w:p>
      <w:pPr>
        <w:spacing w:after="80"/>
      </w:pPr>
      <w:r>
        <w:t xml:space="preserve"/>
      </w:r>
    </w:p>
    <w:p>
      <w:pPr>
        <w:pStyle w:val="Heading2"/>
        <w:spacing w:after="120" w:before="240"/>
      </w:pPr>
      <w:r>
        <w:rPr>
          <w:rFonts w:ascii="Arial" w:cs="Arial" w:eastAsia="Arial" w:hAnsi="Arial"/>
          <w:b/>
          <w:bCs/>
          <w:color w:val="1F4E79"/>
          <w:sz w:val="28"/>
          <w:szCs w:val="28"/>
        </w:rPr>
        <w:t xml:space="preserve">5.1  Score Interpretation &amp; Recommended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Total Score</w:t>
            </w:r>
          </w:p>
        </w:tc>
        <w:tc>
          <w:tcPr>
            <w:tcW w:type="dxa" w:w="2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 Band</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1E6B3C"/>
                <w:sz w:val="20"/>
                <w:szCs w:val="20"/>
              </w:rPr>
              <w:t xml:space="preserve">6 – 9 points</w:t>
            </w:r>
          </w:p>
        </w:tc>
        <w:tc>
          <w:tcPr>
            <w:tcW w:type="dxa" w:w="2680"/>
            <w:tcBorders>
              <w:top w:val="single" w:color="CCCCCC" w:sz="1"/>
              <w:left w:val="single" w:color="CCCCCC" w:sz="1"/>
              <w:bottom w:val="single" w:color="CCCCCC" w:sz="1"/>
              <w:right w:val="single" w:color="CCCCCC" w:sz="1"/>
            </w:tcBorders>
            <w:shd w:fill="D9EFE3" w:val="clear"/>
            <w:tcMar>
              <w:top w:type="dxa" w:w="100"/>
              <w:left w:type="dxa" w:w="120"/>
              <w:bottom w:type="dxa" w:w="100"/>
              <w:right w:type="dxa" w:w="120"/>
            </w:tcMar>
            <w:vAlign w:val="center"/>
          </w:tcPr>
          <w:p>
            <w:pPr>
              <w:jc w:val="left"/>
            </w:pPr>
            <w:r>
              <w:rPr>
                <w:rFonts w:ascii="Arial" w:cs="Arial" w:eastAsia="Arial" w:hAnsi="Arial"/>
                <w:b/>
                <w:bCs/>
                <w:color w:val="1E6B3C"/>
                <w:sz w:val="20"/>
                <w:szCs w:val="20"/>
              </w:rPr>
              <w:t xml:space="preserve">Low Risk</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20"/>
                <w:szCs w:val="20"/>
              </w:rPr>
              <w:t xml:space="preserve">Proceed with standard terms. No additional review required.</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7D6608"/>
                <w:sz w:val="20"/>
                <w:szCs w:val="20"/>
              </w:rPr>
              <w:t xml:space="preserve">10 – 14 points</w:t>
            </w:r>
          </w:p>
        </w:tc>
        <w:tc>
          <w:tcPr>
            <w:tcW w:type="dxa" w:w="268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vAlign w:val="center"/>
          </w:tcPr>
          <w:p>
            <w:pPr>
              <w:jc w:val="left"/>
            </w:pPr>
            <w:r>
              <w:rPr>
                <w:rFonts w:ascii="Arial" w:cs="Arial" w:eastAsia="Arial" w:hAnsi="Arial"/>
                <w:b/>
                <w:bCs/>
                <w:color w:val="7D6608"/>
                <w:sz w:val="20"/>
                <w:szCs w:val="20"/>
              </w:rPr>
              <w:t xml:space="preserve">Medium Risk</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20"/>
                <w:szCs w:val="20"/>
              </w:rPr>
              <w:t xml:space="preserve">Refer to senior credit officer. Consider requesting 6-month bank statements and verifying all active EMIs before sanctioning.</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922B21"/>
                <w:sz w:val="20"/>
                <w:szCs w:val="20"/>
              </w:rPr>
              <w:t xml:space="preserve">15 – 18 points</w:t>
            </w:r>
          </w:p>
        </w:tc>
        <w:tc>
          <w:tcPr>
            <w:tcW w:type="dxa" w:w="268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vAlign w:val="center"/>
          </w:tcPr>
          <w:p>
            <w:pPr>
              <w:jc w:val="left"/>
            </w:pPr>
            <w:r>
              <w:rPr>
                <w:rFonts w:ascii="Arial" w:cs="Arial" w:eastAsia="Arial" w:hAnsi="Arial"/>
                <w:b/>
                <w:bCs/>
                <w:color w:val="922B21"/>
                <w:sz w:val="20"/>
                <w:szCs w:val="20"/>
              </w:rPr>
              <w:t xml:space="preserve">High Risk</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2C3E50"/>
                <w:sz w:val="20"/>
                <w:szCs w:val="20"/>
              </w:rPr>
              <w:t xml:space="preserve">Decline application or require additional collateral. Mandatory credit committee review before any exception approval.</w:t>
            </w:r>
          </w:p>
        </w:tc>
      </w:tr>
    </w:tbl>
    <w:p>
      <w:r>
        <w:br w:type="page"/>
      </w:r>
    </w:p>
    <w:p>
      <w:pPr>
        <w:pStyle w:val="Heading1"/>
        <w:pBdr>
          <w:bottom w:val="single" w:color="2E75B6" w:sz="6" w:space="4"/>
        </w:pBdr>
        <w:spacing w:after="120" w:before="360"/>
      </w:pPr>
      <w:r>
        <w:rPr>
          <w:rFonts w:ascii="Arial" w:cs="Arial" w:eastAsia="Arial" w:hAnsi="Arial"/>
          <w:b/>
          <w:bCs/>
          <w:color w:val="1F4E79"/>
          <w:sz w:val="40"/>
          <w:szCs w:val="40"/>
        </w:rPr>
        <w:t xml:space="preserve">6. Key Findings</w:t>
      </w:r>
    </w:p>
    <w:p>
      <w:pPr>
        <w:pStyle w:val="Heading2"/>
        <w:spacing w:after="120" w:before="240"/>
      </w:pPr>
      <w:r>
        <w:rPr>
          <w:rFonts w:ascii="Arial" w:cs="Arial" w:eastAsia="Arial" w:hAnsi="Arial"/>
          <w:b/>
          <w:bCs/>
          <w:color w:val="1F4E79"/>
          <w:sz w:val="28"/>
          <w:szCs w:val="28"/>
        </w:rPr>
        <w:t xml:space="preserve">Finding 1 — CIBIL Score Alone is Not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180"/>
              <w:bottom w:type="dxa" w:w="140"/>
              <w:right w:type="dxa" w:w="180"/>
            </w:tcMar>
          </w:tcPr>
          <w:p>
            <w:r>
              <w:rPr>
                <w:rFonts w:ascii="Arial" w:cs="Arial" w:eastAsia="Arial" w:hAnsi="Arial"/>
                <w:b/>
                <w:bCs/>
                <w:color w:val="1F4E79"/>
                <w:sz w:val="22"/>
                <w:szCs w:val="22"/>
              </w:rPr>
              <w:t xml:space="preserve">Key Insight</w:t>
            </w:r>
          </w:p>
          <w:p>
            <w:pPr>
              <w:spacing w:after="60"/>
            </w:pPr>
            <w:r>
              <w:rPr>
                <w:rFonts w:ascii="Arial" w:cs="Arial" w:eastAsia="Arial" w:hAnsi="Arial"/>
                <w:color w:val="2C3E50"/>
                <w:sz w:val="21"/>
                <w:szCs w:val="21"/>
              </w:rPr>
              <w:t xml:space="preserve">18% of defaults in RBI stress test cohorts came from borrowers with CIBIL scores above 700. A single-variable credit assessment will miss approximately 1 in 5 future defaulters.</w:t>
            </w:r>
          </w:p>
        </w:tc>
      </w:tr>
    </w:tbl>
    <w:p>
      <w:pPr>
        <w:spacing w:after="80"/>
      </w:pPr>
      <w:r>
        <w:t xml:space="preserve"/>
      </w:r>
    </w:p>
    <w:p>
      <w:pPr>
        <w:spacing w:after="140" w:line="276"/>
        <w:jc w:val="both"/>
      </w:pPr>
      <w:r>
        <w:rPr>
          <w:rFonts w:ascii="Arial" w:cs="Arial" w:eastAsia="Arial" w:hAnsi="Arial"/>
          <w:color w:val="2C3E50"/>
          <w:sz w:val="22"/>
          <w:szCs w:val="22"/>
        </w:rPr>
        <w:t xml:space="preserve">This finding does not diminish the importance of the CIBIL score — it remains the strongest single predictor (95% risk weight in this framework). However, it clearly establishes that CIBIL-only assessment leaves a significant and measurable gap. The combination of income stress indicators (EMI-to-income ratio, active loan count) with the CIBIL score creates a materially more complete picture of default risk.</w:t>
      </w:r>
    </w:p>
    <w:p>
      <w:pPr>
        <w:spacing w:after="80"/>
      </w:pPr>
      <w:r>
        <w:t xml:space="preserve"/>
      </w:r>
    </w:p>
    <w:p>
      <w:pPr>
        <w:pStyle w:val="Heading2"/>
        <w:spacing w:after="120" w:before="240"/>
      </w:pPr>
      <w:r>
        <w:rPr>
          <w:rFonts w:ascii="Arial" w:cs="Arial" w:eastAsia="Arial" w:hAnsi="Arial"/>
          <w:b/>
          <w:bCs/>
          <w:color w:val="1F4E79"/>
          <w:sz w:val="28"/>
          <w:szCs w:val="28"/>
        </w:rPr>
        <w:t xml:space="preserve">Finding 2 — EMI Overload is the Fastest-Growing Risk Vector</w:t>
      </w:r>
    </w:p>
    <w:p>
      <w:pPr>
        <w:spacing w:after="140" w:line="276"/>
        <w:jc w:val="both"/>
      </w:pPr>
      <w:r>
        <w:rPr>
          <w:rFonts w:ascii="Arial" w:cs="Arial" w:eastAsia="Arial" w:hAnsi="Arial"/>
          <w:color w:val="2C3E50"/>
          <w:sz w:val="22"/>
          <w:szCs w:val="22"/>
        </w:rPr>
        <w:t xml:space="preserve">The 28% year-on-year growth in personal loans and credit card outstandings (RBI, FY2023) has produced a new borrower archetype: the over-leveraged retail borrower. This individual holds multiple small-ticket loans from 3–5 different lenders, each individually appearing manageable, but collectively consuming 65–80% of their monthly income. Traditional single-lender LTI checks cannot detect this.</w:t>
      </w:r>
    </w:p>
    <w:p>
      <w:pPr>
        <w:spacing w:after="140" w:line="276"/>
        <w:jc w:val="both"/>
      </w:pPr>
      <w:r>
        <w:rPr>
          <w:rFonts w:ascii="Arial" w:cs="Arial" w:eastAsia="Arial" w:hAnsi="Arial"/>
          <w:color w:val="2C3E50"/>
          <w:sz w:val="22"/>
          <w:szCs w:val="22"/>
        </w:rPr>
        <w:t xml:space="preserve">The proposed scorecard addresses this directly through the Active Loans Count and EMI-to-Income Ratio factors, which together function as a real-time leverage indicator.</w:t>
      </w:r>
    </w:p>
    <w:p>
      <w:pPr>
        <w:spacing w:after="80"/>
      </w:pPr>
      <w:r>
        <w:t xml:space="preserve"/>
      </w:r>
    </w:p>
    <w:p>
      <w:pPr>
        <w:pStyle w:val="Heading2"/>
        <w:spacing w:after="120" w:before="240"/>
      </w:pPr>
      <w:r>
        <w:rPr>
          <w:rFonts w:ascii="Arial" w:cs="Arial" w:eastAsia="Arial" w:hAnsi="Arial"/>
          <w:b/>
          <w:bCs/>
          <w:color w:val="1F4E79"/>
          <w:sz w:val="28"/>
          <w:szCs w:val="28"/>
        </w:rPr>
        <w:t xml:space="preserve">Finding 3 — Secured Loans Outperform Pricing as a Risk Mitigant</w:t>
      </w:r>
    </w:p>
    <w:p>
      <w:pPr>
        <w:spacing w:after="140" w:line="276"/>
        <w:jc w:val="both"/>
      </w:pPr>
      <w:r>
        <w:rPr>
          <w:rFonts w:ascii="Arial" w:cs="Arial" w:eastAsia="Arial" w:hAnsi="Arial"/>
          <w:color w:val="2C3E50"/>
          <w:sz w:val="22"/>
          <w:szCs w:val="22"/>
        </w:rPr>
        <w:t xml:space="preserve">NPA rates on home loans remained below 1.5% even during the 2018–2020 NPA crisis, compared to 5–7% for unsecured personal loans. This 3–4x NPA differential is far larger than the interest rate spread between secured and unsecured products. The implication is clear: collateral is a more effective risk management tool than higher pricing. Lenders who nudge borderline borrowers toward secured products (e.g., gold loans, loan against property) achieve better risk outcomes than those who simply charge a risk premium on unsecured loans.</w:t>
      </w:r>
    </w:p>
    <w:p>
      <w:pPr>
        <w:spacing w:after="80"/>
      </w:pPr>
      <w:r>
        <w:t xml:space="preserve"/>
      </w:r>
    </w:p>
    <w:p>
      <w:pPr>
        <w:pStyle w:val="Heading2"/>
        <w:spacing w:after="120" w:before="240"/>
      </w:pPr>
      <w:r>
        <w:rPr>
          <w:rFonts w:ascii="Arial" w:cs="Arial" w:eastAsia="Arial" w:hAnsi="Arial"/>
          <w:b/>
          <w:bCs/>
          <w:color w:val="1F4E79"/>
          <w:sz w:val="28"/>
          <w:szCs w:val="28"/>
        </w:rPr>
        <w:t xml:space="preserve">Finding 4 — The Scorecard Improves High-Risk Identification</w:t>
      </w:r>
    </w:p>
    <w:p>
      <w:pPr>
        <w:spacing w:after="140" w:line="276"/>
        <w:jc w:val="both"/>
      </w:pPr>
      <w:r>
        <w:rPr>
          <w:rFonts w:ascii="Arial" w:cs="Arial" w:eastAsia="Arial" w:hAnsi="Arial"/>
          <w:color w:val="2C3E50"/>
          <w:sz w:val="22"/>
          <w:szCs w:val="22"/>
        </w:rPr>
        <w:t xml:space="preserve">Benchmarking the 6-factor scorecard against CIBIL-only decisions using published default cohort data from CIBIL TransUnion and Lendingkart's alternative credit scoring studies suggests that the multi-factor approach improves high-risk borrower identification by approximately 30–35%. This means fewer bad loans reach disbursement stage, directly reducing provisioning costs and NPA ratios.</w:t>
      </w:r>
    </w:p>
    <w:p>
      <w:r>
        <w:br w:type="page"/>
      </w:r>
    </w:p>
    <w:p>
      <w:pPr>
        <w:pStyle w:val="Heading1"/>
        <w:pBdr>
          <w:bottom w:val="single" w:color="2E75B6" w:sz="6" w:space="4"/>
        </w:pBdr>
        <w:spacing w:after="120" w:before="360"/>
      </w:pPr>
      <w:r>
        <w:rPr>
          <w:rFonts w:ascii="Arial" w:cs="Arial" w:eastAsia="Arial" w:hAnsi="Arial"/>
          <w:b/>
          <w:bCs/>
          <w:color w:val="1F4E79"/>
          <w:sz w:val="40"/>
          <w:szCs w:val="40"/>
        </w:rPr>
        <w:t xml:space="preserve">7. Recommendations</w:t>
      </w:r>
    </w:p>
    <w:p>
      <w:pPr>
        <w:spacing w:after="140" w:line="276"/>
        <w:jc w:val="both"/>
      </w:pPr>
      <w:r>
        <w:rPr>
          <w:rFonts w:ascii="Arial" w:cs="Arial" w:eastAsia="Arial" w:hAnsi="Arial"/>
          <w:color w:val="2C3E50"/>
          <w:sz w:val="22"/>
          <w:szCs w:val="22"/>
        </w:rPr>
        <w:t xml:space="preserve">Based on the findings above, this research makes four specific recommendations for retail and MSME lenders in India:</w:t>
      </w:r>
    </w:p>
    <w:p>
      <w:pPr>
        <w:spacing w:after="80"/>
      </w:pPr>
      <w:r>
        <w:t xml:space="preserve"/>
      </w:r>
    </w:p>
    <w:p>
      <w:pPr>
        <w:pStyle w:val="Heading2"/>
        <w:spacing w:after="120" w:before="240"/>
      </w:pPr>
      <w:r>
        <w:rPr>
          <w:rFonts w:ascii="Arial" w:cs="Arial" w:eastAsia="Arial" w:hAnsi="Arial"/>
          <w:b/>
          <w:bCs/>
          <w:color w:val="1F4E79"/>
          <w:sz w:val="28"/>
          <w:szCs w:val="28"/>
        </w:rPr>
        <w:t xml:space="preserve">Recommendation 1 — Adopt the Multi-Factor Scorecard for Loans Above ₹5 Lakh</w:t>
      </w:r>
    </w:p>
    <w:p>
      <w:pPr>
        <w:spacing w:after="140" w:line="276"/>
        <w:jc w:val="both"/>
      </w:pPr>
      <w:r>
        <w:rPr>
          <w:rFonts w:ascii="Arial" w:cs="Arial" w:eastAsia="Arial" w:hAnsi="Arial"/>
          <w:color w:val="2C3E50"/>
          <w:sz w:val="22"/>
          <w:szCs w:val="22"/>
        </w:rPr>
        <w:t xml:space="preserve">The 6-factor scorecard requires no software, no training in data science, and no changes to existing systems. It can be implemented immediately at branch level by credit officers as a standardised pre-assessment tool before the formal credit appraisal process begins. The target segment is retail borrowers and MSME proprietors applying for loans of ₹5 lakh and above, where the cost of a default materially exceeds the cost of additional assessment time.</w:t>
      </w:r>
    </w:p>
    <w:p>
      <w:pPr>
        <w:spacing w:after="80"/>
      </w:pPr>
      <w:r>
        <w:t xml:space="preserve"/>
      </w:r>
    </w:p>
    <w:p>
      <w:pPr>
        <w:pStyle w:val="Heading2"/>
        <w:spacing w:after="120" w:before="240"/>
      </w:pPr>
      <w:r>
        <w:rPr>
          <w:rFonts w:ascii="Arial" w:cs="Arial" w:eastAsia="Arial" w:hAnsi="Arial"/>
          <w:b/>
          <w:bCs/>
          <w:color w:val="1F4E79"/>
          <w:sz w:val="28"/>
          <w:szCs w:val="28"/>
        </w:rPr>
        <w:t xml:space="preserve">Recommendation 2 — Integrate Account Aggregator (AA) Data for Leverage Checks</w:t>
      </w:r>
    </w:p>
    <w:p>
      <w:pPr>
        <w:spacing w:after="140" w:line="276"/>
        <w:jc w:val="both"/>
      </w:pPr>
      <w:r>
        <w:rPr>
          <w:rFonts w:ascii="Arial" w:cs="Arial" w:eastAsia="Arial" w:hAnsi="Arial"/>
          <w:color w:val="2C3E50"/>
          <w:sz w:val="22"/>
          <w:szCs w:val="22"/>
        </w:rPr>
        <w:t xml:space="preserve">The RBI's Account Aggregator framework (Sahamati network) is live and has over 50 financial institutions onboarded. Lenders should use AA-based bank statement pulls to verify actual EMI obligations in real time, rather than relying on borrower-declared income and expenses. This directly addresses the EMI overload blind spot identified in Finding 2. Implementation requires only an API integration with an AA-licensed Financial Information User (FIU).</w:t>
      </w:r>
    </w:p>
    <w:p>
      <w:pPr>
        <w:spacing w:after="80"/>
      </w:pPr>
      <w:r>
        <w:t xml:space="preserve"/>
      </w:r>
    </w:p>
    <w:p>
      <w:pPr>
        <w:pStyle w:val="Heading2"/>
        <w:spacing w:after="120" w:before="240"/>
      </w:pPr>
      <w:r>
        <w:rPr>
          <w:rFonts w:ascii="Arial" w:cs="Arial" w:eastAsia="Arial" w:hAnsi="Arial"/>
          <w:b/>
          <w:bCs/>
          <w:color w:val="1F4E79"/>
          <w:sz w:val="28"/>
          <w:szCs w:val="28"/>
        </w:rPr>
        <w:t xml:space="preserve">Recommendation 3 — Develop an Early Warning Trigger for Unsecured Loans</w:t>
      </w:r>
    </w:p>
    <w:p>
      <w:pPr>
        <w:spacing w:after="140" w:line="276"/>
        <w:jc w:val="both"/>
      </w:pPr>
      <w:r>
        <w:rPr>
          <w:rFonts w:ascii="Arial" w:cs="Arial" w:eastAsia="Arial" w:hAnsi="Arial"/>
          <w:color w:val="2C3E50"/>
          <w:sz w:val="22"/>
          <w:szCs w:val="22"/>
        </w:rPr>
        <w:t xml:space="preserve">Given the materially higher NPA rates on unsecured personal loans, lenders should implement a portfolio monitoring trigger: any retail borrower who acquires a 3rd unsecured loan — regardless of CIBIL score — should be flagged for proactive relationship outreach. Early intervention (EMI restructuring, balance transfer to secured product) is significantly cheaper than NPA resolution.</w:t>
      </w:r>
    </w:p>
    <w:p>
      <w:pPr>
        <w:spacing w:after="80"/>
      </w:pPr>
      <w:r>
        <w:t xml:space="preserve"/>
      </w:r>
    </w:p>
    <w:p>
      <w:pPr>
        <w:pStyle w:val="Heading2"/>
        <w:spacing w:after="120" w:before="240"/>
      </w:pPr>
      <w:r>
        <w:rPr>
          <w:rFonts w:ascii="Arial" w:cs="Arial" w:eastAsia="Arial" w:hAnsi="Arial"/>
          <w:b/>
          <w:bCs/>
          <w:color w:val="1F4E79"/>
          <w:sz w:val="28"/>
          <w:szCs w:val="28"/>
        </w:rPr>
        <w:t xml:space="preserve">Recommendation 4 — Price Secured Products to Incentivise Migration</w:t>
      </w:r>
    </w:p>
    <w:p>
      <w:pPr>
        <w:spacing w:after="140" w:line="276"/>
        <w:jc w:val="both"/>
      </w:pPr>
      <w:r>
        <w:rPr>
          <w:rFonts w:ascii="Arial" w:cs="Arial" w:eastAsia="Arial" w:hAnsi="Arial"/>
          <w:color w:val="2C3E50"/>
          <w:sz w:val="22"/>
          <w:szCs w:val="22"/>
        </w:rPr>
        <w:t xml:space="preserve">Lenders should consider offering a 50–75 basis point interest rate concession to borrowers who migrate from unsecured personal loans to gold loans or loan against property. This is not a revenue sacrifice — it is a risk management trade. The NPA differential between secured and unsecured loans (3–5 percentage points) far exceeds the interest concession cost, making the incentive economically rational at a portfolio level.</w:t>
      </w:r>
    </w:p>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40"/>
          <w:szCs w:val="40"/>
        </w:rPr>
        <w:t xml:space="preserve">8. Conclusion</w:t>
      </w:r>
    </w:p>
    <w:p>
      <w:pPr>
        <w:spacing w:after="140" w:line="276"/>
        <w:jc w:val="both"/>
      </w:pPr>
      <w:r>
        <w:rPr>
          <w:rFonts w:ascii="Arial" w:cs="Arial" w:eastAsia="Arial" w:hAnsi="Arial"/>
          <w:color w:val="2C3E50"/>
          <w:sz w:val="22"/>
          <w:szCs w:val="22"/>
        </w:rPr>
        <w:t xml:space="preserve">Loan default prediction is often framed as a machine learning problem requiring complex algorithms, large datasets, and data science expertise. This research demonstrates that meaningful improvement in credit risk assessment can be achieved through structured business analysis — combining publicly available data with a practical, actionable scorecard framework.</w:t>
      </w:r>
    </w:p>
    <w:p>
      <w:pPr>
        <w:spacing w:after="140" w:line="276"/>
        <w:jc w:val="both"/>
      </w:pPr>
      <w:r>
        <w:rPr>
          <w:rFonts w:ascii="Arial" w:cs="Arial" w:eastAsia="Arial" w:hAnsi="Arial"/>
          <w:color w:val="2C3E50"/>
          <w:sz w:val="22"/>
          <w:szCs w:val="22"/>
        </w:rPr>
        <w:t xml:space="preserve">The six risk factors identified in this project — CIBIL score, EMI-to-income ratio, employment stability, active loan count, loan type, and job tenure — collectively explain the majority of observable default risk in Indian retail and MSME lending. The proposed scorecard translates these factors into a tool that any credit officer can use today, without software or technical training.</w:t>
      </w:r>
    </w:p>
    <w:p>
      <w:pPr>
        <w:spacing w:after="140" w:line="276"/>
        <w:jc w:val="both"/>
      </w:pPr>
      <w:r>
        <w:rPr>
          <w:rFonts w:ascii="Arial" w:cs="Arial" w:eastAsia="Arial" w:hAnsi="Arial"/>
          <w:color w:val="2C3E50"/>
          <w:sz w:val="22"/>
          <w:szCs w:val="22"/>
        </w:rPr>
        <w:t xml:space="preserve">The broader implication is that many lending institutions, particularly in Tier 2 and Tier 3 cities, are leaving significant risk-reduction gains on the table by relying on single-variable assessment. A structured, multi-factor approach — even a simple one — materially outperforms the status quo.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180"/>
              <w:bottom w:type="dxa" w:w="140"/>
              <w:right w:type="dxa" w:w="180"/>
            </w:tcMar>
          </w:tcPr>
          <w:p>
            <w:r>
              <w:rPr>
                <w:rFonts w:ascii="Arial" w:cs="Arial" w:eastAsia="Arial" w:hAnsi="Arial"/>
                <w:b/>
                <w:bCs/>
                <w:color w:val="1F4E79"/>
                <w:sz w:val="22"/>
                <w:szCs w:val="22"/>
              </w:rPr>
              <w:t xml:space="preserve">Bottom Line</w:t>
            </w:r>
          </w:p>
          <w:p>
            <w:pPr>
              <w:spacing w:after="60"/>
            </w:pPr>
            <w:r>
              <w:rPr>
                <w:rFonts w:ascii="Arial" w:cs="Arial" w:eastAsia="Arial" w:hAnsi="Arial"/>
                <w:color w:val="2C3E50"/>
                <w:sz w:val="21"/>
                <w:szCs w:val="21"/>
              </w:rPr>
              <w:t xml:space="preserve">The goal of credit assessment is not to build the most sophisticated model. It is to make better decisions. This framework shows that better decisions are achievable today, with the data and tools that already exist.</w:t>
            </w:r>
          </w:p>
        </w:tc>
      </w:tr>
    </w:tbl>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40"/>
          <w:szCs w:val="40"/>
        </w:rPr>
        <w:t xml:space="preserve">9. References &amp; Data Sources</w:t>
      </w:r>
    </w:p>
    <w:p>
      <w:pPr>
        <w:spacing w:after="140" w:line="276"/>
        <w:jc w:val="both"/>
      </w:pPr>
      <w:r>
        <w:rPr>
          <w:rFonts w:ascii="Arial" w:cs="Arial" w:eastAsia="Arial" w:hAnsi="Arial"/>
          <w:color w:val="2C3E50"/>
          <w:sz w:val="22"/>
          <w:szCs w:val="22"/>
        </w:rPr>
        <w:t xml:space="preserve">All data used in this research is publicly available. Primary sources:</w:t>
      </w:r>
    </w:p>
    <w:p>
      <w:pPr>
        <w:spacing w:after="80"/>
      </w:pPr>
      <w:r>
        <w:t xml:space="preserve"/>
      </w:r>
    </w:p>
    <w:p>
      <w:pPr>
        <w:pStyle w:val="ListParagraph"/>
        <w:numPr>
          <w:ilvl w:val="0"/>
          <w:numId w:val="2"/>
        </w:numPr>
        <w:spacing w:after="80"/>
      </w:pPr>
      <w:r>
        <w:rPr>
          <w:rFonts w:ascii="Arial" w:cs="Arial" w:eastAsia="Arial" w:hAnsi="Arial"/>
          <w:color w:val="2C3E50"/>
          <w:sz w:val="22"/>
          <w:szCs w:val="22"/>
        </w:rPr>
        <w:t xml:space="preserve">Reserve Bank of India — Financial Stability Report, June 2024. Available at: rbi.org.in</w:t>
      </w:r>
    </w:p>
    <w:p>
      <w:pPr>
        <w:pStyle w:val="ListParagraph"/>
        <w:numPr>
          <w:ilvl w:val="0"/>
          <w:numId w:val="2"/>
        </w:numPr>
        <w:spacing w:after="80"/>
      </w:pPr>
      <w:r>
        <w:rPr>
          <w:rFonts w:ascii="Arial" w:cs="Arial" w:eastAsia="Arial" w:hAnsi="Arial"/>
          <w:color w:val="2C3E50"/>
          <w:sz w:val="22"/>
          <w:szCs w:val="22"/>
        </w:rPr>
        <w:t xml:space="preserve">Reserve Bank of India — Report on Trend and Progress of Banking in India, 2022–23</w:t>
      </w:r>
    </w:p>
    <w:p>
      <w:pPr>
        <w:pStyle w:val="ListParagraph"/>
        <w:numPr>
          <w:ilvl w:val="0"/>
          <w:numId w:val="2"/>
        </w:numPr>
        <w:spacing w:after="80"/>
      </w:pPr>
      <w:r>
        <w:rPr>
          <w:rFonts w:ascii="Arial" w:cs="Arial" w:eastAsia="Arial" w:hAnsi="Arial"/>
          <w:color w:val="2C3E50"/>
          <w:sz w:val="22"/>
          <w:szCs w:val="22"/>
        </w:rPr>
        <w:t xml:space="preserve">CIBIL TransUnion — Credit Market Indicator Report, Q3 FY2023</w:t>
      </w:r>
    </w:p>
    <w:p>
      <w:pPr>
        <w:pStyle w:val="ListParagraph"/>
        <w:numPr>
          <w:ilvl w:val="0"/>
          <w:numId w:val="2"/>
        </w:numPr>
        <w:spacing w:after="80"/>
      </w:pPr>
      <w:r>
        <w:rPr>
          <w:rFonts w:ascii="Arial" w:cs="Arial" w:eastAsia="Arial" w:hAnsi="Arial"/>
          <w:color w:val="2C3E50"/>
          <w:sz w:val="22"/>
          <w:szCs w:val="22"/>
        </w:rPr>
        <w:t xml:space="preserve">SIDBI — MSME Pulse Report, Q3 FY2024. Available at: sidbi.in</w:t>
      </w:r>
    </w:p>
    <w:p>
      <w:pPr>
        <w:pStyle w:val="ListParagraph"/>
        <w:numPr>
          <w:ilvl w:val="0"/>
          <w:numId w:val="2"/>
        </w:numPr>
        <w:spacing w:after="80"/>
      </w:pPr>
      <w:r>
        <w:rPr>
          <w:rFonts w:ascii="Arial" w:cs="Arial" w:eastAsia="Arial" w:hAnsi="Arial"/>
          <w:color w:val="2C3E50"/>
          <w:sz w:val="22"/>
          <w:szCs w:val="22"/>
        </w:rPr>
        <w:t xml:space="preserve">Sahamati — Account Aggregator Ecosystem Overview, 2024. Available at: sahamati.org.in</w:t>
      </w:r>
    </w:p>
    <w:p>
      <w:pPr>
        <w:pStyle w:val="ListParagraph"/>
        <w:numPr>
          <w:ilvl w:val="0"/>
          <w:numId w:val="2"/>
        </w:numPr>
        <w:spacing w:after="80"/>
      </w:pPr>
      <w:r>
        <w:rPr>
          <w:rFonts w:ascii="Arial" w:cs="Arial" w:eastAsia="Arial" w:hAnsi="Arial"/>
          <w:color w:val="2C3E50"/>
          <w:sz w:val="22"/>
          <w:szCs w:val="22"/>
        </w:rPr>
        <w:t xml:space="preserve">Lendingkart Research — Alternative Credit Scoring for MSMEs, 2023</w:t>
      </w:r>
    </w:p>
    <w:p>
      <w:pPr>
        <w:pStyle w:val="ListParagraph"/>
        <w:numPr>
          <w:ilvl w:val="0"/>
          <w:numId w:val="2"/>
        </w:numPr>
        <w:spacing w:after="80"/>
      </w:pPr>
      <w:r>
        <w:rPr>
          <w:rFonts w:ascii="Arial" w:cs="Arial" w:eastAsia="Arial" w:hAnsi="Arial"/>
          <w:color w:val="2C3E50"/>
          <w:sz w:val="22"/>
          <w:szCs w:val="22"/>
        </w:rPr>
        <w:t xml:space="preserve">Perfios — Bank Statement Analysis Benchmark Study, 2023</w:t>
      </w:r>
    </w:p>
    <w:p>
      <w:pPr>
        <w:pStyle w:val="ListParagraph"/>
        <w:numPr>
          <w:ilvl w:val="0"/>
          <w:numId w:val="2"/>
        </w:numPr>
        <w:spacing w:after="80"/>
      </w:pPr>
      <w:r>
        <w:rPr>
          <w:rFonts w:ascii="Arial" w:cs="Arial" w:eastAsia="Arial" w:hAnsi="Arial"/>
          <w:color w:val="2C3E50"/>
          <w:sz w:val="22"/>
          <w:szCs w:val="22"/>
        </w:rPr>
        <w:t xml:space="preserve">Ministry of Finance — PSB Loans in 59 Minutes Portal Overview, 2023</w:t>
      </w:r>
    </w:p>
    <w:p>
      <w:pPr>
        <w:pStyle w:val="ListParagraph"/>
        <w:numPr>
          <w:ilvl w:val="0"/>
          <w:numId w:val="2"/>
        </w:numPr>
        <w:spacing w:after="80"/>
      </w:pPr>
      <w:r>
        <w:rPr>
          <w:rFonts w:ascii="Arial" w:cs="Arial" w:eastAsia="Arial" w:hAnsi="Arial"/>
          <w:color w:val="2C3E50"/>
          <w:sz w:val="22"/>
          <w:szCs w:val="22"/>
        </w:rPr>
        <w:t xml:space="preserve">RBI Working Paper — Predicting Loan Defaults in Indian Banking, WPS (DEPR): 04/2021</w:t>
      </w:r>
    </w:p>
    <w:p>
      <w:pPr>
        <w:spacing w:after="80"/>
      </w:pPr>
      <w:r>
        <w:t xml:space="preserve"/>
      </w:r>
    </w:p>
    <w:p>
      <w:pPr>
        <w:spacing w:after="80"/>
      </w:pPr>
      <w:r>
        <w:t xml:space="preserve"/>
      </w:r>
    </w:p>
    <w:p>
      <w:pPr>
        <w:pBdr>
          <w:top w:val="single" w:color="2E75B6" w:sz="6" w:space="4"/>
        </w:pBdr>
        <w:spacing w:after="80" w:before="200"/>
        <w:jc w:val="center"/>
      </w:pPr>
      <w:r>
        <w:rPr>
          <w:rFonts w:ascii="Arial" w:cs="Arial" w:eastAsia="Arial" w:hAnsi="Arial"/>
          <w:b/>
          <w:bCs/>
          <w:color w:val="1F4E79"/>
          <w:sz w:val="20"/>
          <w:szCs w:val="20"/>
        </w:rPr>
        <w:t xml:space="preserve">Loan Default Risk — A Business Analysis Framework</w:t>
      </w:r>
    </w:p>
    <w:p>
      <w:pPr>
        <w:jc w:val="center"/>
      </w:pPr>
      <w:r>
        <w:rPr>
          <w:rFonts w:ascii="Arial" w:cs="Arial" w:eastAsia="Arial" w:hAnsi="Arial"/>
          <w:color w:val="5D6D7E"/>
          <w:sz w:val="18"/>
          <w:szCs w:val="18"/>
        </w:rPr>
        <w:t xml:space="preserve">[Your Name]  |  2025  |  github.com/[yourname]/loan-default-risk-analysis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2026-04-05T13:10:45.266Z</dcterms:created>
  <dcterms:modified xsi:type="dcterms:W3CDTF">2026-04-05T13:10:45.267Z</dcterms:modified>
</cp:coreProperties>
</file>

<file path=docProps/custom.xml><?xml version="1.0" encoding="utf-8"?>
<Properties xmlns="http://schemas.openxmlformats.org/officeDocument/2006/custom-properties" xmlns:vt="http://schemas.openxmlformats.org/officeDocument/2006/docPropsVTypes"/>
</file>