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8467" w14:textId="77777777" w:rsidR="004628FF" w:rsidRPr="004628FF" w:rsidRDefault="004628FF" w:rsidP="004628FF">
      <w:pPr>
        <w:rPr>
          <w:rFonts w:ascii="Arial" w:hAnsi="Arial" w:cs="Arial"/>
          <w:b/>
          <w:bCs/>
        </w:rPr>
      </w:pPr>
      <w:r w:rsidRPr="004628FF">
        <w:rPr>
          <w:rFonts w:ascii="Arial" w:hAnsi="Arial" w:cs="Arial"/>
          <w:b/>
          <w:bCs/>
        </w:rPr>
        <w:t>EXECUTIVE BRIEF &amp; FINOPS STRATEGY MEMO</w:t>
      </w:r>
    </w:p>
    <w:p w14:paraId="4E30232E" w14:textId="77777777" w:rsidR="004628FF" w:rsidRPr="004628FF" w:rsidRDefault="004628FF" w:rsidP="004628FF">
      <w:pPr>
        <w:rPr>
          <w:rFonts w:ascii="Arial" w:hAnsi="Arial" w:cs="Arial"/>
          <w:b/>
          <w:bCs/>
        </w:rPr>
      </w:pPr>
      <w:r w:rsidRPr="004628FF">
        <w:rPr>
          <w:rFonts w:ascii="Arial" w:hAnsi="Arial" w:cs="Arial"/>
          <w:b/>
          <w:bCs/>
        </w:rPr>
        <w:t>Project Title: Enterprise Cloud Cost Optimization &amp; FinOps Governance Strategy</w:t>
      </w:r>
    </w:p>
    <w:p w14:paraId="27C28BA8" w14:textId="7BDA391E" w:rsidR="004628FF" w:rsidRPr="004628FF" w:rsidRDefault="004628FF" w:rsidP="004628FF">
      <w:pPr>
        <w:rPr>
          <w:rFonts w:ascii="Arial" w:hAnsi="Arial" w:cs="Arial"/>
          <w:b/>
          <w:bCs/>
        </w:rPr>
      </w:pPr>
      <w:r w:rsidRPr="004628FF">
        <w:rPr>
          <w:rFonts w:ascii="Arial" w:hAnsi="Arial" w:cs="Arial"/>
          <w:b/>
          <w:bCs/>
        </w:rPr>
        <w:t xml:space="preserve">Author: </w:t>
      </w:r>
      <w:r>
        <w:rPr>
          <w:rFonts w:ascii="Arial" w:hAnsi="Arial" w:cs="Arial"/>
          <w:b/>
          <w:bCs/>
        </w:rPr>
        <w:t>Sirjanpreet Kaur</w:t>
      </w:r>
    </w:p>
    <w:p w14:paraId="6D746DBE" w14:textId="77777777" w:rsidR="004628FF" w:rsidRPr="004628FF" w:rsidRDefault="004628FF" w:rsidP="004628FF">
      <w:pPr>
        <w:rPr>
          <w:rFonts w:ascii="Arial" w:hAnsi="Arial" w:cs="Arial"/>
          <w:b/>
          <w:bCs/>
        </w:rPr>
      </w:pPr>
      <w:r w:rsidRPr="004628FF">
        <w:rPr>
          <w:rFonts w:ascii="Arial" w:hAnsi="Arial" w:cs="Arial"/>
          <w:b/>
          <w:bCs/>
        </w:rPr>
        <w:t>Target Audience: Chief Technology Officer (CTO), Head of Infrastructure, &amp; Finance Leadership</w:t>
      </w:r>
    </w:p>
    <w:p w14:paraId="26A2F754" w14:textId="77777777" w:rsidR="004628FF" w:rsidRPr="004628FF" w:rsidRDefault="004628FF" w:rsidP="004628FF">
      <w:pPr>
        <w:rPr>
          <w:rFonts w:ascii="Arial" w:hAnsi="Arial" w:cs="Arial"/>
        </w:rPr>
      </w:pPr>
    </w:p>
    <w:p w14:paraId="54F71B2B" w14:textId="77777777" w:rsidR="004628FF" w:rsidRPr="004628FF" w:rsidRDefault="004628FF" w:rsidP="004628FF">
      <w:pPr>
        <w:rPr>
          <w:rFonts w:ascii="Arial" w:hAnsi="Arial" w:cs="Arial"/>
          <w:b/>
          <w:bCs/>
        </w:rPr>
      </w:pPr>
      <w:r w:rsidRPr="004628FF">
        <w:rPr>
          <w:rFonts w:ascii="Arial" w:hAnsi="Arial" w:cs="Arial"/>
          <w:b/>
          <w:bCs/>
        </w:rPr>
        <w:t>1. EXECUTIVE SUMMARY &amp; PROBLEM STATEMENT</w:t>
      </w:r>
    </w:p>
    <w:p w14:paraId="26DA2FAB" w14:textId="77777777" w:rsidR="004628FF" w:rsidRPr="004628FF" w:rsidRDefault="004628FF" w:rsidP="004628FF">
      <w:pPr>
        <w:rPr>
          <w:rFonts w:ascii="Arial" w:hAnsi="Arial" w:cs="Arial"/>
        </w:rPr>
      </w:pPr>
      <w:r w:rsidRPr="004628FF">
        <w:rPr>
          <w:rFonts w:ascii="Arial" w:hAnsi="Arial" w:cs="Arial"/>
        </w:rPr>
        <w:t>An internal analysis of enterprise AWS cloud expenditure revealed a baseline monthly spend of $36.90K across 5,000 billing line items. Lack of central resource governance and automated lifecycle policies has led to runaway infrastructure spending, particularly in non-production environments and unoptimized database instances.</w:t>
      </w:r>
    </w:p>
    <w:p w14:paraId="1B636DF1" w14:textId="77777777" w:rsidR="004628FF" w:rsidRPr="004628FF" w:rsidRDefault="004628FF" w:rsidP="004628FF">
      <w:pPr>
        <w:rPr>
          <w:rFonts w:ascii="Arial" w:hAnsi="Arial" w:cs="Arial"/>
        </w:rPr>
      </w:pPr>
    </w:p>
    <w:p w14:paraId="507D8094" w14:textId="77777777" w:rsidR="004628FF" w:rsidRPr="004628FF" w:rsidRDefault="004628FF" w:rsidP="004628FF">
      <w:pPr>
        <w:rPr>
          <w:rFonts w:ascii="Arial" w:hAnsi="Arial" w:cs="Arial"/>
          <w:b/>
          <w:bCs/>
        </w:rPr>
      </w:pPr>
      <w:r w:rsidRPr="004628FF">
        <w:rPr>
          <w:rFonts w:ascii="Arial" w:hAnsi="Arial" w:cs="Arial"/>
          <w:b/>
          <w:bCs/>
        </w:rPr>
        <w:t>2. KEY BILLING &amp; INFRASTRUCTURE FINDINGS</w:t>
      </w:r>
    </w:p>
    <w:p w14:paraId="79BA9949" w14:textId="77777777" w:rsidR="004628FF" w:rsidRPr="004628FF" w:rsidRDefault="004628FF" w:rsidP="004628FF">
      <w:pPr>
        <w:rPr>
          <w:rFonts w:ascii="Arial" w:hAnsi="Arial" w:cs="Arial"/>
        </w:rPr>
      </w:pPr>
      <w:r w:rsidRPr="004628FF">
        <w:rPr>
          <w:rFonts w:ascii="Arial" w:hAnsi="Arial" w:cs="Arial"/>
        </w:rPr>
        <w:t>- Total Baseline Spend: $36.90K across 5 main departments.</w:t>
      </w:r>
    </w:p>
    <w:p w14:paraId="06977877" w14:textId="77777777" w:rsidR="004628FF" w:rsidRPr="004628FF" w:rsidRDefault="004628FF" w:rsidP="004628FF">
      <w:pPr>
        <w:rPr>
          <w:rFonts w:ascii="Arial" w:hAnsi="Arial" w:cs="Arial"/>
        </w:rPr>
      </w:pPr>
      <w:r w:rsidRPr="004628FF">
        <w:rPr>
          <w:rFonts w:ascii="Arial" w:hAnsi="Arial" w:cs="Arial"/>
        </w:rPr>
        <w:t>- Top Spending Department: Data Science accounts for the largest proportion of monthly spend, driven primarily by Amazon RDS database instances.</w:t>
      </w:r>
    </w:p>
    <w:p w14:paraId="7BF512EB" w14:textId="77777777" w:rsidR="004628FF" w:rsidRPr="004628FF" w:rsidRDefault="004628FF" w:rsidP="004628FF">
      <w:pPr>
        <w:rPr>
          <w:rFonts w:ascii="Arial" w:hAnsi="Arial" w:cs="Arial"/>
        </w:rPr>
      </w:pPr>
      <w:r w:rsidRPr="004628FF">
        <w:rPr>
          <w:rFonts w:ascii="Arial" w:hAnsi="Arial" w:cs="Arial"/>
        </w:rPr>
        <w:t>- Non-Production Cost Leakage: A total of $9,054.76 is currently allocated to Staging and Development environments. Staging and Dev compute resources are left running 24/7 despite non-business-hours idle time.</w:t>
      </w:r>
    </w:p>
    <w:p w14:paraId="03E3A93A" w14:textId="77777777" w:rsidR="004628FF" w:rsidRPr="004628FF" w:rsidRDefault="004628FF" w:rsidP="004628FF">
      <w:pPr>
        <w:rPr>
          <w:rFonts w:ascii="Arial" w:hAnsi="Arial" w:cs="Arial"/>
        </w:rPr>
      </w:pPr>
    </w:p>
    <w:p w14:paraId="4FDFC041" w14:textId="77777777" w:rsidR="004628FF" w:rsidRPr="004628FF" w:rsidRDefault="004628FF" w:rsidP="004628FF">
      <w:pPr>
        <w:rPr>
          <w:rFonts w:ascii="Arial" w:hAnsi="Arial" w:cs="Arial"/>
          <w:b/>
          <w:bCs/>
        </w:rPr>
      </w:pPr>
      <w:r w:rsidRPr="004628FF">
        <w:rPr>
          <w:rFonts w:ascii="Arial" w:hAnsi="Arial" w:cs="Arial"/>
          <w:b/>
          <w:bCs/>
        </w:rPr>
        <w:t>3. PROPOSED TO-BE GOVERNANCE WORKFLOW</w:t>
      </w:r>
    </w:p>
    <w:p w14:paraId="55DF6191" w14:textId="77777777" w:rsidR="004628FF" w:rsidRPr="004628FF" w:rsidRDefault="004628FF" w:rsidP="004628FF">
      <w:pPr>
        <w:rPr>
          <w:rFonts w:ascii="Arial" w:hAnsi="Arial" w:cs="Arial"/>
        </w:rPr>
      </w:pPr>
      <w:r w:rsidRPr="004628FF">
        <w:rPr>
          <w:rFonts w:ascii="Arial" w:hAnsi="Arial" w:cs="Arial"/>
        </w:rPr>
        <w:t>To prevent future budget overruns, a 3-tier resource approval workflow has been established in Draw.io (Pool Architecture):</w:t>
      </w:r>
    </w:p>
    <w:p w14:paraId="75AEDD5A" w14:textId="77777777" w:rsidR="004628FF" w:rsidRPr="004628FF" w:rsidRDefault="004628FF" w:rsidP="004628FF">
      <w:pPr>
        <w:rPr>
          <w:rFonts w:ascii="Arial" w:hAnsi="Arial" w:cs="Arial"/>
        </w:rPr>
      </w:pPr>
      <w:r w:rsidRPr="004628FF">
        <w:rPr>
          <w:rFonts w:ascii="Arial" w:hAnsi="Arial" w:cs="Arial"/>
        </w:rPr>
        <w:t>- Tier 1 (Request): Developers must submit a standardized resource request specifying Department, Environment, and Expected Duration.</w:t>
      </w:r>
    </w:p>
    <w:p w14:paraId="506EB231" w14:textId="77777777" w:rsidR="004628FF" w:rsidRPr="004628FF" w:rsidRDefault="004628FF" w:rsidP="004628FF">
      <w:pPr>
        <w:rPr>
          <w:rFonts w:ascii="Arial" w:hAnsi="Arial" w:cs="Arial"/>
        </w:rPr>
      </w:pPr>
      <w:r w:rsidRPr="004628FF">
        <w:rPr>
          <w:rFonts w:ascii="Arial" w:hAnsi="Arial" w:cs="Arial"/>
        </w:rPr>
        <w:t>- Tier 2 (FinOps Review): Requests undergo automated spend checks against the $36.90K baseline. Any Staging/Dev environment request automatically enforces a mandatory weekend auto-shutdown schedule.</w:t>
      </w:r>
    </w:p>
    <w:p w14:paraId="41B6DC3D" w14:textId="77777777" w:rsidR="004628FF" w:rsidRPr="004628FF" w:rsidRDefault="004628FF" w:rsidP="004628FF">
      <w:pPr>
        <w:rPr>
          <w:rFonts w:ascii="Arial" w:hAnsi="Arial" w:cs="Arial"/>
        </w:rPr>
      </w:pPr>
      <w:r w:rsidRPr="004628FF">
        <w:rPr>
          <w:rFonts w:ascii="Arial" w:hAnsi="Arial" w:cs="Arial"/>
        </w:rPr>
        <w:t>- Tier 3 (Provisioning): Cloud Administrators deploy instances with mandatory cost-allocation tags (Dept, Env, Owner) for end-to-end visibility in Power BI.</w:t>
      </w:r>
    </w:p>
    <w:p w14:paraId="1F2BF338" w14:textId="77777777" w:rsidR="004628FF" w:rsidRPr="004628FF" w:rsidRDefault="004628FF" w:rsidP="004628FF">
      <w:pPr>
        <w:rPr>
          <w:rFonts w:ascii="Arial" w:hAnsi="Arial" w:cs="Arial"/>
        </w:rPr>
      </w:pPr>
    </w:p>
    <w:p w14:paraId="741E63C3" w14:textId="77777777" w:rsidR="004628FF" w:rsidRPr="004628FF" w:rsidRDefault="004628FF" w:rsidP="004628FF">
      <w:pPr>
        <w:rPr>
          <w:rFonts w:ascii="Arial" w:hAnsi="Arial" w:cs="Arial"/>
          <w:b/>
          <w:bCs/>
        </w:rPr>
      </w:pPr>
      <w:r w:rsidRPr="004628FF">
        <w:rPr>
          <w:rFonts w:ascii="Arial" w:hAnsi="Arial" w:cs="Arial"/>
          <w:b/>
          <w:bCs/>
        </w:rPr>
        <w:lastRenderedPageBreak/>
        <w:t>4. STRATEGIC RECOMMENDATIONS &amp; FINANCIAL IMPACT</w:t>
      </w:r>
    </w:p>
    <w:p w14:paraId="4CE6276D" w14:textId="77777777" w:rsidR="004628FF" w:rsidRPr="004628FF" w:rsidRDefault="004628FF" w:rsidP="004628FF">
      <w:pPr>
        <w:rPr>
          <w:rFonts w:ascii="Arial" w:hAnsi="Arial" w:cs="Arial"/>
        </w:rPr>
      </w:pPr>
      <w:r w:rsidRPr="004628FF">
        <w:rPr>
          <w:rFonts w:ascii="Arial" w:hAnsi="Arial" w:cs="Arial"/>
        </w:rPr>
        <w:t xml:space="preserve">- Action 1 (Automated Off-Hours Shutdowns): Implement AWS </w:t>
      </w:r>
      <w:proofErr w:type="spellStart"/>
      <w:r w:rsidRPr="004628FF">
        <w:rPr>
          <w:rFonts w:ascii="Arial" w:hAnsi="Arial" w:cs="Arial"/>
        </w:rPr>
        <w:t>EventBridge</w:t>
      </w:r>
      <w:proofErr w:type="spellEnd"/>
      <w:r w:rsidRPr="004628FF">
        <w:rPr>
          <w:rFonts w:ascii="Arial" w:hAnsi="Arial" w:cs="Arial"/>
        </w:rPr>
        <w:t>/Lambda scripts to turn off non-production (Staging/Dev) EC2 and RDS instances on weekends and weeknights. Estimated Savings: 15% to 20% on non-production spend (~$1,350–$1,800/month).</w:t>
      </w:r>
    </w:p>
    <w:p w14:paraId="3483568B" w14:textId="77777777" w:rsidR="004628FF" w:rsidRPr="004628FF" w:rsidRDefault="004628FF" w:rsidP="004628FF">
      <w:pPr>
        <w:rPr>
          <w:rFonts w:ascii="Arial" w:hAnsi="Arial" w:cs="Arial"/>
        </w:rPr>
      </w:pPr>
      <w:r w:rsidRPr="004628FF">
        <w:rPr>
          <w:rFonts w:ascii="Arial" w:hAnsi="Arial" w:cs="Arial"/>
        </w:rPr>
        <w:t>- Action 2 (RDS Right-Sizing &amp; Reserved Instances): Perform instance utilization audits on Data Science Amazon RDS workloads, converting continuous baseline production databases to 1-Year Reserved Instances (RIs) to capture up to a 30% discount.</w:t>
      </w:r>
    </w:p>
    <w:p w14:paraId="538322E4" w14:textId="2D9BD316" w:rsidR="00066BC8" w:rsidRPr="004628FF" w:rsidRDefault="004628FF" w:rsidP="004628FF">
      <w:pPr>
        <w:rPr>
          <w:rFonts w:ascii="Arial" w:hAnsi="Arial" w:cs="Arial"/>
        </w:rPr>
      </w:pPr>
      <w:r w:rsidRPr="004628FF">
        <w:rPr>
          <w:rFonts w:ascii="Arial" w:hAnsi="Arial" w:cs="Arial"/>
        </w:rPr>
        <w:t>- Action 3 (Mandatory Tagging Enforcement): Block AWS resource creation unless cost-allocation tags (Department, Environment) are attached at launch.</w:t>
      </w:r>
    </w:p>
    <w:sectPr w:rsidR="00066BC8" w:rsidRPr="00462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FF"/>
    <w:rsid w:val="00066BC8"/>
    <w:rsid w:val="004628FF"/>
    <w:rsid w:val="00842D6D"/>
    <w:rsid w:val="00A0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391F"/>
  <w15:chartTrackingRefBased/>
  <w15:docId w15:val="{A4603735-E187-41A3-852A-CA00250EE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Souz</dc:creator>
  <cp:keywords/>
  <dc:description/>
  <cp:lastModifiedBy>Souz</cp:lastModifiedBy>
  <cp:revision>2</cp:revision>
  <dcterms:created xsi:type="dcterms:W3CDTF">2026-10-02T11:34:00Z</dcterms:created>
  <dcterms:modified xsi:type="dcterms:W3CDTF">2026-10-02T11:37:00Z</dcterms:modified>
</cp:coreProperties>
</file>