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81EC7" w14:textId="77777777" w:rsidR="00443FF7" w:rsidRDefault="00443FF7" w:rsidP="00443FF7">
      <w:pPr>
        <w:pStyle w:val="Normal1"/>
        <w:spacing w:after="0" w:line="360" w:lineRule="auto" w:before="0"/>
        <w:jc w:val="center"/>
        <w:rPr>
          <w:rFonts w:ascii="Arial" w:eastAsia="Arial" w:hAnsi="Arial" w:cs="Arial"/>
          <w:b/>
          <w:sz w:val="24"/>
          <w:szCs w:val="24"/>
        </w:rPr>
      </w:pPr>
      <w:bookmarkStart w:id="0" w:name="_Hlk207787885"/>
      <w:r>
        <w:rPr>
          <w:rFonts w:ascii="Arial" w:hAnsi="Arial"/>
          <w:b/>
          <w:sz w:val="24"/>
        </w:rPr>
        <w:t>DECLARAÇÃO DE AUTORIA, REFERÊNCIAS E USO DE INTELIGÊNCIA ARTIFICIAL (RASCUNHO)</w:t>
      </w:r>
    </w:p>
    <w:bookmarkEnd w:id="0"/>
    <w:p w14:paraId="4AD1AA55" w14:textId="77777777" w:rsidR="00443FF7" w:rsidRDefault="00443FF7" w:rsidP="00443FF7">
      <w:pPr>
        <w:pStyle w:val="Normal1"/>
        <w:spacing w:after="0" w:line="360" w:lineRule="auto" w:before="0"/>
        <w:jc w:val="both"/>
        <w:rPr>
          <w:rFonts w:ascii="Arial" w:eastAsia="Arial" w:hAnsi="Arial" w:cs="Arial"/>
          <w:sz w:val="24"/>
          <w:szCs w:val="24"/>
        </w:rPr>
      </w:pPr>
    </w:p>
    <w:p w14:paraId="062B21E7" w14:textId="77777777" w:rsidR="00587786" w:rsidRDefault="00587786" w:rsidP="00443FF7">
      <w:pPr>
        <w:pStyle w:val="Normal1"/>
        <w:spacing w:after="0" w:line="360" w:lineRule="auto" w:before="0"/>
        <w:jc w:val="both"/>
        <w:rPr>
          <w:rFonts w:ascii="Arial" w:eastAsia="Arial" w:hAnsi="Arial" w:cs="Arial"/>
          <w:sz w:val="24"/>
          <w:szCs w:val="24"/>
        </w:rPr>
      </w:pPr>
    </w:p>
    <w:p w14:paraId="68806A40" w14:textId="77777777" w:rsidR="00443FF7" w:rsidRDefault="00443FF7" w:rsidP="00443FF7">
      <w:pPr>
        <w:pStyle w:val="Normal1"/>
        <w:spacing w:after="0" w:line="360" w:lineRule="auto" w:before="0"/>
        <w:jc w:val="both"/>
        <w:rPr>
          <w:rFonts w:ascii="Arial" w:eastAsia="Arial" w:hAnsi="Arial" w:cs="Arial"/>
          <w:sz w:val="24"/>
          <w:szCs w:val="24"/>
        </w:rPr>
      </w:pPr>
    </w:p>
    <w:p w14:paraId="4EEAE06F" w14:textId="6B5C4E43" w:rsidR="002A76B7" w:rsidRPr="002A76B7" w:rsidRDefault="00443FF7" w:rsidP="002A76B7">
      <w:pPr>
        <w:pStyle w:val="Default"/>
        <w:spacing w:line="360" w:lineRule="auto" w:before="0" w:after="0"/>
        <w:jc w:val="both"/>
        <w:rPr>
          <w:rFonts w:ascii="Times New Roman" w:hAnsi="Times New Roman" w:cs="Times New Roman"/>
          <w:color w:val="A6A6A6" w:themeColor="background1" w:themeShade="A6"/>
          <w:sz w:val="22"/>
          <w:szCs w:val="22"/>
        </w:rPr>
      </w:pPr>
      <w:sdt>
        <w:sdtPr>
          <w:rPr>
            <w:rFonts w:ascii="Times New Roman" w:hAnsi="Times New Roman" w:cs="Times New Roman"/>
            <w:color w:val="A6A6A6" w:themeColor="background1" w:themeShade="A6"/>
          </w:rPr>
          <w:id w:val="-1461801372"/>
          <w:placeholder>
            <w:docPart w:val="488CFEFD6D8940A089A9FBBE5AE5963A"/>
          </w:placeholder>
        </w:sdtPr>
        <w:sdtEndPr/>
        <w:sdtContent>
          <w:r w:rsidR="002A76B7" w:rsidRPr="002A76B7">
            <w:rPr>
              <w:rFonts w:eastAsia="Arial"/>
              <w:color w:val="A6A6A6" w:themeColor="background1" w:themeShade="A6"/>
            </w:rPr>
            <w:t/>
          </w:r>
        </w:sdtContent>
      </w:sdt>
      <w:r>
        <w:rPr>
          <w:rFonts w:ascii="Arial" w:hAnsi="Arial"/>
          <w:b/>
          <w:sz w:val="24"/>
        </w:rPr>
        <w:t>TÍTULO: OpenTelemetry na observabilidade de aplicações distribuídas em Kubernetes: integração de métricas, logs e rastros</w:t>
      </w:r>
    </w:p>
    <w:p w14:paraId="2178FE41" w14:textId="23B0EBFA" w:rsidR="00443FF7" w:rsidRPr="00587786" w:rsidRDefault="00443FF7" w:rsidP="00443FF7">
      <w:pPr>
        <w:pStyle w:val="Normal1"/>
        <w:spacing w:after="0" w:line="360" w:lineRule="auto" w:before="0"/>
        <w:jc w:val="both"/>
        <w:rPr>
          <w:rFonts w:ascii="Arial" w:eastAsia="Arial" w:hAnsi="Arial" w:cs="Arial"/>
          <w:color w:val="EE0000"/>
          <w:sz w:val="24"/>
          <w:szCs w:val="24"/>
        </w:rPr>
      </w:pPr>
    </w:p>
    <w:p w14:paraId="39BED7C2" w14:textId="77777777" w:rsidR="00443FF7" w:rsidRDefault="00443FF7" w:rsidP="00443FF7">
      <w:pPr>
        <w:pStyle w:val="Normal1"/>
        <w:spacing w:after="0" w:line="360" w:lineRule="auto" w:before="0"/>
        <w:jc w:val="both"/>
        <w:rPr>
          <w:rFonts w:ascii="Arial" w:eastAsia="Arial" w:hAnsi="Arial" w:cs="Arial"/>
          <w:sz w:val="24"/>
          <w:szCs w:val="24"/>
        </w:rPr>
      </w:pPr>
    </w:p>
    <w:p w14:paraId="696806A4" w14:textId="10A3EE8C" w:rsidR="00443FF7" w:rsidRDefault="00443FF7" w:rsidP="00443FF7">
      <w:pPr>
        <w:pStyle w:val="Normal1"/>
        <w:spacing w:after="0" w:line="360" w:lineRule="auto" w:before="0"/>
        <w:jc w:val="center"/>
        <w:rPr>
          <w:rFonts w:ascii="Arial" w:eastAsia="Arial" w:hAnsi="Arial" w:cs="Arial"/>
          <w:color w:val="FF0000"/>
          <w:sz w:val="24"/>
          <w:szCs w:val="24"/>
        </w:rPr>
      </w:pPr>
      <w:sdt>
        <w:sdtPr>
          <w:rPr>
            <w:rFonts w:ascii="Times New Roman" w:hAnsi="Times New Roman" w:cs="Times New Roman"/>
            <w:color w:val="A6A6A6" w:themeColor="background1" w:themeShade="A6"/>
          </w:rPr>
          <w:id w:val="-265616913"/>
          <w:placeholder>
            <w:docPart w:val="B8FD47F9B6194C01AF3804BD6BF94FD4"/>
          </w:placeholder>
        </w:sdtPr>
        <w:sdtEndPr/>
        <w:sdtContent>
          <w:r w:rsidR="002A76B7" w:rsidRPr="002A76B7">
            <w:rPr>
              <w:rFonts w:ascii="Arial" w:eastAsia="Arial" w:hAnsi="Arial" w:cs="Arial"/>
              <w:color w:val="A6A6A6" w:themeColor="background1" w:themeShade="A6"/>
              <w:sz w:val="24"/>
              <w:szCs w:val="24"/>
            </w:rPr>
            <w:t>[nome por extenso sem abreviações]</w:t>
          </w:r>
        </w:sdtContent>
      </w:sdt>
      <w:r>
        <w:rPr>
          <w:rFonts w:ascii="Arial" w:hAnsi="Arial"/>
          <w:b/>
          <w:sz w:val="24"/>
        </w:rPr>
        <w:t>ALUNO: Danrlei do Nascimento Souza</w:t>
      </w:r>
    </w:p>
    <w:p w14:paraId="0FDE5F75" w14:textId="77777777" w:rsidR="00443FF7" w:rsidRDefault="00443FF7" w:rsidP="00443FF7">
      <w:pPr>
        <w:pStyle w:val="Normal1"/>
        <w:spacing w:after="0" w:line="360" w:lineRule="auto" w:before="0"/>
        <w:jc w:val="both"/>
        <w:rPr>
          <w:rFonts w:ascii="Arial" w:eastAsia="Arial" w:hAnsi="Arial" w:cs="Arial"/>
          <w:sz w:val="24"/>
          <w:szCs w:val="24"/>
        </w:rPr>
      </w:pPr>
    </w:p>
    <w:p w14:paraId="6100D65B" w14:textId="77777777" w:rsidR="00443FF7" w:rsidRDefault="00443FF7" w:rsidP="00443FF7">
      <w:pPr>
        <w:pStyle w:val="Normal1"/>
        <w:spacing w:after="0" w:line="360" w:lineRule="auto" w:before="0"/>
        <w:jc w:val="both"/>
        <w:rPr>
          <w:rFonts w:ascii="Arial" w:eastAsia="Arial" w:hAnsi="Arial" w:cs="Arial"/>
          <w:sz w:val="24"/>
          <w:szCs w:val="24"/>
        </w:rPr>
      </w:pPr>
    </w:p>
    <w:p w14:paraId="782C4C81" w14:textId="77777777" w:rsidR="00443FF7" w:rsidRDefault="00443FF7" w:rsidP="00443FF7">
      <w:pPr>
        <w:pStyle w:val="Normal1"/>
        <w:spacing w:after="0" w:line="360" w:lineRule="auto" w:before="0"/>
        <w:jc w:val="both"/>
        <w:rPr>
          <w:rFonts w:ascii="Arial" w:eastAsia="Arial" w:hAnsi="Arial" w:cs="Arial"/>
          <w:sz w:val="24"/>
          <w:szCs w:val="24"/>
        </w:rPr>
      </w:pPr>
    </w:p>
    <w:p w14:paraId="567FDCD5" w14:textId="77777777" w:rsidR="00443FF7" w:rsidRDefault="00443FF7" w:rsidP="00443FF7">
      <w:pPr>
        <w:pStyle w:val="Normal1"/>
        <w:spacing w:after="0" w:line="360" w:lineRule="auto" w:before="0"/>
        <w:jc w:val="both"/>
        <w:rPr>
          <w:rFonts w:ascii="Arial" w:eastAsia="Arial" w:hAnsi="Arial" w:cs="Arial"/>
          <w:sz w:val="24"/>
          <w:szCs w:val="24"/>
        </w:rPr>
      </w:pPr>
    </w:p>
    <w:p w14:paraId="76453375" w14:textId="77D067B6" w:rsidR="00587786" w:rsidRDefault="00443FF7" w:rsidP="00443FF7">
      <w:pPr>
        <w:pStyle w:val="Normal1"/>
        <w:spacing w:after="0" w:line="360" w:lineRule="auto" w:before="0"/>
        <w:ind w:firstLine="708"/>
        <w:jc w:val="both"/>
        <w:rPr>
          <w:rFonts w:ascii="Arial" w:eastAsia="Arial" w:hAnsi="Arial" w:cs="Arial"/>
          <w:sz w:val="24"/>
          <w:szCs w:val="24"/>
        </w:rPr>
      </w:pPr>
      <w:sdt>
        <w:sdtPr>
          <w:rPr>
            <w:rFonts w:ascii="Times New Roman" w:hAnsi="Times New Roman" w:cs="Times New Roman"/>
            <w:color w:val="2F5496" w:themeColor="accent1" w:themeShade="BF"/>
          </w:rPr>
          <w:id w:val="867953330"/>
          <w:placeholder>
            <w:docPart w:val="2402059BB9054CDBA0BC39EB39861DDF"/>
          </w:placeholder>
        </w:sdtPr>
        <w:sdtEndPr/>
        <w:sdtContent>
          <w:r w:rsidR="002A76B7" w:rsidRPr="002A76B7">
            <w:rPr>
              <w:rFonts w:ascii="Arial" w:eastAsia="Arial" w:hAnsi="Arial" w:cs="Arial"/>
              <w:color w:val="A6A6A6" w:themeColor="background1" w:themeShade="A6"/>
              <w:sz w:val="24"/>
              <w:szCs w:val="24"/>
            </w:rPr>
            <w:t>[nome do aluno]</w:t>
          </w:r>
        </w:sdtContent>
      </w:sdt>
      <w:sdt>
        <w:sdtPr>
          <w:rPr>
            <w:rFonts w:ascii="Times New Roman" w:hAnsi="Times New Roman" w:cs="Times New Roman"/>
            <w:color w:val="2F5496" w:themeColor="accent1" w:themeShade="BF"/>
          </w:rPr>
          <w:id w:val="1896921668"/>
          <w:placeholder>
            <w:docPart w:val="A3171B37F4A14730819C99F862494448"/>
          </w:placeholder>
        </w:sdtPr>
        <w:sdtEndPr/>
        <w:sdtContent>
          <w:r w:rsidR="002A76B7" w:rsidRPr="002A76B7">
            <w:rPr>
              <w:rFonts w:ascii="Arial" w:eastAsia="Arial" w:hAnsi="Arial" w:cs="Arial"/>
              <w:color w:val="A6A6A6" w:themeColor="background1" w:themeShade="A6"/>
              <w:sz w:val="24"/>
              <w:szCs w:val="24"/>
            </w:rPr>
            <w:t>[número do CPF]</w:t>
          </w:r>
        </w:sdtContent>
      </w:sdt>
      <w:sdt>
        <w:sdtPr>
          <w:rPr>
            <w:rFonts w:ascii="Times New Roman" w:hAnsi="Times New Roman" w:cs="Times New Roman"/>
            <w:color w:val="2F5496" w:themeColor="accent1" w:themeShade="BF"/>
          </w:rPr>
          <w:id w:val="940957988"/>
          <w:placeholder>
            <w:docPart w:val="57E2EF16CFD444B68294A80839AC97AE"/>
          </w:placeholder>
        </w:sdtPr>
        <w:sdtEndPr/>
        <w:sdtContent>
          <w:r w:rsidR="002A76B7" w:rsidRPr="002A76B7">
            <w:rPr>
              <w:rFonts w:ascii="Arial" w:eastAsia="Arial" w:hAnsi="Arial" w:cs="Arial"/>
              <w:color w:val="A6A6A6" w:themeColor="background1" w:themeShade="A6"/>
              <w:sz w:val="24"/>
              <w:szCs w:val="24"/>
            </w:rPr>
            <w:t>[número do RG]</w:t>
          </w:r>
        </w:sdtContent>
      </w:sdt>
      <w:r>
        <w:rPr>
          <w:rFonts w:ascii="Arial" w:hAnsi="Arial"/>
          <w:sz w:val="24"/>
        </w:rPr>
        <w:t>Eu, Danrlei do Nascimento Souza, CPF [preencher], RG [preencher], declaro que as ideias e materiais de terceiros utilizados neste trabalho devem estar identificados por citações e referências, e que revisarei a versão final antes de qualquer entrega.</w:t>
      </w:r>
    </w:p>
    <w:p w14:paraId="7BB67828" w14:textId="77777777" w:rsidR="00587786" w:rsidRDefault="00443FF7" w:rsidP="00443FF7">
      <w:pPr>
        <w:pStyle w:val="Normal1"/>
        <w:spacing w:after="0" w:line="360" w:lineRule="auto" w:before="0"/>
        <w:ind w:firstLine="708"/>
        <w:jc w:val="both"/>
        <w:rPr>
          <w:rFonts w:ascii="Arial" w:eastAsia="Arial" w:hAnsi="Arial" w:cs="Arial"/>
          <w:sz w:val="24"/>
          <w:szCs w:val="24"/>
        </w:rPr>
      </w:pPr>
      <w:r>
        <w:rPr>
          <w:rFonts w:ascii="Arial" w:hAnsi="Arial"/>
          <w:sz w:val="24"/>
        </w:rPr>
        <w:t>Estou ciente de que o uso de material de terceiros, inclusive paráfrases sem indicação das fontes, pode caracterizar plágio e estar sujeito às sanções acadêmicas e legais aplicáveis.</w:t>
      </w:r>
    </w:p>
    <w:p w14:paraId="0247CDD8" w14:textId="57D40451" w:rsidR="00443FF7" w:rsidRDefault="00443FF7" w:rsidP="00443FF7">
      <w:pPr>
        <w:pStyle w:val="Normal1"/>
        <w:spacing w:after="0" w:line="360" w:lineRule="auto" w:before="0"/>
        <w:ind w:firstLine="708"/>
        <w:jc w:val="both"/>
        <w:rPr>
          <w:rFonts w:ascii="Arial" w:eastAsia="Arial" w:hAnsi="Arial" w:cs="Arial"/>
          <w:sz w:val="24"/>
          <w:szCs w:val="24"/>
        </w:rPr>
      </w:pPr>
      <w:r>
        <w:rPr>
          <w:rFonts w:ascii="Arial" w:hAnsi="Arial"/>
          <w:sz w:val="24"/>
        </w:rPr>
        <w:t>Este rascunho contou com assistência de inteligência artificial generativa na organização e redação preliminar. Antes de assinar ou entregar qualquer declaração, devo revisar o texto e confirmar com a instituição a forma exigida de informar essa assistência.</w:t>
      </w:r>
    </w:p>
    <w:p w14:paraId="17B0919E" w14:textId="77777777" w:rsidR="00443FF7" w:rsidRDefault="00443FF7" w:rsidP="00443FF7">
      <w:pPr>
        <w:pStyle w:val="Normal1"/>
        <w:spacing w:after="0" w:line="360" w:lineRule="auto" w:before="0"/>
        <w:jc w:val="both"/>
        <w:rPr>
          <w:rFonts w:ascii="Arial" w:eastAsia="Arial" w:hAnsi="Arial" w:cs="Arial"/>
          <w:sz w:val="24"/>
          <w:szCs w:val="24"/>
        </w:rPr>
      </w:pPr>
    </w:p>
    <w:p w14:paraId="6BCF0C13" w14:textId="77777777" w:rsidR="00443FF7" w:rsidRDefault="00443FF7" w:rsidP="00443FF7">
      <w:pPr>
        <w:pStyle w:val="Normal1"/>
        <w:spacing w:after="0" w:line="360" w:lineRule="auto" w:before="0"/>
        <w:jc w:val="both"/>
        <w:rPr>
          <w:rFonts w:ascii="Arial" w:eastAsia="Arial" w:hAnsi="Arial" w:cs="Arial"/>
          <w:sz w:val="24"/>
          <w:szCs w:val="24"/>
        </w:rPr>
      </w:pPr>
    </w:p>
    <w:p w14:paraId="010F3628" w14:textId="77777777" w:rsidR="00443FF7" w:rsidRDefault="00443FF7" w:rsidP="00443FF7">
      <w:pPr>
        <w:pStyle w:val="Normal1"/>
        <w:spacing w:after="0" w:line="360" w:lineRule="auto" w:before="0"/>
        <w:jc w:val="both"/>
        <w:rPr>
          <w:rFonts w:ascii="Arial" w:eastAsia="Arial" w:hAnsi="Arial" w:cs="Arial"/>
          <w:sz w:val="24"/>
          <w:szCs w:val="24"/>
        </w:rPr>
      </w:pPr>
    </w:p>
    <w:p w14:paraId="3F9D5CBF" w14:textId="77777777" w:rsidR="00443FF7" w:rsidRDefault="00443FF7" w:rsidP="00443FF7">
      <w:pPr>
        <w:pStyle w:val="Normal1"/>
        <w:spacing w:after="0" w:line="360" w:lineRule="auto" w:before="0"/>
        <w:jc w:val="both"/>
        <w:rPr>
          <w:rFonts w:ascii="Arial" w:eastAsia="Arial" w:hAnsi="Arial" w:cs="Arial"/>
          <w:sz w:val="24"/>
          <w:szCs w:val="24"/>
        </w:rPr>
      </w:pPr>
    </w:p>
    <w:p w14:paraId="521E8CBF" w14:textId="77777777" w:rsidR="00587786" w:rsidRDefault="00587786" w:rsidP="00443FF7">
      <w:pPr>
        <w:pStyle w:val="Normal1"/>
        <w:spacing w:after="0" w:line="360" w:lineRule="auto" w:before="0"/>
        <w:jc w:val="both"/>
        <w:rPr>
          <w:rFonts w:ascii="Arial" w:eastAsia="Arial" w:hAnsi="Arial" w:cs="Arial"/>
          <w:sz w:val="24"/>
          <w:szCs w:val="24"/>
        </w:rPr>
      </w:pPr>
    </w:p>
    <w:p w14:paraId="1EB06A02" w14:textId="77777777" w:rsidR="00587786" w:rsidRDefault="00587786" w:rsidP="00443FF7">
      <w:pPr>
        <w:pStyle w:val="Normal1"/>
        <w:spacing w:after="0" w:line="360" w:lineRule="auto" w:before="0"/>
        <w:jc w:val="both"/>
        <w:rPr>
          <w:rFonts w:ascii="Arial" w:eastAsia="Arial" w:hAnsi="Arial" w:cs="Arial"/>
          <w:sz w:val="24"/>
          <w:szCs w:val="24"/>
        </w:rPr>
      </w:pPr>
    </w:p>
    <w:p w14:paraId="12FBD86B" w14:textId="03B92454" w:rsidR="00443FF7" w:rsidRDefault="00443FF7" w:rsidP="00587786">
      <w:pPr>
        <w:pStyle w:val="Normal1"/>
        <w:spacing w:after="0" w:line="360" w:lineRule="auto" w:before="0"/>
        <w:jc w:val="right"/>
        <w:rPr>
          <w:rFonts w:ascii="Arial" w:eastAsia="Arial" w:hAnsi="Arial" w:cs="Arial"/>
          <w:sz w:val="24"/>
          <w:szCs w:val="24"/>
        </w:rPr>
      </w:pPr>
      <w:proofErr w:type="spellStart"/>
      <w:proofErr w:type="spellEnd"/>
      <w:r>
        <w:rPr>
          <w:rFonts w:ascii="Arial" w:hAnsi="Arial"/>
          <w:sz w:val="24"/>
        </w:rPr>
        <w:t>[Cidade], ____ de __________ de 2026</w:t>
      </w:r>
    </w:p>
    <w:p w14:paraId="0E0F2D30" w14:textId="77777777" w:rsidR="00443FF7" w:rsidRDefault="00443FF7" w:rsidP="009A314E">
      <w:pPr>
        <w:pStyle w:val="Default"/>
        <w:spacing w:line="360" w:lineRule="auto"/>
        <w:ind w:firstLine="709"/>
        <w:jc w:val="center"/>
        <w:rPr>
          <w:rFonts w:ascii="Times New Roman" w:hAnsi="Times New Roman" w:cs="Times New Roman"/>
          <w:b/>
          <w:bCs/>
          <w:highlight w:val="yellow"/>
        </w:rPr>
      </w:pPr>
    </w:p>
    <w:p w14:paraId="3559B7B5" w14:textId="77777777" w:rsidR="00443FF7" w:rsidRDefault="00443FF7" w:rsidP="009A314E">
      <w:pPr>
        <w:pStyle w:val="Default"/>
        <w:spacing w:line="360" w:lineRule="auto"/>
        <w:ind w:firstLine="709"/>
        <w:jc w:val="center"/>
        <w:rPr>
          <w:rFonts w:ascii="Times New Roman" w:hAnsi="Times New Roman" w:cs="Times New Roman"/>
          <w:b/>
          <w:bCs/>
          <w:highlight w:val="yellow"/>
        </w:rPr>
      </w:pPr>
    </w:p>
    <w:p w14:paraId="100DFE30" w14:textId="77777777" w:rsidR="00443FF7" w:rsidRDefault="00443FF7" w:rsidP="009A314E">
      <w:pPr>
        <w:pStyle w:val="Default"/>
        <w:spacing w:line="360" w:lineRule="auto"/>
        <w:ind w:firstLine="709"/>
        <w:jc w:val="center"/>
        <w:rPr>
          <w:rFonts w:ascii="Times New Roman" w:hAnsi="Times New Roman" w:cs="Times New Roman"/>
          <w:b/>
          <w:bCs/>
          <w:highlight w:val="yellow"/>
        </w:rPr>
      </w:pPr>
    </w:p>
    <w:p w14:paraId="5720208A" w14:textId="77777777" w:rsidR="00443FF7" w:rsidRDefault="00443FF7" w:rsidP="009A314E">
      <w:pPr>
        <w:pStyle w:val="Default"/>
        <w:spacing w:line="360" w:lineRule="auto"/>
        <w:ind w:firstLine="709"/>
        <w:jc w:val="center"/>
        <w:rPr>
          <w:rFonts w:ascii="Times New Roman" w:hAnsi="Times New Roman" w:cs="Times New Roman"/>
          <w:b/>
          <w:bCs/>
          <w:highlight w:val="yellow"/>
        </w:rPr>
      </w:pPr>
    </w:p>
    <w:p w14:paraId="736DE8A8" w14:textId="77777777" w:rsidR="00443FF7" w:rsidRDefault="00443FF7" w:rsidP="009A314E">
      <w:pPr>
        <w:pStyle w:val="Default"/>
        <w:spacing w:line="360" w:lineRule="auto"/>
        <w:ind w:firstLine="709"/>
        <w:jc w:val="center"/>
        <w:rPr>
          <w:rFonts w:ascii="Times New Roman" w:hAnsi="Times New Roman" w:cs="Times New Roman"/>
          <w:b/>
          <w:bCs/>
          <w:highlight w:val="yellow"/>
        </w:rPr>
      </w:pPr>
    </w:p>
    <w:p w14:paraId="7E74E4B7" w14:textId="77777777" w:rsidR="00443FF7" w:rsidRDefault="00443FF7" w:rsidP="009A314E">
      <w:pPr>
        <w:pStyle w:val="Default"/>
        <w:spacing w:line="360" w:lineRule="auto"/>
        <w:ind w:firstLine="709"/>
        <w:jc w:val="center"/>
        <w:rPr>
          <w:rFonts w:ascii="Times New Roman" w:hAnsi="Times New Roman" w:cs="Times New Roman"/>
          <w:b/>
          <w:bCs/>
          <w:highlight w:val="yellow"/>
        </w:rPr>
      </w:pPr>
    </w:p>
    <w:p w14:paraId="2A8EF02F" w14:textId="77777777" w:rsidR="00443FF7" w:rsidRDefault="00443FF7" w:rsidP="009A314E">
      <w:pPr>
        <w:pStyle w:val="Default"/>
        <w:spacing w:line="360" w:lineRule="auto"/>
        <w:ind w:firstLine="709"/>
        <w:jc w:val="center"/>
        <w:rPr>
          <w:rFonts w:ascii="Times New Roman" w:hAnsi="Times New Roman" w:cs="Times New Roman"/>
          <w:b/>
          <w:bCs/>
          <w:highlight w:val="yellow"/>
        </w:rPr>
      </w:pPr>
    </w:p>
    <w:p w14:paraId="62CC734C" w14:textId="77777777" w:rsidR="00443FF7" w:rsidRDefault="00443FF7" w:rsidP="009A314E">
      <w:pPr>
        <w:pStyle w:val="Default"/>
        <w:spacing w:line="360" w:lineRule="auto"/>
        <w:ind w:firstLine="709"/>
        <w:jc w:val="center"/>
        <w:rPr>
          <w:rFonts w:ascii="Times New Roman" w:hAnsi="Times New Roman" w:cs="Times New Roman"/>
          <w:b/>
          <w:bCs/>
          <w:highlight w:val="yellow"/>
        </w:rPr>
      </w:pPr>
    </w:p>
    <w:p w14:paraId="5CAF5E37" w14:textId="77777777" w:rsidR="00443FF7" w:rsidRDefault="00443FF7" w:rsidP="009A314E">
      <w:pPr>
        <w:pStyle w:val="Default"/>
        <w:spacing w:line="360" w:lineRule="auto"/>
        <w:ind w:firstLine="709"/>
        <w:jc w:val="center"/>
        <w:rPr>
          <w:rFonts w:ascii="Times New Roman" w:hAnsi="Times New Roman" w:cs="Times New Roman"/>
          <w:b/>
          <w:bCs/>
          <w:highlight w:val="yellow"/>
        </w:rPr>
      </w:pPr>
    </w:p>
    <w:p w14:paraId="7513FEEA" w14:textId="77777777" w:rsidR="00443FF7" w:rsidRDefault="00443FF7" w:rsidP="009A314E">
      <w:pPr>
        <w:pStyle w:val="Default"/>
        <w:spacing w:line="360" w:lineRule="auto"/>
        <w:ind w:firstLine="709"/>
        <w:jc w:val="center"/>
        <w:rPr>
          <w:rFonts w:ascii="Times New Roman" w:hAnsi="Times New Roman" w:cs="Times New Roman"/>
          <w:b/>
          <w:bCs/>
          <w:highlight w:val="yellow"/>
        </w:rPr>
      </w:pPr>
    </w:p>
    <w:p w14:paraId="2766880B" w14:textId="77777777" w:rsidR="003F0D2D" w:rsidRDefault="003F0D2D" w:rsidP="009A314E">
      <w:pPr>
        <w:pStyle w:val="Default"/>
        <w:spacing w:line="360" w:lineRule="auto"/>
        <w:ind w:firstLine="709"/>
        <w:jc w:val="center"/>
        <w:rPr>
          <w:rFonts w:ascii="Times New Roman" w:hAnsi="Times New Roman" w:cs="Times New Roman"/>
          <w:b/>
          <w:bCs/>
          <w:highlight w:val="yellow"/>
        </w:rPr>
      </w:pPr>
    </w:p>
    <w:p w14:paraId="11CCA93F" w14:textId="17440452" w:rsidR="001734B7" w:rsidRPr="00587786" w:rsidRDefault="00D62928" w:rsidP="009A314E">
      <w:pPr>
        <w:pStyle w:val="Default"/>
        <w:spacing w:line="360" w:lineRule="auto" w:before="0" w:after="0"/>
        <w:ind w:firstLine="709"/>
        <w:jc w:val="center"/>
        <w:rPr>
          <w:rFonts w:ascii="Times New Roman" w:hAnsi="Times New Roman" w:cs="Times New Roman"/>
          <w:b/>
          <w:bCs/>
          <w:color w:val="A6A6A6" w:themeColor="background1" w:themeShade="A6"/>
        </w:rPr>
      </w:pPr>
      <w:r>
        <w:rPr>
          <w:rFonts w:ascii="Arial" w:hAnsi="Arial"/>
          <w:b/>
          <w:sz w:val="24"/>
        </w:rPr>
        <w:t>OpenTelemetry na observabilidade de aplicações distribuídas em Kubernetes: integração de métricas, logs e rastros</w:t>
      </w:r>
    </w:p>
    <w:p w14:paraId="4E199310" w14:textId="39AC9AB6" w:rsidR="00D408AB" w:rsidRPr="009A314E" w:rsidRDefault="004A147F" w:rsidP="009A314E">
      <w:pPr>
        <w:pStyle w:val="Default"/>
        <w:spacing w:line="360" w:lineRule="auto" w:before="0" w:after="0"/>
        <w:ind w:firstLine="709"/>
        <w:jc w:val="right"/>
        <w:rPr>
          <w:rFonts w:ascii="Times New Roman" w:hAnsi="Times New Roman" w:cs="Times New Roman"/>
        </w:rPr>
      </w:pPr>
      <w:r>
        <w:rPr>
          <w:rFonts w:ascii="Arial" w:hAnsi="Arial"/>
          <w:sz w:val="24"/>
        </w:rPr>
        <w:t>Danrlei do Nascimento Souza</w:t>
      </w:r>
    </w:p>
    <w:p w14:paraId="60A6BFE1" w14:textId="77777777" w:rsidR="008429D3" w:rsidRPr="009A314E" w:rsidRDefault="008429D3" w:rsidP="009A314E">
      <w:pPr>
        <w:pStyle w:val="Default"/>
        <w:spacing w:line="360" w:lineRule="auto"/>
        <w:ind w:firstLine="709"/>
        <w:jc w:val="right"/>
        <w:rPr>
          <w:rFonts w:ascii="Times New Roman" w:hAnsi="Times New Roman" w:cs="Times New Roman"/>
        </w:rPr>
      </w:pPr>
      <w:r>
        <w:rPr>
          <w:rFonts w:ascii="Arial" w:hAnsi="Arial"/>
          <w:sz w:val="24"/>
        </w:rPr>
        <w:t>Curso: [INFORMAR CURSO] | Instituição: [INFORMAR INSTITUIÇÃO]</w:t>
      </w:r>
    </w:p>
    <w:p w14:paraId="33CF30C5" w14:textId="4552E614" w:rsidR="00D408AB" w:rsidRPr="009A314E" w:rsidRDefault="00D408AB" w:rsidP="00944FAF">
      <w:pPr>
        <w:pStyle w:val="Default"/>
        <w:spacing w:line="360" w:lineRule="auto" w:before="0" w:after="0"/>
        <w:jc w:val="center"/>
        <w:rPr>
          <w:rFonts w:ascii="Times New Roman" w:hAnsi="Times New Roman" w:cs="Times New Roman"/>
        </w:rPr>
      </w:pPr>
      <w:r w:rsidRPr="00014F94">
        <w:rPr>
          <w:rFonts w:ascii="Arial" w:hAnsi="Arial" w:cs="Times New Roman"/>
          <w:b/>
          <w:bCs/>
          <w:sz w:val="24"/>
        </w:rPr>
        <w:t>RESUMO</w:t>
      </w:r>
    </w:p>
    <w:sdt>
      <w:sdtPr>
        <w:rPr>
          <w:rFonts w:ascii="Times New Roman" w:hAnsi="Times New Roman" w:cs="Times New Roman"/>
          <w:color w:val="2F5496" w:themeColor="accent1" w:themeShade="BF"/>
        </w:rPr>
        <w:id w:val="180089737"/>
        <w:placeholder>
          <w:docPart w:val="76477FCB7DA441DCA0E0FD3961BBF1DD"/>
        </w:placeholder>
      </w:sdtPr>
      <w:sdtEndPr/>
      <w:sdtContent>
        <w:p w14:paraId="39337008" w14:textId="411ACD52" w:rsidR="005E6606" w:rsidRDefault="00014F94" w:rsidP="00D62928">
          <w:pPr>
            <w:pStyle w:val="Default"/>
            <w:spacing w:line="360" w:lineRule="auto"/>
            <w:jc w:val="both"/>
            <w:rPr>
              <w:rFonts w:ascii="Times New Roman" w:hAnsi="Times New Roman" w:cs="Times New Roman"/>
              <w:color w:val="A6A6A6" w:themeColor="background1" w:themeShade="A6"/>
            </w:rPr>
          </w:pPr>
          <w:r w:rsidRPr="005E6606">
            <w:rPr>
              <w:rFonts w:ascii="Times New Roman" w:hAnsi="Times New Roman" w:cs="Times New Roman"/>
              <w:color w:val="A6A6A6" w:themeColor="background1" w:themeShade="A6"/>
            </w:rPr>
            <w:t xml:space="preserve">Texto, com uma quantidade predeterminada de palavras, onde se expõe o objetivo do artigo, a metodologia (que é a validação técnica e/ou científica do seu trabalho, os procedimentos devem ser bem detalhados) utilizada para solucionar o problema (problema = tema de seu trabalho) e os resultados alcançados. Uma frase resumindo as considerações finais. Não deve ultrapassar 250 palavras, constituído de uma sequência de frases concisas e objetivas. O resumo é um panorama ilustrativo do que você desenvolveu no artigo. </w:t>
          </w:r>
        </w:p>
      </w:sdtContent>
    </w:sdt>
    <w:p w14:paraId="4623F3AA" w14:textId="77777777" w:rsidR="009A314E" w:rsidRPr="009A314E" w:rsidRDefault="009A314E" w:rsidP="009A314E">
      <w:pPr>
        <w:pStyle w:val="Default"/>
        <w:spacing w:line="240" w:lineRule="auto" w:before="0" w:after="0"/>
        <w:ind w:firstLine="709"/>
        <w:jc w:val="both"/>
        <w:rPr>
          <w:rFonts w:ascii="Times New Roman" w:hAnsi="Times New Roman" w:cs="Times New Roman"/>
          <w:color w:val="2F5496" w:themeColor="accent1" w:themeShade="BF"/>
        </w:rPr>
      </w:pPr>
      <w:r>
        <w:rPr>
          <w:rFonts w:ascii="Arial" w:hAnsi="Arial"/>
          <w:sz w:val="24"/>
        </w:rPr>
        <w:t>A adoção de microsserviços e Kubernetes amplia a distribuição de componentes e dificulta a localização de falhas que atravessam processos, redes e equipes. Este artigo analisa, por meio de revisão bibliográfica narrativa, como o OpenTelemetry pode organizar a geração, o processamento e a exportação de métricas, logs e rastros em uma arquitetura de observabilidade para aplicações distribuídas. Foram examinados padrões e documentações oficiais, trabalhos clássicos sobre rastreamento distribuído e literatura técnica de confiabilidade e observabilidade. A síntese mostra que o OpenTelemetry reduz a dependência de instrumentações proprietárias ao oferecer APIs, SDKs, convenções semânticas e o protocolo OTLP, enquanto o Collector atua como camada configurável de recepção, processamento e encaminhamento. Em Kubernetes, uma implantação coerente combina instrumentação de aplicações, coleta de sinais de infraestrutura e contexto de recurso, propagação padronizada de contexto e backends especializados. Prometheus e VictoriaMetrics podem receber e consultar métricas compatíveis; Jaeger oferece armazenamento e exploração de rastros; VictoriaLogs permite consulta de logs; e Grafana pode reunir visualizações, sem que esses produtos sejam substitutos uns dos outros. A literatura também evidencia limites: cardinalidade e volume elevam custos, amostragem pode ocultar eventos, instrumentação incompleta quebra rastros e dados telemétricos podem expor informações sensíveis. Conclui-se que OpenTelemetry é uma base de interoperabilidade, não uma solução autossuficiente: os ganhos dependem de governança, desenho de sinais, correlação, controle de custos e definição de objetivos de confiabilidade.</w:t>
      </w:r>
    </w:p>
    <w:p w14:paraId="4C232CF2" w14:textId="53D5094A" w:rsidR="00E0107B" w:rsidRPr="009A314E" w:rsidRDefault="00D408AB" w:rsidP="00D62928">
      <w:pPr>
        <w:pStyle w:val="Default"/>
        <w:spacing w:line="240" w:lineRule="auto" w:before="0" w:after="0"/>
        <w:jc w:val="both"/>
        <w:rPr>
          <w:rFonts w:ascii="Times New Roman" w:hAnsi="Times New Roman" w:cs="Times New Roman"/>
        </w:rPr>
      </w:pPr>
      <w:sdt>
        <w:sdtPr>
          <w:rPr>
            <w:rFonts w:ascii="Times New Roman" w:hAnsi="Times New Roman" w:cs="Times New Roman"/>
            <w:color w:val="2F5496" w:themeColor="accent1" w:themeShade="BF"/>
          </w:rPr>
          <w:id w:val="-526795643"/>
          <w:placeholder>
            <w:docPart w:val="C57D42346F564A8090EF178493056DC1"/>
          </w:placeholder>
        </w:sdtPr>
        <w:sdtEndPr/>
        <w:sdtContent>
          <w:r w:rsidR="00014F94" w:rsidRPr="00014F94">
            <w:rPr>
              <w:rFonts w:ascii="Times New Roman" w:hAnsi="Times New Roman" w:cs="Times New Roman"/>
              <w:color w:val="A6A6A6" w:themeColor="background1" w:themeShade="A6"/>
            </w:rPr>
            <w:t>Ciência. TCC. Mundo do trabalho.</w:t>
          </w:r>
          <w:r w:rsidR="00014F94">
            <w:rPr>
              <w:rFonts w:ascii="Times New Roman" w:hAnsi="Times New Roman" w:cs="Times New Roman"/>
              <w:color w:val="A6A6A6" w:themeColor="background1" w:themeShade="A6"/>
            </w:rPr>
            <w:t xml:space="preserve"> </w:t>
          </w:r>
          <w:r w:rsidR="00014F94" w:rsidRPr="00014F94">
            <w:rPr>
              <w:rFonts w:ascii="Times New Roman" w:hAnsi="Times New Roman" w:cs="Times New Roman"/>
              <w:b/>
              <w:bCs/>
              <w:color w:val="A6A6A6" w:themeColor="background1" w:themeShade="A6"/>
            </w:rPr>
            <w:t>São palavras características do tema que servem para indexar o artigo, até 5 palavras separadas por ponto final.</w:t>
          </w:r>
          <w:r w:rsidR="00014F94" w:rsidRPr="00014F94">
            <w:rPr>
              <w:rFonts w:ascii="Times New Roman" w:hAnsi="Times New Roman" w:cs="Times New Roman"/>
              <w:color w:val="A6A6A6" w:themeColor="background1" w:themeShade="A6"/>
            </w:rPr>
            <w:t xml:space="preserve">    </w:t>
          </w:r>
        </w:sdtContent>
      </w:sdt>
      <w:r>
        <w:rPr>
          <w:rFonts w:ascii="Arial" w:hAnsi="Arial"/>
          <w:sz w:val="24"/>
        </w:rPr>
        <w:t>Palavras-chave: OpenTelemetry. Observabilidade. Kubernetes. Rastreamento distribuído. Telemetria.</w:t>
      </w:r>
    </w:p>
    <w:p w14:paraId="11D36310" w14:textId="27C540CF" w:rsidR="00D408AB" w:rsidRPr="009A314E" w:rsidRDefault="00D408AB" w:rsidP="00944FAF">
      <w:pPr>
        <w:pStyle w:val="Default"/>
        <w:spacing w:line="360" w:lineRule="auto" w:before="0" w:after="0"/>
        <w:jc w:val="center"/>
        <w:rPr>
          <w:rFonts w:ascii="Times New Roman" w:hAnsi="Times New Roman" w:cs="Times New Roman"/>
        </w:rPr>
      </w:pPr>
      <w:r w:rsidRPr="00014F94">
        <w:rPr>
          <w:rFonts w:ascii="Arial" w:hAnsi="Arial" w:cs="Times New Roman"/>
          <w:b/>
          <w:bCs/>
          <w:sz w:val="24"/>
        </w:rPr>
        <w:t>ABSTRACT</w:t>
      </w:r>
    </w:p>
    <w:p w14:paraId="518C19D9" w14:textId="4043E9E8" w:rsidR="00014F94" w:rsidRPr="00014F94" w:rsidRDefault="001D2FD0" w:rsidP="00014F94">
      <w:pPr>
        <w:pStyle w:val="Default"/>
        <w:spacing w:line="240" w:lineRule="auto" w:before="0" w:after="0"/>
        <w:jc w:val="both"/>
        <w:rPr>
          <w:rFonts w:ascii="Times New Roman" w:hAnsi="Times New Roman" w:cs="Times New Roman"/>
          <w:color w:val="A6A6A6" w:themeColor="background1" w:themeShade="A6"/>
        </w:rPr>
      </w:pPr>
      <w:sdt>
        <w:sdtPr>
          <w:rPr>
            <w:rFonts w:ascii="Times New Roman" w:hAnsi="Times New Roman" w:cs="Times New Roman"/>
            <w:color w:val="A6A6A6" w:themeColor="background1" w:themeShade="A6"/>
          </w:rPr>
          <w:id w:val="577559260"/>
          <w:placeholder>
            <w:docPart w:val="49224BB167434D2B897862C6787D5F8B"/>
          </w:placeholder>
        </w:sdtPr>
        <w:sdtEndPr/>
        <w:sdtContent>
          <w:r w:rsidR="00014F94" w:rsidRPr="00014F94">
            <w:rPr>
              <w:rFonts w:ascii="Times New Roman" w:hAnsi="Times New Roman" w:cs="Times New Roman"/>
              <w:color w:val="A6A6A6" w:themeColor="background1" w:themeShade="A6"/>
            </w:rPr>
            <w:t>Uma tradução do resumo em português para o Inglês do resumo feito acima.</w:t>
          </w:r>
        </w:sdtContent>
      </w:sdt>
      <w:r>
        <w:rPr>
          <w:rFonts w:ascii="Arial" w:hAnsi="Arial"/>
          <w:sz w:val="24"/>
        </w:rPr>
        <w:t>The adoption of microservices and Kubernetes increases component distribution and makes it harder to locate failures spanning processes, networks, and teams. This article analyzes, through a narrative literature review, how OpenTelemetry can organize the generation, processing, and export of metrics, logs, and traces in an observability architecture for distributed applications. Official standards and documentation, foundational distributed tracing papers, and technical literature on reliability and observability were examined. The synthesis indicates that OpenTelemetry reduces dependence on proprietary instrumentation by providing APIs, SDKs, semantic conventions, and the OTLP protocol, while the Collector acts as a configurable layer for receiving, processing, and forwarding telemetry. In Kubernetes, a coherent deployment combines application instrumentation, infrastructure signal collection and resource context, standardized context propagation, and specialized backends. Prometheus and VictoriaMetrics can receive and query compatible metrics; Jaeger supports trace storage and exploration; VictoriaLogs supports log queries; and Grafana can bring visualizations together, without making these products interchangeable. The literature also identifies limitations: cardinality and volume increase costs, sampling may hide events, incomplete instrumentation breaks traces, and telemetry may expose sensitive information. OpenTelemetry is therefore an interoperability foundation rather than a self-sufficient solution; its benefits depend on governance, signal design, correlation, cost controls, and reliability objectives.</w:t>
      </w:r>
    </w:p>
    <w:p w14:paraId="1C92B371" w14:textId="72EB27E0" w:rsidR="00D408AB" w:rsidRPr="009A314E" w:rsidRDefault="00D408AB" w:rsidP="00D62928">
      <w:pPr>
        <w:pStyle w:val="Default"/>
        <w:spacing w:line="240" w:lineRule="auto" w:before="0" w:after="0"/>
        <w:jc w:val="both"/>
        <w:rPr>
          <w:rFonts w:ascii="Times New Roman" w:hAnsi="Times New Roman" w:cs="Times New Roman"/>
        </w:rPr>
      </w:pPr>
      <w:sdt>
        <w:sdtPr>
          <w:rPr>
            <w:rFonts w:ascii="Times New Roman" w:hAnsi="Times New Roman" w:cs="Times New Roman"/>
            <w:color w:val="A6A6A6" w:themeColor="background1" w:themeShade="A6"/>
          </w:rPr>
          <w:id w:val="-632559896"/>
          <w:placeholder>
            <w:docPart w:val="551D6A63219C4E8E934B1E83CB50431D"/>
          </w:placeholder>
        </w:sdtPr>
        <w:sdtEndPr/>
        <w:sdtContent>
          <w:r w:rsidR="00014F94" w:rsidRPr="00014F94">
            <w:rPr>
              <w:rFonts w:ascii="Times New Roman" w:hAnsi="Times New Roman" w:cs="Times New Roman"/>
              <w:color w:val="A6A6A6" w:themeColor="background1" w:themeShade="A6"/>
            </w:rPr>
            <w:t>Tradução das palavras-chave. Também separadas por ponto final.</w:t>
          </w:r>
        </w:sdtContent>
      </w:sdt>
      <w:r>
        <w:rPr>
          <w:rFonts w:ascii="Arial" w:hAnsi="Arial"/>
          <w:sz w:val="24"/>
        </w:rPr>
        <w:t>Keywords: OpenTelemetry. Observability. Kubernetes. Distributed tracing. Telemetry.</w:t>
      </w:r>
    </w:p>
    <w:p w14:paraId="65130351" w14:textId="5307261B" w:rsidR="00D408AB" w:rsidRPr="009A314E" w:rsidRDefault="00D408AB" w:rsidP="003B6432">
      <w:pPr>
        <w:spacing w:line="360" w:lineRule="auto" w:before="0" w:after="0"/>
        <w:jc w:val="left"/>
        <w:rPr>
          <w:rFonts w:ascii="Times New Roman" w:hAnsi="Times New Roman" w:cs="Times New Roman"/>
        </w:rPr>
      </w:pPr>
      <w:r w:rsidRPr="00014F94">
        <w:rPr>
          <w:rFonts w:ascii="Arial" w:hAnsi="Arial" w:cs="Times New Roman"/>
          <w:b/>
          <w:bCs/>
          <w:sz w:val="24"/>
        </w:rPr>
        <w:t xml:space="preserve">1 </w:t>
      </w:r>
      <w:r w:rsidR="00D62928" w:rsidRPr="00014F94">
        <w:rPr>
          <w:rFonts w:ascii="Arial" w:hAnsi="Arial" w:cs="Times New Roman"/>
          <w:b/>
          <w:bCs/>
          <w:sz w:val="24"/>
        </w:rPr>
        <w:t>INTRODUÇÃO</w:t>
      </w:r>
    </w:p>
    <w:p>
      <w:pPr>
        <w:pStyle w:val="Default"/>
        <w:spacing w:line="360" w:lineRule="auto" w:before="0" w:after="0"/>
        <w:ind w:firstLine="706"/>
        <w:jc w:val="both"/>
      </w:pPr>
      <w:r>
        <w:rPr>
          <w:rFonts w:ascii="Arial" w:hAnsi="Arial"/>
          <w:sz w:val="24"/>
        </w:rPr>
        <w:t>A operação de software deixou de se limitar à verificação de que um processo está ativo. Aplicações construídas como serviços distribuídos executam uma única jornada de usuário por meio de várias APIs, filas, bancos de dados e componentes de plataforma. Em Kubernetes, a criação e a substituição dinâmica de pods, a distribuição de carga e a coexistência de diferentes linguagens tornam a identificação de uma falha mais dependente de contexto do que de uma busca isolada em um servidor. Métricas, logs e rastros oferecem perspectivas complementares sobre esse comportamento, mas sua utilidade diminui quando cada serviço usa formatos, nomes e ferramentas incompatíveis (SRIDHARAN, 2018; KUBERNETES AUTHORS, 2026).</w:t>
      </w:r>
    </w:p>
    <w:p>
      <w:pPr>
        <w:pStyle w:val="Default"/>
        <w:spacing w:line="360" w:lineRule="auto" w:before="0" w:after="0"/>
        <w:ind w:firstLine="706"/>
        <w:jc w:val="both"/>
      </w:pPr>
      <w:r>
        <w:rPr>
          <w:rFonts w:ascii="Arial" w:hAnsi="Arial"/>
          <w:sz w:val="24"/>
        </w:rPr>
        <w:t>Nesse cenário, OpenTelemetry (OTel) consolidou-se como um conjunto aberto de especificações, APIs, SDKs, convenções semânticas e componentes para produzir e transportar telemetria. O projeto não é um banco de dados nem uma interface de análise: define como coletar e encaminhar sinais para sistemas especializados, reduzindo a dependência de agentes proprietários e permitindo que a instrumentação seja dissociada do destino dos dados (OPEN TELEMETRY, 2026i). Essa distinção é relevante para equipes que precisam investigar incidentes e, ao mesmo tempo, manter liberdade para combinar ou substituir ferramentas.</w:t>
      </w:r>
    </w:p>
    <w:p>
      <w:pPr>
        <w:pStyle w:val="Default"/>
        <w:spacing w:line="360" w:lineRule="auto" w:before="0" w:after="0"/>
        <w:ind w:firstLine="706"/>
        <w:jc w:val="both"/>
      </w:pPr>
      <w:r>
        <w:rPr>
          <w:rFonts w:ascii="Arial" w:hAnsi="Arial"/>
          <w:sz w:val="24"/>
        </w:rPr>
        <w:t>A questão que orienta este estudo é: de que maneira o OpenTelemetry pode apoiar a integração de métricas, logs e rastros de aplicações em Kubernetes e quais decisões técnicas e operacionais condicionam o resultado? O objetivo geral é analisar a contribuição do padrão para uma arquitetura de observabilidade interoperável. Como objetivos específicos, busca-se caracterizar os sinais e seus vínculos; descrever o papel de APIs, SDKs, OTLP e Collector; discutir uma composição conceitual com Prometheus, Grafana, Jaeger, VictoriaMetrics e VictoriaLogs; e identificar limites de custo, qualidade, segurança e operação.</w:t>
      </w:r>
    </w:p>
    <w:p>
      <w:pPr>
        <w:pStyle w:val="Default"/>
        <w:spacing w:line="360" w:lineRule="auto" w:before="0" w:after="0"/>
        <w:ind w:firstLine="706"/>
        <w:jc w:val="both"/>
      </w:pPr>
      <w:r>
        <w:rPr>
          <w:rFonts w:ascii="Arial" w:hAnsi="Arial"/>
          <w:sz w:val="24"/>
        </w:rPr>
        <w:t>O tema se relaciona diretamente a atividades profissionais de engenharia de software e observabilidade envolvendo Kubernetes, OpenTelemetry, Prometheus, Grafana, Jaeger, VictoriaMetrics e VictoriaLogs. Essa relação delimita o problema prático, mas não transforma o artigo em relato de experiência: não são apresentados dados internos, medições de produção nem resultados de uma implantação específica. Os nomes de ferramentas são discutidos como componentes possíveis de uma arquitetura de referência, e não como afirmação de que exista uma integração idêntica no ambiente de trabalho do autor.</w:t>
      </w:r>
    </w:p>
    <w:p>
      <w:pPr>
        <w:pStyle w:val="Default"/>
        <w:spacing w:line="360" w:lineRule="auto" w:before="0" w:after="0"/>
        <w:ind w:firstLine="706"/>
        <w:jc w:val="both"/>
      </w:pPr>
      <w:r>
        <w:rPr>
          <w:rFonts w:ascii="Arial" w:hAnsi="Arial"/>
          <w:sz w:val="24"/>
        </w:rPr>
        <w:t>A relevância do estudo decorre de duas necessidades. A primeira é reduzir o tempo entre a detecção de um sintoma e a compreensão de onde e por que ele ocorre. A segunda é evitar que a própria instrumentação produza ruído, custos imprevisíveis ou exposição indevida de dados. A literatura de confiabilidade recomenda monitoramento orientado a sintomas relevantes ao usuário, alertas acionáveis e distinção entre aquilo que está quebrado e suas possíveis causas (BEYER et al., 2016; EWASCHUK, 2016). O OpenTelemetry pode apoiar esse objetivo quando implementado como parte de um processo de engenharia, e não como simples instalação de agentes.</w:t>
      </w:r>
    </w:p>
    <w:sdt>
      <w:sdtPr>
        <w:rPr>
          <w:rFonts w:ascii="Times New Roman" w:hAnsi="Times New Roman" w:cs="Times New Roman"/>
          <w:color w:val="A6A6A6" w:themeColor="background1" w:themeShade="A6"/>
        </w:rPr>
        <w:id w:val="2069601253"/>
        <w:placeholder>
          <w:docPart w:val="F0690AB604DE46298463A3A5303758B1"/>
        </w:placeholder>
      </w:sdtPr>
      <w:sdtEndPr/>
      <w:sdtContent>
        <w:p w14:paraId="683529D9" w14:textId="77777777" w:rsidR="00014F94" w:rsidRPr="00014F94" w:rsidRDefault="00014F94" w:rsidP="00014F94">
          <w:pPr>
            <w:pStyle w:val="Default"/>
            <w:spacing w:line="360" w:lineRule="auto"/>
            <w:ind w:firstLine="708"/>
            <w:jc w:val="both"/>
            <w:rPr>
              <w:rFonts w:ascii="Times New Roman" w:hAnsi="Times New Roman" w:cs="Times New Roman"/>
              <w:color w:val="A6A6A6" w:themeColor="background1" w:themeShade="A6"/>
            </w:rPr>
          </w:pPr>
          <w:r w:rsidRPr="00014F94">
            <w:rPr>
              <w:rFonts w:ascii="Times New Roman" w:hAnsi="Times New Roman" w:cs="Times New Roman"/>
              <w:color w:val="A6A6A6" w:themeColor="background1" w:themeShade="A6"/>
            </w:rPr>
            <w:t xml:space="preserve">O objetivo da Introdução é situar o leitor no contexto do tema pesquisado, oferecendo uma visão global do estudo realizado, esclarecendo as delimitações estabelecidas na abordagem do assunto, os objetivos e as justificativas que levaram o autor a tal investigação para, em seguida, apontar as questões de pesquisa para as quais buscará as respostas. </w:t>
          </w:r>
        </w:p>
        <w:p w14:paraId="7CD6209A" w14:textId="5A936A7C" w:rsidR="005E6606" w:rsidRPr="00014F94" w:rsidRDefault="00014F94" w:rsidP="00014F94">
          <w:pPr>
            <w:pStyle w:val="Default"/>
            <w:spacing w:line="360" w:lineRule="auto"/>
            <w:ind w:firstLine="708"/>
            <w:jc w:val="both"/>
            <w:rPr>
              <w:rFonts w:ascii="Times New Roman" w:hAnsi="Times New Roman" w:cs="Times New Roman"/>
              <w:color w:val="A6A6A6" w:themeColor="background1" w:themeShade="A6"/>
            </w:rPr>
          </w:pPr>
          <w:r w:rsidRPr="00014F94">
            <w:rPr>
              <w:rFonts w:ascii="Times New Roman" w:hAnsi="Times New Roman" w:cs="Times New Roman"/>
              <w:color w:val="A6A6A6" w:themeColor="background1" w:themeShade="A6"/>
            </w:rPr>
            <w:t>Na introdução deverá ser apresentado o objetivo geral e os específicos do trabalho. Os objetivos específicos devem ser apresentados em tópicos. O último parágrafo da introdução deverá conter a justificativa do trabalho. Deixe claro os motivos e as razões técnicas e científicas pelas quais você selecionou o tema escolhido. Informe também o que o seu trabalho somará, acrescentará para a ciência.</w:t>
          </w:r>
        </w:p>
      </w:sdtContent>
    </w:sdt>
    <w:p w14:paraId="21B148FA" w14:textId="77777777" w:rsidR="000B26E1" w:rsidRDefault="000B26E1" w:rsidP="000B26E1">
      <w:pPr>
        <w:pStyle w:val="Default"/>
        <w:spacing w:line="360" w:lineRule="auto"/>
        <w:jc w:val="both"/>
        <w:rPr>
          <w:rFonts w:ascii="Times New Roman" w:hAnsi="Times New Roman" w:cs="Times New Roman"/>
        </w:rPr>
      </w:pPr>
    </w:p>
    <w:p w14:paraId="415D4FF5" w14:textId="7120DCBD" w:rsidR="0048725D" w:rsidRPr="003B6432" w:rsidRDefault="00D408AB" w:rsidP="00E474DB">
      <w:pPr>
        <w:pStyle w:val="Default"/>
        <w:spacing w:line="360" w:lineRule="auto" w:before="0" w:after="0"/>
        <w:jc w:val="left"/>
        <w:rPr>
          <w:rFonts w:ascii="Times New Roman" w:hAnsi="Times New Roman" w:cs="Times New Roman"/>
          <w:b/>
          <w:bCs/>
        </w:rPr>
      </w:pPr>
      <w:r w:rsidRPr="003B6432">
        <w:rPr>
          <w:rFonts w:ascii="Arial" w:hAnsi="Arial" w:cs="Times New Roman"/>
          <w:b/>
          <w:bCs/>
          <w:sz w:val="24"/>
        </w:rPr>
        <w:t xml:space="preserve">2 </w:t>
      </w:r>
      <w:r w:rsidR="00D62928" w:rsidRPr="003B6432">
        <w:rPr>
          <w:rFonts w:ascii="Arial" w:hAnsi="Arial" w:cs="Times New Roman"/>
          <w:b/>
          <w:bCs/>
          <w:sz w:val="24"/>
        </w:rPr>
        <w:t>FUNDAMENTAÇÃO TEÓRICA</w:t>
      </w:r>
      <w:r w:rsidR="00FF2036" w:rsidRPr="003B6432">
        <w:rPr>
          <w:rFonts w:ascii="Arial" w:hAnsi="Arial" w:cs="Times New Roman"/>
          <w:b/>
          <w:bCs/>
          <w:sz w:val="24"/>
        </w:rPr>
        <w:t xml:space="preserve"> </w:t>
      </w:r>
    </w:p>
    <w:p>
      <w:pPr>
        <w:pStyle w:val="Default"/>
        <w:spacing w:line="360" w:lineRule="auto" w:before="0" w:after="0"/>
        <w:ind w:firstLine="706"/>
        <w:jc w:val="both"/>
      </w:pPr>
      <w:r>
        <w:rPr>
          <w:rFonts w:ascii="Arial" w:hAnsi="Arial"/>
          <w:sz w:val="24"/>
        </w:rPr>
        <w:t>2.1 Observabilidade e sinais de telemetria</w:t>
      </w:r>
    </w:p>
    <w:p>
      <w:pPr>
        <w:pStyle w:val="Default"/>
        <w:spacing w:line="360" w:lineRule="auto" w:before="0" w:after="0"/>
        <w:ind w:firstLine="706"/>
        <w:jc w:val="both"/>
      </w:pPr>
      <w:r>
        <w:rPr>
          <w:rFonts w:ascii="Arial" w:hAnsi="Arial"/>
          <w:sz w:val="24"/>
        </w:rPr>
        <w:t>Observabilidade é a capacidade de compreender o estado interno de um sistema a partir dos dados que ele emite. Na prática, ela se realiza pela combinação de instrumentação, coleta, processamento, consulta e interpretação. O termo não deve ser confundido com a presença de dashboards: um painel só é útil quando responde a perguntas operacionais relevantes e quando os dados necessários foram produzidos com semântica consistente. O OpenTelemetry descreve sinais como dados que expõem a atividade e o comportamento de aplicações e sistemas; entre eles estão métricas, logs e rastros (OPEN TELEMETRY, 2026g; OPEN TELEMETRY, 2026b).</w:t>
      </w:r>
    </w:p>
    <w:p>
      <w:pPr>
        <w:pStyle w:val="Default"/>
        <w:spacing w:line="360" w:lineRule="auto" w:before="0" w:after="0"/>
        <w:ind w:firstLine="706"/>
        <w:jc w:val="both"/>
      </w:pPr>
      <w:r>
        <w:rPr>
          <w:rFonts w:ascii="Arial" w:hAnsi="Arial"/>
          <w:sz w:val="24"/>
        </w:rPr>
        <w:t>Métricas são medições numéricas agregáveis ao longo do tempo, adequadas para acompanhar taxas, proporções, duração e utilização. Em serviços voltados a requisições, latência, tráfego, erros e saturação constituem uma referência prática para avaliar sintomas e capacidade (EWASCHUK, 2016). Sua eficiência depende de unidades, nomes e dimensões bem definidos. No modelo Prometheus, uma série temporal é identificada pelo nome da métrica e pelos pares de rótulos; cada combinação nova cria outra série. Rótulos com valores ilimitados, como identificadores de usuário ou requisição, podem provocar crescimento de cardinalidade e custo de armazenamento e consulta (PROMETHEUS AUTHORS, 2026a, 2026b, 2026c).</w:t>
      </w:r>
    </w:p>
    <w:p>
      <w:pPr>
        <w:pStyle w:val="Default"/>
        <w:spacing w:line="360" w:lineRule="auto" w:before="0" w:after="0"/>
        <w:ind w:firstLine="706"/>
        <w:jc w:val="both"/>
      </w:pPr>
      <w:r>
        <w:rPr>
          <w:rFonts w:ascii="Arial" w:hAnsi="Arial"/>
          <w:sz w:val="24"/>
        </w:rPr>
        <w:t>A combinação dos sinais não significa armazená-los em uma única ferramenta ou tratar cada sinal como equivalente. Métricas favorecem agregação e detecção de tendências; rastros favorecem a investigação de uma operação individual; logs preservam detalhes de eventos. O valor surge da navegação entre essas perspectivas mediante atributos e identificadores coerentes, como serviço, ambiente, versão implantada e trace_id. Essa complementaridade é central para o diagnóstico de sistemas distribuídos, nos quais uma falha aparente em um serviço pode ser consequência de uma dependência remota (BEYER et al., 2016; OPEN TELEMETRY, 2026h).</w:t>
      </w:r>
    </w:p>
    <w:p>
      <w:pPr>
        <w:pStyle w:val="Default"/>
        <w:spacing w:line="360" w:lineRule="auto" w:before="0" w:after="0"/>
        <w:ind w:firstLine="706"/>
        <w:jc w:val="both"/>
      </w:pPr>
      <w:r>
        <w:rPr>
          <w:rFonts w:ascii="Arial" w:hAnsi="Arial"/>
          <w:sz w:val="24"/>
        </w:rPr>
        <w:t>2.2 Arquitetura e interoperabilidade do OpenTelemetry</w:t>
      </w:r>
    </w:p>
    <w:p>
      <w:pPr>
        <w:pStyle w:val="Default"/>
        <w:spacing w:line="360" w:lineRule="auto" w:before="0" w:after="0"/>
        <w:ind w:firstLine="706"/>
        <w:jc w:val="both"/>
      </w:pPr>
      <w:r>
        <w:rPr>
          <w:rFonts w:ascii="Arial" w:hAnsi="Arial"/>
          <w:sz w:val="24"/>
        </w:rPr>
        <w:t>O OpenTelemetry organiza a instrumentação em APIs, SDKs, bibliotecas e exportadores. A API permite que uma aplicação emita telemetria sem amarrar diretamente o código a um fornecedor; o SDK implementa a produção e o processamento local dos sinais; bibliotecas e mecanismos de instrumentação automática podem capturar operações comuns com menor intervenção manual. As convenções semânticas padronizam nomes e significados de atributos, spans, instrumentos e unidades, facilitando que bibliotecas, serviços e plataformas interpretem os dados da mesma forma (OPEN TELEMETRY, 2026c, 2026d).</w:t>
      </w:r>
    </w:p>
    <w:p>
      <w:pPr>
        <w:pStyle w:val="Default"/>
        <w:spacing w:line="360" w:lineRule="auto" w:before="0" w:after="0"/>
        <w:ind w:firstLine="706"/>
        <w:jc w:val="both"/>
      </w:pPr>
      <w:r>
        <w:rPr>
          <w:rFonts w:ascii="Arial" w:hAnsi="Arial"/>
          <w:sz w:val="24"/>
        </w:rPr>
        <w:t>OTLP, o OpenTelemetry Protocol, especifica a codificação e o transporte dos sinais entre aplicações, coletores e backends. A especificação define transportes sobre gRPC e HTTP e seus formatos de mensagem. A padronização reduz adaptações específicas por destino, mas não elimina as diferenças de suporte, maturidade e configuração entre versões e produtos. Antes de adotar um caminho de exportação, é necessário confirmar quais sinais, versões de protocolo e atributos são aceitos pelo destino, além de revisar o comportamento em falhas, limites de tamanho e retentativas (OPEN TELEMETRY, 2026e).</w:t>
      </w:r>
    </w:p>
    <w:p>
      <w:pPr>
        <w:pStyle w:val="Default"/>
        <w:spacing w:line="360" w:lineRule="auto" w:before="0" w:after="0"/>
        <w:ind w:firstLine="706"/>
        <w:jc w:val="both"/>
      </w:pPr>
      <w:r>
        <w:rPr>
          <w:rFonts w:ascii="Arial" w:hAnsi="Arial"/>
          <w:sz w:val="24"/>
        </w:rPr>
        <w:t>O OpenTelemetry Collector é um processo independente que recebe, processa e exporta telemetria por meio de pipelines configuráveis. Seus componentes são organizados em receptores, processadores, exportadores, conectores e extensões. O Collector pode concentrar transformação, enriquecimento, filtragem, amostragem, divisão para múltiplos destinos, batching e retentativas. A documentação recomenda seu uso em muitos cenários porque desacopla aplicações dos backends e permite tratar a telemetria fora do caminho principal da requisição; contudo, acrescenta outro componente que precisa de capacidade, observabilidade, atualização e configuração segura (OPEN TELEMETRY, 2026a).</w:t>
      </w:r>
    </w:p>
    <w:p>
      <w:pPr>
        <w:pStyle w:val="Default"/>
        <w:spacing w:line="360" w:lineRule="auto" w:before="0" w:after="0"/>
        <w:ind w:firstLine="706"/>
        <w:jc w:val="both"/>
      </w:pPr>
      <w:r>
        <w:rPr>
          <w:rFonts w:ascii="Arial" w:hAnsi="Arial"/>
          <w:sz w:val="24"/>
        </w:rPr>
        <w:t>A interoperabilidade também depende de contexto distribuído. Em chamadas HTTP, a recomendação W3C Trace Context define cabeçalhos `traceparent` e `tracestate` para propagar identificadores entre componentes. Sem propagação entre bibliotecas, protocolos, proxies e filas, cada serviço pode iniciar um rastro independente e a jornada perde continuidade. Instrumentar a borda de entrada e saída, configurar propagadores compatíveis e validar cenários assíncronos são, portanto, requisitos funcionais, não mero detalhe visual do backend (W3C, 2021).</w:t>
      </w:r>
    </w:p>
    <w:p>
      <w:pPr>
        <w:pStyle w:val="Default"/>
        <w:spacing w:line="360" w:lineRule="auto" w:before="0" w:after="0"/>
        <w:ind w:firstLine="706"/>
        <w:jc w:val="both"/>
      </w:pPr>
      <w:r>
        <w:rPr>
          <w:rFonts w:ascii="Arial" w:hAnsi="Arial"/>
          <w:sz w:val="24"/>
        </w:rPr>
        <w:t>2.3 Observabilidade em Kubernetes</w:t>
      </w:r>
    </w:p>
    <w:p>
      <w:pPr>
        <w:pStyle w:val="Default"/>
        <w:spacing w:line="360" w:lineRule="auto" w:before="0" w:after="0"/>
        <w:ind w:firstLine="706"/>
        <w:jc w:val="both"/>
      </w:pPr>
      <w:r>
        <w:rPr>
          <w:rFonts w:ascii="Arial" w:hAnsi="Arial"/>
          <w:sz w:val="24"/>
        </w:rPr>
        <w:t>Kubernetes fornece uma plataforma dinâmica para executar workloads, mas não constitui por si só uma plataforma completa de observabilidade. Componentes do cluster expõem métricas; contêineres normalmente registram saída padrão e de erro; aplicações podem emitir sinais próprios; e agentes ou coletores encaminham esses dados para armazenamento e análise. A documentação do Kubernetes diferencia a Metrics API, voltada a métricas de recursos necessárias para inspeção básica e autoscaling, de uma solução de monitoramento abrangente. Logs também requerem política de agregação, retenção e rotação, enquanto rastros de aplicações precisam de instrumentação e exportação compatíveis (BURNS et al., 2022; KUBERNETES AUTHORS, 2026).</w:t>
      </w:r>
    </w:p>
    <w:p>
      <w:pPr>
        <w:pStyle w:val="Default"/>
        <w:spacing w:line="360" w:lineRule="auto" w:before="0" w:after="0"/>
        <w:ind w:firstLine="706"/>
        <w:jc w:val="both"/>
      </w:pPr>
      <w:r>
        <w:rPr>
          <w:rFonts w:ascii="Arial" w:hAnsi="Arial"/>
          <w:sz w:val="24"/>
        </w:rPr>
        <w:t>Uma arquitetura de referência pode usar instrumentação OpenTelemetry nas aplicações; um Collector como agente ou gateway para receber OTLP, enriquecer e filtrar sinais; Prometheus ou VictoriaMetrics para métricas; Jaeger para explorar rastros; VictoriaLogs para consulta de logs; e Grafana para reunir consultas e painéis. Essa descrição é conceitual: compatibilidade e suporte devem ser testados para a versão e configuração reais. A documentação de VictoriaMetrics apresenta ingestão OpenTelemetry, VictoriaLogs documenta consulta de logs e Jaeger documenta ingestão e implantação com Collector. O papel de cada componente deve permanecer explícito, evitando inferir que um padrão de transporte torne todos os backends equivalentes (VICTORIAMETRICS, 2026; JAEGER AUTHORS, 2025).</w:t>
      </w:r>
    </w:p>
    <w:p>
      <w:pPr>
        <w:pStyle w:val="Default"/>
        <w:spacing w:line="360" w:lineRule="auto" w:before="0" w:after="0"/>
        <w:ind w:firstLine="706"/>
        <w:jc w:val="both"/>
      </w:pPr>
      <w:r>
        <w:rPr>
          <w:rFonts w:ascii="Arial" w:hAnsi="Arial"/>
          <w:sz w:val="24"/>
        </w:rPr>
        <w:t>2.4 Correlação, confiabilidade e operação</w:t>
      </w:r>
    </w:p>
    <w:p>
      <w:pPr>
        <w:pStyle w:val="Default"/>
        <w:spacing w:line="360" w:lineRule="auto" w:before="0" w:after="0"/>
        <w:ind w:firstLine="706"/>
        <w:jc w:val="both"/>
      </w:pPr>
      <w:r>
        <w:rPr>
          <w:rFonts w:ascii="Arial" w:hAnsi="Arial"/>
          <w:sz w:val="24"/>
        </w:rPr>
        <w:t>Rastreamento distribuído ganhou relevância porque a latência e as falhas de uma solicitação podem envolver componentes desenvolvidos por equipes diferentes. O trabalho sobre Dapper demonstra princípios que continuam importantes: instrumentação de baixo impacto, implantação ampla, amostragem e uso de bibliotecas comuns para reduzir a necessidade de instrumentar manualmente cada linha de código (SIGELMAN et al., 2010). OpenTelemetry amplia a padronização dessas práticas, mas ainda exige que os times decidam quais operações representam unidades úteis de análise e quais atributos ajudam a responder perguntas reais.</w:t>
      </w:r>
    </w:p>
    <w:p>
      <w:pPr>
        <w:pStyle w:val="Default"/>
        <w:spacing w:line="360" w:lineRule="auto" w:before="0" w:after="0"/>
        <w:ind w:firstLine="706"/>
        <w:jc w:val="both"/>
      </w:pPr>
      <w:r>
        <w:rPr>
          <w:rFonts w:ascii="Arial" w:hAnsi="Arial"/>
          <w:sz w:val="24"/>
        </w:rPr>
        <w:t>A amostragem reduz volume, custo e sobrecarga, porém cria uma escolha entre cobertura e detalhe. Amostragem na origem é simples e barata, mas pode descartar um rastro antes que sua duração ou resultado seja conhecido. Amostragem baseada em cauda pode decidir depois de observar spans relacionados, mas requer que o conjunto de spans de um trace chegue ao mesmo coletor decisor, o que implica afinidade e recursos adicionais. A decisão deve considerar tráfego, criticidade e objetivos de investigação; eventos de erro ou operações raras podem demandar política diferente de requisições saudáveis e frequentes (W3C, 2021; JAEGER AUTHORS, 2025).</w:t>
      </w:r>
    </w:p>
    <w:p>
      <w:pPr>
        <w:pStyle w:val="Default"/>
        <w:spacing w:line="360" w:lineRule="auto" w:before="0" w:after="0"/>
        <w:ind w:firstLine="706"/>
        <w:jc w:val="both"/>
      </w:pPr>
      <w:r>
        <w:rPr>
          <w:rFonts w:ascii="Arial" w:hAnsi="Arial"/>
          <w:sz w:val="24"/>
        </w:rPr>
        <w:t>2.5 Custos, segurança e limites</w:t>
      </w:r>
    </w:p>
    <w:p>
      <w:pPr>
        <w:pStyle w:val="Default"/>
        <w:spacing w:line="360" w:lineRule="auto" w:before="0" w:after="0"/>
        <w:ind w:firstLine="706"/>
        <w:jc w:val="both"/>
      </w:pPr>
      <w:r>
        <w:rPr>
          <w:rFonts w:ascii="Arial" w:hAnsi="Arial"/>
          <w:sz w:val="24"/>
        </w:rPr>
        <w:t>O custo da observabilidade inclui ingestão, armazenamento, retenção, tráfego, consultas e trabalho de manutenção. Alta cardinalidade em métricas pode multiplicar séries; logs volumosos e atributos de alta variabilidade podem pressionar índices e consultas; rastros completos de todo o tráfego podem tornar a coleta desnecessariamente cara. O desenho deve combinar agregação, limites de atributos, políticas de retenção, amostragem e medição do próprio pipeline. Histogramas são úteis para distribuições de latência, mas a escolha entre variantes e configurações deve considerar agregação, exatidão necessária, compatibilidade do backend e volume gerado (PROMETHEUS AUTHORS, 2026b, 2026c).</w:t>
      </w:r>
    </w:p>
    <w:p>
      <w:pPr>
        <w:pStyle w:val="Default"/>
        <w:spacing w:line="360" w:lineRule="auto" w:before="0" w:after="0"/>
        <w:ind w:firstLine="706"/>
        <w:jc w:val="both"/>
      </w:pPr>
      <w:r>
        <w:rPr>
          <w:rFonts w:ascii="Arial" w:hAnsi="Arial"/>
          <w:sz w:val="24"/>
        </w:rPr>
        <w:t>Telemetria pode conter dados pessoais, credenciais acidentais, conteúdo de requisições, identificadores de clientes ou topologia interna. O fato de os dados serem produzidos para diagnóstico não reduz sua sensibilidade. A especificação W3C alerta contra o uso de trace context para transportar dados pessoais; a documentação de segurança OpenTelemetry recomenda proteger infraestrutura e configuração do Collector, controlar acesso, filtrar atributos e reduzir risco de negação de serviço e adulteração. Aplicar redaction e minimização antes da exportação é preferível a depender de exclusão tardia no backend (W3C, 2021; OPEN TELEMETRY, 2026f).</w:t>
      </w:r>
    </w:p>
    <w:sdt>
      <w:sdtPr>
        <w:rPr>
          <w:rFonts w:ascii="Times New Roman" w:hAnsi="Times New Roman" w:cs="Times New Roman"/>
          <w:color w:val="2F5496" w:themeColor="accent1" w:themeShade="BF"/>
        </w:rPr>
        <w:id w:val="824866512"/>
        <w:placeholder>
          <w:docPart w:val="70EA5AA7AEA5491A88CE7A22FFB826C6"/>
        </w:placeholder>
      </w:sdtPr>
      <w:sdtEndPr/>
      <w:sdtContent>
        <w:p w14:paraId="5BE5C3CD" w14:textId="018B233F" w:rsidR="00014F94" w:rsidRPr="00014F94" w:rsidRDefault="00014F94" w:rsidP="00014F94">
          <w:pPr>
            <w:pStyle w:val="Default"/>
            <w:spacing w:line="360" w:lineRule="auto"/>
            <w:ind w:firstLine="709"/>
            <w:jc w:val="both"/>
            <w:rPr>
              <w:rFonts w:ascii="Times New Roman" w:hAnsi="Times New Roman" w:cs="Times New Roman"/>
              <w:color w:val="A6A6A6" w:themeColor="background1" w:themeShade="A6"/>
            </w:rPr>
          </w:pPr>
          <w:r w:rsidRPr="00014F94">
            <w:rPr>
              <w:rFonts w:ascii="Times New Roman" w:hAnsi="Times New Roman" w:cs="Times New Roman"/>
              <w:color w:val="A6A6A6" w:themeColor="background1" w:themeShade="A6"/>
            </w:rPr>
            <w:t>Uma parte muito</w:t>
          </w:r>
          <w:r w:rsidRPr="00014F94">
            <w:rPr>
              <w:rFonts w:ascii="Times New Roman" w:hAnsi="Times New Roman" w:cs="Times New Roman"/>
              <w:b/>
              <w:bCs/>
              <w:color w:val="A6A6A6" w:themeColor="background1" w:themeShade="A6"/>
            </w:rPr>
            <w:t xml:space="preserve"> </w:t>
          </w:r>
          <w:r w:rsidRPr="00014F94">
            <w:rPr>
              <w:rFonts w:ascii="Times New Roman" w:hAnsi="Times New Roman" w:cs="Times New Roman"/>
              <w:color w:val="A6A6A6" w:themeColor="background1" w:themeShade="A6"/>
            </w:rPr>
            <w:t xml:space="preserve">importante do artigo, deve conter a exposição do assunto tratado. Pode ser dividido em seções e subseções. O corpo do artigo pode ser dividido em itens necessários que possam desenvolver a pesquisa. </w:t>
          </w:r>
        </w:p>
      </w:sdtContent>
    </w:sdt>
    <w:p w14:paraId="7C5E1ED4" w14:textId="77777777" w:rsidR="001E281E" w:rsidRPr="000B26E1" w:rsidRDefault="001E281E" w:rsidP="000B26E1">
      <w:pPr>
        <w:pStyle w:val="Default"/>
        <w:spacing w:line="360" w:lineRule="auto"/>
        <w:ind w:firstLine="709"/>
        <w:jc w:val="both"/>
        <w:rPr>
          <w:rFonts w:ascii="Times New Roman" w:hAnsi="Times New Roman" w:cs="Times New Roman"/>
          <w:color w:val="2F5496" w:themeColor="accent1" w:themeShade="BF"/>
        </w:rPr>
      </w:pPr>
    </w:p>
    <w:p w14:paraId="47D4C775" w14:textId="28D02381" w:rsidR="00D408AB" w:rsidRPr="003B6432" w:rsidRDefault="001E281E" w:rsidP="00E474DB">
      <w:pPr>
        <w:pStyle w:val="Default"/>
        <w:spacing w:line="360" w:lineRule="auto" w:before="0" w:after="0"/>
        <w:jc w:val="left"/>
        <w:rPr>
          <w:rFonts w:ascii="Times New Roman" w:hAnsi="Times New Roman" w:cs="Times New Roman"/>
          <w:b/>
          <w:bCs/>
        </w:rPr>
      </w:pPr>
      <w:r w:rsidRPr="003B6432">
        <w:rPr>
          <w:rFonts w:ascii="Arial" w:hAnsi="Arial" w:cs="Times New Roman"/>
          <w:b/>
          <w:bCs/>
          <w:sz w:val="24"/>
        </w:rPr>
        <w:t>3</w:t>
      </w:r>
      <w:r w:rsidR="00D408AB" w:rsidRPr="003B6432">
        <w:rPr>
          <w:rFonts w:ascii="Arial" w:hAnsi="Arial" w:cs="Times New Roman"/>
          <w:b/>
          <w:bCs/>
          <w:sz w:val="24"/>
        </w:rPr>
        <w:t xml:space="preserve"> </w:t>
      </w:r>
      <w:r w:rsidR="00D62928" w:rsidRPr="003B6432">
        <w:rPr>
          <w:rFonts w:ascii="Arial" w:hAnsi="Arial" w:cs="Times New Roman"/>
          <w:b/>
          <w:bCs/>
          <w:sz w:val="24"/>
        </w:rPr>
        <w:t xml:space="preserve">MATERIAL E MÉTODOS </w:t>
      </w:r>
    </w:p>
    <w:p>
      <w:pPr>
        <w:pStyle w:val="Default"/>
        <w:spacing w:line="360" w:lineRule="auto" w:before="0" w:after="0"/>
        <w:ind w:firstLine="706"/>
        <w:jc w:val="both"/>
      </w:pPr>
      <w:r>
        <w:rPr>
          <w:rFonts w:ascii="Arial" w:hAnsi="Arial"/>
          <w:sz w:val="24"/>
        </w:rPr>
        <w:t>Este trabalho caracteriza-se como pesquisa bibliográfica e documental, de abordagem qualitativa, objetivo exploratório e procedimento de revisão narrativa. A opção é compatível com as orientações do curso, que recomendam pesquisa bibliográfica para evitar coleta de dados sensíveis. Não foram entrevistados profissionais, consultados sistemas corporativos, extraídos dados de clientes ou realizadas intervenções em ambientes produtivos; portanto, não houve coleta de dados pessoais ou submissão de participantes humanos.</w:t>
      </w:r>
    </w:p>
    <w:p>
      <w:pPr>
        <w:pStyle w:val="Default"/>
        <w:spacing w:line="360" w:lineRule="auto" w:before="0" w:after="0"/>
        <w:ind w:firstLine="706"/>
        <w:jc w:val="both"/>
      </w:pPr>
      <w:r>
        <w:rPr>
          <w:rFonts w:ascii="Arial" w:hAnsi="Arial"/>
          <w:sz w:val="24"/>
        </w:rPr>
        <w:t>O levantamento foi composto por documentação primária de projetos e padrões (OpenTelemetry, Kubernetes, Prometheus, Jaeger, VictoriaMetrics e W3C), livro técnico e literatura de confiabilidade, além do trabalho clássico Dapper. As fontes foram localizadas por buscas direcionadas nos próprios repositórios/documentações oficiais, em páginas de editoras e em registros bibliográficos do Crossref. Foram priorizados documentos que descrevem diretamente os conceitos, protocolos, arquitetura ou operação do recorte, em português ou inglês, disponíveis até 1º de outubro de 2026. Não se pretende afirmar exaustividade de revisão sistemática.</w:t>
      </w:r>
    </w:p>
    <w:p>
      <w:pPr>
        <w:pStyle w:val="Default"/>
        <w:spacing w:line="360" w:lineRule="auto" w:before="0" w:after="0"/>
        <w:ind w:firstLine="706"/>
        <w:jc w:val="both"/>
      </w:pPr>
      <w:r>
        <w:rPr>
          <w:rFonts w:ascii="Arial" w:hAnsi="Arial"/>
          <w:sz w:val="24"/>
        </w:rPr>
        <w:t>A análise foi conduzida por leitura comparativa e síntese temática em quatro categorias: (a) significado e finalidade dos sinais; (b) responsabilidades de instrumentação, transporte, processamento e armazenamento; (c) interoperabilidade e correlação em Kubernetes; e (d) custos, segurança e confiabilidade operacional. Foram excluídos relatos que exigiriam dados internos não disponíveis e comparações quantitativas de desempenho sem metodologia reproduzível. A arquitetura apresentada nos resultados é uma proposta conceitual derivada dessa síntese, não um experimento, benchmark ou descrição auditada da infraestrutura do empregador do autor.</w:t>
      </w:r>
    </w:p>
    <w:p>
      <w:pPr>
        <w:pStyle w:val="Default"/>
        <w:spacing w:line="360" w:lineRule="auto" w:before="0" w:after="0"/>
        <w:ind w:firstLine="706"/>
        <w:jc w:val="both"/>
      </w:pPr>
      <w:r>
        <w:rPr>
          <w:rFonts w:ascii="Arial" w:hAnsi="Arial"/>
          <w:sz w:val="24"/>
        </w:rPr>
        <w:t>Como limitações metodológicas, a revisão narrativa seleciona fontes relevantes sem protocolo de busca exaustivo e os projetos de software atualizam documentação continuamente. Recursos e níveis de maturidade variam entre versões. Assim, recomendações sobre compatibilidade devem ser confirmadas no momento da implantação e as referências online foram consultadas em 1º de outubro de 2026. Uma avaliação empírica futura poderia comparar latência de exportação, perda de spans, cardinalidade, custo por sinal e tempo de diagnóstico em ambiente controlado, desde que defina carga, versões e critérios antes da coleta.</w:t>
      </w:r>
    </w:p>
    <w:sdt>
      <w:sdtPr>
        <w:rPr>
          <w:rFonts w:ascii="Times New Roman" w:hAnsi="Times New Roman" w:cs="Times New Roman"/>
          <w:color w:val="2F5496" w:themeColor="accent1" w:themeShade="BF"/>
        </w:rPr>
        <w:id w:val="1259102564"/>
        <w:placeholder>
          <w:docPart w:val="886853CAFC1843B7943F62B48F047A0C"/>
        </w:placeholder>
      </w:sdtPr>
      <w:sdtEndPr/>
      <w:sdtContent>
        <w:p w14:paraId="108DA883" w14:textId="6FD62698" w:rsidR="00014F94" w:rsidRPr="00014F94" w:rsidRDefault="00014F94" w:rsidP="00014F94">
          <w:pPr>
            <w:pStyle w:val="Default"/>
            <w:spacing w:line="360" w:lineRule="auto"/>
            <w:ind w:firstLine="709"/>
            <w:jc w:val="both"/>
            <w:rPr>
              <w:rFonts w:ascii="Times New Roman" w:hAnsi="Times New Roman" w:cs="Times New Roman"/>
              <w:color w:val="A6A6A6" w:themeColor="background1" w:themeShade="A6"/>
            </w:rPr>
          </w:pPr>
          <w:r w:rsidRPr="00014F94">
            <w:rPr>
              <w:rFonts w:ascii="Times New Roman" w:hAnsi="Times New Roman" w:cs="Times New Roman"/>
              <w:color w:val="A6A6A6" w:themeColor="background1" w:themeShade="A6"/>
            </w:rPr>
            <w:t>Na metodologia você deverá descrever claramente como o trabalho foi executado, permitindo que o artigo possa ser reproduzido. Devem ser informados a descrição do objeto de estudo, as estratégias utilizadas, o tipo de pesquisa, população ou amostra, instrumento utilizado, definição de variáveis, coleta de dados, análise o de dados, métodos e técnicas empregadas. Métodos novos ou modificados devem ser justificados e relatados suas limitações.</w:t>
          </w:r>
        </w:p>
      </w:sdtContent>
    </w:sdt>
    <w:p w14:paraId="251AE43A" w14:textId="77777777" w:rsidR="001E281E" w:rsidRPr="009A314E" w:rsidRDefault="001E281E" w:rsidP="009A314E">
      <w:pPr>
        <w:pStyle w:val="Default"/>
        <w:spacing w:line="360" w:lineRule="auto"/>
        <w:ind w:firstLine="709"/>
        <w:jc w:val="both"/>
        <w:rPr>
          <w:rFonts w:ascii="Times New Roman" w:hAnsi="Times New Roman" w:cs="Times New Roman"/>
          <w:color w:val="2F5496" w:themeColor="accent1" w:themeShade="BF"/>
        </w:rPr>
      </w:pPr>
    </w:p>
    <w:p w14:paraId="6B2417BD" w14:textId="0B0C68D0" w:rsidR="00D408AB" w:rsidRPr="003B6432" w:rsidRDefault="001E281E" w:rsidP="00E474DB">
      <w:pPr>
        <w:pStyle w:val="Default"/>
        <w:spacing w:line="360" w:lineRule="auto" w:before="0" w:after="0"/>
        <w:jc w:val="left"/>
        <w:rPr>
          <w:rFonts w:ascii="Times New Roman" w:hAnsi="Times New Roman" w:cs="Times New Roman"/>
          <w:b/>
          <w:bCs/>
        </w:rPr>
      </w:pPr>
      <w:r w:rsidRPr="003B6432">
        <w:rPr>
          <w:rFonts w:ascii="Arial" w:hAnsi="Arial" w:cs="Times New Roman"/>
          <w:b/>
          <w:bCs/>
          <w:sz w:val="24"/>
        </w:rPr>
        <w:t>4</w:t>
      </w:r>
      <w:r w:rsidR="000B26E1" w:rsidRPr="003B6432">
        <w:rPr>
          <w:rFonts w:ascii="Arial" w:hAnsi="Arial" w:cs="Times New Roman"/>
          <w:b/>
          <w:bCs/>
          <w:sz w:val="24"/>
        </w:rPr>
        <w:t xml:space="preserve"> </w:t>
      </w:r>
      <w:r w:rsidR="00D62928" w:rsidRPr="003B6432">
        <w:rPr>
          <w:rFonts w:ascii="Arial" w:hAnsi="Arial" w:cs="Times New Roman"/>
          <w:b/>
          <w:bCs/>
          <w:sz w:val="24"/>
        </w:rPr>
        <w:t xml:space="preserve">RESULTADOS E DISCUSSÃO </w:t>
      </w:r>
    </w:p>
    <w:p w14:paraId="36588241" w14:textId="0B28459A" w:rsidR="001E281E" w:rsidRPr="00014F94" w:rsidRDefault="001D2FD0" w:rsidP="00817315">
      <w:pPr>
        <w:pStyle w:val="Default"/>
        <w:spacing w:line="360" w:lineRule="auto" w:before="0" w:after="0"/>
        <w:ind w:firstLine="708"/>
        <w:jc w:val="left"/>
        <w:rPr>
          <w:rFonts w:ascii="Times New Roman" w:hAnsi="Times New Roman" w:cs="Times New Roman"/>
          <w:b/>
          <w:bCs/>
          <w:color w:val="A6A6A6" w:themeColor="background1" w:themeShade="A6"/>
          <w:highlight w:val="yellow"/>
        </w:rPr>
      </w:pPr>
      <w:sdt>
        <w:sdtPr>
          <w:rPr>
            <w:rFonts w:ascii="Times New Roman" w:hAnsi="Times New Roman" w:cs="Times New Roman"/>
            <w:color w:val="A6A6A6" w:themeColor="background1" w:themeShade="A6"/>
          </w:rPr>
          <w:id w:val="-116222329"/>
          <w:placeholder>
            <w:docPart w:val="AAB4E13B7FEE45519BF4A988F7731ADC"/>
          </w:placeholder>
        </w:sdtPr>
        <w:sdtEndPr/>
        <w:sdtContent>
          <w:r w:rsidR="001E281E" w:rsidRPr="00014F94">
            <w:rPr>
              <w:rFonts w:ascii="Times New Roman" w:hAnsi="Times New Roman" w:cs="Times New Roman"/>
              <w:color w:val="A6A6A6" w:themeColor="background1" w:themeShade="A6"/>
            </w:rPr>
            <w:t>Os resultados serão apresentados de forma concisa e objetiva, iniciando-se as interpretações pelos dados mais importantes. Os gráficos devem ser utilizados para resumir informações complexas e facilitar a interpretação. Os dados relacionados a tabelas e gráfico não podem ser duplicados ou repetidos. A numeração de tabelas, gráficos e quadros deve ser consecutiva com algarismos arábicos. A discussão será de acordo com os resultados mais importantes, com relação as pesquisas encontradas na literatura e nas teorias no campo de outros autores, fazendo comparações e novos entendimento sobre o assunto.</w:t>
          </w:r>
        </w:sdtContent>
      </w:sdt>
      <w:r>
        <w:rPr>
          <w:rFonts w:ascii="Arial" w:hAnsi="Arial"/>
          <w:b/>
          <w:sz w:val="24"/>
        </w:rPr>
        <w:t>4.1 Síntese da arquitetura de referência</w:t>
      </w:r>
    </w:p>
    <w:p>
      <w:pPr>
        <w:pStyle w:val="Default"/>
        <w:spacing w:line="360" w:lineRule="auto" w:before="0" w:after="0"/>
        <w:ind w:firstLine="706"/>
        <w:jc w:val="both"/>
      </w:pPr>
      <w:r>
        <w:rPr>
          <w:rFonts w:ascii="Arial" w:hAnsi="Arial"/>
          <w:sz w:val="24"/>
        </w:rPr>
        <w:t>No fluxo proposto, cada serviço em Kubernetes emite métricas, logs e spans por bibliotecas OpenTelemetry ou mecanismos automáticos suportados pela linguagem. A configuração define service.name, service.namespace, service.version, deployment.environment e atributos de infraestrutura estritamente necessários. Para chamadas síncronas, os propagadores encaminham contexto W3C; para mensageria, a propagação deve ser implementada pelo protocolo e pela biblioteca correspondentes. Logs incluem trace_id e span_id quando houver contexto. Esses passos permitem que uma consulta a um indicador de latência leve à inspeção dos rastros e, em seguida, aos eventos relacionados.</w:t>
      </w:r>
    </w:p>
    <w:p>
      <w:pPr>
        <w:pStyle w:val="Default"/>
        <w:spacing w:line="360" w:lineRule="auto" w:before="0" w:after="0"/>
        <w:ind w:firstLine="706"/>
        <w:jc w:val="both"/>
      </w:pPr>
      <w:r>
        <w:rPr>
          <w:rFonts w:ascii="Arial" w:hAnsi="Arial"/>
          <w:sz w:val="24"/>
        </w:rPr>
        <w:t>Um Collector em modo agente pode receber telemetria local, acrescentar contexto de Kubernetes, limitar atributos, aplicar filtragem e amostragem e exportar via OTLP ou protocolo suportado. Um gateway opcional centraliza políticas e encaminhamento. A arquitetura deve usar filas persistentes somente quando a garantia operacional e a capacidade de armazenamento forem justificadas; filas em memória não sobrevivem a reinícios. Como o pipeline não oferece automaticamente entrega exatamente uma vez ponta a ponta, a equipe deve medir dados recusados, retentativas, filas, uso de CPU/memória e latência de exportação e ensaiar indisponibilidade de destino (OPEN TELEMETRY, 2026a, 2026e).</w:t>
      </w:r>
    </w:p>
    <w:p>
      <w:pPr>
        <w:pStyle w:val="Default"/>
        <w:spacing w:line="360" w:lineRule="auto" w:before="0" w:after="0"/>
        <w:ind w:firstLine="706"/>
        <w:jc w:val="both"/>
      </w:pPr>
      <w:r>
        <w:rPr>
          <w:rFonts w:ascii="Arial" w:hAnsi="Arial"/>
          <w:sz w:val="24"/>
        </w:rPr>
        <w:t>Na camada de métricas, Prometheus pode realizar coleta por scraping de endpoints compatíveis e VictoriaMetrics pode ser avaliado como armazenamento/consulta compatível e destino de ingestão suportado. A decisão deve considerar modelo de coleta, retenção, consultas, alta disponibilidade e integração OTLP na versão adotada. Jaeger pode receber e permitir a inspeção de rastros, com escolha entre implantação simples, armazenamento direto e configurações distribuídas; seu próprio desenho documenta os ganhos e custos de inserir um Collector. VictoriaLogs pode receber e consultar eventos de log por formatos de ingestão compatíveis, enquanto Grafana reúne visualizações conforme os plugins e datasources configurados. Essas responsabilidades devem ser verificadas, em vez de assumidas pela marca da ferramenta (PROMETHEUS AUTHORS, 2026a; JAEGER AUTHORS, 2025; VICTORIAMETRICS, 2026).</w:t>
      </w:r>
    </w:p>
    <w:p>
      <w:pPr>
        <w:pStyle w:val="Default"/>
        <w:spacing w:line="360" w:lineRule="auto" w:before="0" w:after="0"/>
        <w:ind w:firstLine="706"/>
        <w:jc w:val="both"/>
      </w:pPr>
      <w:r>
        <w:rPr>
          <w:rFonts w:ascii="Arial" w:hAnsi="Arial"/>
          <w:sz w:val="24"/>
        </w:rPr>
        <w:t>4.2 Benefícios identificados na literatura</w:t>
      </w:r>
    </w:p>
    <w:p>
      <w:pPr>
        <w:pStyle w:val="Default"/>
        <w:spacing w:line="360" w:lineRule="auto" w:before="0" w:after="0"/>
        <w:ind w:firstLine="706"/>
        <w:jc w:val="both"/>
      </w:pPr>
      <w:r>
        <w:rPr>
          <w:rFonts w:ascii="Arial" w:hAnsi="Arial"/>
          <w:sz w:val="24"/>
        </w:rPr>
        <w:t>O primeiro benefício é a portabilidade da instrumentação. APIs e exportadores padronizados reduzem a necessidade de integrar o código diretamente a cada fornecedor. Isso não elimina dependência de backend: recursos como consulta, retenção, alertas, autenticação e escalabilidade continuam específicos. A vantagem é restringir o acoplamento à borda de exportação e tornar mais explícitas as diferenças de suporte, o que facilita evolução gradual e reduz custos de migração quando comparado a instrumentação exclusivamente proprietária (OPEN TELEMETRY, 2026e, 2026i).</w:t>
      </w:r>
    </w:p>
    <w:p>
      <w:pPr>
        <w:pStyle w:val="Default"/>
        <w:spacing w:line="360" w:lineRule="auto" w:before="0" w:after="0"/>
        <w:ind w:firstLine="706"/>
        <w:jc w:val="both"/>
      </w:pPr>
      <w:r>
        <w:rPr>
          <w:rFonts w:ascii="Arial" w:hAnsi="Arial"/>
          <w:sz w:val="24"/>
        </w:rPr>
        <w:t>O segundo benefício é a padronização semântica. A convenção de atributos para HTTP, RPC, recursos e serviços cria um vocabulário comum para bibliotecas e equipes. Sem essa camada, dois serviços podem medir a mesma operação com nomes e unidades incompatíveis, e painéis e alertas precisam de exceções específicas. A padronização, entretanto, exige governança de versões e migração: alteração de atributo ou convenção pode afetar consultas existentes, por isso esquemas, compatibilidade e ownership devem ser tratados como contrato técnico (OPEN TELEMETRY, 2026c, 2026d).</w:t>
      </w:r>
    </w:p>
    <w:p>
      <w:pPr>
        <w:pStyle w:val="Default"/>
        <w:spacing w:line="360" w:lineRule="auto" w:before="0" w:after="0"/>
        <w:ind w:firstLine="706"/>
        <w:jc w:val="both"/>
      </w:pPr>
      <w:r>
        <w:rPr>
          <w:rFonts w:ascii="Arial" w:hAnsi="Arial"/>
          <w:sz w:val="24"/>
        </w:rPr>
        <w:t>4.3 Trade-offs e riscos de implementação</w:t>
      </w:r>
    </w:p>
    <w:p>
      <w:pPr>
        <w:pStyle w:val="Default"/>
        <w:spacing w:line="360" w:lineRule="auto" w:before="0" w:after="0"/>
        <w:ind w:firstLine="706"/>
        <w:jc w:val="both"/>
      </w:pPr>
      <w:r>
        <w:rPr>
          <w:rFonts w:ascii="Arial" w:hAnsi="Arial"/>
          <w:sz w:val="24"/>
        </w:rPr>
        <w:t>A padronização não produz rastros completos sem instrumentação abrangente. Chamadas não instrumentadas, contextos perdidos em bibliotecas, jobs assíncronos e limites de confiança entre serviços podem criar lacunas. Instrumentação automática reduz esforço inicial, mas não garante que a semântica capturada seja suficiente para explicar regras de negócio. Spans manuais devem registrar operações relevantes, erros e dependências, evitando incluir conteúdo de negócio sensível. A estratégia mais sustentável combina instrumentação automática para operações comuns e instrumentação manual seletiva para eventos de alto valor diagnóstico (OPEN TELEMETRY, 2026b; SIGELMAN et al., 2010).</w:t>
      </w:r>
    </w:p>
    <w:p>
      <w:pPr>
        <w:pStyle w:val="Default"/>
        <w:spacing w:line="360" w:lineRule="auto" w:before="0" w:after="0"/>
        <w:ind w:firstLine="706"/>
        <w:jc w:val="both"/>
      </w:pPr>
      <w:r>
        <w:rPr>
          <w:rFonts w:ascii="Arial" w:hAnsi="Arial"/>
          <w:sz w:val="24"/>
        </w:rPr>
        <w:t>A amostragem também introduz viés de observação. Uma taxa fixa pode ser econômica e adequada para caracterizar tráfego comum, mas pode perder uma falha rara ou um rastro de longa duração. A amostragem de cauda pode priorizar erros e latências altas após observar a trace, embora demande buffering e roteamento consistente. A equipe precisa registrar a política vigente, medir proporção e motivo de descarte e avaliar se incidentes conhecidos estão presentes nos dados retidos. Não se deve interpretar a ausência de um rastro amostrado como prova de que a requisição ou falha não ocorreu (W3C, 2021; JAEGER AUTHORS, 2025).</w:t>
      </w:r>
    </w:p>
    <w:p>
      <w:pPr>
        <w:pStyle w:val="Default"/>
        <w:spacing w:line="360" w:lineRule="auto" w:before="0" w:after="0"/>
        <w:ind w:firstLine="706"/>
        <w:jc w:val="both"/>
      </w:pPr>
      <w:r>
        <w:rPr>
          <w:rFonts w:ascii="Arial" w:hAnsi="Arial"/>
          <w:sz w:val="24"/>
        </w:rPr>
        <w:t>Na dimensão de custo, o trabalho com métricas destaca a relação entre rótulos e cardinalidade, enquanto a literatura de logs evidencia o custo do volume, indexação e retenção. Ações concretas incluem evitar identificadores de alta cardinalidade como rótulos de métricas; limitar campos de log e atributos de spans; definir níveis de retenção por finalidade; criar amostragem por criticidade; e acompanhar custo e volume por serviço e equipe. Para latência, histogramas agregáveis podem apoiar distribuição e percentis, mas limites de buckets e suporte a histogramas nativos afetam custo e precisão. Não há uma escolha única sem conhecer consultas, SLOs e backends (PROMETHEUS AUTHORS, 2026b, 2026c; VICTORIAMETRICS, 2026).</w:t>
      </w:r>
    </w:p>
    <w:p>
      <w:pPr>
        <w:pStyle w:val="Default"/>
        <w:spacing w:line="360" w:lineRule="auto" w:before="0" w:after="0"/>
        <w:ind w:firstLine="706"/>
        <w:jc w:val="both"/>
      </w:pPr>
      <w:r>
        <w:rPr>
          <w:rFonts w:ascii="Arial" w:hAnsi="Arial"/>
          <w:sz w:val="24"/>
        </w:rPr>
        <w:t>A segurança precisa ser aplicada no ponto em que os dados são produzidos e encaminhados. Atributos e logs devem ser submetidos a allowlists ou regras explícitas de redaction; endpoints OTLP devem ser protegidos por autenticação, TLS e controles de rede adequados; permissões do Collector devem ser mínimas; e o acesso aos backends deve refletir a sensibilidade e a retenção dos dados. Também é necessário evitar que o trace context transporte informação pessoal, controlar limites de tamanho e proteger a ingestão contra abuso. Coletar mais dados do que o necessário amplia o risco sem necessariamente ampliar a capacidade de diagnóstico (OPEN TELEMETRY, 2026f; W3C, 2021).</w:t>
      </w:r>
    </w:p>
    <w:p>
      <w:pPr>
        <w:pStyle w:val="Default"/>
        <w:spacing w:line="360" w:lineRule="auto" w:before="0" w:after="0"/>
        <w:ind w:firstLine="706"/>
        <w:jc w:val="both"/>
      </w:pPr>
      <w:r>
        <w:rPr>
          <w:rFonts w:ascii="Arial" w:hAnsi="Arial"/>
          <w:sz w:val="24"/>
        </w:rPr>
        <w:t>4.4 Recomendações derivadas</w:t>
      </w:r>
    </w:p>
    <w:p>
      <w:pPr>
        <w:pStyle w:val="Default"/>
        <w:spacing w:line="360" w:lineRule="auto" w:before="0" w:after="0"/>
        <w:ind w:firstLine="706"/>
        <w:jc w:val="both"/>
      </w:pPr>
      <w:r>
        <w:rPr>
          <w:rFonts w:ascii="Arial" w:hAnsi="Arial"/>
          <w:sz w:val="24"/>
        </w:rPr>
        <w:t>A literatura permite organizar uma implantação incremental. Primeiro, inventariar serviços, linguagens, protocolos, dependências e perguntas operacionais prioritárias. Segundo, definir convenções de serviço e atributos de recurso antes de habilitar coleta ampla. Terceiro, instrumentar um caminho de requisição representativo e verificar propagação W3C ponta a ponta, inclusive em chamadas assíncronas. Quarto, validar recepção, processamento, exportação e consultas em cada destino com dados sintéticos e uma falha controlada. Quinto, expandir por serviço com orçamento de cardinalidade, volume, retenção e taxa de amostragem definidos.</w:t>
      </w:r>
    </w:p>
    <w:p>
      <w:pPr>
        <w:pStyle w:val="Default"/>
        <w:spacing w:line="360" w:lineRule="auto" w:before="0" w:after="0"/>
        <w:ind w:firstLine="706"/>
        <w:jc w:val="both"/>
      </w:pPr>
      <w:r>
        <w:rPr>
          <w:rFonts w:ascii="Arial" w:hAnsi="Arial"/>
          <w:sz w:val="24"/>
        </w:rPr>
        <w:t>A organização também deve manter catálogos de métricas e atributos aprovados, playbooks para falhas de ingestão, painéis voltados a objetivos de serviço e revisão periódica de sinais sem consumidores. Alertas devem priorizar impacto real ou iminente ao usuário e indicar uma ação. Alertas baseados apenas em sintomas internos podem gerar ruído; sinais detalhados continuam valiosos para diagnóstico, mas não precisam interromper uma pessoa. Essa distinção aproxima a arquitetura técnica das práticas SRE de reduzir fadiga e encurtar a resposta a incidentes (BEYER et al., 2016; EWASCHUK, 2016).</w:t>
      </w:r>
    </w:p>
    <w:p>
      <w:pPr>
        <w:pStyle w:val="Default"/>
        <w:spacing w:line="360" w:lineRule="auto" w:before="0" w:after="0"/>
        <w:ind w:firstLine="706"/>
        <w:jc w:val="both"/>
      </w:pPr>
      <w:r>
        <w:rPr>
          <w:rFonts w:ascii="Arial" w:hAnsi="Arial"/>
          <w:sz w:val="24"/>
        </w:rPr>
        <w:t>Para a rotina de um engenheiro de software júnior, a contribuição prática está em incluir observabilidade no desenho e na revisão de código: confirmar nomes e unidades de métricas, preservar contexto entre dependências, registrar eventos estruturados, adicionar testes de instrumentação e conferir dashboards e alertas relacionados à mudança. Problemas encontrados em operação podem alimentar tarefas de melhoria do código, das bibliotecas e da documentação. A atuação não se limita a operar painéis; envolve produzir software que permita compreender falhas com evidência suficiente e sem expor dados desnecessários.</w:t>
      </w:r>
    </w:p>
    <w:p w14:paraId="213F1EEB" w14:textId="77777777" w:rsidR="006068C9" w:rsidRPr="009A314E" w:rsidRDefault="006068C9" w:rsidP="009A314E">
      <w:pPr>
        <w:pStyle w:val="Default"/>
        <w:spacing w:line="360" w:lineRule="auto"/>
        <w:ind w:firstLine="709"/>
        <w:rPr>
          <w:rFonts w:ascii="Times New Roman" w:hAnsi="Times New Roman" w:cs="Times New Roman"/>
          <w:b/>
          <w:bCs/>
        </w:rPr>
      </w:pPr>
    </w:p>
    <w:p w14:paraId="303C6E07" w14:textId="77777777" w:rsidR="003F0D2D" w:rsidRDefault="003F0D2D" w:rsidP="00E474DB">
      <w:pPr>
        <w:pStyle w:val="Default"/>
        <w:spacing w:line="360" w:lineRule="auto"/>
        <w:rPr>
          <w:rFonts w:ascii="Times New Roman" w:hAnsi="Times New Roman" w:cs="Times New Roman"/>
          <w:b/>
          <w:bCs/>
          <w:highlight w:val="yellow"/>
        </w:rPr>
      </w:pPr>
    </w:p>
    <w:p w14:paraId="0C08E364" w14:textId="77777777" w:rsidR="003F0D2D" w:rsidRDefault="003F0D2D" w:rsidP="00E474DB">
      <w:pPr>
        <w:pStyle w:val="Default"/>
        <w:spacing w:line="360" w:lineRule="auto"/>
        <w:rPr>
          <w:rFonts w:ascii="Times New Roman" w:hAnsi="Times New Roman" w:cs="Times New Roman"/>
          <w:b/>
          <w:bCs/>
          <w:highlight w:val="yellow"/>
        </w:rPr>
      </w:pPr>
    </w:p>
    <w:p w14:paraId="03D6E0B3" w14:textId="1955CF92" w:rsidR="00D408AB" w:rsidRPr="009A314E" w:rsidRDefault="001E281E" w:rsidP="00E474DB">
      <w:pPr>
        <w:pStyle w:val="Default"/>
        <w:spacing w:line="360" w:lineRule="auto" w:before="0" w:after="0"/>
        <w:jc w:val="left"/>
        <w:rPr>
          <w:rFonts w:ascii="Times New Roman" w:hAnsi="Times New Roman" w:cs="Times New Roman"/>
          <w:b/>
          <w:bCs/>
        </w:rPr>
      </w:pPr>
      <w:r w:rsidRPr="003B6432">
        <w:rPr>
          <w:rFonts w:ascii="Arial" w:hAnsi="Arial" w:cs="Times New Roman"/>
          <w:b/>
          <w:bCs/>
          <w:sz w:val="24"/>
        </w:rPr>
        <w:t>5</w:t>
      </w:r>
      <w:r w:rsidR="00D408AB" w:rsidRPr="003B6432">
        <w:rPr>
          <w:rFonts w:ascii="Arial" w:hAnsi="Arial" w:cs="Times New Roman"/>
          <w:b/>
          <w:bCs/>
          <w:sz w:val="24"/>
        </w:rPr>
        <w:t xml:space="preserve"> </w:t>
      </w:r>
      <w:r w:rsidR="00D62928" w:rsidRPr="003B6432">
        <w:rPr>
          <w:rFonts w:ascii="Arial" w:hAnsi="Arial" w:cs="Times New Roman"/>
          <w:b/>
          <w:bCs/>
          <w:sz w:val="24"/>
        </w:rPr>
        <w:t>CONSIDERAÇÕES FINAIS</w:t>
      </w:r>
      <w:r w:rsidR="009733DF" w:rsidRPr="003B6432">
        <w:rPr>
          <w:rFonts w:ascii="Arial" w:hAnsi="Arial" w:cs="Times New Roman"/>
          <w:b/>
          <w:bCs/>
          <w:sz w:val="24"/>
        </w:rPr>
        <w:t>/CONCLUSÃO</w:t>
      </w:r>
    </w:p>
    <w:p>
      <w:pPr>
        <w:pStyle w:val="Default"/>
        <w:spacing w:line="360" w:lineRule="auto" w:before="0" w:after="0"/>
        <w:ind w:firstLine="706"/>
        <w:jc w:val="both"/>
      </w:pPr>
      <w:r>
        <w:rPr>
          <w:rFonts w:ascii="Arial" w:hAnsi="Arial"/>
          <w:sz w:val="24"/>
        </w:rPr>
        <w:t>Este artigo analisou como OpenTelemetry pode apoiar a integração de métricas, logs e rastros em aplicações distribuídas executadas em Kubernetes. A revisão indica que o principal papel do projeto é padronizar geração, semântica e transporte de telemetria e oferecer componentes de processamento, mantendo armazenamento e visualização em ferramentas especializadas. A arquitetura proposta separa instrumentação, Collector, backends por sinal e exploração, articulando Prometheus ou VictoriaMetrics para métricas, Jaeger para rastros, VictoriaLogs para logs e Grafana para visualização, conforme suporte efetivo das versões adotadas.</w:t>
      </w:r>
    </w:p>
    <w:p>
      <w:pPr>
        <w:pStyle w:val="Default"/>
        <w:spacing w:line="360" w:lineRule="auto" w:before="0" w:after="0"/>
        <w:ind w:firstLine="706"/>
        <w:jc w:val="both"/>
      </w:pPr>
      <w:r>
        <w:rPr>
          <w:rFonts w:ascii="Arial" w:hAnsi="Arial"/>
          <w:sz w:val="24"/>
        </w:rPr>
        <w:t>Como o estudo é bibliográfico, não houve experimento ou análise de telemetria da empresa em que o autor atua. A principal limitação é a ausência de validação quantitativa de uma implantação concreta, além da natureza mutável da documentação técnica. Pesquisas futuras podem implementar um cenário controlado em Kubernetes e comparar uma linha de base com uma configuração OpenTelemetry, medindo completude de rastros, descarte, overhead de recursos, custo por sinal e tempo de diagnóstico. Tal avaliação deve explicitar versões, carga, variáveis e critérios, e não utilizar dados confidenciais ou pessoais.</w:t>
      </w:r>
    </w:p>
    <w:p>
      <w:pPr>
        <w:pStyle w:val="Default"/>
        <w:spacing w:line="360" w:lineRule="auto" w:before="0" w:after="0"/>
        <w:ind w:firstLine="706"/>
        <w:jc w:val="both"/>
      </w:pPr>
      <w:r>
        <w:rPr>
          <w:rFonts w:ascii="Arial" w:hAnsi="Arial"/>
          <w:sz w:val="24"/>
        </w:rPr>
        <w:t>Conclui-se que OpenTelemetry é uma escolha tecnicamente coerente para equipes que operam aplicações distribuídas e desejam interoperabilidade entre linguagens e ferramentas, desde que adotado como parte de uma prática de confiabilidade e governança de dados. Para a rotina profissional do autor, o tema oferece uma ponte direta entre desenvolvimento de software, Kubernetes e observabilidade; para a versão final acadêmica, título, curso, instituição, declaração de uso de IA e todas as referências devem ser conferidos com o orientador e com as normas vigentes da instituição.</w:t>
      </w:r>
    </w:p>
    <w:sdt>
      <w:sdtPr>
        <w:rPr>
          <w:rFonts w:ascii="Times New Roman" w:hAnsi="Times New Roman" w:cs="Times New Roman"/>
          <w:color w:val="2F5496" w:themeColor="accent1" w:themeShade="BF"/>
        </w:rPr>
        <w:id w:val="-1413701907"/>
        <w:placeholder>
          <w:docPart w:val="FA6B02CEB0D740C597806B1A0C95340B"/>
        </w:placeholder>
      </w:sdtPr>
      <w:sdtEndPr>
        <w:rPr>
          <w:color w:val="A6A6A6" w:themeColor="background1" w:themeShade="A6"/>
        </w:rPr>
      </w:sdtEndPr>
      <w:sdtContent>
        <w:p w14:paraId="6CACAEF8" w14:textId="77777777" w:rsidR="00014F94" w:rsidRPr="00014F94" w:rsidRDefault="00014F94" w:rsidP="00014F94">
          <w:pPr>
            <w:pStyle w:val="Default"/>
            <w:spacing w:line="360" w:lineRule="auto"/>
            <w:ind w:firstLine="709"/>
            <w:jc w:val="both"/>
            <w:rPr>
              <w:rFonts w:ascii="Times New Roman" w:hAnsi="Times New Roman" w:cs="Times New Roman"/>
              <w:color w:val="A6A6A6" w:themeColor="background1" w:themeShade="A6"/>
            </w:rPr>
          </w:pPr>
          <w:r w:rsidRPr="00014F94">
            <w:rPr>
              <w:rFonts w:ascii="Times New Roman" w:hAnsi="Times New Roman" w:cs="Times New Roman"/>
              <w:color w:val="A6A6A6" w:themeColor="background1" w:themeShade="A6"/>
            </w:rPr>
            <w:t xml:space="preserve">Apresente aqui as conclusões do seu trabalho, verifique se o objetivo foi cumprido, apresenta respostas para o problema da pesquisa, relate suas conclusões pessoais como estudioso da área, bem como as limitações, se houveram na sua pesquisa e as recomendações de novos estudos. </w:t>
          </w:r>
        </w:p>
        <w:p w14:paraId="5D4FB4F7" w14:textId="062DF70B" w:rsidR="00014F94" w:rsidRPr="00014F94" w:rsidRDefault="00014F94" w:rsidP="00014F94">
          <w:pPr>
            <w:pStyle w:val="Default"/>
            <w:spacing w:line="360" w:lineRule="auto"/>
            <w:ind w:firstLine="709"/>
            <w:jc w:val="both"/>
            <w:rPr>
              <w:rFonts w:ascii="Times New Roman" w:hAnsi="Times New Roman" w:cs="Times New Roman"/>
              <w:color w:val="A6A6A6" w:themeColor="background1" w:themeShade="A6"/>
            </w:rPr>
          </w:pPr>
          <w:r w:rsidRPr="00014F94">
            <w:rPr>
              <w:rFonts w:ascii="Times New Roman" w:hAnsi="Times New Roman" w:cs="Times New Roman"/>
              <w:color w:val="A6A6A6" w:themeColor="background1" w:themeShade="A6"/>
            </w:rPr>
            <w:t>Ressalta-se que é importante que o aluno também descreva os ganhos e avanços para a ciência e tecnologia a partir do seu estudo.</w:t>
          </w:r>
        </w:p>
      </w:sdtContent>
    </w:sdt>
    <w:p w14:paraId="29734F7A" w14:textId="77777777" w:rsidR="005C3CE3" w:rsidRPr="009A314E" w:rsidRDefault="005C3CE3" w:rsidP="009A314E">
      <w:pPr>
        <w:pStyle w:val="Default"/>
        <w:spacing w:line="360" w:lineRule="auto"/>
        <w:ind w:firstLine="709"/>
        <w:rPr>
          <w:rFonts w:ascii="Times New Roman" w:hAnsi="Times New Roman" w:cs="Times New Roman"/>
          <w:b/>
          <w:bCs/>
        </w:rPr>
      </w:pPr>
    </w:p>
    <w:p w14:paraId="1F1C4187" w14:textId="57C6A86A" w:rsidR="00D408AB" w:rsidRPr="009A314E" w:rsidRDefault="00D62928" w:rsidP="00944FAF">
      <w:pPr>
        <w:pStyle w:val="Default"/>
        <w:spacing w:line="360" w:lineRule="auto" w:before="0" w:after="0"/>
        <w:jc w:val="center"/>
        <w:rPr>
          <w:rFonts w:ascii="Times New Roman" w:hAnsi="Times New Roman" w:cs="Times New Roman"/>
        </w:rPr>
      </w:pPr>
      <w:r w:rsidRPr="003B6432">
        <w:rPr>
          <w:rFonts w:ascii="Arial" w:hAnsi="Arial" w:cs="Times New Roman"/>
          <w:b/>
          <w:bCs/>
          <w:sz w:val="24"/>
        </w:rPr>
        <w:t>REFERÊNCIAS</w:t>
      </w:r>
    </w:p>
    <w:p>
      <w:pPr>
        <w:pStyle w:val="Default"/>
        <w:spacing w:line="240" w:lineRule="auto" w:before="0" w:after="0"/>
        <w:ind w:left="0" w:firstLine="0"/>
        <w:jc w:val="left"/>
      </w:pPr>
      <w:r>
        <w:rPr>
          <w:rFonts w:ascii="Arial" w:hAnsi="Arial"/>
          <w:sz w:val="24"/>
        </w:rPr>
        <w:t>BEYER, Betsy; JONES, Chris; PETOFF, Jennifer; MURPHY, Niall Richard (ed.). Site Reliability Engineering: how Google runs production systems. Sebastopol: O'Reilly Media, 2016. Disponível em: https://sre.google/sre-book/. Acesso em: 1 out. 2026.</w:t>
      </w:r>
    </w:p>
    <w:p>
      <w:pPr>
        <w:pStyle w:val="Default"/>
        <w:spacing w:line="240" w:lineRule="auto" w:before="0" w:after="0"/>
        <w:ind w:left="0" w:firstLine="0"/>
        <w:jc w:val="left"/>
      </w:pPr>
      <w:r>
        <w:rPr>
          <w:rFonts w:ascii="Arial" w:hAnsi="Arial"/>
          <w:sz w:val="24"/>
        </w:rPr>
        <w:t>BURNS, Brendan; BEDA, Joe; HIGHTOWER, Kelsey; EVENSON, Lachlan. Kubernetes: Up and Running. 3. ed. Sebastopol: O'Reilly Media, 2022. ISBN 978-1-098-11019-2.</w:t>
      </w:r>
    </w:p>
    <w:p>
      <w:pPr>
        <w:pStyle w:val="Default"/>
        <w:spacing w:line="240" w:lineRule="auto" w:before="0" w:after="0"/>
        <w:ind w:left="0" w:firstLine="0"/>
        <w:jc w:val="left"/>
      </w:pPr>
      <w:r>
        <w:rPr>
          <w:rFonts w:ascii="Arial" w:hAnsi="Arial"/>
          <w:sz w:val="24"/>
        </w:rPr>
        <w:t>EWASCHUK, Rob. Monitoring Distributed Systems. In: BEYER, Betsy et al. (ed.). Site Reliability Engineering: how Google runs production systems. Sebastopol: O'Reilly Media, 2016. cap. 6. Disponível em: https://sre.google/sre-book/monitoring-distributed-systems/. Acesso em: 1 out. 2026.</w:t>
      </w:r>
    </w:p>
    <w:p>
      <w:pPr>
        <w:pStyle w:val="Default"/>
        <w:spacing w:line="240" w:lineRule="auto" w:before="0" w:after="0"/>
        <w:ind w:left="0" w:firstLine="0"/>
        <w:jc w:val="left"/>
      </w:pPr>
      <w:r>
        <w:rPr>
          <w:rFonts w:ascii="Arial" w:hAnsi="Arial"/>
          <w:sz w:val="24"/>
        </w:rPr>
        <w:t>JAEGER AUTHORS. Architecture. Jaeger documentation, 2025. Disponível em: https://www.jaegertracing.io/docs/2.0/architecture/. Acesso em: 1 out. 2026.</w:t>
      </w:r>
    </w:p>
    <w:p>
      <w:pPr>
        <w:pStyle w:val="Default"/>
        <w:spacing w:line="240" w:lineRule="auto" w:before="0" w:after="0"/>
        <w:ind w:left="0" w:firstLine="0"/>
        <w:jc w:val="left"/>
      </w:pPr>
      <w:r>
        <w:rPr>
          <w:rFonts w:ascii="Arial" w:hAnsi="Arial"/>
          <w:sz w:val="24"/>
        </w:rPr>
        <w:t>KUBERNETES AUTHORS. Observability. Kubernetes documentation, 2026. Disponível em: https://kubernetes.io/docs/concepts/cluster-administration/observability/. Acesso em: 1 out. 2026.</w:t>
      </w:r>
    </w:p>
    <w:p>
      <w:pPr>
        <w:pStyle w:val="Default"/>
        <w:spacing w:line="240" w:lineRule="auto" w:before="0" w:after="0"/>
        <w:ind w:left="0" w:firstLine="0"/>
        <w:jc w:val="left"/>
      </w:pPr>
      <w:r>
        <w:rPr>
          <w:rFonts w:ascii="Arial" w:hAnsi="Arial"/>
          <w:sz w:val="24"/>
        </w:rPr>
        <w:t>OPEN TELEMETRY. Collector. OpenTelemetry documentation, 2026. Disponível em: https://opentelemetry.io/docs/collector/. Acesso em: 1 out. 2026.</w:t>
      </w:r>
    </w:p>
    <w:p>
      <w:pPr>
        <w:pStyle w:val="Default"/>
        <w:spacing w:line="240" w:lineRule="auto" w:before="0" w:after="0"/>
        <w:ind w:left="0" w:firstLine="0"/>
        <w:jc w:val="left"/>
      </w:pPr>
      <w:r>
        <w:rPr>
          <w:rFonts w:ascii="Arial" w:hAnsi="Arial"/>
          <w:sz w:val="24"/>
        </w:rPr>
        <w:t>OPEN TELEMETRY. Observability primer. OpenTelemetry documentation, 2026. Disponível em: https://opentelemetry.io/docs/concepts/observability-primer/. Acesso em: 1 out. 2026.</w:t>
      </w:r>
    </w:p>
    <w:p>
      <w:pPr>
        <w:pStyle w:val="Default"/>
        <w:spacing w:line="240" w:lineRule="auto" w:before="0" w:after="0"/>
        <w:ind w:left="0" w:firstLine="0"/>
        <w:jc w:val="left"/>
      </w:pPr>
      <w:r>
        <w:rPr>
          <w:rFonts w:ascii="Arial" w:hAnsi="Arial"/>
          <w:sz w:val="24"/>
        </w:rPr>
        <w:t>OPEN TELEMETRY. OpenTelemetry semantic conventions. Version 1.44.0. OpenTelemetry documentation, 2026. Disponível em: https://opentelemetry.io/docs/specs/semconv/. Acesso em: 1 out. 2026.</w:t>
      </w:r>
    </w:p>
    <w:p>
      <w:pPr>
        <w:pStyle w:val="Default"/>
        <w:spacing w:line="240" w:lineRule="auto" w:before="0" w:after="0"/>
        <w:ind w:left="0" w:firstLine="0"/>
        <w:jc w:val="left"/>
      </w:pPr>
      <w:r>
        <w:rPr>
          <w:rFonts w:ascii="Arial" w:hAnsi="Arial"/>
          <w:sz w:val="24"/>
        </w:rPr>
        <w:t>OPEN TELEMETRY. OpenTelemetry Specification. Version 1.61.0. OpenTelemetry documentation, 2026. Disponível em: https://opentelemetry.io/docs/specs/otel/. Acesso em: 1 out. 2026.</w:t>
      </w:r>
    </w:p>
    <w:p>
      <w:pPr>
        <w:pStyle w:val="Default"/>
        <w:spacing w:line="240" w:lineRule="auto" w:before="0" w:after="0"/>
        <w:ind w:left="0" w:firstLine="0"/>
        <w:jc w:val="left"/>
      </w:pPr>
      <w:r>
        <w:rPr>
          <w:rFonts w:ascii="Arial" w:hAnsi="Arial"/>
          <w:sz w:val="24"/>
        </w:rPr>
        <w:t>OPEN TELEMETRY. OTLP Specification. Version 1.11.0. OpenTelemetry documentation, 2026. Disponível em: https://opentelemetry.io/docs/specs/otlp/. Acesso em: 1 out. 2026.</w:t>
      </w:r>
    </w:p>
    <w:p>
      <w:pPr>
        <w:pStyle w:val="Default"/>
        <w:spacing w:line="240" w:lineRule="auto" w:before="0" w:after="0"/>
        <w:ind w:left="0" w:firstLine="0"/>
        <w:jc w:val="left"/>
      </w:pPr>
      <w:r>
        <w:rPr>
          <w:rFonts w:ascii="Arial" w:hAnsi="Arial"/>
          <w:sz w:val="24"/>
        </w:rPr>
        <w:t>OPEN TELEMETRY. Security. OpenTelemetry documentation, 2026. Disponível em: https://opentelemetry.io/docs/security/. Acesso em: 1 out. 2026.</w:t>
      </w:r>
    </w:p>
    <w:p>
      <w:pPr>
        <w:pStyle w:val="Default"/>
        <w:spacing w:line="240" w:lineRule="auto" w:before="0" w:after="0"/>
        <w:ind w:left="0" w:firstLine="0"/>
        <w:jc w:val="left"/>
      </w:pPr>
      <w:r>
        <w:rPr>
          <w:rFonts w:ascii="Arial" w:hAnsi="Arial"/>
          <w:sz w:val="24"/>
        </w:rPr>
        <w:t>OPEN TELEMETRY. Signals. OpenTelemetry documentation, 2026. Disponível em: https://opentelemetry.io/docs/concepts/signals/. Acesso em: 1 out. 2026.</w:t>
      </w:r>
    </w:p>
    <w:p>
      <w:pPr>
        <w:pStyle w:val="Default"/>
        <w:spacing w:line="240" w:lineRule="auto" w:before="0" w:after="0"/>
        <w:ind w:left="0" w:firstLine="0"/>
        <w:jc w:val="left"/>
      </w:pPr>
      <w:r>
        <w:rPr>
          <w:rFonts w:ascii="Arial" w:hAnsi="Arial"/>
          <w:sz w:val="24"/>
        </w:rPr>
        <w:t>OPEN TELEMETRY. Traces. OpenTelemetry documentation, 2026. Disponível em: https://opentelemetry.io/docs/concepts/signals/traces/. Acesso em: 1 out. 2026.</w:t>
      </w:r>
    </w:p>
    <w:p>
      <w:pPr>
        <w:pStyle w:val="Default"/>
        <w:spacing w:line="240" w:lineRule="auto" w:before="0" w:after="0"/>
        <w:ind w:left="0" w:firstLine="0"/>
        <w:jc w:val="left"/>
      </w:pPr>
      <w:r>
        <w:rPr>
          <w:rFonts w:ascii="Arial" w:hAnsi="Arial"/>
          <w:sz w:val="24"/>
        </w:rPr>
        <w:t>OPEN TELEMETRY. What is OpenTelemetry? OpenTelemetry documentation, 2026. Disponível em: https://opentelemetry.io/docs/what-is-opentelemetry/. Acesso em: 1 out. 2026.</w:t>
      </w:r>
    </w:p>
    <w:p>
      <w:pPr>
        <w:pStyle w:val="Default"/>
        <w:spacing w:line="240" w:lineRule="auto" w:before="0" w:after="0"/>
        <w:ind w:left="0" w:firstLine="0"/>
        <w:jc w:val="left"/>
      </w:pPr>
      <w:r>
        <w:rPr>
          <w:rFonts w:ascii="Arial" w:hAnsi="Arial"/>
          <w:sz w:val="24"/>
        </w:rPr>
        <w:t>PROMETHEUS AUTHORS. Data model. Prometheus documentation, [s. d.]. Disponível em: https://prometheus.io/docs/concepts/data_model/. Acesso em: 1 out. 2026.</w:t>
      </w:r>
    </w:p>
    <w:p>
      <w:pPr>
        <w:pStyle w:val="Default"/>
        <w:spacing w:line="240" w:lineRule="auto" w:before="0" w:after="0"/>
        <w:ind w:left="0" w:firstLine="0"/>
        <w:jc w:val="left"/>
      </w:pPr>
      <w:r>
        <w:rPr>
          <w:rFonts w:ascii="Arial" w:hAnsi="Arial"/>
          <w:sz w:val="24"/>
        </w:rPr>
        <w:t>PROMETHEUS AUTHORS. Histograms and summaries. Prometheus documentation, 2026. Disponível em: https://prometheus.io/docs/practices/histograms/. Acesso em: 1 out. 2026.</w:t>
      </w:r>
    </w:p>
    <w:p>
      <w:pPr>
        <w:pStyle w:val="Default"/>
        <w:spacing w:line="240" w:lineRule="auto" w:before="0" w:after="0"/>
        <w:ind w:left="0" w:firstLine="0"/>
        <w:jc w:val="left"/>
      </w:pPr>
      <w:r>
        <w:rPr>
          <w:rFonts w:ascii="Arial" w:hAnsi="Arial"/>
          <w:sz w:val="24"/>
        </w:rPr>
        <w:t>PROMETHEUS AUTHORS. Metric and label naming. Prometheus documentation, 2026. Disponível em: https://prometheus.io/docs/practices/naming/. Acesso em: 1 out. 2026.</w:t>
      </w:r>
    </w:p>
    <w:p>
      <w:pPr>
        <w:pStyle w:val="Default"/>
        <w:spacing w:line="240" w:lineRule="auto" w:before="0" w:after="0"/>
        <w:ind w:left="0" w:firstLine="0"/>
        <w:jc w:val="left"/>
      </w:pPr>
      <w:r>
        <w:rPr>
          <w:rFonts w:ascii="Arial" w:hAnsi="Arial"/>
          <w:sz w:val="24"/>
        </w:rPr>
        <w:t>SIGELMAN, Benjamin H. et al. Dapper, a large-scale distributed systems tracing infrastructure. In: USENIX SYMPOSIUM ON OPERATING SYSTEMS DESIGN AND IMPLEMENTATION, 10., 2010, Vancouver. Proceedings [...]. Berkeley: USENIX Association, 2010. p. 1-16. Disponível em: https://research.google/pubs/dapper-a-large-scale-distributed-systems-tracing-infrastructure/. Acesso em: 1 out. 2026.</w:t>
      </w:r>
    </w:p>
    <w:p>
      <w:pPr>
        <w:pStyle w:val="Default"/>
        <w:spacing w:line="240" w:lineRule="auto" w:before="0" w:after="0"/>
        <w:ind w:left="0" w:firstLine="0"/>
        <w:jc w:val="left"/>
      </w:pPr>
      <w:r>
        <w:rPr>
          <w:rFonts w:ascii="Arial" w:hAnsi="Arial"/>
          <w:sz w:val="24"/>
        </w:rPr>
        <w:t>SRIDHARAN, Cindy. Distributed Systems Observability. Sebastopol: O'Reilly Media, 2018. ISBN 978-1-492-03343-1.</w:t>
      </w:r>
    </w:p>
    <w:p>
      <w:pPr>
        <w:pStyle w:val="Default"/>
        <w:spacing w:line="240" w:lineRule="auto" w:before="0" w:after="0"/>
        <w:ind w:left="0" w:firstLine="0"/>
        <w:jc w:val="left"/>
      </w:pPr>
      <w:r>
        <w:rPr>
          <w:rFonts w:ascii="Arial" w:hAnsi="Arial"/>
          <w:sz w:val="24"/>
        </w:rPr>
        <w:t>VICTORIAMETRICS. OpenTelemetry. VictoriaMetrics documentation, 2026. Disponível em: https://docs.victoriametrics.com/opentelemetry/. Acesso em: 1 out. 2026.</w:t>
      </w:r>
    </w:p>
    <w:p>
      <w:pPr>
        <w:pStyle w:val="Default"/>
        <w:spacing w:line="240" w:lineRule="auto" w:before="0" w:after="0"/>
        <w:ind w:left="0" w:firstLine="0"/>
        <w:jc w:val="left"/>
      </w:pPr>
      <w:r>
        <w:rPr>
          <w:rFonts w:ascii="Arial" w:hAnsi="Arial"/>
          <w:sz w:val="24"/>
        </w:rPr>
        <w:t>W3C. Trace Context. W3C Recommendation, 23 nov. 2021. Disponível em: https://www.w3.org/TR/trace-context/. Acesso em: 1 out. 2026.</w:t>
      </w:r>
    </w:p>
    <w:sdt>
      <w:sdtPr>
        <w:rPr>
          <w:rFonts w:ascii="Times New Roman" w:hAnsi="Times New Roman" w:cs="Times New Roman"/>
          <w:color w:val="2F5496" w:themeColor="accent1" w:themeShade="BF"/>
        </w:rPr>
        <w:id w:val="-2011058365"/>
        <w:placeholder>
          <w:docPart w:val="B59DF6620EE64DEEAEF9C154C2BC97C6"/>
        </w:placeholder>
      </w:sdtPr>
      <w:sdtEndPr>
        <w:rPr>
          <w:color w:val="A6A6A6" w:themeColor="background1" w:themeShade="A6"/>
        </w:rPr>
      </w:sdtEndPr>
      <w:sdtContent>
        <w:p w14:paraId="6CC9AC20" w14:textId="77777777" w:rsidR="00014F94" w:rsidRPr="003B6432" w:rsidRDefault="00014F94" w:rsidP="003B6432">
          <w:pPr>
            <w:spacing w:after="0" w:line="360" w:lineRule="auto"/>
            <w:jc w:val="both"/>
            <w:rPr>
              <w:rFonts w:ascii="Times New Roman" w:hAnsi="Times New Roman" w:cs="Times New Roman"/>
              <w:color w:val="A6A6A6" w:themeColor="background1" w:themeShade="A6"/>
              <w:sz w:val="24"/>
              <w:szCs w:val="24"/>
            </w:rPr>
          </w:pPr>
          <w:r w:rsidRPr="003B6432">
            <w:rPr>
              <w:rFonts w:ascii="Times New Roman" w:hAnsi="Times New Roman" w:cs="Times New Roman"/>
              <w:color w:val="A6A6A6" w:themeColor="background1" w:themeShade="A6"/>
              <w:sz w:val="24"/>
              <w:szCs w:val="24"/>
            </w:rPr>
            <w:t xml:space="preserve">As referências utilizadas sempre devem ser de livros e/ou artigos científicos. Vale ressaltar que sempre é conveniente conter pelo menos uma obra clássica do assunto, bem como os artigos publicados ‘preferencialmente’ nos últimos três anos, em periódicos nacionais e internacionais. </w:t>
          </w:r>
        </w:p>
        <w:p w14:paraId="0FDD4548" w14:textId="77777777" w:rsidR="00014F94" w:rsidRPr="003B6432" w:rsidRDefault="00014F94" w:rsidP="003B6432">
          <w:pPr>
            <w:spacing w:after="0" w:line="276" w:lineRule="auto"/>
            <w:jc w:val="both"/>
            <w:rPr>
              <w:rFonts w:ascii="Times New Roman" w:hAnsi="Times New Roman" w:cs="Times New Roman"/>
              <w:color w:val="A6A6A6" w:themeColor="background1" w:themeShade="A6"/>
              <w:sz w:val="24"/>
              <w:szCs w:val="24"/>
            </w:rPr>
          </w:pPr>
        </w:p>
        <w:p w14:paraId="0371E954" w14:textId="182B997A" w:rsidR="00014F94" w:rsidRPr="003B6432" w:rsidRDefault="00014F94" w:rsidP="00FD1CF3">
          <w:pPr>
            <w:spacing w:after="0" w:line="240" w:lineRule="auto"/>
            <w:jc w:val="both"/>
            <w:rPr>
              <w:rFonts w:ascii="Times New Roman" w:hAnsi="Times New Roman" w:cs="Times New Roman"/>
              <w:color w:val="A6A6A6" w:themeColor="background1" w:themeShade="A6"/>
              <w:sz w:val="24"/>
              <w:szCs w:val="24"/>
            </w:rPr>
          </w:pPr>
          <w:r w:rsidRPr="003B6432">
            <w:rPr>
              <w:rFonts w:ascii="Times New Roman" w:hAnsi="Times New Roman" w:cs="Times New Roman"/>
              <w:color w:val="A6A6A6" w:themeColor="background1" w:themeShade="A6"/>
              <w:sz w:val="24"/>
              <w:szCs w:val="24"/>
            </w:rPr>
            <w:t>Faça uso das bibliotecas virtuais que temos a sua disposição.</w:t>
          </w:r>
        </w:p>
      </w:sdtContent>
    </w:sdt>
    <w:sectPr w:rsidR="003B6432" w:rsidRPr="009A314E" w:rsidSect="003F0D2D">
      <w:headerReference w:type="default" r:id="rId7"/>
      <w:pgSz w:w="11909" w:h="16834"/>
      <w:pgMar w:top="1699" w:right="1138" w:bottom="1138" w:left="1699" w:header="1134" w:footer="709"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EF298" w14:textId="77777777" w:rsidR="002E5FD9" w:rsidRDefault="002E5FD9" w:rsidP="006D1109">
      <w:pPr>
        <w:spacing w:after="0" w:line="240" w:lineRule="auto"/>
      </w:pPr>
      <w:r>
        <w:separator/>
      </w:r>
    </w:p>
  </w:endnote>
  <w:endnote w:type="continuationSeparator" w:id="0">
    <w:p w14:paraId="1C4F8CDA" w14:textId="77777777" w:rsidR="002E5FD9" w:rsidRDefault="002E5FD9" w:rsidP="006D1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84095" w14:textId="77777777" w:rsidR="002E5FD9" w:rsidRDefault="002E5FD9" w:rsidP="006D1109">
      <w:pPr>
        <w:spacing w:after="0" w:line="240" w:lineRule="auto"/>
      </w:pPr>
      <w:r>
        <w:separator/>
      </w:r>
    </w:p>
  </w:footnote>
  <w:footnote w:type="continuationSeparator" w:id="0">
    <w:p w14:paraId="7E693577" w14:textId="77777777" w:rsidR="002E5FD9" w:rsidRDefault="002E5FD9" w:rsidP="006D1109">
      <w:pPr>
        <w:spacing w:after="0" w:line="240" w:lineRule="auto"/>
      </w:pPr>
      <w:r>
        <w:continuationSeparator/>
      </w:r>
    </w:p>
  </w:footnote>
  <w:footnote w:id="1">
    <w:p w14:paraId="29173FC5" w14:textId="35486189" w:rsidR="006D1109" w:rsidRPr="00C55703" w:rsidRDefault="006D1109" w:rsidP="006D1109">
      <w:pPr>
        <w:pStyle w:val="Default"/>
        <w:spacing w:line="360" w:lineRule="auto"/>
        <w:jc w:val="both"/>
        <w:rPr>
          <w:rFonts w:ascii="Times New Roman" w:hAnsi="Times New Roman" w:cs="Times New Roman"/>
          <w:sz w:val="20"/>
          <w:szCs w:val="20"/>
        </w:rPr>
      </w:pPr>
      <w:r w:rsidRPr="006D1109">
        <w:rPr>
          <w:rStyle w:val="Refdenotaderodap"/>
          <w:sz w:val="20"/>
          <w:szCs w:val="20"/>
        </w:rPr>
        <w:footnoteRef/>
      </w:r>
      <w:r w:rsidRPr="006D1109">
        <w:rPr>
          <w:sz w:val="20"/>
          <w:szCs w:val="20"/>
        </w:rPr>
        <w:t xml:space="preserve"> </w:t>
      </w:r>
      <w:r w:rsidRPr="00C55703">
        <w:rPr>
          <w:rFonts w:ascii="Times New Roman" w:hAnsi="Times New Roman" w:cs="Times New Roman"/>
          <w:sz w:val="20"/>
          <w:szCs w:val="20"/>
        </w:rPr>
        <w:t>Graduando em</w:t>
      </w:r>
      <w:r w:rsidR="00014F94">
        <w:rPr>
          <w:rFonts w:ascii="Times New Roman" w:hAnsi="Times New Roman" w:cs="Times New Roman"/>
          <w:sz w:val="20"/>
          <w:szCs w:val="20"/>
        </w:rPr>
        <w:t xml:space="preserve"> </w:t>
      </w:r>
      <w:sdt>
        <w:sdtPr>
          <w:rPr>
            <w:rFonts w:ascii="Times New Roman" w:hAnsi="Times New Roman" w:cs="Times New Roman"/>
            <w:color w:val="2F5496" w:themeColor="accent1" w:themeShade="BF"/>
          </w:rPr>
          <w:id w:val="1890536044"/>
          <w:placeholder>
            <w:docPart w:val="654706CE465C46E89F82835A1BD0BE74"/>
          </w:placeholder>
        </w:sdtPr>
        <w:sdtEndPr/>
        <w:sdtContent>
          <w:r w:rsidR="00014F94" w:rsidRPr="00014F94">
            <w:rPr>
              <w:rFonts w:ascii="Times New Roman" w:hAnsi="Times New Roman" w:cs="Times New Roman"/>
              <w:b/>
              <w:bCs/>
              <w:color w:val="A6A6A6" w:themeColor="background1" w:themeShade="A6"/>
              <w:sz w:val="20"/>
              <w:szCs w:val="20"/>
            </w:rPr>
            <w:t>NOME DO CURSO</w:t>
          </w:r>
        </w:sdtContent>
      </w:sdt>
      <w:r w:rsidRPr="00C55703">
        <w:rPr>
          <w:rFonts w:ascii="Times New Roman" w:hAnsi="Times New Roman" w:cs="Times New Roman"/>
          <w:sz w:val="20"/>
          <w:szCs w:val="20"/>
        </w:rPr>
        <w:t xml:space="preserve"> pela Unifacvest</w:t>
      </w:r>
      <w:r w:rsidR="003D1C36">
        <w:rPr>
          <w:rFonts w:ascii="Times New Roman" w:hAnsi="Times New Roman" w:cs="Times New Roman"/>
          <w:sz w:val="20"/>
          <w:szCs w:val="20"/>
        </w:rPr>
        <w:t>.</w:t>
      </w:r>
      <w:r w:rsidRPr="00C55703">
        <w:rPr>
          <w:rFonts w:ascii="Times New Roman" w:hAnsi="Times New Roman" w:cs="Times New Roman"/>
          <w:sz w:val="20"/>
          <w:szCs w:val="20"/>
        </w:rPr>
        <w:t xml:space="preserve"> </w:t>
      </w:r>
    </w:p>
    <w:p w14:paraId="2DB8175A" w14:textId="53354F5D" w:rsidR="006D1109" w:rsidRPr="00C55703" w:rsidRDefault="006D1109" w:rsidP="006D1109">
      <w:pPr>
        <w:pStyle w:val="Textodenotaderodap"/>
        <w:jc w:val="both"/>
        <w:rPr>
          <w:rFonts w:ascii="Times New Roman" w:hAnsi="Times New Roman" w:cs="Times New Roma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highlight w:val="yellow"/>
      </w:rPr>
      <w:id w:val="583266712"/>
      <w:docPartObj>
        <w:docPartGallery w:val="Page Numbers (Top of Page)"/>
        <w:docPartUnique/>
      </w:docPartObj>
    </w:sdtPr>
    <w:sdtEndPr>
      <w:rPr>
        <w:highlight w:val="none"/>
      </w:rPr>
    </w:sdtEndPr>
    <w:sdtContent>
      <w:p w14:paraId="0623306F" w14:textId="72D03484" w:rsidR="00D12589" w:rsidRDefault="00D12589">
        <w:pPr>
          <w:pStyle w:val="Cabealho"/>
          <w:jc w:val="right"/>
        </w:pPr>
        <w:r w:rsidRPr="00CD54DD">
          <w:fldChar w:fldCharType="begin"/>
        </w:r>
        <w:r w:rsidRPr="00CD54DD">
          <w:instrText>PAGE   \* MERGEFORMAT</w:instrText>
        </w:r>
        <w:r w:rsidRPr="00CD54DD">
          <w:fldChar w:fldCharType="separate"/>
        </w:r>
        <w:r w:rsidRPr="00CD54DD">
          <w:t>2</w:t>
        </w:r>
        <w:r w:rsidRPr="00CD54DD">
          <w:fldChar w:fldCharType="end"/>
        </w:r>
      </w:p>
    </w:sdtContent>
  </w:sdt>
  <w:p w14:paraId="7324D2B4" w14:textId="77777777" w:rsidR="003D1C36" w:rsidRDefault="003D1C3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8AB"/>
    <w:rsid w:val="00014F94"/>
    <w:rsid w:val="00027DFE"/>
    <w:rsid w:val="00031DDA"/>
    <w:rsid w:val="00065E58"/>
    <w:rsid w:val="00086B5B"/>
    <w:rsid w:val="000907BC"/>
    <w:rsid w:val="000B26E1"/>
    <w:rsid w:val="000D79AC"/>
    <w:rsid w:val="000E209F"/>
    <w:rsid w:val="001275BE"/>
    <w:rsid w:val="00131315"/>
    <w:rsid w:val="001734B7"/>
    <w:rsid w:val="001D2FD0"/>
    <w:rsid w:val="001E281E"/>
    <w:rsid w:val="002705DF"/>
    <w:rsid w:val="002A76B7"/>
    <w:rsid w:val="002E3978"/>
    <w:rsid w:val="002E5FD9"/>
    <w:rsid w:val="00370BC3"/>
    <w:rsid w:val="003B6432"/>
    <w:rsid w:val="003C7780"/>
    <w:rsid w:val="003D1C36"/>
    <w:rsid w:val="003F0D2D"/>
    <w:rsid w:val="0040705E"/>
    <w:rsid w:val="00443FF7"/>
    <w:rsid w:val="00482992"/>
    <w:rsid w:val="0048725D"/>
    <w:rsid w:val="004A147F"/>
    <w:rsid w:val="004F6A5B"/>
    <w:rsid w:val="0051515D"/>
    <w:rsid w:val="00532679"/>
    <w:rsid w:val="00535A8E"/>
    <w:rsid w:val="00587786"/>
    <w:rsid w:val="005C3CE3"/>
    <w:rsid w:val="005D258F"/>
    <w:rsid w:val="005E6606"/>
    <w:rsid w:val="006068C9"/>
    <w:rsid w:val="00633E05"/>
    <w:rsid w:val="006A35B1"/>
    <w:rsid w:val="006C6649"/>
    <w:rsid w:val="006D1109"/>
    <w:rsid w:val="006D1F2B"/>
    <w:rsid w:val="00772C2B"/>
    <w:rsid w:val="007858E5"/>
    <w:rsid w:val="007972A3"/>
    <w:rsid w:val="007D1B00"/>
    <w:rsid w:val="007E31C3"/>
    <w:rsid w:val="008013A6"/>
    <w:rsid w:val="008123B8"/>
    <w:rsid w:val="00817315"/>
    <w:rsid w:val="008429D3"/>
    <w:rsid w:val="008E4355"/>
    <w:rsid w:val="00921FF1"/>
    <w:rsid w:val="009348C7"/>
    <w:rsid w:val="009403A3"/>
    <w:rsid w:val="00944FAF"/>
    <w:rsid w:val="009733DF"/>
    <w:rsid w:val="009A314E"/>
    <w:rsid w:val="009A74F3"/>
    <w:rsid w:val="00A059BC"/>
    <w:rsid w:val="00A5482C"/>
    <w:rsid w:val="00A9302B"/>
    <w:rsid w:val="00AB0486"/>
    <w:rsid w:val="00B631FE"/>
    <w:rsid w:val="00B811A8"/>
    <w:rsid w:val="00BB0F86"/>
    <w:rsid w:val="00BB1C92"/>
    <w:rsid w:val="00BC2CCA"/>
    <w:rsid w:val="00C26D83"/>
    <w:rsid w:val="00C34146"/>
    <w:rsid w:val="00C55703"/>
    <w:rsid w:val="00CA02E6"/>
    <w:rsid w:val="00CC30B3"/>
    <w:rsid w:val="00CD54DD"/>
    <w:rsid w:val="00CF41EF"/>
    <w:rsid w:val="00D066B5"/>
    <w:rsid w:val="00D12589"/>
    <w:rsid w:val="00D14245"/>
    <w:rsid w:val="00D16A4F"/>
    <w:rsid w:val="00D408AB"/>
    <w:rsid w:val="00D62928"/>
    <w:rsid w:val="00D87934"/>
    <w:rsid w:val="00D90368"/>
    <w:rsid w:val="00DC0D2C"/>
    <w:rsid w:val="00DC28DE"/>
    <w:rsid w:val="00DD4BD5"/>
    <w:rsid w:val="00E0107B"/>
    <w:rsid w:val="00E03B93"/>
    <w:rsid w:val="00E3318D"/>
    <w:rsid w:val="00E474DB"/>
    <w:rsid w:val="00E546C7"/>
    <w:rsid w:val="00E60B75"/>
    <w:rsid w:val="00E75000"/>
    <w:rsid w:val="00EB3E3C"/>
    <w:rsid w:val="00ED2E6D"/>
    <w:rsid w:val="00EF4AF5"/>
    <w:rsid w:val="00F10F86"/>
    <w:rsid w:val="00F717E2"/>
    <w:rsid w:val="00FC0D4B"/>
    <w:rsid w:val="00FD1CF3"/>
    <w:rsid w:val="00FD28FA"/>
    <w:rsid w:val="00FE334D"/>
    <w:rsid w:val="00FF1A86"/>
    <w:rsid w:val="00FF20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9F639"/>
  <w15:chartTrackingRefBased/>
  <w15:docId w15:val="{33F28144-34C3-40A7-B1C0-E5FF14167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ascii="Arial" w:hAnsi="Arial"/>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D408AB"/>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Fontepargpadro"/>
    <w:uiPriority w:val="99"/>
    <w:unhideWhenUsed/>
    <w:rsid w:val="008429D3"/>
    <w:rPr>
      <w:color w:val="0563C1" w:themeColor="hyperlink"/>
      <w:u w:val="single"/>
    </w:rPr>
  </w:style>
  <w:style w:type="character" w:customStyle="1" w:styleId="MenoPendente1">
    <w:name w:val="Menção Pendente1"/>
    <w:basedOn w:val="Fontepargpadro"/>
    <w:uiPriority w:val="99"/>
    <w:semiHidden/>
    <w:unhideWhenUsed/>
    <w:rsid w:val="008429D3"/>
    <w:rPr>
      <w:color w:val="605E5C"/>
      <w:shd w:val="clear" w:color="auto" w:fill="E1DFDD"/>
    </w:rPr>
  </w:style>
  <w:style w:type="paragraph" w:styleId="Textodenotaderodap">
    <w:name w:val="footnote text"/>
    <w:basedOn w:val="Normal"/>
    <w:link w:val="TextodenotaderodapChar"/>
    <w:uiPriority w:val="99"/>
    <w:semiHidden/>
    <w:unhideWhenUsed/>
    <w:rsid w:val="006D110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D1109"/>
    <w:rPr>
      <w:sz w:val="20"/>
      <w:szCs w:val="20"/>
    </w:rPr>
  </w:style>
  <w:style w:type="character" w:styleId="Refdenotaderodap">
    <w:name w:val="footnote reference"/>
    <w:basedOn w:val="Fontepargpadro"/>
    <w:uiPriority w:val="99"/>
    <w:semiHidden/>
    <w:unhideWhenUsed/>
    <w:rsid w:val="006D1109"/>
    <w:rPr>
      <w:vertAlign w:val="superscript"/>
    </w:rPr>
  </w:style>
  <w:style w:type="paragraph" w:styleId="Textodebalo">
    <w:name w:val="Balloon Text"/>
    <w:basedOn w:val="Normal"/>
    <w:link w:val="TextodebaloChar"/>
    <w:uiPriority w:val="99"/>
    <w:semiHidden/>
    <w:unhideWhenUsed/>
    <w:rsid w:val="009348C7"/>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348C7"/>
    <w:rPr>
      <w:rFonts w:ascii="Segoe UI" w:hAnsi="Segoe UI" w:cs="Segoe UI"/>
      <w:sz w:val="18"/>
      <w:szCs w:val="18"/>
    </w:rPr>
  </w:style>
  <w:style w:type="paragraph" w:styleId="Cabealho">
    <w:name w:val="header"/>
    <w:basedOn w:val="Normal"/>
    <w:link w:val="CabealhoChar"/>
    <w:uiPriority w:val="99"/>
    <w:unhideWhenUsed/>
    <w:rsid w:val="003D1C3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D1C36"/>
  </w:style>
  <w:style w:type="paragraph" w:styleId="Rodap">
    <w:name w:val="footer"/>
    <w:basedOn w:val="Normal"/>
    <w:link w:val="RodapChar"/>
    <w:uiPriority w:val="99"/>
    <w:unhideWhenUsed/>
    <w:rsid w:val="003D1C36"/>
    <w:pPr>
      <w:tabs>
        <w:tab w:val="center" w:pos="4252"/>
        <w:tab w:val="right" w:pos="8504"/>
      </w:tabs>
      <w:spacing w:after="0" w:line="240" w:lineRule="auto"/>
    </w:pPr>
  </w:style>
  <w:style w:type="character" w:customStyle="1" w:styleId="RodapChar">
    <w:name w:val="Rodapé Char"/>
    <w:basedOn w:val="Fontepargpadro"/>
    <w:link w:val="Rodap"/>
    <w:uiPriority w:val="99"/>
    <w:rsid w:val="003D1C36"/>
  </w:style>
  <w:style w:type="character" w:styleId="TextodoEspaoReservado">
    <w:name w:val="Placeholder Text"/>
    <w:basedOn w:val="Fontepargpadro"/>
    <w:uiPriority w:val="99"/>
    <w:semiHidden/>
    <w:rsid w:val="001E281E"/>
    <w:rPr>
      <w:color w:val="666666"/>
    </w:rPr>
  </w:style>
  <w:style w:type="paragraph" w:customStyle="1" w:styleId="Normal1">
    <w:name w:val="Normal1"/>
    <w:rsid w:val="00443FF7"/>
    <w:pPr>
      <w:spacing w:after="0"/>
    </w:pPr>
    <w:rPr>
      <w:rFonts w:ascii="Arial" w:eastAsia="Calibri" w:hAnsi="Arial" w:cs="Calibri"/>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AB4E13B7FEE45519BF4A988F7731ADC"/>
        <w:category>
          <w:name w:val="Geral"/>
          <w:gallery w:val="placeholder"/>
        </w:category>
        <w:types>
          <w:type w:val="bbPlcHdr"/>
        </w:types>
        <w:behaviors>
          <w:behavior w:val="content"/>
        </w:behaviors>
        <w:guid w:val="{8A7FB5AE-4E66-405E-92BA-6F37CAD1239F}"/>
      </w:docPartPr>
      <w:docPartBody>
        <w:p w:rsidR="008B3EAE" w:rsidRDefault="008B3EAE" w:rsidP="008B3EAE">
          <w:pPr>
            <w:pStyle w:val="AAB4E13B7FEE45519BF4A988F7731ADC"/>
          </w:pPr>
          <w:r w:rsidRPr="005C01D2">
            <w:rPr>
              <w:rStyle w:val="TextodoEspaoReservado"/>
            </w:rPr>
            <w:t>Clique ou toque aqui para inserir o texto.</w:t>
          </w:r>
        </w:p>
      </w:docPartBody>
    </w:docPart>
    <w:docPart>
      <w:docPartPr>
        <w:name w:val="76477FCB7DA441DCA0E0FD3961BBF1DD"/>
        <w:category>
          <w:name w:val="Geral"/>
          <w:gallery w:val="placeholder"/>
        </w:category>
        <w:types>
          <w:type w:val="bbPlcHdr"/>
        </w:types>
        <w:behaviors>
          <w:behavior w:val="content"/>
        </w:behaviors>
        <w:guid w:val="{BB5DAA86-B983-4913-B049-E91D16552AE2}"/>
      </w:docPartPr>
      <w:docPartBody>
        <w:p w:rsidR="00530655" w:rsidRDefault="00530655" w:rsidP="00530655">
          <w:pPr>
            <w:pStyle w:val="76477FCB7DA441DCA0E0FD3961BBF1DD"/>
          </w:pPr>
          <w:r w:rsidRPr="005C01D2">
            <w:rPr>
              <w:rStyle w:val="TextodoEspaoReservado"/>
            </w:rPr>
            <w:t>Clique ou toque aqui para inserir o texto.</w:t>
          </w:r>
        </w:p>
      </w:docPartBody>
    </w:docPart>
    <w:docPart>
      <w:docPartPr>
        <w:name w:val="F0690AB604DE46298463A3A5303758B1"/>
        <w:category>
          <w:name w:val="Geral"/>
          <w:gallery w:val="placeholder"/>
        </w:category>
        <w:types>
          <w:type w:val="bbPlcHdr"/>
        </w:types>
        <w:behaviors>
          <w:behavior w:val="content"/>
        </w:behaviors>
        <w:guid w:val="{3AF76859-71C0-43C8-9251-107AECA2F9F3}"/>
      </w:docPartPr>
      <w:docPartBody>
        <w:p w:rsidR="00530655" w:rsidRDefault="00530655" w:rsidP="00530655">
          <w:pPr>
            <w:pStyle w:val="F0690AB604DE46298463A3A5303758B1"/>
          </w:pPr>
          <w:r w:rsidRPr="005C01D2">
            <w:rPr>
              <w:rStyle w:val="TextodoEspaoReservado"/>
            </w:rPr>
            <w:t>Clique ou toque aqui para inserir o texto.</w:t>
          </w:r>
        </w:p>
      </w:docPartBody>
    </w:docPart>
    <w:docPart>
      <w:docPartPr>
        <w:name w:val="70EA5AA7AEA5491A88CE7A22FFB826C6"/>
        <w:category>
          <w:name w:val="Geral"/>
          <w:gallery w:val="placeholder"/>
        </w:category>
        <w:types>
          <w:type w:val="bbPlcHdr"/>
        </w:types>
        <w:behaviors>
          <w:behavior w:val="content"/>
        </w:behaviors>
        <w:guid w:val="{134EF9A0-6161-4CA0-80CD-7F9F7AEADD9D}"/>
      </w:docPartPr>
      <w:docPartBody>
        <w:p w:rsidR="00530655" w:rsidRDefault="00530655" w:rsidP="00530655">
          <w:pPr>
            <w:pStyle w:val="70EA5AA7AEA5491A88CE7A22FFB826C6"/>
          </w:pPr>
          <w:r w:rsidRPr="005C01D2">
            <w:rPr>
              <w:rStyle w:val="TextodoEspaoReservado"/>
            </w:rPr>
            <w:t>Clique ou toque aqui para inserir o texto.</w:t>
          </w:r>
        </w:p>
      </w:docPartBody>
    </w:docPart>
    <w:docPart>
      <w:docPartPr>
        <w:name w:val="886853CAFC1843B7943F62B48F047A0C"/>
        <w:category>
          <w:name w:val="Geral"/>
          <w:gallery w:val="placeholder"/>
        </w:category>
        <w:types>
          <w:type w:val="bbPlcHdr"/>
        </w:types>
        <w:behaviors>
          <w:behavior w:val="content"/>
        </w:behaviors>
        <w:guid w:val="{E74710C9-0DCB-4AF6-8D26-EFF348A9FB19}"/>
      </w:docPartPr>
      <w:docPartBody>
        <w:p w:rsidR="00530655" w:rsidRDefault="00530655" w:rsidP="00530655">
          <w:pPr>
            <w:pStyle w:val="886853CAFC1843B7943F62B48F047A0C"/>
          </w:pPr>
          <w:r w:rsidRPr="005C01D2">
            <w:rPr>
              <w:rStyle w:val="TextodoEspaoReservado"/>
            </w:rPr>
            <w:t>Clique ou toque aqui para inserir o texto.</w:t>
          </w:r>
        </w:p>
      </w:docPartBody>
    </w:docPart>
    <w:docPart>
      <w:docPartPr>
        <w:name w:val="FA6B02CEB0D740C597806B1A0C95340B"/>
        <w:category>
          <w:name w:val="Geral"/>
          <w:gallery w:val="placeholder"/>
        </w:category>
        <w:types>
          <w:type w:val="bbPlcHdr"/>
        </w:types>
        <w:behaviors>
          <w:behavior w:val="content"/>
        </w:behaviors>
        <w:guid w:val="{883A3635-D96C-4843-8724-E924339B398A}"/>
      </w:docPartPr>
      <w:docPartBody>
        <w:p w:rsidR="00530655" w:rsidRDefault="00530655" w:rsidP="00530655">
          <w:pPr>
            <w:pStyle w:val="FA6B02CEB0D740C597806B1A0C95340B"/>
          </w:pPr>
          <w:r w:rsidRPr="005C01D2">
            <w:rPr>
              <w:rStyle w:val="TextodoEspaoReservado"/>
            </w:rPr>
            <w:t>Clique ou toque aqui para inserir o texto.</w:t>
          </w:r>
        </w:p>
      </w:docPartBody>
    </w:docPart>
    <w:docPart>
      <w:docPartPr>
        <w:name w:val="B59DF6620EE64DEEAEF9C154C2BC97C6"/>
        <w:category>
          <w:name w:val="Geral"/>
          <w:gallery w:val="placeholder"/>
        </w:category>
        <w:types>
          <w:type w:val="bbPlcHdr"/>
        </w:types>
        <w:behaviors>
          <w:behavior w:val="content"/>
        </w:behaviors>
        <w:guid w:val="{A6E8BC16-5B86-4C14-9A5C-43BEAFE8B9A9}"/>
      </w:docPartPr>
      <w:docPartBody>
        <w:p w:rsidR="00530655" w:rsidRDefault="00530655" w:rsidP="00530655">
          <w:pPr>
            <w:pStyle w:val="B59DF6620EE64DEEAEF9C154C2BC97C6"/>
          </w:pPr>
          <w:r w:rsidRPr="005C01D2">
            <w:rPr>
              <w:rStyle w:val="TextodoEspaoReservado"/>
            </w:rPr>
            <w:t>Clique ou toque aqui para inserir o texto.</w:t>
          </w:r>
        </w:p>
      </w:docPartBody>
    </w:docPart>
    <w:docPart>
      <w:docPartPr>
        <w:name w:val="C57D42346F564A8090EF178493056DC1"/>
        <w:category>
          <w:name w:val="Geral"/>
          <w:gallery w:val="placeholder"/>
        </w:category>
        <w:types>
          <w:type w:val="bbPlcHdr"/>
        </w:types>
        <w:behaviors>
          <w:behavior w:val="content"/>
        </w:behaviors>
        <w:guid w:val="{248E7B4E-7F85-4C90-B4F4-AEBBF7FF5168}"/>
      </w:docPartPr>
      <w:docPartBody>
        <w:p w:rsidR="00530655" w:rsidRDefault="00530655" w:rsidP="00530655">
          <w:pPr>
            <w:pStyle w:val="C57D42346F564A8090EF178493056DC1"/>
          </w:pPr>
          <w:r w:rsidRPr="005C01D2">
            <w:rPr>
              <w:rStyle w:val="TextodoEspaoReservado"/>
            </w:rPr>
            <w:t>Clique ou toque aqui para inserir o texto.</w:t>
          </w:r>
        </w:p>
      </w:docPartBody>
    </w:docPart>
    <w:docPart>
      <w:docPartPr>
        <w:name w:val="49224BB167434D2B897862C6787D5F8B"/>
        <w:category>
          <w:name w:val="Geral"/>
          <w:gallery w:val="placeholder"/>
        </w:category>
        <w:types>
          <w:type w:val="bbPlcHdr"/>
        </w:types>
        <w:behaviors>
          <w:behavior w:val="content"/>
        </w:behaviors>
        <w:guid w:val="{EAE9A27D-AC9A-458F-92B6-54E1D232D5D5}"/>
      </w:docPartPr>
      <w:docPartBody>
        <w:p w:rsidR="00530655" w:rsidRDefault="00530655" w:rsidP="00530655">
          <w:pPr>
            <w:pStyle w:val="49224BB167434D2B897862C6787D5F8B"/>
          </w:pPr>
          <w:r w:rsidRPr="005C01D2">
            <w:rPr>
              <w:rStyle w:val="TextodoEspaoReservado"/>
            </w:rPr>
            <w:t>Clique ou toque aqui para inserir o texto.</w:t>
          </w:r>
        </w:p>
      </w:docPartBody>
    </w:docPart>
    <w:docPart>
      <w:docPartPr>
        <w:name w:val="551D6A63219C4E8E934B1E83CB50431D"/>
        <w:category>
          <w:name w:val="Geral"/>
          <w:gallery w:val="placeholder"/>
        </w:category>
        <w:types>
          <w:type w:val="bbPlcHdr"/>
        </w:types>
        <w:behaviors>
          <w:behavior w:val="content"/>
        </w:behaviors>
        <w:guid w:val="{873AC26B-67ED-4367-8FAC-49ED997B5290}"/>
      </w:docPartPr>
      <w:docPartBody>
        <w:p w:rsidR="00530655" w:rsidRDefault="00530655" w:rsidP="00530655">
          <w:pPr>
            <w:pStyle w:val="551D6A63219C4E8E934B1E83CB50431D"/>
          </w:pPr>
          <w:r w:rsidRPr="005C01D2">
            <w:rPr>
              <w:rStyle w:val="TextodoEspaoReservado"/>
            </w:rPr>
            <w:t>Clique ou toque aqui para inserir o texto.</w:t>
          </w:r>
        </w:p>
      </w:docPartBody>
    </w:docPart>
    <w:docPart>
      <w:docPartPr>
        <w:name w:val="654706CE465C46E89F82835A1BD0BE74"/>
        <w:category>
          <w:name w:val="Geral"/>
          <w:gallery w:val="placeholder"/>
        </w:category>
        <w:types>
          <w:type w:val="bbPlcHdr"/>
        </w:types>
        <w:behaviors>
          <w:behavior w:val="content"/>
        </w:behaviors>
        <w:guid w:val="{6DCA2B72-F1FB-4379-9A33-A3B9826DC530}"/>
      </w:docPartPr>
      <w:docPartBody>
        <w:p w:rsidR="00530655" w:rsidRDefault="00530655" w:rsidP="00530655">
          <w:pPr>
            <w:pStyle w:val="654706CE465C46E89F82835A1BD0BE74"/>
          </w:pPr>
          <w:r w:rsidRPr="005C01D2">
            <w:rPr>
              <w:rStyle w:val="TextodoEspaoReservado"/>
            </w:rPr>
            <w:t>Clique ou toque aqui para inserir o texto.</w:t>
          </w:r>
        </w:p>
      </w:docPartBody>
    </w:docPart>
    <w:docPart>
      <w:docPartPr>
        <w:name w:val="488CFEFD6D8940A089A9FBBE5AE5963A"/>
        <w:category>
          <w:name w:val="Geral"/>
          <w:gallery w:val="placeholder"/>
        </w:category>
        <w:types>
          <w:type w:val="bbPlcHdr"/>
        </w:types>
        <w:behaviors>
          <w:behavior w:val="content"/>
        </w:behaviors>
        <w:guid w:val="{872C3BB3-C83D-445B-804E-B8BA87EA9320}"/>
      </w:docPartPr>
      <w:docPartBody>
        <w:p w:rsidR="00530655" w:rsidRDefault="00530655" w:rsidP="00530655">
          <w:pPr>
            <w:pStyle w:val="488CFEFD6D8940A089A9FBBE5AE5963A"/>
          </w:pPr>
          <w:r w:rsidRPr="005C01D2">
            <w:rPr>
              <w:rStyle w:val="TextodoEspaoReservado"/>
            </w:rPr>
            <w:t>Clique ou toque aqui para inserir o texto.</w:t>
          </w:r>
        </w:p>
      </w:docPartBody>
    </w:docPart>
    <w:docPart>
      <w:docPartPr>
        <w:name w:val="B8FD47F9B6194C01AF3804BD6BF94FD4"/>
        <w:category>
          <w:name w:val="Geral"/>
          <w:gallery w:val="placeholder"/>
        </w:category>
        <w:types>
          <w:type w:val="bbPlcHdr"/>
        </w:types>
        <w:behaviors>
          <w:behavior w:val="content"/>
        </w:behaviors>
        <w:guid w:val="{4F90416A-ED69-4DD8-9CC2-20D7FB65879F}"/>
      </w:docPartPr>
      <w:docPartBody>
        <w:p w:rsidR="00530655" w:rsidRDefault="00530655" w:rsidP="00530655">
          <w:pPr>
            <w:pStyle w:val="B8FD47F9B6194C01AF3804BD6BF94FD4"/>
          </w:pPr>
          <w:r w:rsidRPr="005C01D2">
            <w:rPr>
              <w:rStyle w:val="TextodoEspaoReservado"/>
            </w:rPr>
            <w:t>Clique ou toque aqui para inserir o texto.</w:t>
          </w:r>
        </w:p>
      </w:docPartBody>
    </w:docPart>
    <w:docPart>
      <w:docPartPr>
        <w:name w:val="2402059BB9054CDBA0BC39EB39861DDF"/>
        <w:category>
          <w:name w:val="Geral"/>
          <w:gallery w:val="placeholder"/>
        </w:category>
        <w:types>
          <w:type w:val="bbPlcHdr"/>
        </w:types>
        <w:behaviors>
          <w:behavior w:val="content"/>
        </w:behaviors>
        <w:guid w:val="{8CED4086-E96E-44EB-9395-6899A5201476}"/>
      </w:docPartPr>
      <w:docPartBody>
        <w:p w:rsidR="00530655" w:rsidRDefault="00530655" w:rsidP="00530655">
          <w:pPr>
            <w:pStyle w:val="2402059BB9054CDBA0BC39EB39861DDF"/>
          </w:pPr>
          <w:r w:rsidRPr="005C01D2">
            <w:rPr>
              <w:rStyle w:val="TextodoEspaoReservado"/>
            </w:rPr>
            <w:t>Clique ou toque aqui para inserir o texto.</w:t>
          </w:r>
        </w:p>
      </w:docPartBody>
    </w:docPart>
    <w:docPart>
      <w:docPartPr>
        <w:name w:val="A3171B37F4A14730819C99F862494448"/>
        <w:category>
          <w:name w:val="Geral"/>
          <w:gallery w:val="placeholder"/>
        </w:category>
        <w:types>
          <w:type w:val="bbPlcHdr"/>
        </w:types>
        <w:behaviors>
          <w:behavior w:val="content"/>
        </w:behaviors>
        <w:guid w:val="{97304628-68D5-4804-9720-0046C542528C}"/>
      </w:docPartPr>
      <w:docPartBody>
        <w:p w:rsidR="00530655" w:rsidRDefault="00530655" w:rsidP="00530655">
          <w:pPr>
            <w:pStyle w:val="A3171B37F4A14730819C99F862494448"/>
          </w:pPr>
          <w:r w:rsidRPr="005C01D2">
            <w:rPr>
              <w:rStyle w:val="TextodoEspaoReservado"/>
            </w:rPr>
            <w:t>Clique ou toque aqui para inserir o texto.</w:t>
          </w:r>
        </w:p>
      </w:docPartBody>
    </w:docPart>
    <w:docPart>
      <w:docPartPr>
        <w:name w:val="57E2EF16CFD444B68294A80839AC97AE"/>
        <w:category>
          <w:name w:val="Geral"/>
          <w:gallery w:val="placeholder"/>
        </w:category>
        <w:types>
          <w:type w:val="bbPlcHdr"/>
        </w:types>
        <w:behaviors>
          <w:behavior w:val="content"/>
        </w:behaviors>
        <w:guid w:val="{EB0E8ABE-A848-46D9-B573-7A5BCE6F2CDC}"/>
      </w:docPartPr>
      <w:docPartBody>
        <w:p w:rsidR="00530655" w:rsidRDefault="00530655" w:rsidP="00530655">
          <w:pPr>
            <w:pStyle w:val="57E2EF16CFD444B68294A80839AC97AE"/>
          </w:pPr>
          <w:r w:rsidRPr="005C01D2">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EAE"/>
    <w:rsid w:val="00065E58"/>
    <w:rsid w:val="00530655"/>
    <w:rsid w:val="006A35B1"/>
    <w:rsid w:val="00772C2B"/>
    <w:rsid w:val="008B3EAE"/>
    <w:rsid w:val="00C26D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30655"/>
    <w:rPr>
      <w:color w:val="666666"/>
    </w:rPr>
  </w:style>
  <w:style w:type="paragraph" w:customStyle="1" w:styleId="AAB4E13B7FEE45519BF4A988F7731ADC">
    <w:name w:val="AAB4E13B7FEE45519BF4A988F7731ADC"/>
    <w:rsid w:val="008B3EAE"/>
  </w:style>
  <w:style w:type="paragraph" w:customStyle="1" w:styleId="76477FCB7DA441DCA0E0FD3961BBF1DD">
    <w:name w:val="76477FCB7DA441DCA0E0FD3961BBF1DD"/>
    <w:rsid w:val="00530655"/>
  </w:style>
  <w:style w:type="paragraph" w:customStyle="1" w:styleId="F0690AB604DE46298463A3A5303758B1">
    <w:name w:val="F0690AB604DE46298463A3A5303758B1"/>
    <w:rsid w:val="00530655"/>
  </w:style>
  <w:style w:type="paragraph" w:customStyle="1" w:styleId="70EA5AA7AEA5491A88CE7A22FFB826C6">
    <w:name w:val="70EA5AA7AEA5491A88CE7A22FFB826C6"/>
    <w:rsid w:val="00530655"/>
  </w:style>
  <w:style w:type="paragraph" w:customStyle="1" w:styleId="886853CAFC1843B7943F62B48F047A0C">
    <w:name w:val="886853CAFC1843B7943F62B48F047A0C"/>
    <w:rsid w:val="00530655"/>
  </w:style>
  <w:style w:type="paragraph" w:customStyle="1" w:styleId="FA6B02CEB0D740C597806B1A0C95340B">
    <w:name w:val="FA6B02CEB0D740C597806B1A0C95340B"/>
    <w:rsid w:val="00530655"/>
  </w:style>
  <w:style w:type="paragraph" w:customStyle="1" w:styleId="B59DF6620EE64DEEAEF9C154C2BC97C6">
    <w:name w:val="B59DF6620EE64DEEAEF9C154C2BC97C6"/>
    <w:rsid w:val="00530655"/>
  </w:style>
  <w:style w:type="paragraph" w:customStyle="1" w:styleId="C57D42346F564A8090EF178493056DC1">
    <w:name w:val="C57D42346F564A8090EF178493056DC1"/>
    <w:rsid w:val="00530655"/>
  </w:style>
  <w:style w:type="paragraph" w:customStyle="1" w:styleId="49224BB167434D2B897862C6787D5F8B">
    <w:name w:val="49224BB167434D2B897862C6787D5F8B"/>
    <w:rsid w:val="00530655"/>
  </w:style>
  <w:style w:type="paragraph" w:customStyle="1" w:styleId="551D6A63219C4E8E934B1E83CB50431D">
    <w:name w:val="551D6A63219C4E8E934B1E83CB50431D"/>
    <w:rsid w:val="00530655"/>
  </w:style>
  <w:style w:type="paragraph" w:customStyle="1" w:styleId="654706CE465C46E89F82835A1BD0BE74">
    <w:name w:val="654706CE465C46E89F82835A1BD0BE74"/>
    <w:rsid w:val="00530655"/>
  </w:style>
  <w:style w:type="paragraph" w:customStyle="1" w:styleId="488CFEFD6D8940A089A9FBBE5AE5963A">
    <w:name w:val="488CFEFD6D8940A089A9FBBE5AE5963A"/>
    <w:rsid w:val="00530655"/>
  </w:style>
  <w:style w:type="paragraph" w:customStyle="1" w:styleId="B8FD47F9B6194C01AF3804BD6BF94FD4">
    <w:name w:val="B8FD47F9B6194C01AF3804BD6BF94FD4"/>
    <w:rsid w:val="00530655"/>
  </w:style>
  <w:style w:type="paragraph" w:customStyle="1" w:styleId="2402059BB9054CDBA0BC39EB39861DDF">
    <w:name w:val="2402059BB9054CDBA0BC39EB39861DDF"/>
    <w:rsid w:val="00530655"/>
  </w:style>
  <w:style w:type="paragraph" w:customStyle="1" w:styleId="A3171B37F4A14730819C99F862494448">
    <w:name w:val="A3171B37F4A14730819C99F862494448"/>
    <w:rsid w:val="00530655"/>
  </w:style>
  <w:style w:type="paragraph" w:customStyle="1" w:styleId="57E2EF16CFD444B68294A80839AC97AE">
    <w:name w:val="57E2EF16CFD444B68294A80839AC97AE"/>
    <w:rsid w:val="005306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75B1E-637F-4BE3-9BEC-4471D344B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717</Words>
  <Characters>3875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OpenTelemetry na observabilidade de aplicações distribuídas em Kubernetes: integração de métricas, logs e rastros</dc:title>
  <dc:subject>Artigo científico de revisão bibliográfica sobre OpenTelemetry e observabilidade em Kubernetes</dc:subject>
  <dc:creator>Danrlei do Nascimento Souza</dc:creator>
  <cp:keywords>ANV@Unifacvest</cp:keywords>
  <dc:description/>
  <cp:lastModifiedBy>Marinalva Viana Starepravo</cp:lastModifiedBy>
  <cp:revision>2</cp:revision>
  <cp:lastPrinted>2025-04-10T13:01:00Z</cp:lastPrinted>
  <dcterms:created xsi:type="dcterms:W3CDTF">2025-09-12T18:01:00Z</dcterms:created>
  <dcterms:modified xsi:type="dcterms:W3CDTF">2025-09-12T18:01:00Z</dcterms:modified>
</cp:coreProperties>
</file>