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Fonts w:ascii="Times" w:cs="Times" w:eastAsia="Times" w:hAnsi="Times"/>
          <w:sz w:val="24"/>
          <w:szCs w:val="24"/>
        </w:rPr>
        <w:drawing>
          <wp:inline distB="0" distT="0" distL="0" distR="0">
            <wp:extent cx="1554480" cy="457200"/>
            <wp:effectExtent b="0" l="0" r="0" t="0"/>
            <wp:docPr descr="C:\Users\cmoreil\Desktop\eddie.jpg" id="301" name="image2.jpg"/>
            <a:graphic>
              <a:graphicData uri="http://schemas.openxmlformats.org/drawingml/2006/picture">
                <pic:pic>
                  <pic:nvPicPr>
                    <pic:cNvPr descr="C:\Users\cmoreil\Desktop\eddie.jpg" id="0" name="image2.jpg"/>
                    <pic:cNvPicPr preferRelativeResize="0"/>
                  </pic:nvPicPr>
                  <pic:blipFill>
                    <a:blip r:embed="rId7"/>
                    <a:srcRect b="10383" l="0" r="0" t="0"/>
                    <a:stretch>
                      <a:fillRect/>
                    </a:stretch>
                  </pic:blipFill>
                  <pic:spPr>
                    <a:xfrm>
                      <a:off x="0" y="0"/>
                      <a:ext cx="1554480" cy="45720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0" distT="0" distL="0" distR="0">
            <wp:extent cx="630936" cy="457200"/>
            <wp:effectExtent b="0" l="0" r="0" t="0"/>
            <wp:docPr descr="C:\Users\cmoreil\AppData\Local\Temp\NAGT1.jpg" id="303" name="image3.jpg"/>
            <a:graphic>
              <a:graphicData uri="http://schemas.openxmlformats.org/drawingml/2006/picture">
                <pic:pic>
                  <pic:nvPicPr>
                    <pic:cNvPr descr="C:\Users\cmoreil\AppData\Local\Temp\NAGT1.jpg" id="0" name="image3.jpg"/>
                    <pic:cNvPicPr preferRelativeResize="0"/>
                  </pic:nvPicPr>
                  <pic:blipFill>
                    <a:blip r:embed="rId8"/>
                    <a:srcRect b="0" l="0" r="0" t="0"/>
                    <a:stretch>
                      <a:fillRect/>
                    </a:stretch>
                  </pic:blipFill>
                  <pic:spPr>
                    <a:xfrm>
                      <a:off x="0" y="0"/>
                      <a:ext cx="630936" cy="45720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0" distT="0" distL="0" distR="0">
            <wp:extent cx="457200" cy="457200"/>
            <wp:effectExtent b="0" l="0" r="0" t="0"/>
            <wp:docPr descr="http://www.nsf.gov/images/logos/nsf4.jpg" id="302" name="image4.jpg"/>
            <a:graphic>
              <a:graphicData uri="http://schemas.openxmlformats.org/drawingml/2006/picture">
                <pic:pic>
                  <pic:nvPicPr>
                    <pic:cNvPr descr="http://www.nsf.gov/images/logos/nsf4.jpg" id="0" name="image4.jpg"/>
                    <pic:cNvPicPr preferRelativeResize="0"/>
                  </pic:nvPicPr>
                  <pic:blipFill>
                    <a:blip r:embed="rId9"/>
                    <a:srcRect b="0" l="0" r="0" t="0"/>
                    <a:stretch>
                      <a:fillRect/>
                    </a:stretch>
                  </pic:blipFill>
                  <pic:spPr>
                    <a:xfrm>
                      <a:off x="0" y="0"/>
                      <a:ext cx="457200" cy="457200"/>
                    </a:xfrm>
                    <a:prstGeom prst="rect"/>
                    <a:ln/>
                  </pic:spPr>
                </pic:pic>
              </a:graphicData>
            </a:graphic>
          </wp:inline>
        </w:drawing>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Pr>
        <w:drawing>
          <wp:inline distB="0" distT="0" distL="0" distR="0">
            <wp:extent cx="1865376" cy="457200"/>
            <wp:effectExtent b="0" l="0" r="0" t="0"/>
            <wp:docPr descr="C:\Users\cmoreil\AppData\Local\Temp\ISU seal CeMast_logo 1.jpg" id="304" name="image1.jpg"/>
            <a:graphic>
              <a:graphicData uri="http://schemas.openxmlformats.org/drawingml/2006/picture">
                <pic:pic>
                  <pic:nvPicPr>
                    <pic:cNvPr descr="C:\Users\cmoreil\AppData\Local\Temp\ISU seal CeMast_logo 1.jpg" id="0" name="image1.jpg"/>
                    <pic:cNvPicPr preferRelativeResize="0"/>
                  </pic:nvPicPr>
                  <pic:blipFill>
                    <a:blip r:embed="rId10"/>
                    <a:srcRect b="0" l="0" r="0" t="0"/>
                    <a:stretch>
                      <a:fillRect/>
                    </a:stretch>
                  </pic:blipFill>
                  <pic:spPr>
                    <a:xfrm>
                      <a:off x="0" y="0"/>
                      <a:ext cx="1865376"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3">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4">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5">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6">
      <w:pPr>
        <w:tabs>
          <w:tab w:val="left" w:leader="none" w:pos="4500"/>
          <w:tab w:val="left" w:leader="none" w:pos="6840"/>
        </w:tabs>
        <w:spacing w:after="0" w:line="240" w:lineRule="auto"/>
        <w:jc w:val="center"/>
        <w:rPr>
          <w:rFonts w:ascii="Times" w:cs="Times" w:eastAsia="Times" w:hAnsi="Times"/>
          <w:b w:val="1"/>
          <w:sz w:val="24"/>
          <w:szCs w:val="24"/>
          <w:u w:val="single"/>
        </w:rPr>
      </w:pPr>
      <w:bookmarkStart w:colFirst="0" w:colLast="0" w:name="_heading=h.gjdgxs" w:id="0"/>
      <w:bookmarkEnd w:id="0"/>
      <w:r w:rsidDel="00000000" w:rsidR="00000000" w:rsidRPr="00000000">
        <w:rPr>
          <w:rFonts w:ascii="Times" w:cs="Times" w:eastAsia="Times" w:hAnsi="Times"/>
          <w:b w:val="1"/>
          <w:sz w:val="24"/>
          <w:szCs w:val="24"/>
          <w:rtl w:val="0"/>
        </w:rPr>
        <w:t xml:space="preserve">Project EDDIE: NUTRIENT</w:t>
      </w:r>
      <w:r w:rsidDel="00000000" w:rsidR="00000000" w:rsidRPr="00000000">
        <w:rPr>
          <w:rFonts w:ascii="Times" w:cs="Times" w:eastAsia="Times" w:hAnsi="Times"/>
          <w:sz w:val="24"/>
          <w:szCs w:val="24"/>
          <w:rtl w:val="0"/>
        </w:rPr>
        <w:t xml:space="preserve">S</w:t>
      </w:r>
      <w:r w:rsidDel="00000000" w:rsidR="00000000" w:rsidRPr="00000000">
        <w:rPr>
          <w:rFonts w:ascii="Times" w:cs="Times" w:eastAsia="Times" w:hAnsi="Times"/>
          <w:b w:val="1"/>
          <w:sz w:val="24"/>
          <w:szCs w:val="24"/>
          <w:rtl w:val="0"/>
        </w:rPr>
        <w:t xml:space="preserve"> MONITORING IN THE CHESAPEAKE BAY </w:t>
      </w:r>
      <w:r w:rsidDel="00000000" w:rsidR="00000000" w:rsidRPr="00000000">
        <w:rPr>
          <w:rtl w:val="0"/>
        </w:rPr>
      </w:r>
    </w:p>
    <w:p w:rsidR="00000000" w:rsidDel="00000000" w:rsidP="00000000" w:rsidRDefault="00000000" w:rsidRPr="00000000" w14:paraId="00000007">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tabs>
          <w:tab w:val="left" w:leader="none" w:pos="4500"/>
          <w:tab w:val="left" w:leader="none" w:pos="6840"/>
        </w:tabs>
        <w:spacing w:after="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Student Handout</w:t>
      </w:r>
    </w:p>
    <w:p w:rsidR="00000000" w:rsidDel="00000000" w:rsidP="00000000" w:rsidRDefault="00000000" w:rsidRPr="00000000" w14:paraId="00000009">
      <w:pPr>
        <w:tabs>
          <w:tab w:val="left" w:leader="none" w:pos="4500"/>
          <w:tab w:val="left" w:leader="none" w:pos="6840"/>
        </w:tabs>
        <w:spacing w:after="0"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A">
      <w:pPr>
        <w:tabs>
          <w:tab w:val="left" w:leader="none" w:pos="4500"/>
          <w:tab w:val="left" w:leader="none" w:pos="6840"/>
        </w:tabs>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0"/>
          <w:szCs w:val="20"/>
          <w:rtl w:val="0"/>
        </w:rPr>
        <w:t xml:space="preserve">This module was initially developed by Oni, A. and Koissi, N. 29 October 2019. Project EDDIE: Nutrients Monitoring in the Chesapeake Bay. Project EDDIE Module 14, Version 1. Module development was supported by NSF DEB 1821567.</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Learning Objectives:</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water impairment and the surrounding issues.</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some of the factors that contribute to water impairment.</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nutrient pollution and surrounding issues.</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effects of nutrient pollution leading to water impairment in the Chesapeake Bay.</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Evaluate the effects of phosphorus concentration in waters of the Chesapeake Bay.</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the effects of natural and anthropogenic fluxes of Phosphorus into the waters of the Chesapeake Bay.</w:t>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effects of concentrations of other types of nutrients into the Bay.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Why this matters:</w:t>
      </w:r>
      <w:r w:rsidDel="00000000" w:rsidR="00000000" w:rsidRPr="00000000">
        <w:rPr>
          <w:rFonts w:ascii="Times New Roman" w:cs="Times New Roman" w:eastAsia="Times New Roman" w:hAnsi="Times New Roman"/>
          <w:sz w:val="24"/>
          <w:szCs w:val="24"/>
          <w:rtl w:val="0"/>
        </w:rPr>
        <w:t xml:space="preserve"> Water impairment occurs when a lake, river, or stream fails to meet specific water quality standards, according to its classification and intended use. The Chesapeake Bay waters receive input from rivers and streams of areas of the Washington D.C, Maryland, Delaware, Virginia, West Virginia, and some part of New York and Pennsylvania. Historically, humongous amounts of water pollution from nutrients discharged from these locations have reportedly occurred in the waters of the Chesapeake Bay region, such that it was included in the list of the “Clean Water Act Section 303(d): Impaired Waters and Total Maximum Daily Loads (TMDLs) compiled by the EPA.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w:cs="Times" w:eastAsia="Times" w:hAnsi="Times"/>
          <w:color w:val="000000"/>
          <w:sz w:val="24"/>
          <w:szCs w:val="24"/>
          <w:u w:val="none"/>
        </w:rPr>
      </w:pPr>
      <w:r w:rsidDel="00000000" w:rsidR="00000000" w:rsidRPr="00000000">
        <w:rPr>
          <w:rFonts w:ascii="Times" w:cs="Times" w:eastAsia="Times" w:hAnsi="Times"/>
          <w:color w:val="000000"/>
          <w:sz w:val="24"/>
          <w:szCs w:val="24"/>
          <w:u w:val="none"/>
          <w:rtl w:val="0"/>
        </w:rPr>
        <w:t xml:space="preserve">Over the years, there have been efforts to reduce input of nutrients and improve water quality. Are these efforts effective? Is the water quality of Chesapeake Bay improving? </w:t>
      </w:r>
      <w:r w:rsidDel="00000000" w:rsidR="00000000" w:rsidRPr="00000000">
        <w:rPr>
          <w:rFonts w:ascii="Times" w:cs="Times" w:eastAsia="Times" w:hAnsi="Times"/>
          <w:sz w:val="24"/>
          <w:szCs w:val="24"/>
          <w:rtl w:val="0"/>
        </w:rPr>
        <w:t xml:space="preserve">According to the Chesapeake Bay Program, established in 1983 to reduce pollution and restore the ecosystem, “Plants and animals need nutrients to survive. But when too many nutrients enter waterways, they fuel the growth of algae blooms and create conditions that are harmful to underwater life.” Source: </w:t>
      </w:r>
      <w:hyperlink r:id="rId11">
        <w:r w:rsidDel="00000000" w:rsidR="00000000" w:rsidRPr="00000000">
          <w:rPr>
            <w:rFonts w:ascii="Times" w:cs="Times" w:eastAsia="Times" w:hAnsi="Times"/>
            <w:color w:val="0000ff"/>
            <w:sz w:val="24"/>
            <w:szCs w:val="24"/>
            <w:u w:val="single"/>
            <w:rtl w:val="0"/>
          </w:rPr>
          <w:t xml:space="preserve">https://www.chesapeakebay.net/issues/nutrients</w:t>
        </w:r>
      </w:hyperlink>
      <w:r w:rsidDel="00000000" w:rsidR="00000000" w:rsidRPr="00000000">
        <w:rPr>
          <w:rFonts w:ascii="Times" w:cs="Times" w:eastAsia="Times" w:hAnsi="Times"/>
          <w:color w:val="0000ff"/>
          <w:sz w:val="24"/>
          <w:szCs w:val="24"/>
          <w:u w:val="single"/>
          <w:rtl w:val="0"/>
        </w:rPr>
        <w:t xml:space="preserve">.</w:t>
      </w:r>
      <w:r w:rsidDel="00000000" w:rsidR="00000000" w:rsidRPr="00000000">
        <w:rPr>
          <w:rtl w:val="0"/>
        </w:rPr>
      </w:r>
    </w:p>
    <w:p w:rsidR="00000000" w:rsidDel="00000000" w:rsidP="00000000" w:rsidRDefault="00000000" w:rsidRPr="00000000" w14:paraId="00000019">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w:cs="Times" w:eastAsia="Times" w:hAnsi="Times"/>
          <w:color w:val="000000"/>
          <w:sz w:val="24"/>
          <w:szCs w:val="24"/>
          <w:u w:val="single"/>
        </w:rPr>
      </w:pPr>
      <w:r w:rsidDel="00000000" w:rsidR="00000000" w:rsidRPr="00000000">
        <w:rPr>
          <w:rFonts w:ascii="Times" w:cs="Times" w:eastAsia="Times" w:hAnsi="Times"/>
          <w:color w:val="000000"/>
          <w:sz w:val="24"/>
          <w:szCs w:val="24"/>
          <w:u w:val="single"/>
          <w:rtl w:val="0"/>
        </w:rPr>
        <w:t xml:space="preserve">Outline:</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PowerPoint Presentation and Discussions on topics related to the subject matter.</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Activity A: Determine the changes in Phosphorus concentrations over time at a chosen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sampling location.</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B: Explore changes in Phosphorus concentrations over time at another sampling location in the dataset. Compare your results with those of Activity A.</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C: Explore other nutrient inflow from other locations.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Activity A: Determine the changes in Phosphorus concentrations over time at a chosen sampling location.</w:t>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this part of the module, do the following:</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your hypotheses with regard to the concentration of Phosphorus entering into the Chesapeake Bay. Remember you already gained background knowledge from the pre-class reading activities.</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water quality data set available at the website of the Chesapeake Bay Program at </w:t>
      </w:r>
      <w:hyperlink r:id="rId12">
        <w:r w:rsidDel="00000000" w:rsidR="00000000" w:rsidRPr="00000000">
          <w:rPr>
            <w:color w:val="1155cc"/>
            <w:sz w:val="24"/>
            <w:szCs w:val="24"/>
            <w:u w:val="single"/>
            <w:rtl w:val="0"/>
          </w:rPr>
          <w:t xml:space="preserve">https://datahub.chesapeakebay.net/WaterQuality</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listed prompts below to select a dataset for Phosphorus: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CBP Water Quality data (1984 -present)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Water Quality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- 10/29/2014 to 10/29/2019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Data Stream – All 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SWM- Shallow Water Monitoring Programs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CMON-Tidal Continuous Water Quality Monitoring Project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Small Watershed (HUC12)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Select Attribute “Potomac River Channel”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Select Parameter “Total Dissolved Phosphorus”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.csv file. You can open this file in Excel and then save it as an Excel workbook file (.xlsx or .xls) on your computer in a location where you may be able to easily locate and access it again.</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columns of data, and not all of these are needed for the graph. To make the graph, you will only need to select the data in the columns labeled SampleDate and MeasureValue. You may wish to clean up the dataset by deleting unwanted column(s), which you can do by highlighting the columns of data you don’t need, and selecting delete. Below are the examples of steps to follow to clean up a dataset:</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columns A – I, delete (as shown on sheet WaterQualityWaterQualityHUC12).</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columns J – S, delete (as shown on sheet clean up).</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columns U – AD, delete (as shown on sheet clean up).</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Sheet Clean data set is the final product.</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scatter plot of Phosphorus concentration over time. Below is an example of the axes: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25400</wp:posOffset>
                </wp:positionV>
                <wp:extent cx="24765" cy="1254125"/>
                <wp:effectExtent b="0" l="0" r="0" t="0"/>
                <wp:wrapNone/>
                <wp:docPr id="296" name=""/>
                <a:graphic>
                  <a:graphicData uri="http://schemas.microsoft.com/office/word/2010/wordprocessingShape">
                    <wps:wsp>
                      <wps:cNvCnPr/>
                      <wps:spPr>
                        <a:xfrm>
                          <a:off x="5338380" y="3157700"/>
                          <a:ext cx="15240" cy="12446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25400</wp:posOffset>
                </wp:positionV>
                <wp:extent cx="24765" cy="1254125"/>
                <wp:effectExtent b="0" l="0" r="0" t="0"/>
                <wp:wrapNone/>
                <wp:docPr id="296"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24765" cy="1254125"/>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101600</wp:posOffset>
                </wp:positionV>
                <wp:extent cx="544830" cy="358140"/>
                <wp:effectExtent b="0" l="0" r="0" t="0"/>
                <wp:wrapNone/>
                <wp:docPr id="294" name=""/>
                <a:graphic>
                  <a:graphicData uri="http://schemas.microsoft.com/office/word/2010/wordprocessingShape">
                    <wps:wsp>
                      <wps:cNvSpPr/>
                      <wps:cNvPr id="5" name="Shape 5"/>
                      <wps:spPr>
                        <a:xfrm>
                          <a:off x="5078348" y="3605693"/>
                          <a:ext cx="535305" cy="34861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101600</wp:posOffset>
                </wp:positionV>
                <wp:extent cx="544830" cy="358140"/>
                <wp:effectExtent b="0" l="0" r="0" t="0"/>
                <wp:wrapNone/>
                <wp:docPr id="29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44830" cy="35814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2006600</wp:posOffset>
                </wp:positionH>
                <wp:positionV relativeFrom="paragraph">
                  <wp:posOffset>170196</wp:posOffset>
                </wp:positionV>
                <wp:extent cx="0" cy="12700"/>
                <wp:effectExtent b="0" l="0" r="0" t="0"/>
                <wp:wrapNone/>
                <wp:docPr id="292" name=""/>
                <a:graphic>
                  <a:graphicData uri="http://schemas.microsoft.com/office/word/2010/wordprocessingShape">
                    <wps:wsp>
                      <wps:cNvCnPr/>
                      <wps:spPr>
                        <a:xfrm rot="10800000">
                          <a:off x="4616385" y="3780000"/>
                          <a:ext cx="145923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2006600</wp:posOffset>
                </wp:positionH>
                <wp:positionV relativeFrom="paragraph">
                  <wp:posOffset>170196</wp:posOffset>
                </wp:positionV>
                <wp:extent cx="0" cy="12700"/>
                <wp:effectExtent b="0" l="0" r="0" t="0"/>
                <wp:wrapNone/>
                <wp:docPr id="29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127000</wp:posOffset>
                </wp:positionV>
                <wp:extent cx="633730" cy="240030"/>
                <wp:effectExtent b="0" l="0" r="0" t="0"/>
                <wp:wrapNone/>
                <wp:docPr id="298" name=""/>
                <a:graphic>
                  <a:graphicData uri="http://schemas.microsoft.com/office/word/2010/wordprocessingShape">
                    <wps:wsp>
                      <wps:cNvSpPr/>
                      <wps:cNvPr id="9" name="Shape 9"/>
                      <wps:spPr>
                        <a:xfrm>
                          <a:off x="5033898" y="3664748"/>
                          <a:ext cx="624205" cy="2305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superscript"/>
                              </w:rPr>
                              <w:t xml:space="preserve">Time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127000</wp:posOffset>
                </wp:positionV>
                <wp:extent cx="633730" cy="240030"/>
                <wp:effectExtent b="0" l="0" r="0" t="0"/>
                <wp:wrapNone/>
                <wp:docPr id="298"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33730" cy="24003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you conduct your analysis, you should first make your predictions (formulate a hypothesis, such as the following):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slope would indicate a changing concentration of Phosphorus?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slope would indicate Phosphorus concentration not changing?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405765" cy="319405"/>
                <wp:effectExtent b="0" l="0" r="0" t="0"/>
                <wp:wrapNone/>
                <wp:docPr id="299" name=""/>
                <a:graphic>
                  <a:graphicData uri="http://schemas.microsoft.com/office/word/2010/wordprocessingShape">
                    <wps:wsp>
                      <wps:cNvSpPr/>
                      <wps:cNvPr id="10" name="Shape 10"/>
                      <wps:spPr>
                        <a:xfrm>
                          <a:off x="5147880" y="3625060"/>
                          <a:ext cx="396240" cy="3098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405765" cy="319405"/>
                <wp:effectExtent b="0" l="0" r="0" t="0"/>
                <wp:wrapNone/>
                <wp:docPr id="299"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405765" cy="319405"/>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sketch line in the axes above to show what the expected slopes would be. Based on the history of the sample location, what may account for the concentration of Phosphorus at this location?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determine the rate of change. Determining rates of change graphically is straight forward. The average rate of change is just the change in concentration divided by the change in time, or change in y divided by the change in x, or the slope of a line that fits through the data. These are all the same thing. Be aware that Excel can calculate the slope of a line very easily. So, to determine the rate of change (slope), add a trend line. When you do this, make sure to select the options to show the equation of the line and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The equation is written in the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 mx +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slope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intercept. The value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rate of change.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R-squared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 resulting from a linear regression analysis, which is the statistical name for what you just did by adding a trend line. It describes the proportion of variation in the dependent variable explained by the independent variable. When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 the data align in a perfectly straight line. As the data become more scattered from the line,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decreases toward 0. Higher R-squared values indicate a stronger relationship between the two variables. Record your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along with your slope.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for the line: </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of Phosphorus concentration change (include units):</w:t>
      </w:r>
    </w:p>
    <w:p w:rsidR="00000000" w:rsidDel="00000000" w:rsidP="00000000" w:rsidRDefault="00000000" w:rsidRPr="00000000" w14:paraId="00000050">
      <w:pPr>
        <w:numPr>
          <w:ilvl w:val="1"/>
          <w:numId w:val="2"/>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your analysis, is Phosphorus concentration changing? How do you know?</w:t>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spacing w:after="0" w:lineRule="auto"/>
        <w:rPr>
          <w:b w:val="1"/>
        </w:rPr>
      </w:pPr>
      <w:r w:rsidDel="00000000" w:rsidR="00000000" w:rsidRPr="00000000">
        <w:rPr>
          <w:rFonts w:ascii="Times New Roman" w:cs="Times New Roman" w:eastAsia="Times New Roman" w:hAnsi="Times New Roman"/>
          <w:b w:val="1"/>
          <w:color w:val="000000"/>
          <w:sz w:val="24"/>
          <w:szCs w:val="24"/>
          <w:u w:val="single"/>
          <w:rtl w:val="0"/>
        </w:rPr>
        <w:t xml:space="preserve">Activity B: Explore changes in Phosphorus concentrations over time at another sampling location in the dataset. Compare your results with those of Activity A: (Do trends in phosphorus concentration differ at different locations?).</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this part of the module, do the following: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your hypotheses with regard to the concentration of Phosphorus entering into this newly chosen location of the Chesapeake Bay. </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water quality data set available at the website of the Chesapeake Bay Program at </w:t>
      </w:r>
      <w:hyperlink r:id="rId18">
        <w:r w:rsidDel="00000000" w:rsidR="00000000" w:rsidRPr="00000000">
          <w:rPr>
            <w:color w:val="1155cc"/>
            <w:sz w:val="24"/>
            <w:szCs w:val="24"/>
            <w:u w:val="single"/>
            <w:rtl w:val="0"/>
          </w:rPr>
          <w:t xml:space="preserve">https://datahub.chesapeakebay.net/WaterQuality</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below listed prompts to select a dataset for Phosphorus: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CBP Water Quality data (1984 -present)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Water Quality Data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- 10/29/2014 to 10/29/2019</w:t>
        <w:br w:type="textWrapping"/>
        <w:t xml:space="preserve">            - All 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SWM- Shallow Water Monitoring Programs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CMON-Tidal Continuous Water Quality Monitoring Project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Small Watershed (HUC12)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Select Attribute “of your choice (different from the first example)”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Select Parameter “Total Dissolved Phosphorus”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.csv file and convert to Excel file by saving as .xls or .xlsx on your computer in a location where you can easy locate and access it again.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dataset and clean up. (Example: remove/delete unwanted row(s) and column(s)). Refer to step (e.) in activity A.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scatter plot of Phosphorus concentration over time.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on the same graph, plot the dataset from Activity A and B.</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trends in phosphorus concentration differ at different locations?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C: Explore other nutrient inflow from other locations.</w:t>
      </w:r>
    </w:p>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this part of the module, you will need to repeat the steps in “Activity A” but you now choose a different nutrient, say for example, Nitrate or Nitrogen, etc. Based on your general knowledge, how and where do you think this level of nutrient may have been generated (source location), and how might this impact the aquatic ecosystem and environment?</w:t>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then do the following:</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Formulate your hypotheses with regard to the concentration of the ‘Nutrient’ entering into the Chesapeake Bay.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 water quality data set available at the website of the Chesapeake Bay Program at </w:t>
      </w:r>
      <w:hyperlink r:id="rId19">
        <w:r w:rsidDel="00000000" w:rsidR="00000000" w:rsidRPr="00000000">
          <w:rPr>
            <w:color w:val="1155cc"/>
            <w:sz w:val="24"/>
            <w:szCs w:val="24"/>
            <w:u w:val="single"/>
            <w:rtl w:val="0"/>
          </w:rPr>
          <w:t xml:space="preserve">https://datahub.chesapeakebay.net/WaterQuality</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the below listed prompts to select a dataset for the ‘Nutrient’: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CBP Water Quality data (1984 -present)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Water Quality Data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Choose your own date range.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All Data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SWM- Shallow Water Monitoring Programs (or choose a program of choice)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CMON-Tidal Continuous Water Quality Monitoring Project (or project of </w:t>
        <w:tab/>
        <w:tab/>
        <w:t xml:space="preserve">   choice)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Small Watershed (HUC12) (or any other)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Select Attribute for your “Location”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Select Parameter for your “Nutrient”</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.csv file and convert to Excel file by saving as .xls or .xlsx on your computer in a location where you may be able to easily locate and access it again.</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the dataset and clean it up. (Example: remove/delete unwanted row(s) and column(s)). Refer to step (e.) in activity A.</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scatter plot of Nitrate concentration over time. Below is an example of the axes: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38100</wp:posOffset>
                </wp:positionV>
                <wp:extent cx="24765" cy="1254125"/>
                <wp:effectExtent b="0" l="0" r="0" t="0"/>
                <wp:wrapNone/>
                <wp:docPr id="291" name=""/>
                <a:graphic>
                  <a:graphicData uri="http://schemas.microsoft.com/office/word/2010/wordprocessingShape">
                    <wps:wsp>
                      <wps:cNvCnPr/>
                      <wps:spPr>
                        <a:xfrm>
                          <a:off x="5338380" y="3157700"/>
                          <a:ext cx="15240" cy="124460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38100</wp:posOffset>
                </wp:positionV>
                <wp:extent cx="24765" cy="1254125"/>
                <wp:effectExtent b="0" l="0" r="0" t="0"/>
                <wp:wrapNone/>
                <wp:docPr id="291"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4765" cy="1254125"/>
                        </a:xfrm>
                        <a:prstGeom prst="rect"/>
                        <a:ln/>
                      </pic:spPr>
                    </pic:pic>
                  </a:graphicData>
                </a:graphic>
              </wp:anchor>
            </w:drawing>
          </mc:Fallback>
        </mc:AlternateConten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wp:posOffset>
                </wp:positionV>
                <wp:extent cx="544830" cy="358140"/>
                <wp:effectExtent b="0" l="0" r="0" t="0"/>
                <wp:wrapNone/>
                <wp:docPr id="300" name=""/>
                <a:graphic>
                  <a:graphicData uri="http://schemas.microsoft.com/office/word/2010/wordprocessingShape">
                    <wps:wsp>
                      <wps:cNvSpPr/>
                      <wps:cNvPr id="11" name="Shape 11"/>
                      <wps:spPr>
                        <a:xfrm>
                          <a:off x="5078348" y="3605693"/>
                          <a:ext cx="535305" cy="34861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Conc..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wp:posOffset>
                </wp:positionV>
                <wp:extent cx="544830" cy="358140"/>
                <wp:effectExtent b="0" l="0" r="0" t="0"/>
                <wp:wrapNone/>
                <wp:docPr id="300"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544830" cy="358140"/>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68596</wp:posOffset>
                </wp:positionV>
                <wp:extent cx="0" cy="12700"/>
                <wp:effectExtent b="0" l="0" r="0" t="0"/>
                <wp:wrapNone/>
                <wp:docPr id="297" name=""/>
                <a:graphic>
                  <a:graphicData uri="http://schemas.microsoft.com/office/word/2010/wordprocessingShape">
                    <wps:wsp>
                      <wps:cNvCnPr/>
                      <wps:spPr>
                        <a:xfrm rot="10800000">
                          <a:off x="4616385" y="3780000"/>
                          <a:ext cx="145923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2209800</wp:posOffset>
                </wp:positionH>
                <wp:positionV relativeFrom="paragraph">
                  <wp:posOffset>68596</wp:posOffset>
                </wp:positionV>
                <wp:extent cx="0" cy="12700"/>
                <wp:effectExtent b="0" l="0" r="0" t="0"/>
                <wp:wrapNone/>
                <wp:docPr id="29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0</wp:posOffset>
                </wp:positionV>
                <wp:extent cx="495935" cy="240030"/>
                <wp:effectExtent b="0" l="0" r="0" t="0"/>
                <wp:wrapNone/>
                <wp:docPr id="295" name=""/>
                <a:graphic>
                  <a:graphicData uri="http://schemas.microsoft.com/office/word/2010/wordprocessingShape">
                    <wps:wsp>
                      <wps:cNvSpPr/>
                      <wps:cNvPr id="6" name="Shape 6"/>
                      <wps:spPr>
                        <a:xfrm>
                          <a:off x="5102795" y="3664748"/>
                          <a:ext cx="486410" cy="23050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superscript"/>
                              </w:rPr>
                              <w:t xml:space="preserve">Time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0</wp:posOffset>
                </wp:positionV>
                <wp:extent cx="495935" cy="240030"/>
                <wp:effectExtent b="0" l="0" r="0" t="0"/>
                <wp:wrapNone/>
                <wp:docPr id="295"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495935" cy="240030"/>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you conduct your analysis, you should first make your predictions (formulate a hypothesis such as the following):</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slope would indicate a changing concentration of your ‘Nutrient’?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slope would indicate the ‘Nutrient’ concentration is not changing?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determine the rate of change. Determining rates of change graphically is straightforward. The average rate of change is just the change in concentration divided by the change in time, or change in y divided by the change in x, or the slope of a line that fits through the data. These are all the same thing. Be aware that Excel can calculate the slope of a line very easily. So, to determine the rate of change (slope), add a trend line. When you do this, make sure to select the options to show the equation of the line and the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The equation is written in the 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 mx + 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slope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intercept. The value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rate of change.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405765" cy="319405"/>
                <wp:effectExtent b="0" l="0" r="0" t="0"/>
                <wp:wrapNone/>
                <wp:docPr id="293" name=""/>
                <a:graphic>
                  <a:graphicData uri="http://schemas.microsoft.com/office/word/2010/wordprocessingShape">
                    <wps:wsp>
                      <wps:cNvSpPr/>
                      <wps:cNvPr id="4" name="Shape 4"/>
                      <wps:spPr>
                        <a:xfrm>
                          <a:off x="5147880" y="3625060"/>
                          <a:ext cx="396240" cy="30988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139700</wp:posOffset>
                </wp:positionV>
                <wp:extent cx="405765" cy="319405"/>
                <wp:effectExtent b="0" l="0" r="0" t="0"/>
                <wp:wrapNone/>
                <wp:docPr id="293"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405765" cy="3194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R-squared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statistic resulting from a linear regression analysis, which is the statistical name for what you just did by adding a trend line. It describes the proportion of variation in the dependent variable explained by the independent variable. When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~1, the data form a perfectly straight line. As the data become more scattered from the line,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decreases toward 0. Higher R-squared values indicate a stronger relationship between the two variables. Record your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 down with your slope.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for the line: </w:t>
      </w:r>
    </w:p>
    <w:p w:rsidR="00000000" w:rsidDel="00000000" w:rsidP="00000000" w:rsidRDefault="00000000" w:rsidRPr="00000000" w14:paraId="0000008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8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of ‘Nutrient’ concentration change (include units):</w:t>
      </w:r>
    </w:p>
    <w:p w:rsidR="00000000" w:rsidDel="00000000" w:rsidP="00000000" w:rsidRDefault="00000000" w:rsidRPr="00000000" w14:paraId="00000090">
      <w:pPr>
        <w:numPr>
          <w:ilvl w:val="1"/>
          <w:numId w:val="7"/>
        </w:numP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your analysis, is the Nutrient’ concentration changing? How do you know?</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 to repeat the steps for Activity C, but select a different sampling location for your ‘Nutrient’ then compare your results.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use the information you have determined in your exploration throughout this activity to address this question: How is water quality changing in Chesapeake Bay? Is it improving?</w:t>
      </w: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sz w:val="24"/>
          <w:szCs w:val="24"/>
        </w:rPr>
      </w:pPr>
      <w:r w:rsidDel="00000000" w:rsidR="00000000" w:rsidRPr="00000000">
        <w:rPr>
          <w:color w:val="7030a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Letter"/>
      <w:lvlText w:val="%3.)"/>
      <w:lvlJc w:val="left"/>
      <w:pPr>
        <w:ind w:left="63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bullet"/>
      <w:lvlText w:val="-"/>
      <w:lvlJc w:val="left"/>
      <w:pPr>
        <w:ind w:left="1080" w:hanging="360"/>
      </w:pPr>
      <w:rPr>
        <w:rFonts w:ascii="Times New Roman" w:cs="Times New Roman" w:eastAsia="Times New Roman" w:hAnsi="Times New Roman"/>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8"/>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9"/>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Letter"/>
      <w:lvlText w:val="%3.)"/>
      <w:lvlJc w:val="left"/>
      <w:pPr>
        <w:ind w:left="63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31520"/>
  </w:style>
  <w:style w:type="paragraph" w:styleId="Heading1">
    <w:name w:val="heading 1"/>
    <w:basedOn w:val="Normal"/>
    <w:next w:val="Normal"/>
    <w:link w:val="Heading1Char"/>
    <w:uiPriority w:val="9"/>
    <w:qFormat w:val="1"/>
    <w:rsid w:val="00D429F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BA052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C14F9"/>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C14F9"/>
    <w:pPr>
      <w:spacing w:after="0" w:line="240" w:lineRule="auto"/>
      <w:ind w:left="720"/>
      <w:contextualSpacing w:val="1"/>
    </w:pPr>
    <w:rPr>
      <w:rFonts w:eastAsiaTheme="minorEastAsia"/>
      <w:sz w:val="24"/>
      <w:szCs w:val="24"/>
      <w:lang w:eastAsia="ja-JP"/>
    </w:rPr>
  </w:style>
  <w:style w:type="character" w:styleId="Hyperlink">
    <w:name w:val="Hyperlink"/>
    <w:basedOn w:val="DefaultParagraphFont"/>
    <w:rsid w:val="00E00A67"/>
    <w:rPr>
      <w:color w:val="0000ff" w:themeColor="hyperlink"/>
      <w:u w:val="single"/>
    </w:rPr>
  </w:style>
  <w:style w:type="character" w:styleId="FollowedHyperlink">
    <w:name w:val="FollowedHyperlink"/>
    <w:basedOn w:val="DefaultParagraphFont"/>
    <w:uiPriority w:val="99"/>
    <w:semiHidden w:val="1"/>
    <w:unhideWhenUsed w:val="1"/>
    <w:rsid w:val="00E00A67"/>
    <w:rPr>
      <w:color w:val="800080" w:themeColor="followedHyperlink"/>
      <w:u w:val="single"/>
    </w:rPr>
  </w:style>
  <w:style w:type="table" w:styleId="TableGrid">
    <w:name w:val="Table Grid"/>
    <w:basedOn w:val="TableNormal"/>
    <w:uiPriority w:val="59"/>
    <w:rsid w:val="00316A50"/>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sid w:val="0040422B"/>
    <w:rPr>
      <w:sz w:val="16"/>
      <w:szCs w:val="16"/>
    </w:rPr>
  </w:style>
  <w:style w:type="paragraph" w:styleId="CommentText">
    <w:name w:val="annotation text"/>
    <w:basedOn w:val="Normal"/>
    <w:link w:val="CommentTextChar"/>
    <w:uiPriority w:val="99"/>
    <w:semiHidden w:val="1"/>
    <w:unhideWhenUsed w:val="1"/>
    <w:rsid w:val="0040422B"/>
    <w:pPr>
      <w:spacing w:line="240" w:lineRule="auto"/>
    </w:pPr>
    <w:rPr>
      <w:sz w:val="20"/>
      <w:szCs w:val="20"/>
    </w:rPr>
  </w:style>
  <w:style w:type="character" w:styleId="CommentTextChar" w:customStyle="1">
    <w:name w:val="Comment Text Char"/>
    <w:basedOn w:val="DefaultParagraphFont"/>
    <w:link w:val="CommentText"/>
    <w:uiPriority w:val="99"/>
    <w:semiHidden w:val="1"/>
    <w:rsid w:val="0040422B"/>
    <w:rPr>
      <w:sz w:val="20"/>
      <w:szCs w:val="20"/>
    </w:rPr>
  </w:style>
  <w:style w:type="paragraph" w:styleId="CommentSubject">
    <w:name w:val="annotation subject"/>
    <w:basedOn w:val="CommentText"/>
    <w:next w:val="CommentText"/>
    <w:link w:val="CommentSubjectChar"/>
    <w:uiPriority w:val="99"/>
    <w:semiHidden w:val="1"/>
    <w:unhideWhenUsed w:val="1"/>
    <w:rsid w:val="0040422B"/>
    <w:rPr>
      <w:b w:val="1"/>
      <w:bCs w:val="1"/>
    </w:rPr>
  </w:style>
  <w:style w:type="character" w:styleId="CommentSubjectChar" w:customStyle="1">
    <w:name w:val="Comment Subject Char"/>
    <w:basedOn w:val="CommentTextChar"/>
    <w:link w:val="CommentSubject"/>
    <w:uiPriority w:val="99"/>
    <w:semiHidden w:val="1"/>
    <w:rsid w:val="0040422B"/>
    <w:rPr>
      <w:b w:val="1"/>
      <w:bCs w:val="1"/>
      <w:sz w:val="20"/>
      <w:szCs w:val="20"/>
    </w:rPr>
  </w:style>
  <w:style w:type="paragraph" w:styleId="BalloonText">
    <w:name w:val="Balloon Text"/>
    <w:basedOn w:val="Normal"/>
    <w:link w:val="BalloonTextChar"/>
    <w:uiPriority w:val="99"/>
    <w:semiHidden w:val="1"/>
    <w:unhideWhenUsed w:val="1"/>
    <w:rsid w:val="0040422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0422B"/>
    <w:rPr>
      <w:rFonts w:ascii="Segoe UI" w:cs="Segoe UI" w:hAnsi="Segoe UI"/>
      <w:sz w:val="18"/>
      <w:szCs w:val="18"/>
    </w:rPr>
  </w:style>
  <w:style w:type="character" w:styleId="Heading2Char" w:customStyle="1">
    <w:name w:val="Heading 2 Char"/>
    <w:basedOn w:val="DefaultParagraphFont"/>
    <w:link w:val="Heading2"/>
    <w:uiPriority w:val="9"/>
    <w:rsid w:val="00BA0522"/>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BA0522"/>
    <w:rPr>
      <w:b w:val="1"/>
      <w:bCs w:val="1"/>
    </w:rPr>
  </w:style>
  <w:style w:type="character" w:styleId="Heading1Char" w:customStyle="1">
    <w:name w:val="Heading 1 Char"/>
    <w:basedOn w:val="DefaultParagraphFont"/>
    <w:link w:val="Heading1"/>
    <w:uiPriority w:val="9"/>
    <w:rsid w:val="00D429F3"/>
    <w:rPr>
      <w:rFonts w:asciiTheme="majorHAnsi" w:cstheme="majorBidi" w:eastAsiaTheme="majorEastAsia" w:hAnsiTheme="majorHAnsi"/>
      <w:b w:val="1"/>
      <w:bCs w:val="1"/>
      <w:color w:val="365f91" w:themeColor="accent1" w:themeShade="0000BF"/>
      <w:sz w:val="28"/>
      <w:szCs w:val="28"/>
    </w:rPr>
  </w:style>
  <w:style w:type="paragraph" w:styleId="H2" w:customStyle="1">
    <w:name w:val="H2"/>
    <w:basedOn w:val="Normal"/>
    <w:uiPriority w:val="99"/>
    <w:rsid w:val="00370C19"/>
    <w:pPr>
      <w:keepNext w:val="1"/>
      <w:spacing w:after="0" w:before="320" w:line="240" w:lineRule="auto"/>
      <w:ind w:right="720"/>
    </w:pPr>
    <w:rPr>
      <w:rFonts w:ascii="Trebuchet MS" w:cs="Times New Roman" w:eastAsia="Times New Roman" w:hAnsi="Trebuchet MS"/>
      <w:b w:val="1"/>
      <w:color w:val="000000"/>
      <w:sz w:val="28"/>
      <w:szCs w:val="28"/>
    </w:rPr>
  </w:style>
  <w:style w:type="paragraph" w:styleId="BodyTextIndent">
    <w:name w:val="Body Text Indent"/>
    <w:basedOn w:val="Normal"/>
    <w:link w:val="BodyTextIndentChar"/>
    <w:rsid w:val="008F041E"/>
    <w:pPr>
      <w:spacing w:after="0" w:line="240" w:lineRule="auto"/>
      <w:ind w:left="400"/>
    </w:pPr>
    <w:rPr>
      <w:rFonts w:ascii="Arial" w:cs="Arial" w:eastAsia="Times New Roman" w:hAnsi="Arial"/>
      <w:sz w:val="24"/>
      <w:szCs w:val="24"/>
    </w:rPr>
  </w:style>
  <w:style w:type="character" w:styleId="BodyTextIndentChar" w:customStyle="1">
    <w:name w:val="Body Text Indent Char"/>
    <w:basedOn w:val="DefaultParagraphFont"/>
    <w:link w:val="BodyTextIndent"/>
    <w:rsid w:val="008F041E"/>
    <w:rPr>
      <w:rFonts w:ascii="Arial" w:cs="Arial" w:eastAsia="Times New Roman"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www.chesapeakebay.net/issues/nutrients" TargetMode="External"/><Relationship Id="rId22" Type="http://schemas.openxmlformats.org/officeDocument/2006/relationships/image" Target="media/image11.png"/><Relationship Id="rId10" Type="http://schemas.openxmlformats.org/officeDocument/2006/relationships/image" Target="media/image1.jpg"/><Relationship Id="rId21" Type="http://schemas.openxmlformats.org/officeDocument/2006/relationships/image" Target="media/image14.png"/><Relationship Id="rId13" Type="http://schemas.openxmlformats.org/officeDocument/2006/relationships/image" Target="media/image10.png"/><Relationship Id="rId24" Type="http://schemas.openxmlformats.org/officeDocument/2006/relationships/image" Target="media/image7.png"/><Relationship Id="rId12" Type="http://schemas.openxmlformats.org/officeDocument/2006/relationships/hyperlink" Target="https://datahub.chesapeakebay.net/WaterQuality"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hyperlink" Target="https://datahub.chesapeakebay.net/WaterQuality" TargetMode="External"/><Relationship Id="rId6" Type="http://schemas.openxmlformats.org/officeDocument/2006/relationships/customXml" Target="../customXML/item1.xml"/><Relationship Id="rId18" Type="http://schemas.openxmlformats.org/officeDocument/2006/relationships/hyperlink" Target="https://datahub.chesapeakebay.net/WaterQuality" TargetMode="External"/><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2Pz4+A76q64Gyvfto4lIOdkUnA==">CgMxLjAyCGguZ2pkZ3hzOAByITFLR091dEw1NE1sNWZNY3lUdExFbmhtb1VTU1V4MnZ6RQ==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2021-11-02T23:59:00Z</dcterms:created>
  <dc:creator>lenave</dc:creator>
</cp:coreProperties>
</file>