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CF48A">
      <w:pPr>
        <w:spacing w:before="156" w:beforeLines="50" w:after="156" w:afterLines="5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附件1：《珞珈哲学》征稿格式标准</w:t>
      </w:r>
    </w:p>
    <w:p w14:paraId="313DFC2B">
      <w:pPr>
        <w:spacing w:line="30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eastAsia="zh-CN"/>
        </w:rPr>
        <w:t>投稿至</w:t>
      </w:r>
      <w:r>
        <w:rPr>
          <w:rFonts w:hint="eastAsia" w:asciiTheme="minorEastAsia" w:hAnsiTheme="minorEastAsia"/>
          <w:sz w:val="24"/>
          <w:szCs w:val="24"/>
        </w:rPr>
        <w:t>本刊“</w:t>
      </w:r>
      <w:r>
        <w:rPr>
          <w:rFonts w:hint="eastAsia" w:ascii="Times New Roman" w:hAnsi="Times New Roman" w:eastAsia="宋体" w:cs="Times New Roman"/>
          <w:sz w:val="24"/>
        </w:rPr>
        <w:t>专题评论”</w:t>
      </w:r>
      <w:r>
        <w:rPr>
          <w:rFonts w:ascii="Times New Roman" w:hAnsi="Times New Roman" w:eastAsia="宋体" w:cs="Times New Roman"/>
          <w:sz w:val="24"/>
        </w:rPr>
        <w:t>和</w:t>
      </w:r>
      <w:r>
        <w:rPr>
          <w:rFonts w:hint="eastAsia" w:ascii="Times New Roman" w:hAnsi="Times New Roman" w:eastAsia="宋体" w:cs="Times New Roman"/>
          <w:sz w:val="24"/>
        </w:rPr>
        <w:t>“学术书评”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栏目</w:t>
      </w:r>
      <w:r>
        <w:rPr>
          <w:rFonts w:hint="eastAsia" w:asciiTheme="minorEastAsia" w:hAnsiTheme="minorEastAsia"/>
          <w:sz w:val="24"/>
          <w:szCs w:val="24"/>
        </w:rPr>
        <w:t>的学术论文以8000—12000字为宜。</w:t>
      </w:r>
    </w:p>
    <w:p w14:paraId="31FFD3A4">
      <w:pPr>
        <w:spacing w:line="30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来稿应严格遵守学术道德和学术规范，具体格式参考《马克思主义哲学研究》，标准如下：</w:t>
      </w:r>
    </w:p>
    <w:p w14:paraId="3E670223">
      <w:pPr>
        <w:spacing w:line="30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“正标题”黑体三号居中；“副标题”楷体四号居中；“摘要”（200-300字为宜）楷体五号；“关键词”（3-5个）楷体五号，中间以分号隔开；</w:t>
      </w:r>
    </w:p>
    <w:p w14:paraId="10C9BE1A">
      <w:pPr>
        <w:spacing w:line="30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“基金项目”（如有）在正标题右上以“※”标注，页脚注明项目名称并在括号内注明项目编号。</w:t>
      </w:r>
    </w:p>
    <w:p w14:paraId="268EA691">
      <w:pPr>
        <w:spacing w:line="30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正文内容为宋体五号，段落设置为最小值18磅。</w:t>
      </w:r>
    </w:p>
    <w:p w14:paraId="4998C837">
      <w:pPr>
        <w:spacing w:line="30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文章不设置文末参考文献，引文注释一律采用当页脚注形式，字体为楷体小五号，单倍行距，每页重新编号。</w:t>
      </w:r>
    </w:p>
    <w:p w14:paraId="0545C106">
      <w:pPr>
        <w:spacing w:line="300" w:lineRule="auto"/>
        <w:ind w:firstLine="482" w:firstLineChars="20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  <w:highlight w:val="yellow"/>
        </w:rPr>
        <w:t>引文注释格式示例如下：</w:t>
      </w:r>
    </w:p>
    <w:p w14:paraId="600AAAE4">
      <w:pPr>
        <w:spacing w:line="300" w:lineRule="auto"/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①《马克思恩格斯选集》第1卷，人民出版社，1995，第42页。</w:t>
      </w:r>
    </w:p>
    <w:p w14:paraId="144AD103">
      <w:pPr>
        <w:spacing w:line="300" w:lineRule="auto"/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②陶德麟主编：《社会稳定论》，山东人民出版社，1999，第50页。</w:t>
      </w:r>
    </w:p>
    <w:p w14:paraId="15410DF3">
      <w:pPr>
        <w:spacing w:line="300" w:lineRule="auto"/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③王炳书：《实践理性论》，武汉大学出版社，2002，第80页。</w:t>
      </w:r>
    </w:p>
    <w:p w14:paraId="7BC0DD0B">
      <w:pPr>
        <w:spacing w:line="300" w:lineRule="auto"/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④[英]卡尔·波普尔：《历史决定论的贫困》，杜汝楫译，华夏出版社，1987，第25页。</w:t>
      </w:r>
    </w:p>
    <w:p w14:paraId="30ECF0EC">
      <w:pPr>
        <w:spacing w:line="300" w:lineRule="auto"/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⑤[美]爱尔文·马奎特：《21世纪马克思主义哲学的任务》，李真译，载汪信砚主编《马克思主义哲学研究（2001）》，武汉大学出版社，2001，第205页。</w:t>
      </w:r>
    </w:p>
    <w:p w14:paraId="0CE36661">
      <w:pPr>
        <w:spacing w:line="300" w:lineRule="auto"/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⑥王锐生：《唯物史观：发展还是超越？》，《哲学研究》2002年第1期。</w:t>
      </w:r>
    </w:p>
    <w:p w14:paraId="0ADB4626">
      <w:pPr>
        <w:spacing w:line="300" w:lineRule="auto"/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⑦李超元：《论虚拟性实践》，《光明日报》2001年9月25日。</w:t>
      </w:r>
    </w:p>
    <w:p w14:paraId="191EC80B">
      <w:pPr>
        <w:spacing w:line="300" w:lineRule="auto"/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⑧《旧唐书》卷9《玄宗纪下》，中华书局，1975年标点本，第233页。</w:t>
      </w:r>
    </w:p>
    <w:p w14:paraId="4CED163A">
      <w:pPr>
        <w:spacing w:line="300" w:lineRule="auto"/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⑨《太平御览》卷690《服章部七》引《魏台访议》，中华书局,1985年影印本，第3册，第3080页下栏。</w:t>
      </w:r>
    </w:p>
    <w:p w14:paraId="3E7A8CCE">
      <w:pPr>
        <w:spacing w:line="300" w:lineRule="auto"/>
        <w:ind w:firstLine="420" w:firstLineChars="200"/>
        <w:rPr>
          <w:rFonts w:cs="Times New Roman" w:asciiTheme="minorEastAsia" w:hAnsiTheme="minorEastAsia"/>
          <w:szCs w:val="21"/>
        </w:rPr>
      </w:pPr>
      <w:r>
        <w:rPr>
          <w:rFonts w:cs="Times New Roman" w:asciiTheme="minorEastAsia" w:hAnsiTheme="minorEastAsia"/>
          <w:szCs w:val="21"/>
        </w:rPr>
        <w:t>⑩Kenneth N. Waltz, Theory of International Politics，NewYork: McGraw-Hill Publishing Company,1979,pp.668-698.</w:t>
      </w:r>
    </w:p>
    <w:p w14:paraId="7E789D97">
      <w:pPr>
        <w:spacing w:line="300" w:lineRule="auto"/>
        <w:ind w:firstLine="400" w:firstLineChars="200"/>
        <w:rPr>
          <w:rFonts w:cs="Times New Roman" w:asciiTheme="minorEastAsia" w:hAnsiTheme="minorEastAsia"/>
          <w:szCs w:val="21"/>
        </w:rPr>
      </w:pPr>
      <w:r>
        <w:rPr>
          <w:rFonts w:ascii="Cambria Math" w:hAnsi="Cambria Math" w:cs="Times New Roman"/>
          <w:sz w:val="20"/>
          <w:szCs w:val="21"/>
        </w:rPr>
        <w:t>⑪</w:t>
      </w:r>
      <w:r>
        <w:rPr>
          <w:rFonts w:cs="Times New Roman" w:asciiTheme="minorEastAsia" w:hAnsiTheme="minorEastAsia"/>
          <w:szCs w:val="21"/>
        </w:rPr>
        <w:t>David Baldwin ed., Neo-realism and Neo-liberalism: The Contemporary Debate，NewYork: Columbia University Press, 1993，p.106.</w:t>
      </w:r>
    </w:p>
    <w:p w14:paraId="74429320">
      <w:pPr>
        <w:spacing w:line="300" w:lineRule="auto"/>
        <w:ind w:firstLine="400" w:firstLineChars="200"/>
        <w:rPr>
          <w:rFonts w:cs="Times New Roman" w:asciiTheme="minorEastAsia" w:hAnsiTheme="minorEastAsia"/>
          <w:szCs w:val="21"/>
        </w:rPr>
      </w:pPr>
      <w:r>
        <w:rPr>
          <w:rFonts w:ascii="Cambria Math" w:hAnsi="Cambria Math" w:cs="Times New Roman"/>
          <w:sz w:val="20"/>
          <w:szCs w:val="21"/>
        </w:rPr>
        <w:t>⑫</w:t>
      </w:r>
      <w:r>
        <w:rPr>
          <w:rFonts w:cs="Times New Roman" w:asciiTheme="minorEastAsia" w:hAnsiTheme="minorEastAsia"/>
          <w:szCs w:val="21"/>
        </w:rPr>
        <w:t>Krause Knar and James N. Roseau, eds., Contending Approaches to International Politics，Princeton, N.J.: Princeton UniversityPress, 1969，pp.101-112.</w:t>
      </w:r>
    </w:p>
    <w:p w14:paraId="39133AC5">
      <w:pPr>
        <w:spacing w:line="300" w:lineRule="auto"/>
        <w:rPr>
          <w:rFonts w:asciiTheme="minorEastAsia" w:hAnsiTheme="minorEastAsia"/>
          <w:sz w:val="24"/>
          <w:szCs w:val="24"/>
        </w:rPr>
      </w:pPr>
    </w:p>
    <w:p w14:paraId="31C2730E">
      <w:pPr>
        <w:spacing w:line="30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本刊实行匿名评审制，来稿请勿标注作者姓名等信息，</w:t>
      </w:r>
      <w:r>
        <w:rPr>
          <w:rFonts w:hint="eastAsia" w:asciiTheme="minorEastAsia" w:hAnsiTheme="minorEastAsia"/>
          <w:b/>
          <w:sz w:val="24"/>
          <w:szCs w:val="24"/>
        </w:rPr>
        <w:t>请务必另附文档（参见附件2）注明作者姓名、学校院系、专业年级、联系方式（电话和电子邮箱）</w:t>
      </w:r>
      <w:r>
        <w:rPr>
          <w:rFonts w:hint="eastAsia" w:asciiTheme="minorEastAsia" w:hAnsiTheme="minorEastAsia"/>
          <w:sz w:val="24"/>
          <w:szCs w:val="24"/>
        </w:rPr>
        <w:t>。稿件一律不退还，请作者自留底稿。</w:t>
      </w:r>
    </w:p>
    <w:p w14:paraId="0BC4B19D">
      <w:pPr>
        <w:spacing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《珞珈哲学》专用征稿邮箱：luojiazhexue@163.com</w:t>
      </w:r>
    </w:p>
    <w:p w14:paraId="13DE7921">
      <w:pPr>
        <w:spacing w:line="300" w:lineRule="auto"/>
        <w:rPr>
          <w:rFonts w:asciiTheme="minorEastAsia" w:hAnsiTheme="minorEastAsia"/>
          <w:sz w:val="24"/>
          <w:szCs w:val="24"/>
        </w:rPr>
      </w:pPr>
    </w:p>
    <w:p w14:paraId="58D99717">
      <w:pPr>
        <w:spacing w:before="156" w:beforeLines="50" w:after="156" w:afterLines="5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附件2：《珞珈哲学》征稿-作者信息表</w:t>
      </w:r>
    </w:p>
    <w:tbl>
      <w:tblPr>
        <w:tblStyle w:val="4"/>
        <w:tblpPr w:leftFromText="180" w:rightFromText="180" w:vertAnchor="text" w:tblpX="169" w:tblpY="19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906"/>
        <w:gridCol w:w="653"/>
        <w:gridCol w:w="709"/>
        <w:gridCol w:w="567"/>
        <w:gridCol w:w="851"/>
        <w:gridCol w:w="819"/>
        <w:gridCol w:w="754"/>
        <w:gridCol w:w="2104"/>
      </w:tblGrid>
      <w:tr w14:paraId="62C51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817" w:type="dxa"/>
          </w:tcPr>
          <w:p w14:paraId="2E863EB9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姓名</w:t>
            </w:r>
          </w:p>
        </w:tc>
        <w:tc>
          <w:tcPr>
            <w:tcW w:w="7363" w:type="dxa"/>
            <w:gridSpan w:val="8"/>
          </w:tcPr>
          <w:p w14:paraId="6F21123A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  <w:lang w:val="en-US" w:eastAsia="zh-CN"/>
              </w:rPr>
              <w:t>刘栩孜</w:t>
            </w:r>
          </w:p>
        </w:tc>
      </w:tr>
      <w:tr w14:paraId="3A38B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817" w:type="dxa"/>
          </w:tcPr>
          <w:p w14:paraId="3F3B6F52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性别</w:t>
            </w:r>
          </w:p>
        </w:tc>
        <w:tc>
          <w:tcPr>
            <w:tcW w:w="1559" w:type="dxa"/>
            <w:gridSpan w:val="2"/>
          </w:tcPr>
          <w:p w14:paraId="662A7640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  <w:lang w:val="en-US" w:eastAsia="zh-CN"/>
              </w:rPr>
              <w:t>女</w:t>
            </w:r>
          </w:p>
        </w:tc>
        <w:tc>
          <w:tcPr>
            <w:tcW w:w="709" w:type="dxa"/>
          </w:tcPr>
          <w:p w14:paraId="060770D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出生年月</w:t>
            </w:r>
          </w:p>
        </w:tc>
        <w:tc>
          <w:tcPr>
            <w:tcW w:w="2237" w:type="dxa"/>
            <w:gridSpan w:val="3"/>
          </w:tcPr>
          <w:p w14:paraId="667F7CD4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  <w:lang w:val="en-US" w:eastAsia="zh-CN"/>
              </w:rPr>
              <w:t>2004年5月</w:t>
            </w:r>
          </w:p>
        </w:tc>
        <w:tc>
          <w:tcPr>
            <w:tcW w:w="754" w:type="dxa"/>
          </w:tcPr>
          <w:p w14:paraId="43E4C3BB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政治面貌</w:t>
            </w:r>
          </w:p>
        </w:tc>
        <w:tc>
          <w:tcPr>
            <w:tcW w:w="2104" w:type="dxa"/>
          </w:tcPr>
          <w:p w14:paraId="3A35BA4C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  <w:lang w:val="en-US" w:eastAsia="zh-CN"/>
              </w:rPr>
              <w:t>共青团员</w:t>
            </w:r>
          </w:p>
        </w:tc>
      </w:tr>
      <w:tr w14:paraId="5545C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817" w:type="dxa"/>
          </w:tcPr>
          <w:p w14:paraId="2C98AD3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学校</w:t>
            </w:r>
          </w:p>
        </w:tc>
        <w:tc>
          <w:tcPr>
            <w:tcW w:w="2835" w:type="dxa"/>
            <w:gridSpan w:val="4"/>
          </w:tcPr>
          <w:p w14:paraId="783936FF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  <w:lang w:val="en-US" w:eastAsia="zh-CN"/>
              </w:rPr>
              <w:t>华东师范大学</w:t>
            </w:r>
          </w:p>
        </w:tc>
        <w:tc>
          <w:tcPr>
            <w:tcW w:w="851" w:type="dxa"/>
          </w:tcPr>
          <w:p w14:paraId="45FFBAB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院系</w:t>
            </w:r>
          </w:p>
        </w:tc>
        <w:tc>
          <w:tcPr>
            <w:tcW w:w="3677" w:type="dxa"/>
            <w:gridSpan w:val="3"/>
          </w:tcPr>
          <w:p w14:paraId="7EA9DB0F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  <w:lang w:val="en-US" w:eastAsia="zh-CN"/>
              </w:rPr>
              <w:t>哲学系</w:t>
            </w:r>
          </w:p>
        </w:tc>
      </w:tr>
      <w:tr w14:paraId="70B4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817" w:type="dxa"/>
          </w:tcPr>
          <w:p w14:paraId="712CD8F6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专业</w:t>
            </w:r>
          </w:p>
        </w:tc>
        <w:tc>
          <w:tcPr>
            <w:tcW w:w="2835" w:type="dxa"/>
            <w:gridSpan w:val="4"/>
          </w:tcPr>
          <w:p w14:paraId="608C5797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  <w:lang w:val="en-US" w:eastAsia="zh-CN"/>
              </w:rPr>
              <w:t>马克思主义哲学</w:t>
            </w:r>
          </w:p>
        </w:tc>
        <w:tc>
          <w:tcPr>
            <w:tcW w:w="851" w:type="dxa"/>
          </w:tcPr>
          <w:p w14:paraId="0309305F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年级</w:t>
            </w:r>
          </w:p>
        </w:tc>
        <w:tc>
          <w:tcPr>
            <w:tcW w:w="3677" w:type="dxa"/>
            <w:gridSpan w:val="3"/>
          </w:tcPr>
          <w:p w14:paraId="1291714D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  <w:lang w:val="en-US" w:eastAsia="zh-CN"/>
              </w:rPr>
              <w:t>2025级</w:t>
            </w:r>
          </w:p>
        </w:tc>
      </w:tr>
      <w:tr w14:paraId="3658A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1723" w:type="dxa"/>
            <w:gridSpan w:val="2"/>
          </w:tcPr>
          <w:p w14:paraId="4E235744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联系电话</w:t>
            </w:r>
          </w:p>
        </w:tc>
        <w:tc>
          <w:tcPr>
            <w:tcW w:w="6457" w:type="dxa"/>
            <w:gridSpan w:val="7"/>
          </w:tcPr>
          <w:p w14:paraId="3CD79AC1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  <w:lang w:val="en-US" w:eastAsia="zh-CN"/>
              </w:rPr>
              <w:t>18981189847</w:t>
            </w:r>
          </w:p>
        </w:tc>
      </w:tr>
      <w:tr w14:paraId="54643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723" w:type="dxa"/>
            <w:gridSpan w:val="2"/>
          </w:tcPr>
          <w:p w14:paraId="027695C2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电子邮箱</w:t>
            </w:r>
          </w:p>
        </w:tc>
        <w:tc>
          <w:tcPr>
            <w:tcW w:w="6457" w:type="dxa"/>
            <w:gridSpan w:val="7"/>
          </w:tcPr>
          <w:p w14:paraId="1A5BF21F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  <w:lang w:val="en-US" w:eastAsia="zh-CN"/>
              </w:rPr>
              <w:t>1023282609@qq.com</w:t>
            </w:r>
          </w:p>
        </w:tc>
      </w:tr>
      <w:tr w14:paraId="71D65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723" w:type="dxa"/>
            <w:gridSpan w:val="2"/>
          </w:tcPr>
          <w:p w14:paraId="2486BF2A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文稿题目</w:t>
            </w:r>
          </w:p>
        </w:tc>
        <w:tc>
          <w:tcPr>
            <w:tcW w:w="6457" w:type="dxa"/>
            <w:gridSpan w:val="7"/>
          </w:tcPr>
          <w:p w14:paraId="606084E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</w:tr>
      <w:tr w14:paraId="7EF3B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1723" w:type="dxa"/>
            <w:gridSpan w:val="2"/>
          </w:tcPr>
          <w:p w14:paraId="47ED1434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投稿</w:t>
            </w:r>
          </w:p>
          <w:p w14:paraId="6D2CF384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版块</w:t>
            </w:r>
          </w:p>
        </w:tc>
        <w:tc>
          <w:tcPr>
            <w:tcW w:w="6457" w:type="dxa"/>
            <w:gridSpan w:val="7"/>
          </w:tcPr>
          <w:p w14:paraId="70870CFB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例：固定栏目——马克思主义哲学</w:t>
            </w:r>
          </w:p>
          <w:p w14:paraId="0809E71B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特约栏目——1.</w:t>
            </w:r>
          </w:p>
        </w:tc>
      </w:tr>
      <w:tr w14:paraId="0BB48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723" w:type="dxa"/>
            <w:gridSpan w:val="2"/>
          </w:tcPr>
          <w:p w14:paraId="678A6527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是否保证文稿系作者原创</w:t>
            </w:r>
          </w:p>
        </w:tc>
        <w:tc>
          <w:tcPr>
            <w:tcW w:w="6457" w:type="dxa"/>
            <w:gridSpan w:val="7"/>
          </w:tcPr>
          <w:p w14:paraId="43576B19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  <w:lang w:val="en-US" w:eastAsia="zh-CN"/>
              </w:rPr>
              <w:t>是</w:t>
            </w:r>
          </w:p>
        </w:tc>
      </w:tr>
      <w:tr w14:paraId="209C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723" w:type="dxa"/>
            <w:gridSpan w:val="2"/>
          </w:tcPr>
          <w:p w14:paraId="27BC6FA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是否清楚征稿相关说明</w:t>
            </w:r>
          </w:p>
        </w:tc>
        <w:tc>
          <w:tcPr>
            <w:tcW w:w="6457" w:type="dxa"/>
            <w:gridSpan w:val="7"/>
          </w:tcPr>
          <w:p w14:paraId="0313908B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  <w:lang w:val="en-US" w:eastAsia="zh-CN"/>
              </w:rPr>
              <w:t>是</w:t>
            </w:r>
          </w:p>
        </w:tc>
      </w:tr>
      <w:tr w14:paraId="58B85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</w:trPr>
        <w:tc>
          <w:tcPr>
            <w:tcW w:w="1723" w:type="dxa"/>
            <w:gridSpan w:val="2"/>
          </w:tcPr>
          <w:p w14:paraId="3A784FC1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其他备注</w:t>
            </w:r>
          </w:p>
        </w:tc>
        <w:tc>
          <w:tcPr>
            <w:tcW w:w="6457" w:type="dxa"/>
            <w:gridSpan w:val="7"/>
          </w:tcPr>
          <w:p w14:paraId="34987B20">
            <w:pPr>
              <w:spacing w:line="360" w:lineRule="auto"/>
              <w:rPr>
                <w:rFonts w:asciiTheme="minorEastAsia" w:hAnsiTheme="minorEastAsia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32DDA748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来稿应为作者原创并且未公开发表的作品，严禁抄袭。</w:t>
      </w:r>
    </w:p>
    <w:p w14:paraId="7C674E3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来稿实行文责自负，但编委会有权对稿件做技术性、文字性修改，在征得作者同意后可进行实质内容的修改。</w:t>
      </w:r>
    </w:p>
    <w:p w14:paraId="22319F9B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请勿一稿多投！本刊对来稿的处理结果，将在两个月内以电子邮件形式通知作者，若本刊不予刊用或超过两个月未回复即可自行处理。</w:t>
      </w:r>
    </w:p>
    <w:p w14:paraId="64C4B32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来稿一经刊用，即寄样刊两册，不设置稿费。</w:t>
      </w:r>
    </w:p>
    <w:p w14:paraId="691ADC8D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本刊整体版权属《珞珈哲学》编委会所有。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25C1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000FF" w:themeColor="hyperlink"/>
      <w:u w:val="single"/>
    </w:rPr>
  </w:style>
  <w:style w:type="character" w:customStyle="1" w:styleId="7">
    <w:name w:val="页眉 字符"/>
    <w:basedOn w:val="5"/>
    <w:link w:val="3"/>
    <w:semiHidden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semiHidden/>
    <w:qFormat/>
    <w:uiPriority w:val="99"/>
    <w:rPr>
      <w:sz w:val="18"/>
      <w:szCs w:val="18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890</Words>
  <Characters>1265</Characters>
  <Lines>10</Lines>
  <Paragraphs>3</Paragraphs>
  <TotalTime>2</TotalTime>
  <ScaleCrop>false</ScaleCrop>
  <LinksUpToDate>false</LinksUpToDate>
  <CharactersWithSpaces>1301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2021-07-04T13:21:00Z</dcterms:created>
  <dc:creator>Danyang</dc:creator>
  <cp:lastModifiedBy>绵阳卓越</cp:lastModifiedBy>
  <dcterms:modified xsi:type="dcterms:W3CDTF">2026-03-09T07:56:58Z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AFB852850218A5619BC48D6929412DA5_31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eyJoZGlkIjoiYWJmNTAxYTA0NTllZTU0OWY5NWY0MWNlMzBjNGU2OTYiLCJ1c2VySWQiOiI0NDI2NjY1NzMifQ==</vt:lpwstr>
  </property>
</Properties>
</file>