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FA8"/>
        </w:rPr>
        <w:t>Warehouse &amp; Retail Sales Intelligence</w:t>
      </w:r>
    </w:p>
    <w:p>
      <w:pPr>
        <w:jc w:val="center"/>
      </w:pPr>
      <w:r>
        <w:rPr>
          <w:color w:val="57606A"/>
          <w:sz w:val="28"/>
        </w:rPr>
        <w:t>4-Tier Data Analytics + Machine Learning Project Report</w:t>
      </w:r>
    </w:p>
    <w:p/>
    <w:p>
      <w:pPr>
        <w:jc w:val="center"/>
      </w:pPr>
      <w:r>
        <w:t>Author: Sowmiya Subramaniyan</w:t>
      </w:r>
    </w:p>
    <w:p>
      <w:pPr>
        <w:jc w:val="center"/>
      </w:pPr>
      <w:r>
        <w:rPr>
          <w:color w:val="57606A"/>
          <w:sz w:val="20"/>
        </w:rPr>
        <w:t>Dataset: Warehouse_and_Retail_Sales.csv  |  Records: 307,645  |  Period: 2017–2020</w:t>
      </w:r>
    </w:p>
    <w:p>
      <w:r>
        <w:br w:type="page"/>
      </w:r>
    </w:p>
    <w:p>
      <w:pPr>
        <w:pStyle w:val="Heading1"/>
      </w:pPr>
      <w:r>
        <w:rPr>
          <w:color w:val="1A5FA8"/>
        </w:rPr>
        <w:t>1. Executive Summary</w:t>
      </w:r>
    </w:p>
    <w:p>
      <w:pPr>
        <w:spacing w:after="120"/>
      </w:pPr>
      <w:r>
        <w:rPr>
          <w:sz w:val="22"/>
        </w:rPr>
        <w:t>This report presents a complete 4-tier data analytics and machine learning project built on the Warehouse &amp; Retail Sales dataset containing 307,645 transaction records from Montgomery County's alcohol distribution system (2017–2020). The project encompasses data hygiene, exploratory analysis, predictive modelling, and prescriptive business strategy.</w:t>
      </w:r>
    </w:p>
    <w:p>
      <w:pPr>
        <w:spacing w:after="120"/>
      </w:pPr>
      <w:r>
        <w:rPr>
          <w:sz w:val="22"/>
        </w:rPr>
        <w:t>A Random Forest classifier was developed to identify high warehouse demand items. The model achieved an ROC-AUC of 0.9056 and Recall of 0.8112 on a held-out 2020 test set. A capacity-constrained priority engine translates model predictions into an actionable inventory review queue.</w:t>
      </w:r>
    </w:p>
    <w:p>
      <w:pPr>
        <w:pStyle w:val="Heading1"/>
      </w:pPr>
      <w:r>
        <w:rPr>
          <w:color w:val="1A5FA8"/>
        </w:rPr>
        <w:t>2. Business Problem</w:t>
      </w:r>
    </w:p>
    <w:p>
      <w:pPr>
        <w:spacing w:after="120"/>
      </w:pPr>
      <w:r>
        <w:rPr>
          <w:sz w:val="22"/>
        </w:rPr>
        <w:t>Alcohol distributors and warehouse managers must decide which items to pre-stock before demand peaks. Manual review of 300K+ item-month records per planning cycle is operationally infeasible. The business needs a data-driven scoring mechanism that surfaces high-demand items for priority replenishment attention.</w:t>
      </w:r>
    </w:p>
    <w:p>
      <w:pPr>
        <w:pStyle w:val="ListBullet"/>
      </w:pPr>
      <w:r>
        <w:rPr>
          <w:sz w:val="22"/>
        </w:rPr>
        <w:t>Challenge: Identify high-warehouse-demand items before stock-out occurs</w:t>
      </w:r>
    </w:p>
    <w:p>
      <w:pPr>
        <w:pStyle w:val="ListBullet"/>
      </w:pPr>
      <w:r>
        <w:rPr>
          <w:sz w:val="22"/>
        </w:rPr>
        <w:t>Constraint: Limited review capacity per planning cycle</w:t>
      </w:r>
    </w:p>
    <w:p>
      <w:pPr>
        <w:pStyle w:val="ListBullet"/>
      </w:pPr>
      <w:r>
        <w:rPr>
          <w:sz w:val="22"/>
        </w:rPr>
        <w:t>Solution: ML-based probability scoring + capacity-constrained priority queue</w:t>
      </w:r>
    </w:p>
    <w:p>
      <w:pPr>
        <w:pStyle w:val="Heading1"/>
      </w:pPr>
      <w:r>
        <w:rPr>
          <w:color w:val="1A5FA8"/>
        </w:rPr>
        <w:t>3. Dataset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Warehouse_and_Retail_Sales.csv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Total Rows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307,645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Total Columns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Date Range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January 2017 – December 2020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Montgomery County (MD, USA) Open Data — Alcohol Distribution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Item Types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Wine, Liquor, Beer, Kegs, Non-Alcohol, Other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Unique Suppliers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396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Unique Products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34,056 (ITEM CODE)</w:t>
            </w:r>
          </w:p>
        </w:tc>
      </w:tr>
    </w:tbl>
    <w:p/>
    <w:p>
      <w:pPr>
        <w:spacing w:after="120"/>
      </w:pPr>
      <w:r>
        <w:rPr>
          <w:sz w:val="22"/>
        </w:rPr>
        <w:t>Columns: YEAR, MONTH, SUPPLIER, ITEM CODE, ITEM DESCRIPTION, ITEM TYPE, RETAIL SALES, RETAIL TRANSFERS, WAREHOUSE SALES</w:t>
      </w:r>
    </w:p>
    <w:p>
      <w:pPr>
        <w:pStyle w:val="Heading1"/>
      </w:pPr>
      <w:r>
        <w:rPr>
          <w:color w:val="1A5FA8"/>
        </w:rPr>
        <w:t>4. Data Quality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Rows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307,645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Duplicate Rows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NULL — SUPPLIER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167 rows (0.05%)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NULL — ITEM TYPE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 row (0.00%)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NULL — RETAIL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 rows (0.00%)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Negative WAREHOUSE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716 rows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Negative RETAIL TRANSFERS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1,016 rows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Negative RETAIL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113 rows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Year Range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2017–2020 (4 years)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Dominant Item Type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Wine (61% of records)</w:t>
            </w:r>
          </w:p>
        </w:tc>
      </w:tr>
    </w:tbl>
    <w:p>
      <w:pPr>
        <w:pStyle w:val="Heading1"/>
      </w:pPr>
      <w:r>
        <w:rPr>
          <w:color w:val="1A5FA8"/>
        </w:rPr>
        <w:t>5. Data Cleaning Methodology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167 NULL SUPPLIER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Fill 'UNKNOWN SUPPLIER'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Preserve valid sale records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 NULL ITEM TYPE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Fill 'UNKNOWN'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Single row; removal unwarranted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 NULL RETAIL SALES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Fill 0.0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Zero movement assumption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716 negative WH SALES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Clip to 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Returns/adjustments; floor at 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1016 negative RT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Clip to 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Same rationale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113 negative 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Clip to 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Same rationale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ITEM CODE mixed types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Cast to 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Identifier column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STR_SUPPLIES/REF/DUNNAGE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Grouped to 'OTHER'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&lt;0.2% each; avoid sparse noise</w:t>
            </w:r>
          </w:p>
        </w:tc>
      </w:tr>
    </w:tbl>
    <w:p>
      <w:pPr>
        <w:spacing w:after="120"/>
      </w:pPr>
      <w:r>
        <w:rPr>
          <w:sz w:val="22"/>
        </w:rPr>
        <w:br/>
        <w:t>Engineered features: DATE (parsed), TOTAL MOVEMENT (sum of all channels), ITEM TYPE CLEAN (reclassified).</w:t>
      </w:r>
    </w:p>
    <w:p>
      <w:pPr>
        <w:pStyle w:val="Heading1"/>
      </w:pPr>
      <w:r>
        <w:rPr>
          <w:color w:val="1A5FA8"/>
        </w:rPr>
        <w:t>6. Exploratory Data Analysis</w:t>
      </w:r>
    </w:p>
    <w:p>
      <w:pPr>
        <w:pStyle w:val="Heading2"/>
      </w:pPr>
      <w:r>
        <w:rPr>
          <w:color w:val="1A5FA8"/>
        </w:rPr>
        <w:t>Visualization 1: Monthly Sales Volume Trend (2017–2020)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nthl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Monthly Sales Volume Trend (2017–2020)</w:t>
      </w:r>
    </w:p>
    <w:p/>
    <w:p>
      <w:r>
        <w:rPr>
          <w:b/>
          <w:sz w:val="22"/>
        </w:rPr>
        <w:t xml:space="preserve">Observation: </w:t>
      </w:r>
      <w:r>
        <w:rPr>
          <w:sz w:val="22"/>
        </w:rPr>
        <w:t>Warehouse sales peaked in mid-2019 at approximately 1.5x the average monthly volume, then partially declined. Retail sales remained flat throughout. 2020 shows an overall decline possibly reflecting the onset of the COVID-19 pandemic.</w:t>
      </w:r>
    </w:p>
    <w:p>
      <w:r>
        <w:rPr>
          <w:b/>
          <w:sz w:val="22"/>
        </w:rPr>
        <w:t xml:space="preserve">Diagnostic Insight: </w:t>
      </w:r>
      <w:r>
        <w:rPr>
          <w:sz w:val="22"/>
        </w:rPr>
        <w:t>The 2019 warehouse surge likely reflects expanded product onboarding or increased distributor ordering, rather than a purely demand-driven phenomenon. The 2020 decline aligns with known on-premise closure effects.</w:t>
      </w:r>
    </w:p>
    <w:p>
      <w:r>
        <w:rPr>
          <w:b/>
          <w:sz w:val="22"/>
        </w:rPr>
        <w:t xml:space="preserve">Business Relevance: </w:t>
      </w:r>
      <w:r>
        <w:rPr>
          <w:sz w:val="22"/>
        </w:rPr>
        <w:t>Identifies peak warehouse demand windows for pre-stocking planning and seasonal capacity allocation.</w:t>
      </w:r>
    </w:p>
    <w:p>
      <w:r>
        <w:rPr>
          <w:b/>
          <w:sz w:val="22"/>
        </w:rPr>
        <w:t xml:space="preserve">Causality Disclaimer: </w:t>
      </w:r>
      <w:r>
        <w:rPr>
          <w:sz w:val="22"/>
        </w:rPr>
        <w:t>This is a temporal association between calendar year and volume. The dataset does not contain pricing, consumer demand, or policy data needed to establish causation.</w:t>
      </w:r>
    </w:p>
    <w:p/>
    <w:p>
      <w:pPr>
        <w:pStyle w:val="Heading2"/>
      </w:pPr>
      <w:r>
        <w:rPr>
          <w:color w:val="1A5FA8"/>
        </w:rPr>
        <w:t>Visualization 2: Total Sales by Item Type (Warehouse vs Retail)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tem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2: Total Sales by Item Type (Warehouse vs Retail)</w:t>
      </w:r>
    </w:p>
    <w:p/>
    <w:p>
      <w:r>
        <w:rPr>
          <w:b/>
          <w:sz w:val="22"/>
        </w:rPr>
        <w:t xml:space="preserve">Observation: </w:t>
      </w:r>
      <w:r>
        <w:rPr>
          <w:sz w:val="22"/>
        </w:rPr>
        <w:t>Wine accounts for ~60% of warehouse volume, followed by Liquor (~21%) and Beer (~14%). The warehouse-to-retail ratio is highest for Wine, indicating a warehouse-dominant channel preference.</w:t>
      </w:r>
    </w:p>
    <w:p>
      <w:r>
        <w:rPr>
          <w:b/>
          <w:sz w:val="22"/>
        </w:rPr>
        <w:t xml:space="preserve">Diagnostic Insight: </w:t>
      </w:r>
      <w:r>
        <w:rPr>
          <w:sz w:val="22"/>
        </w:rPr>
        <w:t>Beer shows relatively higher retail sales share vs. warehouse, suggesting more direct-to-shelf movement.</w:t>
      </w:r>
    </w:p>
    <w:p>
      <w:r>
        <w:rPr>
          <w:b/>
          <w:sz w:val="22"/>
        </w:rPr>
        <w:t xml:space="preserve">Business Relevance: </w:t>
      </w:r>
      <w:r>
        <w:rPr>
          <w:sz w:val="22"/>
        </w:rPr>
        <w:t>Category-level channel preference informs warehouse infrastructure investment and logistics routing.</w:t>
      </w:r>
    </w:p>
    <w:p>
      <w:r>
        <w:rPr>
          <w:b/>
          <w:sz w:val="22"/>
        </w:rPr>
        <w:t xml:space="preserve">Causality Disclaimer: </w:t>
      </w:r>
      <w:r>
        <w:rPr>
          <w:sz w:val="22"/>
        </w:rPr>
        <w:t>Channel distribution patterns are associations from recorded figures. Consumer preference, retailer purchasing policy, or distributor strategy may explain the split — this dataset cannot distinguish.</w:t>
      </w:r>
    </w:p>
    <w:p/>
    <w:p>
      <w:pPr>
        <w:pStyle w:val="Heading2"/>
      </w:pPr>
      <w:r>
        <w:rPr>
          <w:color w:val="1A5FA8"/>
        </w:rPr>
        <w:t>Visualization 3: Top 15 Suppliers by Warehouse Sales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supp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Top 15 Suppliers by Warehouse Sales</w:t>
      </w:r>
    </w:p>
    <w:p/>
    <w:p>
      <w:r>
        <w:rPr>
          <w:b/>
          <w:sz w:val="22"/>
        </w:rPr>
        <w:t xml:space="preserve">Observation: </w:t>
      </w:r>
      <w:r>
        <w:rPr>
          <w:sz w:val="22"/>
        </w:rPr>
        <w:t>REPUBLIC NATIONAL DISTRIBUTING CO leads warehouse volume. Top 5 suppliers account for ~35% of total warehouse units, indicating significant concentration.</w:t>
      </w:r>
    </w:p>
    <w:p>
      <w:r>
        <w:rPr>
          <w:b/>
          <w:sz w:val="22"/>
        </w:rPr>
        <w:t xml:space="preserve">Diagnostic Insight: </w:t>
      </w:r>
      <w:r>
        <w:rPr>
          <w:sz w:val="22"/>
        </w:rPr>
        <w:t>High supplier concentration creates supply-chain dependency risk.</w:t>
      </w:r>
    </w:p>
    <w:p>
      <w:r>
        <w:rPr>
          <w:b/>
          <w:sz w:val="22"/>
        </w:rPr>
        <w:t xml:space="preserve">Business Relevance: </w:t>
      </w:r>
      <w:r>
        <w:rPr>
          <w:sz w:val="22"/>
        </w:rPr>
        <w:t>Supports vendor diversification and supply continuity planning.</w:t>
      </w:r>
    </w:p>
    <w:p>
      <w:r>
        <w:rPr>
          <w:b/>
          <w:sz w:val="22"/>
        </w:rPr>
        <w:t xml:space="preserve">Causality Disclaimer: </w:t>
      </w:r>
      <w:r>
        <w:rPr>
          <w:sz w:val="22"/>
        </w:rPr>
        <w:t>High observed volume correlates with supplier scale and product breadth, but does not prove supplier identity causes demand.</w:t>
      </w:r>
    </w:p>
    <w:p/>
    <w:p>
      <w:pPr>
        <w:pStyle w:val="Heading2"/>
      </w:pPr>
      <w:r>
        <w:rPr>
          <w:color w:val="1A5FA8"/>
        </w:rPr>
        <w:t>Visualization 4: Pearson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Pearson Correlation Heatmap</w:t>
      </w:r>
    </w:p>
    <w:p/>
    <w:p>
      <w:r>
        <w:rPr>
          <w:b/>
          <w:sz w:val="22"/>
        </w:rPr>
        <w:t xml:space="preserve">Observation: </w:t>
      </w:r>
      <w:r>
        <w:rPr>
          <w:sz w:val="22"/>
        </w:rPr>
        <w:t>RETAIL SALES and RETAIL TRANSFERS show moderate positive correlation (~0.55). WAREHOUSE SALES shows weak correlation with retail metrics (~0.15–0.25).</w:t>
      </w:r>
    </w:p>
    <w:p>
      <w:r>
        <w:rPr>
          <w:b/>
          <w:sz w:val="22"/>
        </w:rPr>
        <w:t xml:space="preserve">Diagnostic Insight: </w:t>
      </w:r>
      <w:r>
        <w:rPr>
          <w:sz w:val="22"/>
        </w:rPr>
        <w:t>Warehouse demand is largely independent of retail velocity at the item level.</w:t>
      </w:r>
    </w:p>
    <w:p>
      <w:r>
        <w:rPr>
          <w:b/>
          <w:sz w:val="22"/>
        </w:rPr>
        <w:t xml:space="preserve">Business Relevance: </w:t>
      </w:r>
      <w:r>
        <w:rPr>
          <w:sz w:val="22"/>
        </w:rPr>
        <w:t>Separate forecasting models are warranted for each channel.</w:t>
      </w:r>
    </w:p>
    <w:p>
      <w:r>
        <w:rPr>
          <w:b/>
          <w:sz w:val="22"/>
        </w:rPr>
        <w:t xml:space="preserve">Causality Disclaimer: </w:t>
      </w:r>
      <w:r>
        <w:rPr>
          <w:sz w:val="22"/>
        </w:rPr>
        <w:t>Correlation does not imply causation. The moderate retail-transfer correlation may reflect category effects rather than a direct causal mechanism.</w:t>
      </w:r>
    </w:p>
    <w:p/>
    <w:p>
      <w:pPr>
        <w:pStyle w:val="Heading2"/>
      </w:pPr>
      <w:r>
        <w:rPr>
          <w:color w:val="1A5FA8"/>
        </w:rPr>
        <w:t>Visualization 5: Warehouse Sales Intensity: Item Type x Year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ype_yea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Warehouse Sales Intensity: Item Type x Year</w:t>
      </w:r>
    </w:p>
    <w:p/>
    <w:p>
      <w:r>
        <w:rPr>
          <w:b/>
          <w:sz w:val="22"/>
        </w:rPr>
        <w:t xml:space="preserve">Observation: </w:t>
      </w:r>
      <w:r>
        <w:rPr>
          <w:sz w:val="22"/>
        </w:rPr>
        <w:t>Wine and Liquor reached peak normalised intensity in 2019 (1.0). Beer peaked slightly earlier. Non-Alcohol shows consistently low intensity.</w:t>
      </w:r>
    </w:p>
    <w:p>
      <w:r>
        <w:rPr>
          <w:b/>
          <w:sz w:val="22"/>
        </w:rPr>
        <w:t xml:space="preserve">Diagnostic Insight: </w:t>
      </w:r>
      <w:r>
        <w:rPr>
          <w:sz w:val="22"/>
        </w:rPr>
        <w:t>The 2019 peak across multiple categories suggests a system-wide volume increase.</w:t>
      </w:r>
    </w:p>
    <w:p>
      <w:r>
        <w:rPr>
          <w:b/>
          <w:sz w:val="22"/>
        </w:rPr>
        <w:t xml:space="preserve">Business Relevance: </w:t>
      </w:r>
      <w:r>
        <w:rPr>
          <w:sz w:val="22"/>
        </w:rPr>
        <w:t>Year-over-year intensity shifts by category enable predictive seasonal planning.</w:t>
      </w:r>
    </w:p>
    <w:p>
      <w:r>
        <w:rPr>
          <w:b/>
          <w:sz w:val="22"/>
        </w:rPr>
        <w:t xml:space="preserve">Causality Disclaimer: </w:t>
      </w:r>
      <w:r>
        <w:rPr>
          <w:sz w:val="22"/>
        </w:rPr>
        <w:t>The temporal pattern is an association. External factors (regulations, COVID-19 in early 2020) may explain observed patterns but cannot be confirmed from this dataset.</w:t>
      </w:r>
    </w:p>
    <w:p/>
    <w:p>
      <w:pPr>
        <w:pStyle w:val="Heading1"/>
      </w:pPr>
      <w:r>
        <w:rPr>
          <w:color w:val="1A5FA8"/>
        </w:rPr>
        <w:t>7. Feature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Parsed from YEAR + MONTH for time-series analysis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 MOVEMENT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Sum of RETAIL SALES + RETAIL TRANSFERS + WAREHOUSE SALES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ITEM TYPE CLEAN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ITEM TYPE with minor categories grouped into 'OTHER'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ITEM_TYPE_ENC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Label-encoded ITEM TYPE CLEAN for ML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SUPPLIER_ENC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Label-encoded SUPPLIER for ML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High_Warehouse_Demand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Binary (0/1)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Derived target: 1 if WH SALES &gt;= p90 (21 units)</w:t>
            </w:r>
          </w:p>
        </w:tc>
      </w:tr>
    </w:tbl>
    <w:p>
      <w:pPr>
        <w:pStyle w:val="Heading1"/>
      </w:pPr>
      <w:r>
        <w:rPr>
          <w:color w:val="1A5FA8"/>
        </w:rPr>
        <w:t>8. Target Definition</w:t>
      </w:r>
    </w:p>
    <w:p>
      <w:pPr>
        <w:spacing w:after="120"/>
      </w:pPr>
      <w:r>
        <w:rPr>
          <w:sz w:val="22"/>
        </w:rPr>
        <w:t>DERIVED ANALYTICAL TARGET: High_Warehouse_Demand</w:t>
        <w:br/>
        <w:br/>
        <w:t>No explicit binary classification target exists in the source system. The target was constructed as follows:</w:t>
        <w:br/>
        <w:t xml:space="preserve">  • High_Warehouse_Demand = 1  if WAREHOUSE SALES &gt;= p90 threshold (21.0 units)</w:t>
        <w:br/>
        <w:t xml:space="preserve">  • High_Warehouse_Demand = 0  otherwise</w:t>
        <w:br/>
        <w:br/>
        <w:t>The p90 threshold makes approximately 10% of records positive — operationally representing items that require priority stocking attention.</w:t>
        <w:br/>
        <w:br/>
        <w:t>This is a DERIVED ANALYTICAL TARGET. It does not exist in the original source system and is documented as such throughout this report.</w:t>
      </w:r>
    </w:p>
    <w:p>
      <w:pPr>
        <w:pStyle w:val="Heading1"/>
      </w:pPr>
      <w:r>
        <w:rPr>
          <w:color w:val="1A5FA8"/>
        </w:rPr>
        <w:t>9. Leakage Prevention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Exclusion Reason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WAREHOUSE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IS the target variable — direct data leak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TOTAL MOVEMENT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Derived from WAREHOUSE SALES — indirect leak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RETAIL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Contemporaneous outcome variable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RETAIL TRANSFERS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Contemporaneous outcome variable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ITEM CODE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Raw high-cardinality identifier; memorises not generalises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ITEM DESCRIPTION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Near-perfect proxy for ITEM CODE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Information already captured by YEAR + MONTH</w:t>
            </w:r>
          </w:p>
        </w:tc>
      </w:tr>
    </w:tbl>
    <w:p>
      <w:pPr>
        <w:spacing w:after="120"/>
      </w:pPr>
      <w:r>
        <w:rPr>
          <w:sz w:val="22"/>
        </w:rPr>
        <w:br/>
        <w:t>Features used in model: YEAR, MONTH, ITEM_TYPE_ENC (Label-encoded), SUPPLIER_ENC (Label-encoded)</w:t>
      </w:r>
    </w:p>
    <w:p>
      <w:pPr>
        <w:pStyle w:val="Heading1"/>
      </w:pPr>
      <w:r>
        <w:rPr>
          <w:color w:val="1A5FA8"/>
        </w:rPr>
        <w:t>10. Machine Learning Methodology</w:t>
      </w:r>
    </w:p>
    <w:p>
      <w:pPr>
        <w:spacing w:after="120"/>
      </w:pPr>
      <w:r>
        <w:rPr>
          <w:sz w:val="22"/>
        </w:rPr>
        <w:t>Algorithm: Random Forest Classifier (scikit-learn)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n_estimators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max_depth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min_samples_leaf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class_weight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balanced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random_state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n_jobs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-1 (all CPU cores)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Train/Test Split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Chronological: 2017-2019 train / 2020 test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Split Rationale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Avoids temporal data leakage; mimics real deployment</w:t>
            </w:r>
          </w:p>
        </w:tc>
      </w:tr>
    </w:tbl>
    <w:p>
      <w:pPr>
        <w:spacing w:after="120"/>
      </w:pPr>
      <w:r>
        <w:rPr>
          <w:sz w:val="22"/>
        </w:rPr>
        <w:br/>
        <w:t>Train size: 261,367 rows | Test size: 46,278 rows</w:t>
      </w:r>
    </w:p>
    <w:p>
      <w:pPr>
        <w:pStyle w:val="Heading1"/>
      </w:pPr>
      <w:r>
        <w:rPr>
          <w:color w:val="1A5FA8"/>
        </w:rPr>
        <w:t>11. Model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Score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0.8672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0.4522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0.8112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F1 Score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0.5807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0.9056</w:t>
            </w:r>
          </w:p>
        </w:tc>
      </w:tr>
    </w:tbl>
    <w:p>
      <w:pPr>
        <w:pStyle w:val="Heading1"/>
      </w:pPr>
      <w:r>
        <w:rPr>
          <w:color w:val="1A5FA8"/>
        </w:rPr>
        <w:t>12.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Figure: Confusion Matrix — 2020 Test Set</w:t>
      </w:r>
    </w:p>
    <w:p>
      <w:pPr>
        <w:pStyle w:val="Heading1"/>
      </w:pPr>
      <w:r>
        <w:rPr>
          <w:color w:val="1A5FA8"/>
        </w:rPr>
        <w:t>13. Feature Importance / Interpretability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Figure: Random Forest Feature Importance</w:t>
      </w:r>
    </w:p>
    <w:p>
      <w:pPr>
        <w:spacing w:after="120"/>
      </w:pPr>
      <w:r>
        <w:rPr>
          <w:sz w:val="22"/>
        </w:rPr>
        <w:t>SUPPLIER is the strongest predictor of high warehouse demand, followed by ITEM TYPE, MONTH, and YEAR. This reflects that certain distributors consistently supply high-volume product lines that regularly exceed the p90 demand threshold.</w:t>
        <w:br/>
        <w:br/>
        <w:t>Important: Feature importance represents predictive association within the model, NOT causal drivers. SUPPLIER importance does not mean supplier choice causes demand — the underlying driver is the product portfolio managed by each distributor.</w:t>
      </w:r>
    </w:p>
    <w:p>
      <w:pPr>
        <w:pStyle w:val="Heading1"/>
      </w:pPr>
      <w:r>
        <w:rPr>
          <w:color w:val="1A5FA8"/>
        </w:rPr>
        <w:t>14. False Positive / False Negative Business Trade-off</w:t>
      </w:r>
    </w:p>
    <w:p>
      <w:pPr>
        <w:spacing w:after="120"/>
      </w:pPr>
      <w:r>
        <w:rPr>
          <w:sz w:val="22"/>
        </w:rPr>
        <w:t>False Positive (Model predicts High Demand but reality is Normal):</w:t>
      </w:r>
    </w:p>
    <w:p>
      <w:pPr>
        <w:pStyle w:val="ListBullet"/>
      </w:pPr>
      <w:r>
        <w:rPr>
          <w:sz w:val="22"/>
        </w:rPr>
        <w:t>Unnecessary pre-stocking and excess inventory</w:t>
      </w:r>
    </w:p>
    <w:p>
      <w:pPr>
        <w:pStyle w:val="ListBullet"/>
      </w:pPr>
      <w:r>
        <w:rPr>
          <w:sz w:val="22"/>
        </w:rPr>
        <w:t>Increased holding and storage costs</w:t>
      </w:r>
    </w:p>
    <w:p>
      <w:pPr>
        <w:pStyle w:val="ListBullet"/>
      </w:pPr>
      <w:r>
        <w:rPr>
          <w:sz w:val="22"/>
        </w:rPr>
        <w:t>Capital tied up in excess stock</w:t>
      </w:r>
    </w:p>
    <w:p>
      <w:pPr>
        <w:pStyle w:val="ListBullet"/>
      </w:pPr>
      <w:r>
        <w:rPr>
          <w:sz w:val="22"/>
        </w:rPr>
        <w:t>Impact: Moderate financial cost; manageable with return logistics</w:t>
      </w:r>
    </w:p>
    <w:p>
      <w:pPr>
        <w:spacing w:after="120"/>
      </w:pPr>
      <w:r>
        <w:rPr>
          <w:sz w:val="22"/>
        </w:rPr>
        <w:br/>
        <w:t>False Negative (Model misses genuinely High Demand item):</w:t>
      </w:r>
    </w:p>
    <w:p>
      <w:pPr>
        <w:pStyle w:val="ListBullet"/>
      </w:pPr>
      <w:r>
        <w:rPr>
          <w:sz w:val="22"/>
        </w:rPr>
        <w:t>Warehouse stock-out during peak demand period</w:t>
      </w:r>
    </w:p>
    <w:p>
      <w:pPr>
        <w:pStyle w:val="ListBullet"/>
      </w:pPr>
      <w:r>
        <w:rPr>
          <w:sz w:val="22"/>
        </w:rPr>
        <w:t>Lost sales and unfulfilled retailer orders</w:t>
      </w:r>
    </w:p>
    <w:p>
      <w:pPr>
        <w:pStyle w:val="ListBullet"/>
      </w:pPr>
      <w:r>
        <w:rPr>
          <w:sz w:val="22"/>
        </w:rPr>
        <w:t>Emergency re-ordering at premium cost</w:t>
      </w:r>
    </w:p>
    <w:p>
      <w:pPr>
        <w:pStyle w:val="ListBullet"/>
      </w:pPr>
      <w:r>
        <w:rPr>
          <w:sz w:val="22"/>
        </w:rPr>
        <w:t>Customer dissatisfaction and potential contract penalties</w:t>
      </w:r>
    </w:p>
    <w:p>
      <w:pPr>
        <w:pStyle w:val="ListBullet"/>
      </w:pPr>
      <w:r>
        <w:rPr>
          <w:sz w:val="22"/>
        </w:rPr>
        <w:t>Impact: Higher operational risk — stock-outs are costly in alcohol distribution</w:t>
      </w:r>
    </w:p>
    <w:p>
      <w:pPr>
        <w:spacing w:after="120"/>
      </w:pPr>
      <w:r>
        <w:rPr>
          <w:sz w:val="22"/>
        </w:rPr>
        <w:br/>
        <w:t>The model achieves Recall = 0.8112, correctly flagging 81% of actual high-demand events. The high ROC-AUC (0.9056) confirms strong discriminative capability.</w:t>
      </w:r>
    </w:p>
    <w:p>
      <w:pPr>
        <w:pStyle w:val="Heading1"/>
      </w:pPr>
      <w:r>
        <w:rPr>
          <w:color w:val="1A5FA8"/>
        </w:rPr>
        <w:t>15. Prescriptive Analytics</w:t>
      </w:r>
    </w:p>
    <w:p>
      <w:pPr>
        <w:spacing w:after="120"/>
      </w:pPr>
      <w:r>
        <w:rPr>
          <w:sz w:val="22"/>
        </w:rPr>
        <w:t>The prescriptive engine translates model output into an actionable, capacity-constrained inventory review queue.</w:t>
        <w:br/>
        <w:br/>
        <w:t>Operational Rule: Rank all item-month predictions by predicted high-demand probability (descending). Return only the top N records for manual review, where N = available review capacity per planning cycle.</w:t>
      </w:r>
    </w:p>
    <w:p>
      <w:pPr>
        <w:pStyle w:val="Heading1"/>
      </w:pPr>
      <w:r>
        <w:rPr>
          <w:color w:val="1A5FA8"/>
        </w:rPr>
        <w:t>16. Resource-Constrained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Probability Range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&gt;= 0.80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Auto-trigger reorder alert — immediate pre-stocking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0.50 – 0.79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Enter manual review queue (up to capacity limit)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&lt; 0.50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Standard replenishment schedule; no priority action</w:t>
            </w:r>
          </w:p>
        </w:tc>
      </w:tr>
    </w:tbl>
    <w:p>
      <w:pPr>
        <w:pStyle w:val="Heading1"/>
      </w:pPr>
      <w:r>
        <w:rPr>
          <w:color w:val="1A5FA8"/>
        </w:rPr>
        <w:t>17. Business Recommendations</w:t>
      </w:r>
    </w:p>
    <w:p>
      <w:r>
        <w:rPr>
          <w:b/>
          <w:sz w:val="22"/>
        </w:rPr>
        <w:t xml:space="preserve">1. Pre-stock Wine &amp; Liquor before Q2-Q3 peak: </w:t>
      </w:r>
      <w:r>
        <w:rPr>
          <w:sz w:val="22"/>
        </w:rPr>
        <w:t>Wine and Liquor dominate warehouse volume and show mid-year peaks. Increase intake quotas by 20-30% from May onward.</w:t>
      </w:r>
    </w:p>
    <w:p>
      <w:r>
        <w:rPr>
          <w:b/>
          <w:sz w:val="22"/>
        </w:rPr>
        <w:t xml:space="preserve">2. Mitigate top-5 supplier concentration: </w:t>
      </w:r>
      <w:r>
        <w:rPr>
          <w:sz w:val="22"/>
        </w:rPr>
        <w:t>Top 5 suppliers account for ~35% of volume. Establish backup agreements.</w:t>
      </w:r>
    </w:p>
    <w:p>
      <w:r>
        <w:rPr>
          <w:b/>
          <w:sz w:val="22"/>
        </w:rPr>
        <w:t xml:space="preserve">3. Automate reorder triggers: </w:t>
      </w:r>
      <w:r>
        <w:rPr>
          <w:sz w:val="22"/>
        </w:rPr>
        <w:t>Items with probability &gt; 0.80 trigger automatic reorder. Items 0.50–0.80 enter the manual review queue.</w:t>
      </w:r>
    </w:p>
    <w:p>
      <w:r>
        <w:rPr>
          <w:b/>
          <w:sz w:val="22"/>
        </w:rPr>
        <w:t xml:space="preserve">4. Separate retail and warehouse forecasts: </w:t>
      </w:r>
      <w:r>
        <w:rPr>
          <w:sz w:val="22"/>
        </w:rPr>
        <w:t>Retail-warehouse correlation is only ~0.15. Shared models introduce noise.</w:t>
      </w:r>
    </w:p>
    <w:p>
      <w:r>
        <w:rPr>
          <w:b/>
          <w:sz w:val="22"/>
        </w:rPr>
        <w:t xml:space="preserve">5. Annual model retraining: </w:t>
      </w:r>
      <w:r>
        <w:rPr>
          <w:sz w:val="22"/>
        </w:rPr>
        <w:t>Retrain annually as new year data arrives. Monitor ROC-AUC drift quarterly.</w:t>
      </w:r>
    </w:p>
    <w:p>
      <w:pPr>
        <w:pStyle w:val="Heading1"/>
      </w:pPr>
      <w:r>
        <w:rPr>
          <w:color w:val="1A5FA8"/>
        </w:rPr>
        <w:t>18. Limitations</w:t>
      </w:r>
    </w:p>
    <w:p>
      <w:pPr>
        <w:pStyle w:val="ListBullet"/>
      </w:pPr>
      <w:r>
        <w:rPr>
          <w:sz w:val="22"/>
        </w:rPr>
        <w:t>Target is derived (p90 threshold) — not a business-confirmed label</w:t>
      </w:r>
    </w:p>
    <w:p>
      <w:pPr>
        <w:pStyle w:val="ListBullet"/>
      </w:pPr>
      <w:r>
        <w:rPr>
          <w:sz w:val="22"/>
        </w:rPr>
        <w:t>No pricing, consumer demand, or external market data available</w:t>
      </w:r>
    </w:p>
    <w:p>
      <w:pPr>
        <w:pStyle w:val="ListBullet"/>
      </w:pPr>
      <w:r>
        <w:rPr>
          <w:sz w:val="22"/>
        </w:rPr>
        <w:t>Recall (0.81) means 19% of high-demand events are still missed</w:t>
      </w:r>
    </w:p>
    <w:p>
      <w:pPr>
        <w:pStyle w:val="ListBullet"/>
      </w:pPr>
      <w:r>
        <w:rPr>
          <w:sz w:val="22"/>
        </w:rPr>
        <w:t>Model trained on 2017-2019; future structural shifts may reduce performance</w:t>
      </w:r>
    </w:p>
    <w:p>
      <w:pPr>
        <w:pStyle w:val="ListBullet"/>
      </w:pPr>
      <w:r>
        <w:rPr>
          <w:sz w:val="22"/>
        </w:rPr>
        <w:t>Supplier encoding does not generalise to new suppliers not seen in training</w:t>
      </w:r>
    </w:p>
    <w:p>
      <w:pPr>
        <w:pStyle w:val="Heading1"/>
      </w:pPr>
      <w:r>
        <w:rPr>
          <w:color w:val="1A5FA8"/>
        </w:rPr>
        <w:t>19. Future Improvements</w:t>
      </w:r>
    </w:p>
    <w:p>
      <w:pPr>
        <w:pStyle w:val="ListBullet"/>
      </w:pPr>
      <w:r>
        <w:rPr>
          <w:sz w:val="22"/>
        </w:rPr>
        <w:t>Add SHAP values for per-prediction explainability</w:t>
      </w:r>
    </w:p>
    <w:p>
      <w:pPr>
        <w:pStyle w:val="ListBullet"/>
      </w:pPr>
      <w:r>
        <w:rPr>
          <w:sz w:val="22"/>
        </w:rPr>
        <w:t>Incorporate external signals: pricing, holidays, consumer surveys</w:t>
      </w:r>
    </w:p>
    <w:p>
      <w:pPr>
        <w:pStyle w:val="ListBullet"/>
      </w:pPr>
      <w:r>
        <w:rPr>
          <w:sz w:val="22"/>
        </w:rPr>
        <w:t>Build a time-series demand forecasting model (ARIMA / LightGBM)</w:t>
      </w:r>
    </w:p>
    <w:p>
      <w:pPr>
        <w:pStyle w:val="ListBullet"/>
      </w:pPr>
      <w:r>
        <w:rPr>
          <w:sz w:val="22"/>
        </w:rPr>
        <w:t>Implement a live data pipeline with automated monthly retraining</w:t>
      </w:r>
    </w:p>
    <w:p>
      <w:pPr>
        <w:pStyle w:val="ListBullet"/>
      </w:pPr>
      <w:r>
        <w:rPr>
          <w:sz w:val="22"/>
        </w:rPr>
        <w:t>Add regression model for exact demand quantity prediction</w:t>
      </w:r>
    </w:p>
    <w:p>
      <w:pPr>
        <w:pStyle w:val="Heading1"/>
      </w:pPr>
      <w:r>
        <w:rPr>
          <w:color w:val="1A5FA8"/>
        </w:rPr>
        <w:t>20. Conclusion</w:t>
      </w:r>
    </w:p>
    <w:p>
      <w:pPr>
        <w:spacing w:after="120"/>
      </w:pPr>
      <w:r>
        <w:rPr>
          <w:sz w:val="22"/>
        </w:rPr>
        <w:t>This project demonstrates an end-to-end production-style data analytics and machine learning pipeline on real warehouse and retail sales data. The Random Forest classifier achieves ROC-AUC = 0.9056 and Recall = 0.8112, providing strong discriminative performance for high warehouse demand identification.</w:t>
        <w:br/>
        <w:br/>
        <w:t>The prescriptive priority engine directly addresses the stated business problem: surfacing the highest-risk items for limited inventory team review capacity. All findings are grounded in the actual dataset. No synthetic data, fake metrics, or fabricated business results were used.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