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8D5175">
      <w:pPr>
        <w:pStyle w:val="24"/>
        <w:spacing w:before="100" w:beforeAutospacing="1" w:after="100" w:afterAutospacing="1"/>
        <w:rPr>
          <w:rFonts w:hint="default"/>
          <w:lang w:val="en-US"/>
        </w:rPr>
      </w:pPr>
      <w:r>
        <w:rPr>
          <w:rFonts w:hint="default"/>
          <w:lang w:val="en-US"/>
        </w:rPr>
        <w:t>Early Diagnosis of Coronary Artery Disease:An</w:t>
      </w:r>
    </w:p>
    <w:p w14:paraId="34A1C382">
      <w:pPr>
        <w:pStyle w:val="24"/>
        <w:spacing w:before="100" w:beforeAutospacing="1" w:after="100" w:afterAutospacing="1"/>
        <w:rPr>
          <w:rFonts w:hint="default"/>
          <w:lang w:val="en-US"/>
        </w:rPr>
      </w:pPr>
      <w:r>
        <w:rPr>
          <w:rFonts w:hint="default"/>
          <w:lang w:val="en-US"/>
        </w:rPr>
        <w:t>Integrated Deep Learning Approach With</w:t>
      </w:r>
    </w:p>
    <w:p w14:paraId="793870AB">
      <w:pPr>
        <w:pStyle w:val="24"/>
        <w:spacing w:before="100" w:beforeAutospacing="1" w:after="100" w:afterAutospacing="1"/>
        <w:rPr>
          <w:rFonts w:hint="default"/>
          <w:lang w:val="en-US"/>
        </w:rPr>
      </w:pPr>
      <w:r>
        <w:rPr>
          <w:rFonts w:hint="default"/>
          <w:lang w:val="en-US"/>
        </w:rPr>
        <w:t xml:space="preserve"> Borderline Smote and Autoencoders</w:t>
      </w:r>
    </w:p>
    <w:p w14:paraId="6A590B5A">
      <w:pPr>
        <w:pStyle w:val="17"/>
        <w:spacing w:before="100" w:beforeAutospacing="1" w:after="100" w:afterAutospacing="1" w:line="120" w:lineRule="auto"/>
        <w:jc w:val="both"/>
        <w:rPr>
          <w:sz w:val="16"/>
          <w:szCs w:val="16"/>
        </w:rPr>
      </w:pPr>
    </w:p>
    <w:p w14:paraId="336C8D5B">
      <w:pPr>
        <w:pStyle w:val="17"/>
        <w:spacing w:before="100" w:beforeAutospacing="1" w:after="100" w:afterAutospacing="1" w:line="120" w:lineRule="auto"/>
        <w:rPr>
          <w:sz w:val="16"/>
          <w:szCs w:val="16"/>
        </w:rPr>
      </w:pPr>
    </w:p>
    <w:p w14:paraId="52650ECD">
      <w:pPr>
        <w:pStyle w:val="17"/>
        <w:spacing w:before="100" w:beforeAutospacing="1" w:after="100" w:afterAutospacing="1" w:line="120" w:lineRule="auto"/>
        <w:rPr>
          <w:sz w:val="16"/>
          <w:szCs w:val="16"/>
        </w:rPr>
        <w:sectPr>
          <w:footerReference r:id="rId3" w:type="first"/>
          <w:pgSz w:w="11906" w:h="16838"/>
          <w:pgMar w:top="540" w:right="893" w:bottom="1440" w:left="893" w:header="720" w:footer="720" w:gutter="0"/>
          <w:cols w:space="720" w:num="1"/>
          <w:titlePg/>
          <w:docGrid w:linePitch="360" w:charSpace="0"/>
        </w:sectPr>
      </w:pPr>
    </w:p>
    <w:p w14:paraId="1AAAF396">
      <w:pPr>
        <w:pStyle w:val="17"/>
        <w:spacing w:before="100" w:beforeAutospacing="1"/>
        <w:rPr>
          <w:sz w:val="18"/>
          <w:szCs w:val="18"/>
        </w:rPr>
      </w:pPr>
      <w:r>
        <w:rPr>
          <w:rFonts w:hint="default"/>
          <w:sz w:val="18"/>
          <w:szCs w:val="18"/>
          <w:lang w:val="en-US"/>
        </w:rPr>
        <w:t>I.MOKSHITHA NAIDU</w:t>
      </w:r>
      <w:r>
        <w:rPr>
          <w:sz w:val="18"/>
          <w:szCs w:val="18"/>
        </w:rPr>
        <w:br w:type="textWrapping"/>
      </w:r>
      <w:r>
        <w:rPr>
          <w:sz w:val="18"/>
          <w:szCs w:val="18"/>
        </w:rPr>
        <w:t>Department of CSE</w:t>
      </w:r>
      <w:r>
        <w:rPr>
          <w:sz w:val="18"/>
          <w:szCs w:val="18"/>
        </w:rPr>
        <w:br w:type="textWrapping"/>
      </w:r>
      <w:r>
        <w:rPr>
          <w:sz w:val="18"/>
          <w:szCs w:val="18"/>
        </w:rPr>
        <w:t>CMR collge of Engineering &amp; Technology</w:t>
      </w:r>
      <w:r>
        <w:rPr>
          <w:i/>
          <w:sz w:val="18"/>
          <w:szCs w:val="18"/>
        </w:rPr>
        <w:br w:type="textWrapping"/>
      </w:r>
      <w:r>
        <w:rPr>
          <w:sz w:val="18"/>
          <w:szCs w:val="18"/>
        </w:rPr>
        <w:t>Hyderabad,TS,India</w:t>
      </w:r>
      <w:r>
        <w:rPr>
          <w:sz w:val="18"/>
          <w:szCs w:val="18"/>
        </w:rPr>
        <w:br w:type="textWrapping"/>
      </w:r>
      <w:r>
        <w:rPr>
          <w:rFonts w:hint="default"/>
          <w:sz w:val="18"/>
          <w:szCs w:val="18"/>
          <w:lang w:val="en-US"/>
        </w:rPr>
        <w:t>imokshithanaidu</w:t>
      </w:r>
      <w:r>
        <w:rPr>
          <w:sz w:val="18"/>
          <w:szCs w:val="18"/>
        </w:rPr>
        <w:t>@gmail.com</w:t>
      </w:r>
    </w:p>
    <w:p w14:paraId="1264A31B">
      <w:pPr>
        <w:pStyle w:val="17"/>
        <w:spacing w:before="100" w:beforeAutospacing="1"/>
        <w:rPr>
          <w:sz w:val="18"/>
          <w:szCs w:val="18"/>
        </w:rPr>
      </w:pPr>
      <w:r>
        <w:rPr>
          <w:sz w:val="18"/>
          <w:szCs w:val="18"/>
        </w:rPr>
        <w:br w:type="column"/>
      </w:r>
      <w:r>
        <w:rPr>
          <w:rFonts w:hint="default"/>
          <w:sz w:val="18"/>
          <w:szCs w:val="18"/>
          <w:lang w:val="en-US"/>
        </w:rPr>
        <w:t>G.SOWMYA</w:t>
      </w:r>
      <w:r>
        <w:rPr>
          <w:sz w:val="18"/>
          <w:szCs w:val="18"/>
        </w:rPr>
        <w:br w:type="textWrapping"/>
      </w:r>
      <w:r>
        <w:rPr>
          <w:sz w:val="18"/>
          <w:szCs w:val="18"/>
        </w:rPr>
        <w:t>Department of CSE</w:t>
      </w:r>
      <w:r>
        <w:rPr>
          <w:sz w:val="18"/>
          <w:szCs w:val="18"/>
        </w:rPr>
        <w:br w:type="textWrapping"/>
      </w:r>
      <w:r>
        <w:rPr>
          <w:sz w:val="18"/>
          <w:szCs w:val="18"/>
        </w:rPr>
        <w:t>CMR collge of Engineering &amp; Technology</w:t>
      </w:r>
      <w:r>
        <w:rPr>
          <w:i/>
          <w:sz w:val="18"/>
          <w:szCs w:val="18"/>
        </w:rPr>
        <w:br w:type="textWrapping"/>
      </w:r>
      <w:r>
        <w:rPr>
          <w:sz w:val="18"/>
          <w:szCs w:val="18"/>
        </w:rPr>
        <w:t>Hyderabad,TS,India</w:t>
      </w:r>
      <w:r>
        <w:rPr>
          <w:sz w:val="18"/>
          <w:szCs w:val="18"/>
        </w:rPr>
        <w:br w:type="textWrapping"/>
      </w:r>
      <w:r>
        <w:rPr>
          <w:rFonts w:hint="default"/>
          <w:sz w:val="18"/>
          <w:szCs w:val="18"/>
          <w:lang w:val="en-US"/>
        </w:rPr>
        <w:t>sowmyasoma2345</w:t>
      </w:r>
      <w:r>
        <w:rPr>
          <w:sz w:val="18"/>
          <w:szCs w:val="18"/>
        </w:rPr>
        <w:t>@gmail.com</w:t>
      </w:r>
    </w:p>
    <w:p w14:paraId="61E91191">
      <w:pPr>
        <w:pStyle w:val="17"/>
        <w:spacing w:before="100" w:beforeAutospacing="1"/>
        <w:rPr>
          <w:sz w:val="18"/>
          <w:szCs w:val="18"/>
        </w:rPr>
      </w:pPr>
      <w:r>
        <w:rPr>
          <w:sz w:val="18"/>
          <w:szCs w:val="18"/>
        </w:rPr>
        <w:t xml:space="preserve"> </w:t>
      </w:r>
      <w:r>
        <w:rPr>
          <w:sz w:val="18"/>
          <w:szCs w:val="18"/>
        </w:rPr>
        <w:br w:type="column"/>
      </w:r>
      <w:r>
        <w:rPr>
          <w:sz w:val="18"/>
          <w:szCs w:val="18"/>
        </w:rPr>
        <w:t>ANURADHA BOYA</w:t>
      </w:r>
    </w:p>
    <w:p w14:paraId="37F5E54F">
      <w:pPr>
        <w:pStyle w:val="17"/>
        <w:spacing w:before="0"/>
        <w:rPr>
          <w:sz w:val="18"/>
          <w:szCs w:val="18"/>
        </w:rPr>
      </w:pPr>
      <w:r>
        <w:rPr>
          <w:sz w:val="18"/>
          <w:szCs w:val="18"/>
        </w:rPr>
        <w:t>Department of CSE</w:t>
      </w:r>
    </w:p>
    <w:p w14:paraId="2F773C7C">
      <w:pPr>
        <w:pStyle w:val="17"/>
        <w:spacing w:before="0"/>
        <w:rPr>
          <w:sz w:val="18"/>
          <w:szCs w:val="18"/>
        </w:rPr>
      </w:pPr>
      <w:r>
        <w:rPr>
          <w:sz w:val="18"/>
          <w:szCs w:val="18"/>
        </w:rPr>
        <w:t>CMR collge of Engineering &amp; Technology</w:t>
      </w:r>
    </w:p>
    <w:p w14:paraId="7903F6EB">
      <w:pPr>
        <w:pStyle w:val="17"/>
        <w:spacing w:before="0"/>
        <w:rPr>
          <w:sz w:val="18"/>
          <w:szCs w:val="18"/>
        </w:rPr>
      </w:pPr>
      <w:r>
        <w:rPr>
          <w:sz w:val="18"/>
          <w:szCs w:val="18"/>
        </w:rPr>
        <w:t>Hyderabad,TS,India</w:t>
      </w:r>
    </w:p>
    <w:p w14:paraId="48E9ABED">
      <w:pPr>
        <w:pStyle w:val="17"/>
        <w:spacing w:before="0"/>
        <w:rPr>
          <w:sz w:val="18"/>
          <w:szCs w:val="18"/>
        </w:rPr>
      </w:pPr>
      <w:r>
        <w:rPr>
          <w:sz w:val="18"/>
          <w:szCs w:val="18"/>
        </w:rPr>
        <w:t>banuradha@cmrcet.ac.in</w:t>
      </w:r>
    </w:p>
    <w:p w14:paraId="38CE2D96">
      <w:pPr>
        <w:pStyle w:val="17"/>
        <w:spacing w:before="0"/>
        <w:jc w:val="both"/>
        <w:rPr>
          <w:sz w:val="18"/>
          <w:szCs w:val="18"/>
        </w:rPr>
      </w:pPr>
    </w:p>
    <w:p w14:paraId="244A7178">
      <w:pPr>
        <w:sectPr>
          <w:type w:val="continuous"/>
          <w:pgSz w:w="11906" w:h="16838"/>
          <w:pgMar w:top="450" w:right="893" w:bottom="1440" w:left="893" w:header="720" w:footer="720" w:gutter="0"/>
          <w:cols w:space="720" w:num="3"/>
          <w:docGrid w:linePitch="360" w:charSpace="0"/>
        </w:sectPr>
      </w:pPr>
    </w:p>
    <w:p w14:paraId="5793D5D4">
      <w:pPr>
        <w:sectPr>
          <w:type w:val="continuous"/>
          <w:pgSz w:w="11906" w:h="16838"/>
          <w:pgMar w:top="450" w:right="893" w:bottom="1440" w:left="893" w:header="720" w:footer="720" w:gutter="0"/>
          <w:cols w:space="720" w:num="3"/>
          <w:docGrid w:linePitch="360" w:charSpace="0"/>
        </w:sectPr>
      </w:pPr>
      <w:r>
        <w:br w:type="column"/>
      </w:r>
    </w:p>
    <w:p w14:paraId="617D7BCA">
      <w:pPr>
        <w:pStyle w:val="15"/>
      </w:pPr>
      <w:r>
        <w:rPr>
          <w:i/>
          <w:iCs/>
        </w:rPr>
        <w:t>Abstract</w:t>
      </w:r>
      <w:r>
        <w:t xml:space="preserve">— </w:t>
      </w:r>
      <w:r>
        <w:rPr>
          <w:rFonts w:hint="default"/>
        </w:rPr>
        <w:t>Coronary Artery Disease (CAD) is a dangerous and prevalent health issue, which is still plaguing millions of individuals across the globe. CAD diagnosis at an early stage is of high importance because a late diagnosis can cause serious complications and even death. Despite the current development of modern medical technologies, the proper diagnosis remains complicated due to the high percentage of existing methods that rely on the clinical assessment and the invasiveness of the tests that are performed manually. These methods tend to be time-consuming, subjective, and could differ in one clinician to another. Moreover, the conventional machine learning methods do not work effectively with imbalanced medical data, uncertain information and complicated clinical patterns. In order to tackle these challenges, this project will introduce an in-depth deep learning-based system of the early detection of Coronary Artery Disease. The system deploys Borderline SMOTE to balance the data set by enhancing the minority classes and Autoencoders to detect useful and clean features. Convolutional Neural Networks are then used to analyze these features to determine complex patterns in CAD. The combination increases reliability and classification. Moreover, the framework facilitates safe and interpretable data analysis, which will make clinicians have confidence in the system predictions. On the whole, the offered solution will enhance the quality of early diagnosis and decrease the number of diagnostic errors and promote more positive patient care outcomes.</w:t>
      </w:r>
    </w:p>
    <w:p w14:paraId="62D59206">
      <w:pPr>
        <w:pStyle w:val="2"/>
      </w:pPr>
      <w:r>
        <w:t xml:space="preserve">Introduction </w:t>
      </w:r>
    </w:p>
    <w:p w14:paraId="600185C7">
      <w:pPr>
        <w:pStyle w:val="12"/>
        <w:keepNext w:val="0"/>
        <w:keepLines w:val="0"/>
        <w:widowControl/>
        <w:suppressLineNumbers w:val="0"/>
        <w:rPr>
          <w:rFonts w:hint="default"/>
          <w:sz w:val="20"/>
          <w:szCs w:val="20"/>
        </w:rPr>
      </w:pPr>
      <w:r>
        <w:rPr>
          <w:rFonts w:hint="default"/>
          <w:sz w:val="20"/>
          <w:szCs w:val="20"/>
        </w:rPr>
        <w:t>The coronary artery disease (CAD) is a critical health risk across the whole globe and one of the major causes of death. More than 17.9 million people die because of cardiovascular diseases every year, and CAD is a significant portion of them, as the World Health Organization indicates. The timely identification of CAD is associated with an impressive increase in survival rates and respelling serious cardiac episodes. Research shows that with early diagnosis, the long-term outcome and quality of life of the patients are better as a result of timely healthcare response. CAD occurs as a result of the presence of plaque in the coronary arteries, which is determined by genetic factors, lifestyle practices, diabetes, hypertension and cholesterol imbalance. Though these factors vary in their cause, their combination makes the diseases more complex and more prone to progression. This connection emphasizes the relevance of early diagnosis. Early diagnosis can result in preventive treatment, less invasive surgeries, lower health care expenses and better health outcomes of the patients. In heart diseases, particularly, precision and early diagnosis plays a significant role, which necessitates a transition to the modern and data-oriented diagnostic methods as opposed to the traditional ones.</w:t>
      </w:r>
    </w:p>
    <w:p w14:paraId="1D5B6794">
      <w:pPr>
        <w:pStyle w:val="12"/>
        <w:keepNext w:val="0"/>
        <w:keepLines w:val="0"/>
        <w:widowControl/>
        <w:suppressLineNumbers w:val="0"/>
        <w:rPr>
          <w:rFonts w:hint="default"/>
          <w:sz w:val="20"/>
          <w:szCs w:val="20"/>
        </w:rPr>
      </w:pPr>
      <w:r>
        <w:rPr>
          <w:rFonts w:hint="default"/>
          <w:sz w:val="20"/>
          <w:szCs w:val="20"/>
        </w:rPr>
        <w:t>Conventional CAD diagnostic tools such as angiography, stress testing, and manual clinical assessment have a number of drawbacks. Such processes tend to be intrusive, costly and highly reliant on professional interpretation, and as a result, these diagnostic processes are prone to variability of diagnostic accuracy. Moreover, traditional machine learning methods used to predict CAD often rely on an unbalanced dataset, noisy clinical predictions, and high-dimensional medical data, which leads to a smaller reliability and performance compared to the latest deep learning methods.</w:t>
      </w:r>
    </w:p>
    <w:p w14:paraId="2959F2AE">
      <w:pPr>
        <w:pStyle w:val="12"/>
        <w:keepNext w:val="0"/>
        <w:keepLines w:val="0"/>
        <w:widowControl/>
        <w:suppressLineNumbers w:val="0"/>
        <w:rPr>
          <w:sz w:val="20"/>
          <w:szCs w:val="20"/>
        </w:rPr>
      </w:pPr>
      <w:r>
        <w:rPr>
          <w:rFonts w:hint="default"/>
          <w:sz w:val="20"/>
          <w:szCs w:val="20"/>
        </w:rPr>
        <w:t>The suggested study will enhance the detection of CAD at an early stage through the combination of deep learning and a sophisticated hybrid system. This method is a combination of Borderline SMOTE to balance the classes, Auto encoders to extract features effectively, and Convolutional Neural Networks to classify them effectively. The single system is aimed to streamline diagnostic process and bring about efficiency on the healthcare provider by automating diagnosis and improving the accuracy of prediction and the clinical decision-making.</w:t>
      </w:r>
    </w:p>
    <w:p w14:paraId="2BA0DD1F">
      <w:pPr>
        <w:pStyle w:val="2"/>
      </w:pPr>
      <w:r>
        <w:t>Literature Review</w:t>
      </w:r>
    </w:p>
    <w:p w14:paraId="4F32767C">
      <w:pPr>
        <w:jc w:val="both"/>
        <w:rPr>
          <w:rFonts w:hint="default"/>
        </w:rPr>
      </w:pPr>
      <w:r>
        <w:rPr>
          <w:rFonts w:hint="default"/>
        </w:rPr>
        <w:t>Machine learning and deep learning models have been examined by numerous researchers as a way of diagnosing Coronary Artery Disease using clinical and non-invasive cardiovascular data sources. Alizadehsani et al. [1] presented an in-depth literature review of machine learning algorithms used in CAD diagnosis. The paper focused on the Decision Trees, Support Vector Machines, and Neural Networks, with promising results in its accuracy and with a focus on the issues of class imbalance, noisy features, and reduced generalization in real-world medical data. Kononenko [2] held a discussion on the development of machine learning in medical diagnosis and stated that the traditional models tend not to understand complex nonlinear relationships that are usually found in cardiovascular datasets.</w:t>
      </w:r>
    </w:p>
    <w:p w14:paraId="03938E43">
      <w:pPr>
        <w:jc w:val="both"/>
        <w:rPr>
          <w:rFonts w:hint="default"/>
        </w:rPr>
      </w:pPr>
      <w:r>
        <w:rPr>
          <w:rFonts w:hint="default"/>
        </w:rPr>
        <w:t>Nasarian et al. [3] developed a hybrid CAD prediction framework that balances the strategy of feature selection with data balancing. They were better at classification, but model scalability and flexibility were limited by their use of handcrafted features. Saman Khalid et al. [4] applied an ensemble-based CAD prediction system with the help of Convolutional Neural Networks and Random Forest classifiers to non-invasive clinical data. Though their model was more successful, there were not enough mechanisms of handling imbalances, which enhanced the chances of biased predictions. Moreover, risk estimation at the severity level was not provided, which diminished clinical application.</w:t>
      </w:r>
    </w:p>
    <w:p w14:paraId="23377415">
      <w:pPr>
        <w:jc w:val="both"/>
        <w:rPr>
          <w:rFonts w:hint="default"/>
        </w:rPr>
      </w:pPr>
      <w:r>
        <w:rPr>
          <w:rFonts w:hint="default"/>
        </w:rPr>
        <w:t>Muhammad Sajid et al. [5] introduced the AI-based CADR, which is a CAD risk stratification framework developed with the help of artificial intelligence that combines SMOTE to balance the imbalances and SHAP to interpret the results. Although the system was confirmed to have an excellent performance on small data sets, it failed to perform well on large imbalanced data and external validation was not conducted. The study by Acharya et al. [6] used deep neural networks to diagnose CAD through ECG signals, with a high sensitivity, but sensitivity was affected because of signal noise and redundancy.</w:t>
      </w:r>
    </w:p>
    <w:p w14:paraId="360BCA4B">
      <w:pPr>
        <w:jc w:val="both"/>
      </w:pPr>
      <w:r>
        <w:rPr>
          <w:rFonts w:hint="default"/>
        </w:rPr>
        <w:t>Newer papers are moving towards deep learning models like Autoencoders and Convolutional Neural Networks to address the drawbacks of the previous models. Autoencoders enhance noise cancellation and feature encoding, whereas CNNs are efficient to learn complicated cardiovascular dynamics. Nevertheless, there are numerous current approaches, which remain insufficient to resolve the issue of class imbalance, resulting in bad prediction of minority classes. On the whole, even though the current state is greatly improved, the issues of imbalance, noise, interpretability, and generalization remain, which spurs the suggested unified CAD diagnostic framework.</w:t>
      </w:r>
    </w:p>
    <w:p w14:paraId="308C0936">
      <w:pPr>
        <w:pStyle w:val="2"/>
      </w:pPr>
      <w:r>
        <w:t>Methodlogy</w:t>
      </w:r>
    </w:p>
    <w:p w14:paraId="099CB8A1">
      <w:pPr>
        <w:pStyle w:val="3"/>
      </w:pPr>
      <w:r>
        <w:t>Proposed  Architecture</w:t>
      </w:r>
    </w:p>
    <w:p w14:paraId="4A1B0BF5">
      <w:pPr>
        <w:pStyle w:val="12"/>
        <w:keepNext w:val="0"/>
        <w:keepLines w:val="0"/>
        <w:widowControl/>
        <w:suppressLineNumbers w:val="0"/>
      </w:pPr>
      <w:r>
        <w:rPr>
          <w:sz w:val="20"/>
          <w:szCs w:val="20"/>
        </w:rPr>
        <w:t>This architecture is the report of a hybrid deep learning system that was designed to forecast the risk of Coronary Artery Disease early on based on both clinical and cardiac MRI data. Its framework is structured in a form of two parallel processing routes that enable it to process various medical data to enhance the quality of diagnosis in general.</w:t>
      </w:r>
    </w:p>
    <w:p w14:paraId="7E16CCEA">
      <w:pPr>
        <w:pStyle w:val="12"/>
        <w:keepNext w:val="0"/>
        <w:keepLines w:val="0"/>
        <w:widowControl/>
        <w:suppressLineNumbers w:val="0"/>
      </w:pPr>
      <w:r>
        <w:rPr>
          <w:sz w:val="20"/>
          <w:szCs w:val="20"/>
        </w:rPr>
        <w:t xml:space="preserve">The former route is centered on the clinical contributions, including age, body mass index, waist circumference, systolic blood pressure, hypertension, the presence of diabetes, and </w:t>
      </w:r>
      <w:r>
        <w:rPr>
          <w:sz w:val="20"/>
          <w:szCs w:val="20"/>
        </w:rPr>
        <w:t xml:space="preserve">familial history. These characteristics are standardized and first encoded in such a way that it is on </w:t>
      </w:r>
    </w:p>
    <w:p w14:paraId="11D89B32">
      <w:pPr>
        <w:jc w:val="left"/>
        <w:rPr>
          <w:b/>
          <w:bCs/>
        </w:rPr>
      </w:pPr>
      <w:r>
        <w:rPr>
          <w:b/>
          <w:bCs/>
        </w:rPr>
        <w:drawing>
          <wp:inline distT="0" distB="0" distL="114300" distR="114300">
            <wp:extent cx="3078480" cy="2052320"/>
            <wp:effectExtent l="0" t="0" r="7620" b="5080"/>
            <wp:docPr id="7" name="Picture 6" descr="Gemini_Generated_Image_klow45klow45k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Gemini_Generated_Image_klow45klow45klow"/>
                    <pic:cNvPicPr>
                      <a:picLocks noChangeAspect="1"/>
                    </pic:cNvPicPr>
                  </pic:nvPicPr>
                  <pic:blipFill>
                    <a:blip r:embed="rId5"/>
                    <a:stretch>
                      <a:fillRect/>
                    </a:stretch>
                  </pic:blipFill>
                  <pic:spPr>
                    <a:xfrm>
                      <a:off x="0" y="0"/>
                      <a:ext cx="3078480" cy="2052320"/>
                    </a:xfrm>
                    <a:prstGeom prst="rect">
                      <a:avLst/>
                    </a:prstGeom>
                    <a:noFill/>
                    <a:ln>
                      <a:noFill/>
                    </a:ln>
                  </pic:spPr>
                </pic:pic>
              </a:graphicData>
            </a:graphic>
          </wp:inline>
        </w:drawing>
      </w:r>
    </w:p>
    <w:p w14:paraId="01650EBF">
      <w:pPr>
        <w:pStyle w:val="12"/>
        <w:keepNext w:val="0"/>
        <w:keepLines w:val="0"/>
        <w:widowControl/>
        <w:suppressLineNumbers w:val="0"/>
        <w:spacing w:before="0" w:beforeAutospacing="1" w:after="0" w:afterAutospacing="1"/>
        <w:ind w:left="0" w:right="0"/>
        <w:jc w:val="left"/>
        <w:rPr>
          <w:rFonts w:hint="default" w:ascii="Times New Roman" w:hAnsi="Times New Roman" w:eastAsia="SimSun" w:cs="Times New Roman"/>
          <w:kern w:val="0"/>
          <w:sz w:val="20"/>
          <w:szCs w:val="20"/>
          <w:lang w:val="en-US" w:eastAsia="zh-CN" w:bidi="ar"/>
        </w:rPr>
      </w:pPr>
      <w:r>
        <w:rPr>
          <w:rFonts w:hint="default" w:ascii="Times New Roman" w:hAnsi="Times New Roman" w:eastAsia="SimSun" w:cs="Times New Roman"/>
          <w:kern w:val="0"/>
          <w:sz w:val="20"/>
          <w:szCs w:val="20"/>
          <w:lang w:val="en-US" w:eastAsia="zh-CN" w:bidi="ar"/>
        </w:rPr>
        <w:t>the same scale. The resulting processed data is then subjected to a pre-trained autoencoder, which facilitates the elimination of noise and simplification of data as well as eliminates important clinical patterns. A tabular risk model uses the latent features extracted to estimate patient risk using clinical factors.</w:t>
      </w:r>
    </w:p>
    <w:p w14:paraId="6DA0877E">
      <w:pPr>
        <w:pStyle w:val="12"/>
        <w:keepNext w:val="0"/>
        <w:keepLines w:val="0"/>
        <w:widowControl/>
        <w:suppressLineNumbers w:val="0"/>
        <w:rPr>
          <w:sz w:val="20"/>
          <w:szCs w:val="20"/>
        </w:rPr>
      </w:pPr>
      <w:r>
        <w:rPr>
          <w:sz w:val="20"/>
          <w:szCs w:val="20"/>
        </w:rPr>
        <w:t xml:space="preserve">The second pathway processes cardiac MRI images with a deep convolutional neural network that is based on the ResNet50 architecture. The MRI images are subjected to several convolutional and dense layers, and a probability score that is the cardiac risk based on the imaging data is obtained by means of a sigmoid activation function. </w:t>
      </w:r>
    </w:p>
    <w:p w14:paraId="2AF92C59">
      <w:pPr>
        <w:pStyle w:val="12"/>
        <w:keepNext w:val="0"/>
        <w:keepLines w:val="0"/>
        <w:widowControl/>
        <w:suppressLineNumbers w:val="0"/>
        <w:rPr>
          <w:b/>
          <w:bCs/>
        </w:rPr>
      </w:pPr>
      <w:r>
        <w:rPr>
          <w:sz w:val="20"/>
          <w:szCs w:val="20"/>
        </w:rPr>
        <w:t>Lastly, the results of the two pathways are fused through a hybrid risk fusion module. This module uses adaptive weighted fusion methodology, which automatically suits the degree of relevance to apply to medical records and the MRI records. The resulting end risk score puts the patients in low-risk or moderate-risk or uncertainty categories. The system enhances the reliability of prediction and assists in making improved clinical decisions regarding Coronary Artery by combining several sources of data.</w:t>
      </w:r>
    </w:p>
    <w:p w14:paraId="66F79225">
      <w:pPr>
        <w:pStyle w:val="3"/>
      </w:pPr>
      <w:r>
        <w:t>Dataset Description</w:t>
      </w:r>
    </w:p>
    <w:p w14:paraId="36C59836">
      <w:pPr>
        <w:pStyle w:val="12"/>
        <w:keepNext w:val="0"/>
        <w:keepLines w:val="0"/>
        <w:widowControl/>
        <w:suppressLineNumbers w:val="0"/>
      </w:pPr>
      <w:r>
        <w:rPr>
          <w:sz w:val="20"/>
          <w:szCs w:val="20"/>
        </w:rPr>
        <w:t>The dataset is divided into two main portions, namely Neuro-imaging MRI scans and Clinical Coronary Artery Disease (CAD) data.</w:t>
      </w:r>
      <w:r>
        <w:t xml:space="preserve"> </w:t>
      </w:r>
    </w:p>
    <w:p w14:paraId="6FEE4871">
      <w:pPr>
        <w:pStyle w:val="12"/>
        <w:keepNext w:val="0"/>
        <w:keepLines w:val="0"/>
        <w:widowControl/>
        <w:suppressLineNumbers w:val="0"/>
      </w:pPr>
      <w:r>
        <w:drawing>
          <wp:inline distT="0" distB="0" distL="114300" distR="114300">
            <wp:extent cx="3088005" cy="1908810"/>
            <wp:effectExtent l="0" t="0" r="10795" b="889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6"/>
                    <a:stretch>
                      <a:fillRect/>
                    </a:stretch>
                  </pic:blipFill>
                  <pic:spPr>
                    <a:xfrm>
                      <a:off x="0" y="0"/>
                      <a:ext cx="3088005" cy="1908810"/>
                    </a:xfrm>
                    <a:prstGeom prst="rect">
                      <a:avLst/>
                    </a:prstGeom>
                    <a:noFill/>
                    <a:ln>
                      <a:noFill/>
                    </a:ln>
                  </pic:spPr>
                </pic:pic>
              </a:graphicData>
            </a:graphic>
          </wp:inline>
        </w:drawing>
      </w:r>
    </w:p>
    <w:p w14:paraId="0B0784F0">
      <w:pPr>
        <w:pStyle w:val="12"/>
        <w:keepNext w:val="0"/>
        <w:keepLines w:val="0"/>
        <w:widowControl/>
        <w:suppressLineNumbers w:val="0"/>
        <w:rPr>
          <w:sz w:val="20"/>
          <w:szCs w:val="20"/>
        </w:rPr>
      </w:pPr>
      <w:r>
        <w:rPr>
          <w:sz w:val="20"/>
          <w:szCs w:val="20"/>
        </w:rPr>
        <w:t xml:space="preserve">The MRI subset comprises brain scans of high quality, which are labeled into two categories, Normal and Abnormal, and allow binary classification of neurological health conditions. The Normal category holds the MRI scans of healthy brain structure with no visible lesions, anomalies, or structural deviation, whereas the Abnormal category holds the scans with pathological anomalies that are utilized to train the model to detect the deviation of the normal neurological patterns. Deep learning approaches are mainly applied to this imaging data to support a pre-assessment process of the medical professionals through image classification. </w:t>
      </w:r>
    </w:p>
    <w:p w14:paraId="7440389B">
      <w:pPr>
        <w:pStyle w:val="12"/>
        <w:keepNext w:val="0"/>
        <w:keepLines w:val="0"/>
        <w:widowControl/>
        <w:suppressLineNumbers w:val="0"/>
        <w:rPr>
          <w:sz w:val="20"/>
          <w:szCs w:val="20"/>
        </w:rPr>
      </w:pPr>
      <w:r>
        <w:rPr>
          <w:sz w:val="20"/>
          <w:szCs w:val="20"/>
        </w:rPr>
        <w:t>Besides the imaging data, there is also a clinical CAD dataset which helps during cardiovascular risk assessment. This table data has 113 patient records and is divided into two categories which include Normal and Abnormal. The class called to be normal has 49 records which are healthy cardiovascular conditions or negligible stenosis and Abnormal has 64 records which are mild to severe coronary artery disease. All of the records comprise 41 clinical, demographic and molecular characteristics including age, gender, BMI, blood pressure, miRNA biomarkers, inflammatory markers, oxidative stress indicators, Gensini scores and stenosis percentages. These dual-modality datasets together permit the complete learning of both visual and physiological biomarkers, which can be used to classify correctly normal and abnormal health conditions and can be used to analyze automated medical diagnostic analysis.</w:t>
      </w:r>
    </w:p>
    <w:p w14:paraId="14A94229">
      <w:pPr>
        <w:pStyle w:val="12"/>
        <w:keepNext w:val="0"/>
        <w:keepLines w:val="0"/>
        <w:widowControl/>
        <w:suppressLineNumbers w:val="0"/>
      </w:pPr>
    </w:p>
    <w:p w14:paraId="2CED0B44">
      <w:pPr>
        <w:pStyle w:val="3"/>
      </w:pPr>
      <w:r>
        <w:t>Modified sinh gelu Activation</w:t>
      </w:r>
    </w:p>
    <w:p w14:paraId="06B395BA">
      <w:pPr>
        <w:jc w:val="both"/>
      </w:pPr>
      <w:r>
        <w:t>The modified sinh-GELU activation function is an advanced version of the GELU (Gaussian Error Linear Unit) activation used in deep neural networks. It combines the properties of the hyperbolic sine function and the GELU function to improve gradient flow an</w:t>
      </w:r>
      <w:r>
        <w:rPr>
          <w:rFonts w:hint="eastAsia"/>
        </w:rPr>
        <w:t>d achieve smoother nonlinearity. The standard GELU is defined as</w:t>
      </w:r>
    </w:p>
    <w:p w14:paraId="3312FFF1">
      <w:pPr>
        <w:jc w:val="both"/>
      </w:pPr>
      <w:r>
        <w:rPr>
          <w:rFonts w:hint="eastAsia"/>
        </w:rPr>
        <w:t xml:space="preserve"> GELU(x) = x × Φ(x), where Φ(x) is the cumulative distribution function of the normal distribution, expressed as Φ(x) = 0.5 × [1 + erf(x / √2)]. </w:t>
      </w:r>
    </w:p>
    <w:p w14:paraId="0B3D513E">
      <w:pPr>
        <w:jc w:val="both"/>
      </w:pPr>
      <w:r>
        <w:rPr>
          <w:rFonts w:hint="eastAsia"/>
        </w:rPr>
        <w:t>This makes GELU(x) = 0.5x × [1 + erf(x / √2)].</w:t>
      </w:r>
    </w:p>
    <w:p w14:paraId="05ADE48B">
      <w:pPr>
        <w:jc w:val="both"/>
      </w:pPr>
    </w:p>
    <w:p w14:paraId="0F7DA8BA">
      <w:pPr>
        <w:jc w:val="both"/>
      </w:pPr>
      <w:r>
        <w:t>The modified version introduces sinh to enhance the model’s learning stability.</w:t>
      </w:r>
    </w:p>
    <w:p w14:paraId="6F57BECE">
      <w:pPr>
        <w:jc w:val="both"/>
      </w:pPr>
      <w:r>
        <w:rPr>
          <w:rFonts w:hint="eastAsia"/>
        </w:rPr>
        <w:t>Modified sinh-</w:t>
      </w:r>
    </w:p>
    <w:p w14:paraId="142AB82E">
      <w:pPr>
        <w:jc w:val="both"/>
      </w:pPr>
      <w:r>
        <w:rPr>
          <w:rFonts w:hint="eastAsia"/>
        </w:rPr>
        <w:t>GELU(x) = x × sinh(0.5x × [1 + erf(x /√2)])</w:t>
      </w:r>
    </w:p>
    <w:p w14:paraId="7BD9A538">
      <w:pPr>
        <w:jc w:val="both"/>
      </w:pPr>
      <w:r>
        <w:t>Here, sinh(x) = (e^x − e^−x) / 2, which adds a symmetric and smooth curve that helps the model better handle both positive and negative input values. This modification results in more stable gradients, reduced vanishing effects, and improved convergence speed during training.Overall, the modified sinh-GELU activation provides smoother activation transitions, better representation learning, and higher accuracy compared to traditional functions like ReLU, Swish, or standard GELU, making it especially effective in deep models such as ResNet50.</w:t>
      </w:r>
    </w:p>
    <w:p w14:paraId="1CE8D896">
      <w:pPr>
        <w:pStyle w:val="2"/>
      </w:pPr>
      <w:r>
        <w:t>results and discussions</w:t>
      </w:r>
    </w:p>
    <w:p w14:paraId="7948ED32">
      <w:pPr>
        <w:pStyle w:val="3"/>
      </w:pPr>
      <w:r>
        <w:t>Precision</w:t>
      </w:r>
    </w:p>
    <w:tbl>
      <w:tblPr>
        <w:tblStyle w:val="8"/>
        <w:tblW w:w="56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8"/>
        <w:gridCol w:w="761"/>
        <w:gridCol w:w="761"/>
        <w:gridCol w:w="794"/>
        <w:gridCol w:w="1039"/>
        <w:gridCol w:w="827"/>
      </w:tblGrid>
      <w:tr w14:paraId="5CC39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67" w:hRule="atLeast"/>
        </w:trPr>
        <w:tc>
          <w:tcPr>
            <w:tcW w:w="1438" w:type="dxa"/>
            <w:noWrap w:val="0"/>
            <w:vAlign w:val="top"/>
          </w:tcPr>
          <w:p w14:paraId="42B6C2F1">
            <w:pPr>
              <w:jc w:val="both"/>
              <w:rPr>
                <w:sz w:val="16"/>
                <w:szCs w:val="16"/>
              </w:rPr>
            </w:pPr>
          </w:p>
          <w:p w14:paraId="2D4F4AC9">
            <w:pPr>
              <w:jc w:val="both"/>
              <w:rPr>
                <w:sz w:val="16"/>
                <w:szCs w:val="16"/>
              </w:rPr>
            </w:pPr>
            <w:r>
              <w:rPr>
                <w:sz w:val="16"/>
                <w:szCs w:val="16"/>
              </w:rPr>
              <w:t>Model</w:t>
            </w:r>
          </w:p>
          <w:p w14:paraId="1CC0B912">
            <w:pPr>
              <w:jc w:val="both"/>
              <w:rPr>
                <w:sz w:val="16"/>
                <w:szCs w:val="16"/>
              </w:rPr>
            </w:pPr>
            <w:r>
              <w:rPr>
                <w:sz w:val="16"/>
                <w:szCs w:val="16"/>
              </w:rPr>
              <w:t xml:space="preserve">Name         </w:t>
            </w:r>
          </w:p>
        </w:tc>
        <w:tc>
          <w:tcPr>
            <w:tcW w:w="761" w:type="dxa"/>
            <w:noWrap w:val="0"/>
            <w:vAlign w:val="top"/>
          </w:tcPr>
          <w:p w14:paraId="28C98089">
            <w:pPr>
              <w:jc w:val="both"/>
              <w:rPr>
                <w:sz w:val="16"/>
                <w:szCs w:val="16"/>
              </w:rPr>
            </w:pPr>
          </w:p>
          <w:p w14:paraId="18E14A3A">
            <w:pPr>
              <w:jc w:val="both"/>
              <w:rPr>
                <w:sz w:val="16"/>
                <w:szCs w:val="16"/>
              </w:rPr>
            </w:pPr>
            <w:r>
              <w:rPr>
                <w:sz w:val="16"/>
                <w:szCs w:val="16"/>
              </w:rPr>
              <w:t>No Tumor</w:t>
            </w:r>
          </w:p>
        </w:tc>
        <w:tc>
          <w:tcPr>
            <w:tcW w:w="761" w:type="dxa"/>
            <w:noWrap w:val="0"/>
            <w:vAlign w:val="top"/>
          </w:tcPr>
          <w:p w14:paraId="1F5FB7F9">
            <w:pPr>
              <w:jc w:val="both"/>
              <w:rPr>
                <w:sz w:val="16"/>
                <w:szCs w:val="16"/>
              </w:rPr>
            </w:pPr>
          </w:p>
          <w:p w14:paraId="29CB898B">
            <w:pPr>
              <w:jc w:val="both"/>
              <w:rPr>
                <w:sz w:val="16"/>
                <w:szCs w:val="16"/>
              </w:rPr>
            </w:pPr>
          </w:p>
          <w:p w14:paraId="74E983C2">
            <w:pPr>
              <w:jc w:val="both"/>
              <w:rPr>
                <w:sz w:val="16"/>
                <w:szCs w:val="16"/>
              </w:rPr>
            </w:pPr>
            <w:r>
              <w:rPr>
                <w:sz w:val="16"/>
                <w:szCs w:val="16"/>
              </w:rPr>
              <w:t>Tumor</w:t>
            </w:r>
          </w:p>
        </w:tc>
        <w:tc>
          <w:tcPr>
            <w:tcW w:w="794" w:type="dxa"/>
            <w:noWrap w:val="0"/>
            <w:vAlign w:val="top"/>
          </w:tcPr>
          <w:p w14:paraId="53D700CD">
            <w:pPr>
              <w:jc w:val="both"/>
              <w:rPr>
                <w:sz w:val="16"/>
                <w:szCs w:val="16"/>
              </w:rPr>
            </w:pPr>
          </w:p>
          <w:p w14:paraId="222D9508">
            <w:pPr>
              <w:jc w:val="both"/>
              <w:rPr>
                <w:sz w:val="16"/>
                <w:szCs w:val="16"/>
              </w:rPr>
            </w:pPr>
          </w:p>
          <w:p w14:paraId="0D025BC1">
            <w:pPr>
              <w:jc w:val="both"/>
              <w:rPr>
                <w:sz w:val="16"/>
                <w:szCs w:val="16"/>
              </w:rPr>
            </w:pPr>
            <w:r>
              <w:rPr>
                <w:sz w:val="16"/>
                <w:szCs w:val="16"/>
              </w:rPr>
              <w:t>Benign</w:t>
            </w:r>
          </w:p>
        </w:tc>
        <w:tc>
          <w:tcPr>
            <w:tcW w:w="1039" w:type="dxa"/>
            <w:noWrap w:val="0"/>
            <w:vAlign w:val="top"/>
          </w:tcPr>
          <w:p w14:paraId="40409877">
            <w:pPr>
              <w:jc w:val="both"/>
              <w:rPr>
                <w:sz w:val="16"/>
                <w:szCs w:val="16"/>
              </w:rPr>
            </w:pPr>
          </w:p>
          <w:p w14:paraId="548C0EEE">
            <w:pPr>
              <w:jc w:val="both"/>
              <w:rPr>
                <w:sz w:val="16"/>
                <w:szCs w:val="16"/>
              </w:rPr>
            </w:pPr>
          </w:p>
          <w:p w14:paraId="4D2EA753">
            <w:pPr>
              <w:jc w:val="both"/>
              <w:rPr>
                <w:sz w:val="16"/>
                <w:szCs w:val="16"/>
              </w:rPr>
            </w:pPr>
            <w:r>
              <w:rPr>
                <w:sz w:val="16"/>
                <w:szCs w:val="16"/>
              </w:rPr>
              <w:t>Malignant</w:t>
            </w:r>
          </w:p>
        </w:tc>
        <w:tc>
          <w:tcPr>
            <w:tcW w:w="827" w:type="dxa"/>
            <w:noWrap w:val="0"/>
            <w:vAlign w:val="top"/>
          </w:tcPr>
          <w:p w14:paraId="13C3D55A">
            <w:pPr>
              <w:jc w:val="both"/>
              <w:rPr>
                <w:sz w:val="16"/>
                <w:szCs w:val="16"/>
              </w:rPr>
            </w:pPr>
          </w:p>
          <w:p w14:paraId="7F58063F">
            <w:pPr>
              <w:jc w:val="both"/>
              <w:rPr>
                <w:sz w:val="16"/>
                <w:szCs w:val="16"/>
              </w:rPr>
            </w:pPr>
          </w:p>
          <w:p w14:paraId="1CF39C0E">
            <w:pPr>
              <w:jc w:val="both"/>
              <w:rPr>
                <w:sz w:val="16"/>
                <w:szCs w:val="16"/>
              </w:rPr>
            </w:pPr>
            <w:r>
              <w:rPr>
                <w:sz w:val="16"/>
                <w:szCs w:val="16"/>
              </w:rPr>
              <w:t>Normal</w:t>
            </w:r>
          </w:p>
        </w:tc>
      </w:tr>
      <w:tr w14:paraId="31404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21" w:hRule="atLeast"/>
        </w:trPr>
        <w:tc>
          <w:tcPr>
            <w:tcW w:w="1438" w:type="dxa"/>
            <w:noWrap w:val="0"/>
            <w:vAlign w:val="top"/>
          </w:tcPr>
          <w:p w14:paraId="380634B6">
            <w:pPr>
              <w:jc w:val="both"/>
              <w:rPr>
                <w:sz w:val="16"/>
                <w:szCs w:val="16"/>
              </w:rPr>
            </w:pPr>
            <w:r>
              <w:rPr>
                <w:sz w:val="16"/>
                <w:szCs w:val="16"/>
              </w:rPr>
              <w:t>VGG19</w:t>
            </w:r>
          </w:p>
        </w:tc>
        <w:tc>
          <w:tcPr>
            <w:tcW w:w="761" w:type="dxa"/>
            <w:noWrap w:val="0"/>
            <w:vAlign w:val="top"/>
          </w:tcPr>
          <w:p w14:paraId="4FF08E0E">
            <w:pPr>
              <w:jc w:val="both"/>
              <w:rPr>
                <w:sz w:val="16"/>
                <w:szCs w:val="16"/>
              </w:rPr>
            </w:pPr>
            <w:r>
              <w:rPr>
                <w:sz w:val="16"/>
                <w:szCs w:val="16"/>
              </w:rPr>
              <w:t>0.98</w:t>
            </w:r>
          </w:p>
        </w:tc>
        <w:tc>
          <w:tcPr>
            <w:tcW w:w="761" w:type="dxa"/>
            <w:noWrap w:val="0"/>
            <w:vAlign w:val="top"/>
          </w:tcPr>
          <w:p w14:paraId="299C42E6">
            <w:pPr>
              <w:jc w:val="both"/>
              <w:rPr>
                <w:sz w:val="16"/>
                <w:szCs w:val="16"/>
              </w:rPr>
            </w:pPr>
            <w:r>
              <w:rPr>
                <w:sz w:val="16"/>
                <w:szCs w:val="16"/>
              </w:rPr>
              <w:t>0.99</w:t>
            </w:r>
          </w:p>
        </w:tc>
        <w:tc>
          <w:tcPr>
            <w:tcW w:w="794" w:type="dxa"/>
            <w:noWrap w:val="0"/>
            <w:vAlign w:val="top"/>
          </w:tcPr>
          <w:p w14:paraId="52CB34AA">
            <w:pPr>
              <w:jc w:val="both"/>
              <w:rPr>
                <w:sz w:val="16"/>
                <w:szCs w:val="16"/>
              </w:rPr>
            </w:pPr>
            <w:r>
              <w:rPr>
                <w:sz w:val="16"/>
                <w:szCs w:val="16"/>
              </w:rPr>
              <w:t>0.94</w:t>
            </w:r>
          </w:p>
        </w:tc>
        <w:tc>
          <w:tcPr>
            <w:tcW w:w="1039" w:type="dxa"/>
            <w:noWrap w:val="0"/>
            <w:vAlign w:val="top"/>
          </w:tcPr>
          <w:p w14:paraId="7AEB3F0D">
            <w:pPr>
              <w:jc w:val="both"/>
              <w:rPr>
                <w:sz w:val="16"/>
                <w:szCs w:val="16"/>
              </w:rPr>
            </w:pPr>
            <w:r>
              <w:rPr>
                <w:sz w:val="16"/>
                <w:szCs w:val="16"/>
              </w:rPr>
              <w:t>0.98</w:t>
            </w:r>
          </w:p>
        </w:tc>
        <w:tc>
          <w:tcPr>
            <w:tcW w:w="827" w:type="dxa"/>
            <w:noWrap w:val="0"/>
            <w:vAlign w:val="top"/>
          </w:tcPr>
          <w:p w14:paraId="3B33DD4A">
            <w:pPr>
              <w:jc w:val="both"/>
              <w:rPr>
                <w:sz w:val="16"/>
                <w:szCs w:val="16"/>
              </w:rPr>
            </w:pPr>
            <w:r>
              <w:rPr>
                <w:sz w:val="16"/>
                <w:szCs w:val="16"/>
              </w:rPr>
              <w:t>0.99</w:t>
            </w:r>
          </w:p>
        </w:tc>
      </w:tr>
      <w:tr w14:paraId="2010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21" w:hRule="atLeast"/>
        </w:trPr>
        <w:tc>
          <w:tcPr>
            <w:tcW w:w="1438" w:type="dxa"/>
            <w:noWrap w:val="0"/>
            <w:vAlign w:val="top"/>
          </w:tcPr>
          <w:p w14:paraId="0AF78180">
            <w:pPr>
              <w:jc w:val="both"/>
              <w:rPr>
                <w:sz w:val="16"/>
                <w:szCs w:val="16"/>
              </w:rPr>
            </w:pPr>
            <w:r>
              <w:rPr>
                <w:sz w:val="16"/>
                <w:szCs w:val="16"/>
              </w:rPr>
              <w:t>ResNet50</w:t>
            </w:r>
          </w:p>
        </w:tc>
        <w:tc>
          <w:tcPr>
            <w:tcW w:w="761" w:type="dxa"/>
            <w:noWrap w:val="0"/>
            <w:vAlign w:val="top"/>
          </w:tcPr>
          <w:p w14:paraId="63C5C0D0">
            <w:pPr>
              <w:jc w:val="both"/>
              <w:rPr>
                <w:sz w:val="16"/>
                <w:szCs w:val="16"/>
              </w:rPr>
            </w:pPr>
            <w:r>
              <w:rPr>
                <w:sz w:val="16"/>
                <w:szCs w:val="16"/>
              </w:rPr>
              <w:t>1</w:t>
            </w:r>
          </w:p>
        </w:tc>
        <w:tc>
          <w:tcPr>
            <w:tcW w:w="761" w:type="dxa"/>
            <w:noWrap w:val="0"/>
            <w:vAlign w:val="top"/>
          </w:tcPr>
          <w:p w14:paraId="60352750">
            <w:pPr>
              <w:jc w:val="both"/>
              <w:rPr>
                <w:sz w:val="16"/>
                <w:szCs w:val="16"/>
              </w:rPr>
            </w:pPr>
            <w:r>
              <w:rPr>
                <w:sz w:val="16"/>
                <w:szCs w:val="16"/>
              </w:rPr>
              <w:t>0.99</w:t>
            </w:r>
          </w:p>
        </w:tc>
        <w:tc>
          <w:tcPr>
            <w:tcW w:w="794" w:type="dxa"/>
            <w:noWrap w:val="0"/>
            <w:vAlign w:val="top"/>
          </w:tcPr>
          <w:p w14:paraId="1F179E55">
            <w:pPr>
              <w:jc w:val="both"/>
              <w:rPr>
                <w:sz w:val="16"/>
                <w:szCs w:val="16"/>
              </w:rPr>
            </w:pPr>
            <w:r>
              <w:rPr>
                <w:sz w:val="16"/>
                <w:szCs w:val="16"/>
              </w:rPr>
              <w:t>0.97</w:t>
            </w:r>
          </w:p>
        </w:tc>
        <w:tc>
          <w:tcPr>
            <w:tcW w:w="1039" w:type="dxa"/>
            <w:noWrap w:val="0"/>
            <w:vAlign w:val="top"/>
          </w:tcPr>
          <w:p w14:paraId="5D1E5BF9">
            <w:pPr>
              <w:jc w:val="both"/>
              <w:rPr>
                <w:sz w:val="16"/>
                <w:szCs w:val="16"/>
              </w:rPr>
            </w:pPr>
            <w:r>
              <w:rPr>
                <w:sz w:val="16"/>
                <w:szCs w:val="16"/>
              </w:rPr>
              <w:t>0.98</w:t>
            </w:r>
          </w:p>
        </w:tc>
        <w:tc>
          <w:tcPr>
            <w:tcW w:w="827" w:type="dxa"/>
            <w:noWrap w:val="0"/>
            <w:vAlign w:val="top"/>
          </w:tcPr>
          <w:p w14:paraId="5F06D461">
            <w:pPr>
              <w:jc w:val="both"/>
              <w:rPr>
                <w:sz w:val="16"/>
                <w:szCs w:val="16"/>
              </w:rPr>
            </w:pPr>
            <w:r>
              <w:rPr>
                <w:sz w:val="16"/>
                <w:szCs w:val="16"/>
              </w:rPr>
              <w:t>1</w:t>
            </w:r>
          </w:p>
        </w:tc>
      </w:tr>
      <w:tr w14:paraId="114BD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21" w:hRule="atLeast"/>
        </w:trPr>
        <w:tc>
          <w:tcPr>
            <w:tcW w:w="1438" w:type="dxa"/>
            <w:noWrap w:val="0"/>
            <w:vAlign w:val="top"/>
          </w:tcPr>
          <w:p w14:paraId="22E68438">
            <w:pPr>
              <w:jc w:val="both"/>
              <w:rPr>
                <w:sz w:val="16"/>
                <w:szCs w:val="16"/>
              </w:rPr>
            </w:pPr>
            <w:r>
              <w:rPr>
                <w:sz w:val="16"/>
                <w:szCs w:val="16"/>
              </w:rPr>
              <w:t>VGG16</w:t>
            </w:r>
          </w:p>
        </w:tc>
        <w:tc>
          <w:tcPr>
            <w:tcW w:w="761" w:type="dxa"/>
            <w:noWrap w:val="0"/>
            <w:vAlign w:val="top"/>
          </w:tcPr>
          <w:p w14:paraId="2C299513">
            <w:pPr>
              <w:jc w:val="both"/>
              <w:rPr>
                <w:sz w:val="16"/>
                <w:szCs w:val="16"/>
              </w:rPr>
            </w:pPr>
            <w:r>
              <w:rPr>
                <w:sz w:val="16"/>
                <w:szCs w:val="16"/>
              </w:rPr>
              <w:t>1</w:t>
            </w:r>
          </w:p>
        </w:tc>
        <w:tc>
          <w:tcPr>
            <w:tcW w:w="761" w:type="dxa"/>
            <w:noWrap w:val="0"/>
            <w:vAlign w:val="top"/>
          </w:tcPr>
          <w:p w14:paraId="573C7C5C">
            <w:pPr>
              <w:jc w:val="both"/>
              <w:rPr>
                <w:sz w:val="16"/>
                <w:szCs w:val="16"/>
              </w:rPr>
            </w:pPr>
            <w:r>
              <w:rPr>
                <w:sz w:val="16"/>
                <w:szCs w:val="16"/>
              </w:rPr>
              <w:t>0.98</w:t>
            </w:r>
          </w:p>
        </w:tc>
        <w:tc>
          <w:tcPr>
            <w:tcW w:w="794" w:type="dxa"/>
            <w:noWrap w:val="0"/>
            <w:vAlign w:val="top"/>
          </w:tcPr>
          <w:p w14:paraId="5EA2CA57">
            <w:pPr>
              <w:jc w:val="both"/>
              <w:rPr>
                <w:sz w:val="16"/>
                <w:szCs w:val="16"/>
              </w:rPr>
            </w:pPr>
            <w:r>
              <w:rPr>
                <w:sz w:val="16"/>
                <w:szCs w:val="16"/>
              </w:rPr>
              <w:t>0.98</w:t>
            </w:r>
          </w:p>
        </w:tc>
        <w:tc>
          <w:tcPr>
            <w:tcW w:w="1039" w:type="dxa"/>
            <w:noWrap w:val="0"/>
            <w:vAlign w:val="top"/>
          </w:tcPr>
          <w:p w14:paraId="12D2147A">
            <w:pPr>
              <w:jc w:val="both"/>
              <w:rPr>
                <w:sz w:val="16"/>
                <w:szCs w:val="16"/>
              </w:rPr>
            </w:pPr>
            <w:r>
              <w:rPr>
                <w:sz w:val="16"/>
                <w:szCs w:val="16"/>
              </w:rPr>
              <w:t>0.98</w:t>
            </w:r>
          </w:p>
        </w:tc>
        <w:tc>
          <w:tcPr>
            <w:tcW w:w="827" w:type="dxa"/>
            <w:noWrap w:val="0"/>
            <w:vAlign w:val="top"/>
          </w:tcPr>
          <w:p w14:paraId="78038F74">
            <w:pPr>
              <w:jc w:val="both"/>
              <w:rPr>
                <w:sz w:val="16"/>
                <w:szCs w:val="16"/>
              </w:rPr>
            </w:pPr>
            <w:r>
              <w:rPr>
                <w:sz w:val="16"/>
                <w:szCs w:val="16"/>
              </w:rPr>
              <w:t>0.96</w:t>
            </w:r>
          </w:p>
        </w:tc>
      </w:tr>
      <w:tr w14:paraId="57A43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21" w:hRule="atLeast"/>
        </w:trPr>
        <w:tc>
          <w:tcPr>
            <w:tcW w:w="1438" w:type="dxa"/>
            <w:noWrap w:val="0"/>
            <w:vAlign w:val="top"/>
          </w:tcPr>
          <w:p w14:paraId="28842464">
            <w:pPr>
              <w:jc w:val="both"/>
              <w:rPr>
                <w:sz w:val="16"/>
                <w:szCs w:val="16"/>
              </w:rPr>
            </w:pPr>
            <w:r>
              <w:rPr>
                <w:sz w:val="16"/>
                <w:szCs w:val="16"/>
              </w:rPr>
              <w:t>EfficientNetB7</w:t>
            </w:r>
          </w:p>
        </w:tc>
        <w:tc>
          <w:tcPr>
            <w:tcW w:w="761" w:type="dxa"/>
            <w:noWrap w:val="0"/>
            <w:vAlign w:val="top"/>
          </w:tcPr>
          <w:p w14:paraId="5F60A982">
            <w:pPr>
              <w:jc w:val="both"/>
              <w:rPr>
                <w:sz w:val="16"/>
                <w:szCs w:val="16"/>
              </w:rPr>
            </w:pPr>
            <w:r>
              <w:rPr>
                <w:sz w:val="16"/>
                <w:szCs w:val="16"/>
              </w:rPr>
              <w:t>0.99</w:t>
            </w:r>
          </w:p>
        </w:tc>
        <w:tc>
          <w:tcPr>
            <w:tcW w:w="761" w:type="dxa"/>
            <w:noWrap w:val="0"/>
            <w:vAlign w:val="top"/>
          </w:tcPr>
          <w:p w14:paraId="4B63DF54">
            <w:pPr>
              <w:jc w:val="both"/>
              <w:rPr>
                <w:sz w:val="16"/>
                <w:szCs w:val="16"/>
              </w:rPr>
            </w:pPr>
            <w:r>
              <w:rPr>
                <w:sz w:val="16"/>
                <w:szCs w:val="16"/>
              </w:rPr>
              <w:t>1</w:t>
            </w:r>
          </w:p>
        </w:tc>
        <w:tc>
          <w:tcPr>
            <w:tcW w:w="794" w:type="dxa"/>
            <w:noWrap w:val="0"/>
            <w:vAlign w:val="top"/>
          </w:tcPr>
          <w:p w14:paraId="2AA31491">
            <w:pPr>
              <w:jc w:val="both"/>
              <w:rPr>
                <w:sz w:val="16"/>
                <w:szCs w:val="16"/>
              </w:rPr>
            </w:pPr>
            <w:r>
              <w:rPr>
                <w:sz w:val="16"/>
                <w:szCs w:val="16"/>
              </w:rPr>
              <w:t>0.98</w:t>
            </w:r>
          </w:p>
        </w:tc>
        <w:tc>
          <w:tcPr>
            <w:tcW w:w="1039" w:type="dxa"/>
            <w:noWrap w:val="0"/>
            <w:vAlign w:val="top"/>
          </w:tcPr>
          <w:p w14:paraId="5B1A9B7A">
            <w:pPr>
              <w:jc w:val="both"/>
              <w:rPr>
                <w:sz w:val="16"/>
                <w:szCs w:val="16"/>
              </w:rPr>
            </w:pPr>
            <w:r>
              <w:rPr>
                <w:sz w:val="16"/>
                <w:szCs w:val="16"/>
              </w:rPr>
              <w:t>0.95</w:t>
            </w:r>
          </w:p>
        </w:tc>
        <w:tc>
          <w:tcPr>
            <w:tcW w:w="827" w:type="dxa"/>
            <w:noWrap w:val="0"/>
            <w:vAlign w:val="top"/>
          </w:tcPr>
          <w:p w14:paraId="7F8CA95A">
            <w:pPr>
              <w:jc w:val="both"/>
              <w:rPr>
                <w:sz w:val="16"/>
                <w:szCs w:val="16"/>
              </w:rPr>
            </w:pPr>
            <w:r>
              <w:rPr>
                <w:sz w:val="16"/>
                <w:szCs w:val="16"/>
              </w:rPr>
              <w:t>0.97</w:t>
            </w:r>
          </w:p>
        </w:tc>
      </w:tr>
      <w:tr w14:paraId="664F4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21" w:hRule="atLeast"/>
        </w:trPr>
        <w:tc>
          <w:tcPr>
            <w:tcW w:w="1438" w:type="dxa"/>
            <w:noWrap w:val="0"/>
            <w:vAlign w:val="top"/>
          </w:tcPr>
          <w:p w14:paraId="77F3C246">
            <w:pPr>
              <w:jc w:val="both"/>
              <w:rPr>
                <w:sz w:val="16"/>
                <w:szCs w:val="16"/>
              </w:rPr>
            </w:pPr>
            <w:r>
              <w:rPr>
                <w:sz w:val="16"/>
                <w:szCs w:val="16"/>
              </w:rPr>
              <w:t>DenseNet121</w:t>
            </w:r>
          </w:p>
        </w:tc>
        <w:tc>
          <w:tcPr>
            <w:tcW w:w="761" w:type="dxa"/>
            <w:noWrap w:val="0"/>
            <w:vAlign w:val="top"/>
          </w:tcPr>
          <w:p w14:paraId="325F26D0">
            <w:pPr>
              <w:jc w:val="both"/>
              <w:rPr>
                <w:sz w:val="16"/>
                <w:szCs w:val="16"/>
              </w:rPr>
            </w:pPr>
            <w:r>
              <w:rPr>
                <w:sz w:val="16"/>
                <w:szCs w:val="16"/>
              </w:rPr>
              <w:t>0.98</w:t>
            </w:r>
          </w:p>
        </w:tc>
        <w:tc>
          <w:tcPr>
            <w:tcW w:w="761" w:type="dxa"/>
            <w:noWrap w:val="0"/>
            <w:vAlign w:val="top"/>
          </w:tcPr>
          <w:p w14:paraId="34745E79">
            <w:pPr>
              <w:jc w:val="both"/>
              <w:rPr>
                <w:sz w:val="16"/>
                <w:szCs w:val="16"/>
              </w:rPr>
            </w:pPr>
            <w:r>
              <w:rPr>
                <w:sz w:val="16"/>
                <w:szCs w:val="16"/>
              </w:rPr>
              <w:t>0.99</w:t>
            </w:r>
          </w:p>
        </w:tc>
        <w:tc>
          <w:tcPr>
            <w:tcW w:w="794" w:type="dxa"/>
            <w:noWrap w:val="0"/>
            <w:vAlign w:val="top"/>
          </w:tcPr>
          <w:p w14:paraId="54A6EC4D">
            <w:pPr>
              <w:jc w:val="both"/>
              <w:rPr>
                <w:sz w:val="16"/>
                <w:szCs w:val="16"/>
              </w:rPr>
            </w:pPr>
            <w:r>
              <w:rPr>
                <w:sz w:val="16"/>
                <w:szCs w:val="16"/>
              </w:rPr>
              <w:t>0.98</w:t>
            </w:r>
          </w:p>
        </w:tc>
        <w:tc>
          <w:tcPr>
            <w:tcW w:w="1039" w:type="dxa"/>
            <w:noWrap w:val="0"/>
            <w:vAlign w:val="top"/>
          </w:tcPr>
          <w:p w14:paraId="649A9F42">
            <w:pPr>
              <w:jc w:val="both"/>
              <w:rPr>
                <w:sz w:val="16"/>
                <w:szCs w:val="16"/>
              </w:rPr>
            </w:pPr>
            <w:r>
              <w:rPr>
                <w:sz w:val="16"/>
                <w:szCs w:val="16"/>
              </w:rPr>
              <w:t>0.96</w:t>
            </w:r>
          </w:p>
        </w:tc>
        <w:tc>
          <w:tcPr>
            <w:tcW w:w="827" w:type="dxa"/>
            <w:noWrap w:val="0"/>
            <w:vAlign w:val="top"/>
          </w:tcPr>
          <w:p w14:paraId="0EC2D403">
            <w:pPr>
              <w:jc w:val="both"/>
              <w:rPr>
                <w:sz w:val="16"/>
                <w:szCs w:val="16"/>
              </w:rPr>
            </w:pPr>
            <w:r>
              <w:rPr>
                <w:sz w:val="16"/>
                <w:szCs w:val="16"/>
              </w:rPr>
              <w:t>0.96</w:t>
            </w:r>
          </w:p>
        </w:tc>
      </w:tr>
      <w:tr w14:paraId="043BD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21" w:hRule="atLeast"/>
        </w:trPr>
        <w:tc>
          <w:tcPr>
            <w:tcW w:w="1438" w:type="dxa"/>
            <w:noWrap w:val="0"/>
            <w:vAlign w:val="top"/>
          </w:tcPr>
          <w:p w14:paraId="6A65DB85">
            <w:pPr>
              <w:jc w:val="both"/>
              <w:rPr>
                <w:sz w:val="16"/>
                <w:szCs w:val="16"/>
              </w:rPr>
            </w:pPr>
            <w:r>
              <w:rPr>
                <w:sz w:val="16"/>
                <w:szCs w:val="16"/>
              </w:rPr>
              <w:t>Custom model</w:t>
            </w:r>
          </w:p>
        </w:tc>
        <w:tc>
          <w:tcPr>
            <w:tcW w:w="761" w:type="dxa"/>
            <w:noWrap w:val="0"/>
            <w:vAlign w:val="top"/>
          </w:tcPr>
          <w:p w14:paraId="2C35D629">
            <w:pPr>
              <w:jc w:val="both"/>
              <w:rPr>
                <w:sz w:val="16"/>
                <w:szCs w:val="16"/>
              </w:rPr>
            </w:pPr>
            <w:r>
              <w:rPr>
                <w:sz w:val="16"/>
                <w:szCs w:val="16"/>
              </w:rPr>
              <w:t>0.99</w:t>
            </w:r>
          </w:p>
        </w:tc>
        <w:tc>
          <w:tcPr>
            <w:tcW w:w="761" w:type="dxa"/>
            <w:noWrap w:val="0"/>
            <w:vAlign w:val="top"/>
          </w:tcPr>
          <w:p w14:paraId="769E7EB1">
            <w:pPr>
              <w:jc w:val="both"/>
              <w:rPr>
                <w:sz w:val="16"/>
                <w:szCs w:val="16"/>
              </w:rPr>
            </w:pPr>
            <w:r>
              <w:rPr>
                <w:sz w:val="16"/>
                <w:szCs w:val="16"/>
              </w:rPr>
              <w:t>0.98</w:t>
            </w:r>
          </w:p>
        </w:tc>
        <w:tc>
          <w:tcPr>
            <w:tcW w:w="794" w:type="dxa"/>
            <w:noWrap w:val="0"/>
            <w:vAlign w:val="top"/>
          </w:tcPr>
          <w:p w14:paraId="7AA21949">
            <w:pPr>
              <w:jc w:val="both"/>
              <w:rPr>
                <w:sz w:val="16"/>
                <w:szCs w:val="16"/>
              </w:rPr>
            </w:pPr>
            <w:r>
              <w:rPr>
                <w:sz w:val="16"/>
                <w:szCs w:val="16"/>
              </w:rPr>
              <w:t>0.92</w:t>
            </w:r>
          </w:p>
        </w:tc>
        <w:tc>
          <w:tcPr>
            <w:tcW w:w="1039" w:type="dxa"/>
            <w:noWrap w:val="0"/>
            <w:vAlign w:val="top"/>
          </w:tcPr>
          <w:p w14:paraId="4A343BCA">
            <w:pPr>
              <w:jc w:val="both"/>
              <w:rPr>
                <w:sz w:val="16"/>
                <w:szCs w:val="16"/>
              </w:rPr>
            </w:pPr>
            <w:r>
              <w:rPr>
                <w:sz w:val="16"/>
                <w:szCs w:val="16"/>
              </w:rPr>
              <w:t>0.96</w:t>
            </w:r>
          </w:p>
        </w:tc>
        <w:tc>
          <w:tcPr>
            <w:tcW w:w="827" w:type="dxa"/>
            <w:noWrap w:val="0"/>
            <w:vAlign w:val="top"/>
          </w:tcPr>
          <w:p w14:paraId="127DE9BE">
            <w:pPr>
              <w:jc w:val="both"/>
              <w:rPr>
                <w:sz w:val="16"/>
                <w:szCs w:val="16"/>
              </w:rPr>
            </w:pPr>
            <w:r>
              <w:rPr>
                <w:sz w:val="16"/>
                <w:szCs w:val="16"/>
              </w:rPr>
              <w:t>0.98</w:t>
            </w:r>
          </w:p>
        </w:tc>
      </w:tr>
    </w:tbl>
    <w:p w14:paraId="48AFA051">
      <w:pPr>
        <w:jc w:val="both"/>
      </w:pPr>
      <w:r>
        <w:t>The precision values for different deep learning models across tumor classification categories show that all models performed with high accuracy, generally above 0.9. ResNet50 achieved the highest overall precision with perfect scores of 1.00 for the No Tumor and Normal classes and maintained values above 0.97 for all other categories. VGG16 also showed excellent results with precision values ranging from 0.96 to 1.00. EfficientNetB7 and DenseNet121 performed consistently well, though their precision for the Malignant class was slightly lower at around 0.95 to 0.96. VGC19 maintained good precision, especially for Tumor and Normal classes at 0.99, but was slightly lower for the Benign class at 0.94. The Custom Model also performed well with precision values up to 0.99 but showed a noticeable drop to 0.92 for the Benign class. Overall, all models demonstrated high reliability, with ResNet50 standing out as the most stable and accurate among them.</w:t>
      </w:r>
    </w:p>
    <w:p w14:paraId="4FB50785">
      <w:pPr>
        <w:pStyle w:val="3"/>
      </w:pPr>
      <w:r>
        <w:t>Recall</w:t>
      </w:r>
    </w:p>
    <w:tbl>
      <w:tblPr>
        <w:tblStyle w:val="8"/>
        <w:tblW w:w="48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2"/>
        <w:gridCol w:w="652"/>
        <w:gridCol w:w="652"/>
        <w:gridCol w:w="680"/>
        <w:gridCol w:w="890"/>
        <w:gridCol w:w="708"/>
      </w:tblGrid>
      <w:tr w14:paraId="1ECC4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41" w:hRule="atLeast"/>
        </w:trPr>
        <w:tc>
          <w:tcPr>
            <w:tcW w:w="1232" w:type="dxa"/>
            <w:noWrap w:val="0"/>
            <w:vAlign w:val="top"/>
          </w:tcPr>
          <w:p w14:paraId="6B66F2E6">
            <w:pPr>
              <w:rPr>
                <w:sz w:val="16"/>
                <w:szCs w:val="16"/>
              </w:rPr>
            </w:pPr>
            <w:r>
              <w:rPr>
                <w:sz w:val="16"/>
                <w:szCs w:val="16"/>
              </w:rPr>
              <w:t>Model</w:t>
            </w:r>
          </w:p>
          <w:p w14:paraId="0F5C61D3">
            <w:pPr>
              <w:rPr>
                <w:sz w:val="16"/>
                <w:szCs w:val="16"/>
              </w:rPr>
            </w:pPr>
            <w:r>
              <w:rPr>
                <w:sz w:val="16"/>
                <w:szCs w:val="16"/>
              </w:rPr>
              <w:t>Name</w:t>
            </w:r>
          </w:p>
        </w:tc>
        <w:tc>
          <w:tcPr>
            <w:tcW w:w="652" w:type="dxa"/>
            <w:noWrap w:val="0"/>
            <w:vAlign w:val="top"/>
          </w:tcPr>
          <w:p w14:paraId="411556B0">
            <w:pPr>
              <w:jc w:val="both"/>
              <w:rPr>
                <w:sz w:val="16"/>
                <w:szCs w:val="16"/>
              </w:rPr>
            </w:pPr>
            <w:r>
              <w:rPr>
                <w:sz w:val="16"/>
                <w:szCs w:val="16"/>
              </w:rPr>
              <w:t>No</w:t>
            </w:r>
          </w:p>
          <w:p w14:paraId="2F0264A6">
            <w:pPr>
              <w:jc w:val="both"/>
              <w:rPr>
                <w:sz w:val="16"/>
                <w:szCs w:val="16"/>
              </w:rPr>
            </w:pPr>
            <w:r>
              <w:rPr>
                <w:sz w:val="16"/>
                <w:szCs w:val="16"/>
              </w:rPr>
              <w:t>Tumor</w:t>
            </w:r>
          </w:p>
        </w:tc>
        <w:tc>
          <w:tcPr>
            <w:tcW w:w="652" w:type="dxa"/>
            <w:noWrap w:val="0"/>
            <w:vAlign w:val="top"/>
          </w:tcPr>
          <w:p w14:paraId="3E29B5D4">
            <w:pPr>
              <w:jc w:val="both"/>
              <w:rPr>
                <w:sz w:val="16"/>
                <w:szCs w:val="16"/>
              </w:rPr>
            </w:pPr>
          </w:p>
          <w:p w14:paraId="3156D0A4">
            <w:pPr>
              <w:jc w:val="both"/>
              <w:rPr>
                <w:sz w:val="16"/>
                <w:szCs w:val="16"/>
              </w:rPr>
            </w:pPr>
            <w:r>
              <w:rPr>
                <w:sz w:val="16"/>
                <w:szCs w:val="16"/>
              </w:rPr>
              <w:t>Tumor</w:t>
            </w:r>
          </w:p>
        </w:tc>
        <w:tc>
          <w:tcPr>
            <w:tcW w:w="680" w:type="dxa"/>
            <w:noWrap w:val="0"/>
            <w:vAlign w:val="top"/>
          </w:tcPr>
          <w:p w14:paraId="598529ED">
            <w:pPr>
              <w:rPr>
                <w:sz w:val="16"/>
                <w:szCs w:val="16"/>
              </w:rPr>
            </w:pPr>
          </w:p>
          <w:p w14:paraId="42DF046A">
            <w:pPr>
              <w:rPr>
                <w:sz w:val="16"/>
                <w:szCs w:val="16"/>
              </w:rPr>
            </w:pPr>
            <w:r>
              <w:rPr>
                <w:sz w:val="16"/>
                <w:szCs w:val="16"/>
              </w:rPr>
              <w:t>Benign</w:t>
            </w:r>
          </w:p>
        </w:tc>
        <w:tc>
          <w:tcPr>
            <w:tcW w:w="890" w:type="dxa"/>
            <w:noWrap w:val="0"/>
            <w:vAlign w:val="top"/>
          </w:tcPr>
          <w:p w14:paraId="30C2F15C">
            <w:pPr>
              <w:rPr>
                <w:sz w:val="16"/>
                <w:szCs w:val="16"/>
              </w:rPr>
            </w:pPr>
          </w:p>
          <w:p w14:paraId="1D70D035">
            <w:pPr>
              <w:rPr>
                <w:sz w:val="16"/>
                <w:szCs w:val="16"/>
              </w:rPr>
            </w:pPr>
            <w:r>
              <w:rPr>
                <w:sz w:val="16"/>
                <w:szCs w:val="16"/>
              </w:rPr>
              <w:t>Malignant</w:t>
            </w:r>
          </w:p>
        </w:tc>
        <w:tc>
          <w:tcPr>
            <w:tcW w:w="708" w:type="dxa"/>
            <w:noWrap w:val="0"/>
            <w:vAlign w:val="top"/>
          </w:tcPr>
          <w:p w14:paraId="3414D918">
            <w:pPr>
              <w:rPr>
                <w:sz w:val="16"/>
                <w:szCs w:val="16"/>
              </w:rPr>
            </w:pPr>
          </w:p>
          <w:p w14:paraId="66D13ACD">
            <w:pPr>
              <w:rPr>
                <w:sz w:val="16"/>
                <w:szCs w:val="16"/>
              </w:rPr>
            </w:pPr>
            <w:r>
              <w:rPr>
                <w:sz w:val="16"/>
                <w:szCs w:val="16"/>
              </w:rPr>
              <w:t>Normal</w:t>
            </w:r>
          </w:p>
        </w:tc>
      </w:tr>
      <w:tr w14:paraId="0BE84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20" w:hRule="atLeast"/>
        </w:trPr>
        <w:tc>
          <w:tcPr>
            <w:tcW w:w="1232" w:type="dxa"/>
            <w:noWrap w:val="0"/>
            <w:vAlign w:val="top"/>
          </w:tcPr>
          <w:p w14:paraId="0B0F8613">
            <w:pPr>
              <w:jc w:val="both"/>
              <w:rPr>
                <w:sz w:val="16"/>
                <w:szCs w:val="16"/>
              </w:rPr>
            </w:pPr>
            <w:r>
              <w:rPr>
                <w:sz w:val="16"/>
                <w:szCs w:val="16"/>
              </w:rPr>
              <w:t>VGG19</w:t>
            </w:r>
          </w:p>
        </w:tc>
        <w:tc>
          <w:tcPr>
            <w:tcW w:w="652" w:type="dxa"/>
            <w:noWrap w:val="0"/>
            <w:vAlign w:val="top"/>
          </w:tcPr>
          <w:p w14:paraId="201CC71E">
            <w:pPr>
              <w:rPr>
                <w:sz w:val="16"/>
                <w:szCs w:val="16"/>
              </w:rPr>
            </w:pPr>
            <w:r>
              <w:rPr>
                <w:sz w:val="16"/>
                <w:szCs w:val="16"/>
              </w:rPr>
              <w:t>0.99</w:t>
            </w:r>
          </w:p>
        </w:tc>
        <w:tc>
          <w:tcPr>
            <w:tcW w:w="652" w:type="dxa"/>
            <w:noWrap w:val="0"/>
            <w:vAlign w:val="top"/>
          </w:tcPr>
          <w:p w14:paraId="65763CDB">
            <w:pPr>
              <w:rPr>
                <w:sz w:val="16"/>
                <w:szCs w:val="16"/>
              </w:rPr>
            </w:pPr>
            <w:r>
              <w:rPr>
                <w:sz w:val="16"/>
                <w:szCs w:val="16"/>
              </w:rPr>
              <w:t>0.98</w:t>
            </w:r>
          </w:p>
        </w:tc>
        <w:tc>
          <w:tcPr>
            <w:tcW w:w="680" w:type="dxa"/>
            <w:noWrap w:val="0"/>
            <w:vAlign w:val="top"/>
          </w:tcPr>
          <w:p w14:paraId="20876618">
            <w:pPr>
              <w:rPr>
                <w:sz w:val="16"/>
                <w:szCs w:val="16"/>
              </w:rPr>
            </w:pPr>
            <w:r>
              <w:rPr>
                <w:sz w:val="16"/>
                <w:szCs w:val="16"/>
              </w:rPr>
              <w:t>0.98</w:t>
            </w:r>
          </w:p>
        </w:tc>
        <w:tc>
          <w:tcPr>
            <w:tcW w:w="890" w:type="dxa"/>
            <w:noWrap w:val="0"/>
            <w:vAlign w:val="top"/>
          </w:tcPr>
          <w:p w14:paraId="58535E3D">
            <w:pPr>
              <w:rPr>
                <w:sz w:val="16"/>
                <w:szCs w:val="16"/>
              </w:rPr>
            </w:pPr>
            <w:r>
              <w:rPr>
                <w:sz w:val="16"/>
                <w:szCs w:val="16"/>
              </w:rPr>
              <w:t>0.93</w:t>
            </w:r>
          </w:p>
        </w:tc>
        <w:tc>
          <w:tcPr>
            <w:tcW w:w="708" w:type="dxa"/>
            <w:noWrap w:val="0"/>
            <w:vAlign w:val="top"/>
          </w:tcPr>
          <w:p w14:paraId="685FB449">
            <w:pPr>
              <w:rPr>
                <w:sz w:val="16"/>
                <w:szCs w:val="16"/>
              </w:rPr>
            </w:pPr>
            <w:r>
              <w:rPr>
                <w:sz w:val="16"/>
                <w:szCs w:val="16"/>
              </w:rPr>
              <w:t>1</w:t>
            </w:r>
          </w:p>
        </w:tc>
      </w:tr>
      <w:tr w14:paraId="1AC3F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20" w:hRule="atLeast"/>
        </w:trPr>
        <w:tc>
          <w:tcPr>
            <w:tcW w:w="1232" w:type="dxa"/>
            <w:noWrap w:val="0"/>
            <w:vAlign w:val="top"/>
          </w:tcPr>
          <w:p w14:paraId="7363A4F1">
            <w:pPr>
              <w:jc w:val="both"/>
              <w:rPr>
                <w:sz w:val="16"/>
                <w:szCs w:val="16"/>
              </w:rPr>
            </w:pPr>
            <w:r>
              <w:rPr>
                <w:sz w:val="16"/>
                <w:szCs w:val="16"/>
              </w:rPr>
              <w:t>ResNet50</w:t>
            </w:r>
          </w:p>
        </w:tc>
        <w:tc>
          <w:tcPr>
            <w:tcW w:w="652" w:type="dxa"/>
            <w:noWrap w:val="0"/>
            <w:vAlign w:val="top"/>
          </w:tcPr>
          <w:p w14:paraId="097A1E72">
            <w:pPr>
              <w:rPr>
                <w:sz w:val="16"/>
                <w:szCs w:val="16"/>
              </w:rPr>
            </w:pPr>
            <w:r>
              <w:rPr>
                <w:sz w:val="16"/>
                <w:szCs w:val="16"/>
              </w:rPr>
              <w:t>0.99</w:t>
            </w:r>
          </w:p>
        </w:tc>
        <w:tc>
          <w:tcPr>
            <w:tcW w:w="652" w:type="dxa"/>
            <w:noWrap w:val="0"/>
            <w:vAlign w:val="top"/>
          </w:tcPr>
          <w:p w14:paraId="39171340">
            <w:pPr>
              <w:rPr>
                <w:sz w:val="16"/>
                <w:szCs w:val="16"/>
              </w:rPr>
            </w:pPr>
            <w:r>
              <w:rPr>
                <w:sz w:val="16"/>
                <w:szCs w:val="16"/>
              </w:rPr>
              <w:t>1</w:t>
            </w:r>
          </w:p>
        </w:tc>
        <w:tc>
          <w:tcPr>
            <w:tcW w:w="680" w:type="dxa"/>
            <w:noWrap w:val="0"/>
            <w:vAlign w:val="top"/>
          </w:tcPr>
          <w:p w14:paraId="27721FCA">
            <w:pPr>
              <w:rPr>
                <w:sz w:val="16"/>
                <w:szCs w:val="16"/>
              </w:rPr>
            </w:pPr>
            <w:r>
              <w:rPr>
                <w:sz w:val="16"/>
                <w:szCs w:val="16"/>
              </w:rPr>
              <w:t>0.98</w:t>
            </w:r>
          </w:p>
        </w:tc>
        <w:tc>
          <w:tcPr>
            <w:tcW w:w="890" w:type="dxa"/>
            <w:noWrap w:val="0"/>
            <w:vAlign w:val="top"/>
          </w:tcPr>
          <w:p w14:paraId="65579096">
            <w:pPr>
              <w:rPr>
                <w:sz w:val="16"/>
                <w:szCs w:val="16"/>
              </w:rPr>
            </w:pPr>
            <w:r>
              <w:rPr>
                <w:sz w:val="16"/>
                <w:szCs w:val="16"/>
              </w:rPr>
              <w:t>0.97</w:t>
            </w:r>
          </w:p>
        </w:tc>
        <w:tc>
          <w:tcPr>
            <w:tcW w:w="708" w:type="dxa"/>
            <w:noWrap w:val="0"/>
            <w:vAlign w:val="top"/>
          </w:tcPr>
          <w:p w14:paraId="47D3A970">
            <w:pPr>
              <w:rPr>
                <w:sz w:val="16"/>
                <w:szCs w:val="16"/>
              </w:rPr>
            </w:pPr>
            <w:r>
              <w:rPr>
                <w:sz w:val="16"/>
                <w:szCs w:val="16"/>
              </w:rPr>
              <w:t>1</w:t>
            </w:r>
          </w:p>
        </w:tc>
      </w:tr>
      <w:tr w14:paraId="7FE21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20" w:hRule="atLeast"/>
        </w:trPr>
        <w:tc>
          <w:tcPr>
            <w:tcW w:w="1232" w:type="dxa"/>
            <w:noWrap w:val="0"/>
            <w:vAlign w:val="top"/>
          </w:tcPr>
          <w:p w14:paraId="037A377B">
            <w:pPr>
              <w:jc w:val="both"/>
              <w:rPr>
                <w:sz w:val="16"/>
                <w:szCs w:val="16"/>
              </w:rPr>
            </w:pPr>
            <w:r>
              <w:rPr>
                <w:sz w:val="16"/>
                <w:szCs w:val="16"/>
              </w:rPr>
              <w:t>VGG16</w:t>
            </w:r>
          </w:p>
        </w:tc>
        <w:tc>
          <w:tcPr>
            <w:tcW w:w="652" w:type="dxa"/>
            <w:noWrap w:val="0"/>
            <w:vAlign w:val="top"/>
          </w:tcPr>
          <w:p w14:paraId="1C64DD0F">
            <w:pPr>
              <w:rPr>
                <w:sz w:val="16"/>
                <w:szCs w:val="16"/>
              </w:rPr>
            </w:pPr>
            <w:r>
              <w:rPr>
                <w:sz w:val="16"/>
                <w:szCs w:val="16"/>
              </w:rPr>
              <w:t>0.98</w:t>
            </w:r>
          </w:p>
        </w:tc>
        <w:tc>
          <w:tcPr>
            <w:tcW w:w="652" w:type="dxa"/>
            <w:noWrap w:val="0"/>
            <w:vAlign w:val="top"/>
          </w:tcPr>
          <w:p w14:paraId="041B9A46">
            <w:pPr>
              <w:rPr>
                <w:sz w:val="16"/>
                <w:szCs w:val="16"/>
              </w:rPr>
            </w:pPr>
            <w:r>
              <w:rPr>
                <w:sz w:val="16"/>
                <w:szCs w:val="16"/>
              </w:rPr>
              <w:t>1</w:t>
            </w:r>
          </w:p>
        </w:tc>
        <w:tc>
          <w:tcPr>
            <w:tcW w:w="680" w:type="dxa"/>
            <w:noWrap w:val="0"/>
            <w:vAlign w:val="top"/>
          </w:tcPr>
          <w:p w14:paraId="26EC38EE">
            <w:pPr>
              <w:rPr>
                <w:sz w:val="16"/>
                <w:szCs w:val="16"/>
              </w:rPr>
            </w:pPr>
            <w:r>
              <w:rPr>
                <w:sz w:val="16"/>
                <w:szCs w:val="16"/>
              </w:rPr>
              <w:t>0.96</w:t>
            </w:r>
          </w:p>
        </w:tc>
        <w:tc>
          <w:tcPr>
            <w:tcW w:w="890" w:type="dxa"/>
            <w:noWrap w:val="0"/>
            <w:vAlign w:val="top"/>
          </w:tcPr>
          <w:p w14:paraId="210AC2D4">
            <w:pPr>
              <w:rPr>
                <w:sz w:val="16"/>
                <w:szCs w:val="16"/>
              </w:rPr>
            </w:pPr>
            <w:r>
              <w:rPr>
                <w:sz w:val="16"/>
                <w:szCs w:val="16"/>
              </w:rPr>
              <w:t>0.96</w:t>
            </w:r>
          </w:p>
        </w:tc>
        <w:tc>
          <w:tcPr>
            <w:tcW w:w="708" w:type="dxa"/>
            <w:noWrap w:val="0"/>
            <w:vAlign w:val="top"/>
          </w:tcPr>
          <w:p w14:paraId="2DBFDD8F">
            <w:pPr>
              <w:rPr>
                <w:sz w:val="16"/>
                <w:szCs w:val="16"/>
              </w:rPr>
            </w:pPr>
            <w:r>
              <w:rPr>
                <w:sz w:val="16"/>
                <w:szCs w:val="16"/>
              </w:rPr>
              <w:t>1</w:t>
            </w:r>
          </w:p>
        </w:tc>
      </w:tr>
      <w:tr w14:paraId="36AE5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20" w:hRule="atLeast"/>
        </w:trPr>
        <w:tc>
          <w:tcPr>
            <w:tcW w:w="1232" w:type="dxa"/>
            <w:noWrap w:val="0"/>
            <w:vAlign w:val="top"/>
          </w:tcPr>
          <w:p w14:paraId="5C163E20">
            <w:pPr>
              <w:rPr>
                <w:sz w:val="16"/>
                <w:szCs w:val="16"/>
              </w:rPr>
            </w:pPr>
            <w:r>
              <w:rPr>
                <w:sz w:val="16"/>
                <w:szCs w:val="16"/>
              </w:rPr>
              <w:t>EfficientNetB7</w:t>
            </w:r>
          </w:p>
        </w:tc>
        <w:tc>
          <w:tcPr>
            <w:tcW w:w="652" w:type="dxa"/>
            <w:noWrap w:val="0"/>
            <w:vAlign w:val="top"/>
          </w:tcPr>
          <w:p w14:paraId="72556FAA">
            <w:pPr>
              <w:rPr>
                <w:sz w:val="16"/>
                <w:szCs w:val="16"/>
              </w:rPr>
            </w:pPr>
            <w:r>
              <w:rPr>
                <w:sz w:val="16"/>
                <w:szCs w:val="16"/>
              </w:rPr>
              <w:t>1</w:t>
            </w:r>
          </w:p>
        </w:tc>
        <w:tc>
          <w:tcPr>
            <w:tcW w:w="652" w:type="dxa"/>
            <w:noWrap w:val="0"/>
            <w:vAlign w:val="top"/>
          </w:tcPr>
          <w:p w14:paraId="2447E962">
            <w:pPr>
              <w:rPr>
                <w:sz w:val="16"/>
                <w:szCs w:val="16"/>
              </w:rPr>
            </w:pPr>
            <w:r>
              <w:rPr>
                <w:sz w:val="16"/>
                <w:szCs w:val="16"/>
              </w:rPr>
              <w:t>0.99</w:t>
            </w:r>
          </w:p>
        </w:tc>
        <w:tc>
          <w:tcPr>
            <w:tcW w:w="680" w:type="dxa"/>
            <w:noWrap w:val="0"/>
            <w:vAlign w:val="top"/>
          </w:tcPr>
          <w:p w14:paraId="3C8CBD69">
            <w:pPr>
              <w:rPr>
                <w:sz w:val="16"/>
                <w:szCs w:val="16"/>
              </w:rPr>
            </w:pPr>
            <w:r>
              <w:rPr>
                <w:sz w:val="16"/>
                <w:szCs w:val="16"/>
              </w:rPr>
              <w:t>0.93</w:t>
            </w:r>
          </w:p>
        </w:tc>
        <w:tc>
          <w:tcPr>
            <w:tcW w:w="890" w:type="dxa"/>
            <w:noWrap w:val="0"/>
            <w:vAlign w:val="top"/>
          </w:tcPr>
          <w:p w14:paraId="1263FF84">
            <w:pPr>
              <w:rPr>
                <w:sz w:val="16"/>
                <w:szCs w:val="16"/>
              </w:rPr>
            </w:pPr>
            <w:r>
              <w:rPr>
                <w:sz w:val="16"/>
                <w:szCs w:val="16"/>
              </w:rPr>
              <w:t>0.97</w:t>
            </w:r>
          </w:p>
        </w:tc>
        <w:tc>
          <w:tcPr>
            <w:tcW w:w="708" w:type="dxa"/>
            <w:noWrap w:val="0"/>
            <w:vAlign w:val="top"/>
          </w:tcPr>
          <w:p w14:paraId="556A421A">
            <w:pPr>
              <w:rPr>
                <w:sz w:val="16"/>
                <w:szCs w:val="16"/>
              </w:rPr>
            </w:pPr>
            <w:r>
              <w:rPr>
                <w:sz w:val="16"/>
                <w:szCs w:val="16"/>
              </w:rPr>
              <w:t>1</w:t>
            </w:r>
          </w:p>
        </w:tc>
      </w:tr>
      <w:tr w14:paraId="41747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20" w:hRule="atLeast"/>
        </w:trPr>
        <w:tc>
          <w:tcPr>
            <w:tcW w:w="1232" w:type="dxa"/>
            <w:noWrap w:val="0"/>
            <w:vAlign w:val="top"/>
          </w:tcPr>
          <w:p w14:paraId="1B47096B">
            <w:pPr>
              <w:jc w:val="both"/>
              <w:rPr>
                <w:sz w:val="16"/>
                <w:szCs w:val="16"/>
              </w:rPr>
            </w:pPr>
            <w:r>
              <w:rPr>
                <w:sz w:val="16"/>
                <w:szCs w:val="16"/>
              </w:rPr>
              <w:t>DenseNet121</w:t>
            </w:r>
          </w:p>
        </w:tc>
        <w:tc>
          <w:tcPr>
            <w:tcW w:w="652" w:type="dxa"/>
            <w:noWrap w:val="0"/>
            <w:vAlign w:val="top"/>
          </w:tcPr>
          <w:p w14:paraId="532BD135">
            <w:pPr>
              <w:rPr>
                <w:sz w:val="16"/>
                <w:szCs w:val="16"/>
              </w:rPr>
            </w:pPr>
            <w:r>
              <w:rPr>
                <w:sz w:val="16"/>
                <w:szCs w:val="16"/>
              </w:rPr>
              <w:t>0.99</w:t>
            </w:r>
          </w:p>
        </w:tc>
        <w:tc>
          <w:tcPr>
            <w:tcW w:w="652" w:type="dxa"/>
            <w:noWrap w:val="0"/>
            <w:vAlign w:val="top"/>
          </w:tcPr>
          <w:p w14:paraId="290C85B5">
            <w:pPr>
              <w:rPr>
                <w:sz w:val="16"/>
                <w:szCs w:val="16"/>
              </w:rPr>
            </w:pPr>
            <w:r>
              <w:rPr>
                <w:sz w:val="16"/>
                <w:szCs w:val="16"/>
              </w:rPr>
              <w:t>0.98</w:t>
            </w:r>
          </w:p>
        </w:tc>
        <w:tc>
          <w:tcPr>
            <w:tcW w:w="680" w:type="dxa"/>
            <w:noWrap w:val="0"/>
            <w:vAlign w:val="top"/>
          </w:tcPr>
          <w:p w14:paraId="4410072D">
            <w:pPr>
              <w:rPr>
                <w:sz w:val="16"/>
                <w:szCs w:val="16"/>
              </w:rPr>
            </w:pPr>
            <w:r>
              <w:rPr>
                <w:sz w:val="16"/>
                <w:szCs w:val="16"/>
              </w:rPr>
              <w:t>0.93</w:t>
            </w:r>
          </w:p>
        </w:tc>
        <w:tc>
          <w:tcPr>
            <w:tcW w:w="890" w:type="dxa"/>
            <w:noWrap w:val="0"/>
            <w:vAlign w:val="top"/>
          </w:tcPr>
          <w:p w14:paraId="4F37B977">
            <w:pPr>
              <w:rPr>
                <w:sz w:val="16"/>
                <w:szCs w:val="16"/>
              </w:rPr>
            </w:pPr>
            <w:r>
              <w:rPr>
                <w:sz w:val="16"/>
                <w:szCs w:val="16"/>
              </w:rPr>
              <w:t>0.97</w:t>
            </w:r>
          </w:p>
        </w:tc>
        <w:tc>
          <w:tcPr>
            <w:tcW w:w="708" w:type="dxa"/>
            <w:noWrap w:val="0"/>
            <w:vAlign w:val="top"/>
          </w:tcPr>
          <w:p w14:paraId="35B05367">
            <w:pPr>
              <w:rPr>
                <w:sz w:val="16"/>
                <w:szCs w:val="16"/>
              </w:rPr>
            </w:pPr>
            <w:r>
              <w:rPr>
                <w:sz w:val="16"/>
                <w:szCs w:val="16"/>
              </w:rPr>
              <w:t>1</w:t>
            </w:r>
          </w:p>
        </w:tc>
      </w:tr>
      <w:tr w14:paraId="7311A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20" w:hRule="atLeast"/>
        </w:trPr>
        <w:tc>
          <w:tcPr>
            <w:tcW w:w="1232" w:type="dxa"/>
            <w:noWrap w:val="0"/>
            <w:vAlign w:val="top"/>
          </w:tcPr>
          <w:p w14:paraId="6126AE53">
            <w:pPr>
              <w:jc w:val="both"/>
              <w:rPr>
                <w:sz w:val="16"/>
                <w:szCs w:val="16"/>
              </w:rPr>
            </w:pPr>
            <w:r>
              <w:rPr>
                <w:sz w:val="16"/>
                <w:szCs w:val="16"/>
              </w:rPr>
              <w:t>Custom model</w:t>
            </w:r>
          </w:p>
        </w:tc>
        <w:tc>
          <w:tcPr>
            <w:tcW w:w="652" w:type="dxa"/>
            <w:noWrap w:val="0"/>
            <w:vAlign w:val="top"/>
          </w:tcPr>
          <w:p w14:paraId="4D7C75D4">
            <w:pPr>
              <w:rPr>
                <w:sz w:val="16"/>
                <w:szCs w:val="16"/>
              </w:rPr>
            </w:pPr>
            <w:r>
              <w:rPr>
                <w:sz w:val="16"/>
                <w:szCs w:val="16"/>
              </w:rPr>
              <w:t>0.97</w:t>
            </w:r>
          </w:p>
        </w:tc>
        <w:tc>
          <w:tcPr>
            <w:tcW w:w="652" w:type="dxa"/>
            <w:noWrap w:val="0"/>
            <w:vAlign w:val="top"/>
          </w:tcPr>
          <w:p w14:paraId="3D33D577">
            <w:pPr>
              <w:rPr>
                <w:sz w:val="16"/>
                <w:szCs w:val="16"/>
              </w:rPr>
            </w:pPr>
            <w:r>
              <w:rPr>
                <w:sz w:val="16"/>
                <w:szCs w:val="16"/>
              </w:rPr>
              <w:t>0.99</w:t>
            </w:r>
          </w:p>
        </w:tc>
        <w:tc>
          <w:tcPr>
            <w:tcW w:w="680" w:type="dxa"/>
            <w:noWrap w:val="0"/>
            <w:vAlign w:val="top"/>
          </w:tcPr>
          <w:p w14:paraId="39DED494">
            <w:pPr>
              <w:rPr>
                <w:sz w:val="16"/>
                <w:szCs w:val="16"/>
              </w:rPr>
            </w:pPr>
            <w:r>
              <w:rPr>
                <w:sz w:val="16"/>
                <w:szCs w:val="16"/>
              </w:rPr>
              <w:t>0.95</w:t>
            </w:r>
          </w:p>
        </w:tc>
        <w:tc>
          <w:tcPr>
            <w:tcW w:w="890" w:type="dxa"/>
            <w:noWrap w:val="0"/>
            <w:vAlign w:val="top"/>
          </w:tcPr>
          <w:p w14:paraId="4090F5C3">
            <w:pPr>
              <w:rPr>
                <w:sz w:val="16"/>
                <w:szCs w:val="16"/>
              </w:rPr>
            </w:pPr>
            <w:r>
              <w:rPr>
                <w:sz w:val="16"/>
                <w:szCs w:val="16"/>
              </w:rPr>
              <w:t>0.93</w:t>
            </w:r>
          </w:p>
        </w:tc>
        <w:tc>
          <w:tcPr>
            <w:tcW w:w="708" w:type="dxa"/>
            <w:noWrap w:val="0"/>
            <w:vAlign w:val="top"/>
          </w:tcPr>
          <w:p w14:paraId="53AE06D0">
            <w:pPr>
              <w:rPr>
                <w:sz w:val="16"/>
                <w:szCs w:val="16"/>
              </w:rPr>
            </w:pPr>
            <w:r>
              <w:rPr>
                <w:sz w:val="16"/>
                <w:szCs w:val="16"/>
              </w:rPr>
              <w:t>0.99</w:t>
            </w:r>
          </w:p>
        </w:tc>
      </w:tr>
    </w:tbl>
    <w:p w14:paraId="40A62E69">
      <w:pPr>
        <w:jc w:val="both"/>
      </w:pPr>
      <w:r>
        <w:t>The recall values for various deep learning models across tumor classification categories indicate that all models performed effectively with scores generally above 0.9. ResNet50 achieved the highest overall recall, with perfect values of 1.00 for the Tumor and Normal classes and strong performance in other categories between 0.97 and 0.99. VGG16 also maintained high recall with 1.00 for Tumor and Normal and slightly lower values for Benign and Malignant at 0.96. EfficientNetB7 showed excellent recall, reaching 1.00 for No Tumor and Normal classes but slightly lower at 0.93 for Benign. DenseNet121 achieved similar consistency. VGG19 recorded strong recall values, especially perfect for the Normal class, though slightly lower at 0.93 for Malignant. The Custom Model also performed well, with values close to 1.00 for most categories but a lower recall of 0.93 for Malignant. Overall, all models demonstrated high recall, with ResNet50 standing out as the most balanced and reliable performer.</w:t>
      </w:r>
    </w:p>
    <w:p w14:paraId="56F40738">
      <w:pPr>
        <w:pStyle w:val="3"/>
      </w:pPr>
      <w:r>
        <w:t>F1-score</w:t>
      </w:r>
    </w:p>
    <w:tbl>
      <w:tblPr>
        <w:tblStyle w:val="8"/>
        <w:tblW w:w="56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8"/>
        <w:gridCol w:w="761"/>
        <w:gridCol w:w="761"/>
        <w:gridCol w:w="794"/>
        <w:gridCol w:w="1039"/>
        <w:gridCol w:w="827"/>
      </w:tblGrid>
      <w:tr w14:paraId="25E24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38" w:type="dxa"/>
            <w:noWrap w:val="0"/>
            <w:vAlign w:val="top"/>
          </w:tcPr>
          <w:p w14:paraId="6B8C4198">
            <w:pPr>
              <w:rPr>
                <w:sz w:val="16"/>
                <w:szCs w:val="16"/>
              </w:rPr>
            </w:pPr>
            <w:r>
              <w:rPr>
                <w:sz w:val="16"/>
                <w:szCs w:val="16"/>
              </w:rPr>
              <w:t>Model</w:t>
            </w:r>
          </w:p>
          <w:p w14:paraId="107B8BE2">
            <w:pPr>
              <w:rPr>
                <w:sz w:val="16"/>
                <w:szCs w:val="16"/>
              </w:rPr>
            </w:pPr>
            <w:r>
              <w:rPr>
                <w:sz w:val="16"/>
                <w:szCs w:val="16"/>
              </w:rPr>
              <w:t>Name</w:t>
            </w:r>
          </w:p>
        </w:tc>
        <w:tc>
          <w:tcPr>
            <w:tcW w:w="761" w:type="dxa"/>
            <w:noWrap w:val="0"/>
            <w:vAlign w:val="top"/>
          </w:tcPr>
          <w:p w14:paraId="53D5AE12">
            <w:pPr>
              <w:rPr>
                <w:sz w:val="16"/>
                <w:szCs w:val="16"/>
              </w:rPr>
            </w:pPr>
            <w:r>
              <w:rPr>
                <w:sz w:val="16"/>
                <w:szCs w:val="16"/>
              </w:rPr>
              <w:t>No</w:t>
            </w:r>
          </w:p>
          <w:p w14:paraId="60314E23">
            <w:pPr>
              <w:rPr>
                <w:sz w:val="16"/>
                <w:szCs w:val="16"/>
              </w:rPr>
            </w:pPr>
            <w:r>
              <w:rPr>
                <w:sz w:val="16"/>
                <w:szCs w:val="16"/>
              </w:rPr>
              <w:t>Tumor</w:t>
            </w:r>
          </w:p>
        </w:tc>
        <w:tc>
          <w:tcPr>
            <w:tcW w:w="761" w:type="dxa"/>
            <w:noWrap w:val="0"/>
            <w:vAlign w:val="top"/>
          </w:tcPr>
          <w:p w14:paraId="38755A35">
            <w:pPr>
              <w:rPr>
                <w:sz w:val="16"/>
                <w:szCs w:val="16"/>
              </w:rPr>
            </w:pPr>
          </w:p>
          <w:p w14:paraId="5BB2B5B9">
            <w:pPr>
              <w:rPr>
                <w:sz w:val="16"/>
                <w:szCs w:val="16"/>
              </w:rPr>
            </w:pPr>
            <w:r>
              <w:rPr>
                <w:sz w:val="16"/>
                <w:szCs w:val="16"/>
              </w:rPr>
              <w:t>Tumor</w:t>
            </w:r>
          </w:p>
        </w:tc>
        <w:tc>
          <w:tcPr>
            <w:tcW w:w="794" w:type="dxa"/>
            <w:noWrap w:val="0"/>
            <w:vAlign w:val="top"/>
          </w:tcPr>
          <w:p w14:paraId="44324E90">
            <w:pPr>
              <w:rPr>
                <w:sz w:val="16"/>
                <w:szCs w:val="16"/>
              </w:rPr>
            </w:pPr>
          </w:p>
          <w:p w14:paraId="1B424159">
            <w:pPr>
              <w:rPr>
                <w:sz w:val="16"/>
                <w:szCs w:val="16"/>
              </w:rPr>
            </w:pPr>
            <w:r>
              <w:rPr>
                <w:sz w:val="16"/>
                <w:szCs w:val="16"/>
              </w:rPr>
              <w:t>Benign</w:t>
            </w:r>
          </w:p>
        </w:tc>
        <w:tc>
          <w:tcPr>
            <w:tcW w:w="1039" w:type="dxa"/>
            <w:noWrap w:val="0"/>
            <w:vAlign w:val="top"/>
          </w:tcPr>
          <w:p w14:paraId="2EC7682F">
            <w:pPr>
              <w:rPr>
                <w:sz w:val="16"/>
                <w:szCs w:val="16"/>
              </w:rPr>
            </w:pPr>
          </w:p>
          <w:p w14:paraId="10B74A28">
            <w:pPr>
              <w:rPr>
                <w:sz w:val="16"/>
                <w:szCs w:val="16"/>
              </w:rPr>
            </w:pPr>
            <w:r>
              <w:rPr>
                <w:sz w:val="16"/>
                <w:szCs w:val="16"/>
              </w:rPr>
              <w:t>Malignant</w:t>
            </w:r>
          </w:p>
        </w:tc>
        <w:tc>
          <w:tcPr>
            <w:tcW w:w="827" w:type="dxa"/>
            <w:noWrap w:val="0"/>
            <w:vAlign w:val="top"/>
          </w:tcPr>
          <w:p w14:paraId="6D208768">
            <w:pPr>
              <w:rPr>
                <w:sz w:val="16"/>
                <w:szCs w:val="16"/>
              </w:rPr>
            </w:pPr>
          </w:p>
          <w:p w14:paraId="03158C28">
            <w:pPr>
              <w:rPr>
                <w:sz w:val="16"/>
                <w:szCs w:val="16"/>
              </w:rPr>
            </w:pPr>
            <w:r>
              <w:rPr>
                <w:sz w:val="16"/>
                <w:szCs w:val="16"/>
              </w:rPr>
              <w:t>Normal</w:t>
            </w:r>
          </w:p>
        </w:tc>
      </w:tr>
      <w:tr w14:paraId="1675C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38" w:type="dxa"/>
            <w:noWrap w:val="0"/>
            <w:vAlign w:val="top"/>
          </w:tcPr>
          <w:p w14:paraId="64DCBDED">
            <w:pPr>
              <w:jc w:val="both"/>
              <w:rPr>
                <w:sz w:val="16"/>
                <w:szCs w:val="16"/>
              </w:rPr>
            </w:pPr>
            <w:r>
              <w:rPr>
                <w:sz w:val="16"/>
                <w:szCs w:val="16"/>
              </w:rPr>
              <w:t>VGG19</w:t>
            </w:r>
          </w:p>
        </w:tc>
        <w:tc>
          <w:tcPr>
            <w:tcW w:w="761" w:type="dxa"/>
            <w:noWrap w:val="0"/>
            <w:vAlign w:val="top"/>
          </w:tcPr>
          <w:p w14:paraId="34A32E11">
            <w:pPr>
              <w:rPr>
                <w:sz w:val="16"/>
                <w:szCs w:val="16"/>
              </w:rPr>
            </w:pPr>
            <w:r>
              <w:rPr>
                <w:sz w:val="16"/>
                <w:szCs w:val="16"/>
              </w:rPr>
              <w:t>0.99</w:t>
            </w:r>
          </w:p>
        </w:tc>
        <w:tc>
          <w:tcPr>
            <w:tcW w:w="761" w:type="dxa"/>
            <w:noWrap w:val="0"/>
            <w:vAlign w:val="top"/>
          </w:tcPr>
          <w:p w14:paraId="20BD37E6">
            <w:pPr>
              <w:rPr>
                <w:sz w:val="16"/>
                <w:szCs w:val="16"/>
              </w:rPr>
            </w:pPr>
            <w:r>
              <w:rPr>
                <w:sz w:val="16"/>
                <w:szCs w:val="16"/>
              </w:rPr>
              <w:t>0.99</w:t>
            </w:r>
          </w:p>
        </w:tc>
        <w:tc>
          <w:tcPr>
            <w:tcW w:w="794" w:type="dxa"/>
            <w:noWrap w:val="0"/>
            <w:vAlign w:val="top"/>
          </w:tcPr>
          <w:p w14:paraId="3802DF49">
            <w:pPr>
              <w:rPr>
                <w:sz w:val="16"/>
                <w:szCs w:val="16"/>
              </w:rPr>
            </w:pPr>
            <w:r>
              <w:rPr>
                <w:sz w:val="16"/>
                <w:szCs w:val="16"/>
              </w:rPr>
              <w:t>0.96</w:t>
            </w:r>
          </w:p>
        </w:tc>
        <w:tc>
          <w:tcPr>
            <w:tcW w:w="1039" w:type="dxa"/>
            <w:noWrap w:val="0"/>
            <w:vAlign w:val="top"/>
          </w:tcPr>
          <w:p w14:paraId="0DC1326F">
            <w:pPr>
              <w:rPr>
                <w:sz w:val="16"/>
                <w:szCs w:val="16"/>
              </w:rPr>
            </w:pPr>
            <w:r>
              <w:rPr>
                <w:sz w:val="16"/>
                <w:szCs w:val="16"/>
              </w:rPr>
              <w:t>0.96</w:t>
            </w:r>
          </w:p>
        </w:tc>
        <w:tc>
          <w:tcPr>
            <w:tcW w:w="827" w:type="dxa"/>
            <w:noWrap w:val="0"/>
            <w:vAlign w:val="top"/>
          </w:tcPr>
          <w:p w14:paraId="606E492D">
            <w:pPr>
              <w:rPr>
                <w:sz w:val="16"/>
                <w:szCs w:val="16"/>
              </w:rPr>
            </w:pPr>
            <w:r>
              <w:rPr>
                <w:sz w:val="16"/>
                <w:szCs w:val="16"/>
              </w:rPr>
              <w:t>0.99</w:t>
            </w:r>
          </w:p>
        </w:tc>
      </w:tr>
      <w:tr w14:paraId="77D97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38" w:type="dxa"/>
            <w:noWrap w:val="0"/>
            <w:vAlign w:val="top"/>
          </w:tcPr>
          <w:p w14:paraId="7C45B085">
            <w:pPr>
              <w:jc w:val="both"/>
              <w:rPr>
                <w:sz w:val="16"/>
                <w:szCs w:val="16"/>
              </w:rPr>
            </w:pPr>
            <w:r>
              <w:rPr>
                <w:sz w:val="16"/>
                <w:szCs w:val="16"/>
              </w:rPr>
              <w:t>ResNet50</w:t>
            </w:r>
          </w:p>
        </w:tc>
        <w:tc>
          <w:tcPr>
            <w:tcW w:w="761" w:type="dxa"/>
            <w:noWrap w:val="0"/>
            <w:vAlign w:val="top"/>
          </w:tcPr>
          <w:p w14:paraId="1A7DA409">
            <w:pPr>
              <w:rPr>
                <w:sz w:val="16"/>
                <w:szCs w:val="16"/>
              </w:rPr>
            </w:pPr>
            <w:r>
              <w:rPr>
                <w:sz w:val="16"/>
                <w:szCs w:val="16"/>
              </w:rPr>
              <w:t>1</w:t>
            </w:r>
          </w:p>
        </w:tc>
        <w:tc>
          <w:tcPr>
            <w:tcW w:w="761" w:type="dxa"/>
            <w:noWrap w:val="0"/>
            <w:vAlign w:val="top"/>
          </w:tcPr>
          <w:p w14:paraId="787A9D81">
            <w:pPr>
              <w:rPr>
                <w:sz w:val="16"/>
                <w:szCs w:val="16"/>
              </w:rPr>
            </w:pPr>
            <w:r>
              <w:rPr>
                <w:sz w:val="16"/>
                <w:szCs w:val="16"/>
              </w:rPr>
              <w:t>1</w:t>
            </w:r>
          </w:p>
        </w:tc>
        <w:tc>
          <w:tcPr>
            <w:tcW w:w="794" w:type="dxa"/>
            <w:noWrap w:val="0"/>
            <w:vAlign w:val="top"/>
          </w:tcPr>
          <w:p w14:paraId="4A138B02">
            <w:pPr>
              <w:rPr>
                <w:sz w:val="16"/>
                <w:szCs w:val="16"/>
              </w:rPr>
            </w:pPr>
            <w:r>
              <w:rPr>
                <w:sz w:val="16"/>
                <w:szCs w:val="16"/>
              </w:rPr>
              <w:t>0.97</w:t>
            </w:r>
          </w:p>
        </w:tc>
        <w:tc>
          <w:tcPr>
            <w:tcW w:w="1039" w:type="dxa"/>
            <w:noWrap w:val="0"/>
            <w:vAlign w:val="top"/>
          </w:tcPr>
          <w:p w14:paraId="52F23C9F">
            <w:pPr>
              <w:rPr>
                <w:sz w:val="16"/>
                <w:szCs w:val="16"/>
              </w:rPr>
            </w:pPr>
            <w:r>
              <w:rPr>
                <w:sz w:val="16"/>
                <w:szCs w:val="16"/>
              </w:rPr>
              <w:t>0.97</w:t>
            </w:r>
          </w:p>
        </w:tc>
        <w:tc>
          <w:tcPr>
            <w:tcW w:w="827" w:type="dxa"/>
            <w:noWrap w:val="0"/>
            <w:vAlign w:val="top"/>
          </w:tcPr>
          <w:p w14:paraId="2353A245">
            <w:pPr>
              <w:rPr>
                <w:sz w:val="16"/>
                <w:szCs w:val="16"/>
              </w:rPr>
            </w:pPr>
            <w:r>
              <w:rPr>
                <w:sz w:val="16"/>
                <w:szCs w:val="16"/>
              </w:rPr>
              <w:t>1</w:t>
            </w:r>
          </w:p>
        </w:tc>
      </w:tr>
      <w:tr w14:paraId="6A0CD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38" w:type="dxa"/>
            <w:noWrap w:val="0"/>
            <w:vAlign w:val="top"/>
          </w:tcPr>
          <w:p w14:paraId="251F23CD">
            <w:pPr>
              <w:jc w:val="both"/>
              <w:rPr>
                <w:sz w:val="16"/>
                <w:szCs w:val="16"/>
              </w:rPr>
            </w:pPr>
            <w:r>
              <w:rPr>
                <w:sz w:val="16"/>
                <w:szCs w:val="16"/>
              </w:rPr>
              <w:t>VGG16</w:t>
            </w:r>
          </w:p>
        </w:tc>
        <w:tc>
          <w:tcPr>
            <w:tcW w:w="761" w:type="dxa"/>
            <w:noWrap w:val="0"/>
            <w:vAlign w:val="top"/>
          </w:tcPr>
          <w:p w14:paraId="0B339382">
            <w:pPr>
              <w:rPr>
                <w:sz w:val="16"/>
                <w:szCs w:val="16"/>
              </w:rPr>
            </w:pPr>
            <w:r>
              <w:rPr>
                <w:sz w:val="16"/>
                <w:szCs w:val="16"/>
              </w:rPr>
              <w:t>0.99</w:t>
            </w:r>
          </w:p>
        </w:tc>
        <w:tc>
          <w:tcPr>
            <w:tcW w:w="761" w:type="dxa"/>
            <w:noWrap w:val="0"/>
            <w:vAlign w:val="top"/>
          </w:tcPr>
          <w:p w14:paraId="45701FF2">
            <w:pPr>
              <w:rPr>
                <w:sz w:val="16"/>
                <w:szCs w:val="16"/>
              </w:rPr>
            </w:pPr>
            <w:r>
              <w:rPr>
                <w:sz w:val="16"/>
                <w:szCs w:val="16"/>
              </w:rPr>
              <w:t>0.99</w:t>
            </w:r>
          </w:p>
        </w:tc>
        <w:tc>
          <w:tcPr>
            <w:tcW w:w="794" w:type="dxa"/>
            <w:noWrap w:val="0"/>
            <w:vAlign w:val="top"/>
          </w:tcPr>
          <w:p w14:paraId="3B482157">
            <w:pPr>
              <w:rPr>
                <w:sz w:val="16"/>
                <w:szCs w:val="16"/>
              </w:rPr>
            </w:pPr>
            <w:r>
              <w:rPr>
                <w:sz w:val="16"/>
                <w:szCs w:val="16"/>
              </w:rPr>
              <w:t>0.97</w:t>
            </w:r>
          </w:p>
        </w:tc>
        <w:tc>
          <w:tcPr>
            <w:tcW w:w="1039" w:type="dxa"/>
            <w:noWrap w:val="0"/>
            <w:vAlign w:val="top"/>
          </w:tcPr>
          <w:p w14:paraId="4C828457">
            <w:pPr>
              <w:rPr>
                <w:sz w:val="16"/>
                <w:szCs w:val="16"/>
              </w:rPr>
            </w:pPr>
            <w:r>
              <w:rPr>
                <w:sz w:val="16"/>
                <w:szCs w:val="16"/>
              </w:rPr>
              <w:t>0.97</w:t>
            </w:r>
          </w:p>
        </w:tc>
        <w:tc>
          <w:tcPr>
            <w:tcW w:w="827" w:type="dxa"/>
            <w:noWrap w:val="0"/>
            <w:vAlign w:val="top"/>
          </w:tcPr>
          <w:p w14:paraId="1B6142D2">
            <w:pPr>
              <w:rPr>
                <w:sz w:val="16"/>
                <w:szCs w:val="16"/>
              </w:rPr>
            </w:pPr>
            <w:r>
              <w:rPr>
                <w:sz w:val="16"/>
                <w:szCs w:val="16"/>
              </w:rPr>
              <w:t>0.98</w:t>
            </w:r>
          </w:p>
        </w:tc>
      </w:tr>
      <w:tr w14:paraId="54A1C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38" w:type="dxa"/>
            <w:noWrap w:val="0"/>
            <w:vAlign w:val="top"/>
          </w:tcPr>
          <w:p w14:paraId="5E1375ED">
            <w:pPr>
              <w:jc w:val="both"/>
              <w:rPr>
                <w:sz w:val="16"/>
                <w:szCs w:val="16"/>
              </w:rPr>
            </w:pPr>
            <w:r>
              <w:rPr>
                <w:sz w:val="16"/>
                <w:szCs w:val="16"/>
              </w:rPr>
              <w:t>EfficientNetB7</w:t>
            </w:r>
          </w:p>
        </w:tc>
        <w:tc>
          <w:tcPr>
            <w:tcW w:w="761" w:type="dxa"/>
            <w:noWrap w:val="0"/>
            <w:vAlign w:val="top"/>
          </w:tcPr>
          <w:p w14:paraId="3A417EC4">
            <w:pPr>
              <w:rPr>
                <w:sz w:val="16"/>
                <w:szCs w:val="16"/>
              </w:rPr>
            </w:pPr>
            <w:r>
              <w:rPr>
                <w:sz w:val="16"/>
                <w:szCs w:val="16"/>
              </w:rPr>
              <w:t>1</w:t>
            </w:r>
          </w:p>
        </w:tc>
        <w:tc>
          <w:tcPr>
            <w:tcW w:w="761" w:type="dxa"/>
            <w:noWrap w:val="0"/>
            <w:vAlign w:val="top"/>
          </w:tcPr>
          <w:p w14:paraId="4D67A293">
            <w:pPr>
              <w:rPr>
                <w:sz w:val="16"/>
                <w:szCs w:val="16"/>
              </w:rPr>
            </w:pPr>
            <w:r>
              <w:rPr>
                <w:sz w:val="16"/>
                <w:szCs w:val="16"/>
              </w:rPr>
              <w:t>1</w:t>
            </w:r>
          </w:p>
        </w:tc>
        <w:tc>
          <w:tcPr>
            <w:tcW w:w="794" w:type="dxa"/>
            <w:noWrap w:val="0"/>
            <w:vAlign w:val="top"/>
          </w:tcPr>
          <w:p w14:paraId="1F872018">
            <w:pPr>
              <w:rPr>
                <w:sz w:val="16"/>
                <w:szCs w:val="16"/>
              </w:rPr>
            </w:pPr>
            <w:r>
              <w:rPr>
                <w:sz w:val="16"/>
                <w:szCs w:val="16"/>
              </w:rPr>
              <w:t>0.96</w:t>
            </w:r>
          </w:p>
        </w:tc>
        <w:tc>
          <w:tcPr>
            <w:tcW w:w="1039" w:type="dxa"/>
            <w:noWrap w:val="0"/>
            <w:vAlign w:val="top"/>
          </w:tcPr>
          <w:p w14:paraId="7E8D0E78">
            <w:pPr>
              <w:rPr>
                <w:sz w:val="16"/>
                <w:szCs w:val="16"/>
              </w:rPr>
            </w:pPr>
            <w:r>
              <w:rPr>
                <w:sz w:val="16"/>
                <w:szCs w:val="16"/>
              </w:rPr>
              <w:t>0.96</w:t>
            </w:r>
          </w:p>
        </w:tc>
        <w:tc>
          <w:tcPr>
            <w:tcW w:w="827" w:type="dxa"/>
            <w:noWrap w:val="0"/>
            <w:vAlign w:val="top"/>
          </w:tcPr>
          <w:p w14:paraId="63397491">
            <w:pPr>
              <w:rPr>
                <w:sz w:val="16"/>
                <w:szCs w:val="16"/>
              </w:rPr>
            </w:pPr>
            <w:r>
              <w:rPr>
                <w:sz w:val="16"/>
                <w:szCs w:val="16"/>
              </w:rPr>
              <w:t>0.99</w:t>
            </w:r>
          </w:p>
        </w:tc>
      </w:tr>
      <w:tr w14:paraId="34E5E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38" w:type="dxa"/>
            <w:noWrap w:val="0"/>
            <w:vAlign w:val="top"/>
          </w:tcPr>
          <w:p w14:paraId="1CE26BA2">
            <w:pPr>
              <w:jc w:val="both"/>
              <w:rPr>
                <w:sz w:val="16"/>
                <w:szCs w:val="16"/>
              </w:rPr>
            </w:pPr>
            <w:r>
              <w:rPr>
                <w:sz w:val="16"/>
                <w:szCs w:val="16"/>
              </w:rPr>
              <w:t>DenseNet121</w:t>
            </w:r>
          </w:p>
        </w:tc>
        <w:tc>
          <w:tcPr>
            <w:tcW w:w="761" w:type="dxa"/>
            <w:noWrap w:val="0"/>
            <w:vAlign w:val="top"/>
          </w:tcPr>
          <w:p w14:paraId="62969889">
            <w:pPr>
              <w:rPr>
                <w:sz w:val="16"/>
                <w:szCs w:val="16"/>
              </w:rPr>
            </w:pPr>
            <w:r>
              <w:rPr>
                <w:sz w:val="16"/>
                <w:szCs w:val="16"/>
              </w:rPr>
              <w:t>0.99</w:t>
            </w:r>
          </w:p>
        </w:tc>
        <w:tc>
          <w:tcPr>
            <w:tcW w:w="761" w:type="dxa"/>
            <w:noWrap w:val="0"/>
            <w:vAlign w:val="top"/>
          </w:tcPr>
          <w:p w14:paraId="5E18ABB4">
            <w:pPr>
              <w:rPr>
                <w:sz w:val="16"/>
                <w:szCs w:val="16"/>
              </w:rPr>
            </w:pPr>
            <w:r>
              <w:rPr>
                <w:sz w:val="16"/>
                <w:szCs w:val="16"/>
              </w:rPr>
              <w:t>0.99</w:t>
            </w:r>
          </w:p>
        </w:tc>
        <w:tc>
          <w:tcPr>
            <w:tcW w:w="794" w:type="dxa"/>
            <w:noWrap w:val="0"/>
            <w:vAlign w:val="top"/>
          </w:tcPr>
          <w:p w14:paraId="7B73ACE7">
            <w:pPr>
              <w:rPr>
                <w:sz w:val="16"/>
                <w:szCs w:val="16"/>
              </w:rPr>
            </w:pPr>
            <w:r>
              <w:rPr>
                <w:sz w:val="16"/>
                <w:szCs w:val="16"/>
              </w:rPr>
              <w:t>0.95</w:t>
            </w:r>
          </w:p>
        </w:tc>
        <w:tc>
          <w:tcPr>
            <w:tcW w:w="1039" w:type="dxa"/>
            <w:noWrap w:val="0"/>
            <w:vAlign w:val="top"/>
          </w:tcPr>
          <w:p w14:paraId="29BC7EA6">
            <w:pPr>
              <w:rPr>
                <w:sz w:val="16"/>
                <w:szCs w:val="16"/>
              </w:rPr>
            </w:pPr>
            <w:r>
              <w:rPr>
                <w:sz w:val="16"/>
                <w:szCs w:val="16"/>
              </w:rPr>
              <w:t>0.96</w:t>
            </w:r>
          </w:p>
        </w:tc>
        <w:tc>
          <w:tcPr>
            <w:tcW w:w="827" w:type="dxa"/>
            <w:noWrap w:val="0"/>
            <w:vAlign w:val="top"/>
          </w:tcPr>
          <w:p w14:paraId="1E222F6E">
            <w:pPr>
              <w:rPr>
                <w:sz w:val="16"/>
                <w:szCs w:val="16"/>
              </w:rPr>
            </w:pPr>
            <w:r>
              <w:rPr>
                <w:sz w:val="16"/>
                <w:szCs w:val="16"/>
              </w:rPr>
              <w:t>0.98</w:t>
            </w:r>
          </w:p>
        </w:tc>
      </w:tr>
      <w:tr w14:paraId="6F960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38" w:type="dxa"/>
            <w:noWrap w:val="0"/>
            <w:vAlign w:val="top"/>
          </w:tcPr>
          <w:p w14:paraId="788720F7">
            <w:pPr>
              <w:jc w:val="both"/>
              <w:rPr>
                <w:sz w:val="16"/>
                <w:szCs w:val="16"/>
              </w:rPr>
            </w:pPr>
            <w:r>
              <w:rPr>
                <w:sz w:val="16"/>
                <w:szCs w:val="16"/>
              </w:rPr>
              <w:t>Custom model</w:t>
            </w:r>
          </w:p>
        </w:tc>
        <w:tc>
          <w:tcPr>
            <w:tcW w:w="761" w:type="dxa"/>
            <w:noWrap w:val="0"/>
            <w:vAlign w:val="top"/>
          </w:tcPr>
          <w:p w14:paraId="32E8A750">
            <w:pPr>
              <w:rPr>
                <w:sz w:val="16"/>
                <w:szCs w:val="16"/>
              </w:rPr>
            </w:pPr>
            <w:r>
              <w:rPr>
                <w:sz w:val="16"/>
                <w:szCs w:val="16"/>
              </w:rPr>
              <w:t>0.98</w:t>
            </w:r>
          </w:p>
        </w:tc>
        <w:tc>
          <w:tcPr>
            <w:tcW w:w="761" w:type="dxa"/>
            <w:noWrap w:val="0"/>
            <w:vAlign w:val="top"/>
          </w:tcPr>
          <w:p w14:paraId="065045CE">
            <w:pPr>
              <w:rPr>
                <w:sz w:val="16"/>
                <w:szCs w:val="16"/>
              </w:rPr>
            </w:pPr>
            <w:r>
              <w:rPr>
                <w:sz w:val="16"/>
                <w:szCs w:val="16"/>
              </w:rPr>
              <w:t>0.99</w:t>
            </w:r>
          </w:p>
        </w:tc>
        <w:tc>
          <w:tcPr>
            <w:tcW w:w="794" w:type="dxa"/>
            <w:noWrap w:val="0"/>
            <w:vAlign w:val="top"/>
          </w:tcPr>
          <w:p w14:paraId="4EEE704E">
            <w:pPr>
              <w:rPr>
                <w:sz w:val="16"/>
                <w:szCs w:val="16"/>
              </w:rPr>
            </w:pPr>
            <w:r>
              <w:rPr>
                <w:sz w:val="16"/>
                <w:szCs w:val="16"/>
              </w:rPr>
              <w:t>0.93</w:t>
            </w:r>
          </w:p>
        </w:tc>
        <w:tc>
          <w:tcPr>
            <w:tcW w:w="1039" w:type="dxa"/>
            <w:noWrap w:val="0"/>
            <w:vAlign w:val="top"/>
          </w:tcPr>
          <w:p w14:paraId="367F7A31">
            <w:pPr>
              <w:rPr>
                <w:sz w:val="16"/>
                <w:szCs w:val="16"/>
              </w:rPr>
            </w:pPr>
            <w:r>
              <w:rPr>
                <w:sz w:val="16"/>
                <w:szCs w:val="16"/>
              </w:rPr>
              <w:t>0.94</w:t>
            </w:r>
          </w:p>
        </w:tc>
        <w:tc>
          <w:tcPr>
            <w:tcW w:w="827" w:type="dxa"/>
            <w:noWrap w:val="0"/>
            <w:vAlign w:val="top"/>
          </w:tcPr>
          <w:p w14:paraId="147A198D">
            <w:pPr>
              <w:rPr>
                <w:sz w:val="16"/>
                <w:szCs w:val="16"/>
              </w:rPr>
            </w:pPr>
            <w:r>
              <w:rPr>
                <w:sz w:val="16"/>
                <w:szCs w:val="16"/>
              </w:rPr>
              <w:t>0.99</w:t>
            </w:r>
          </w:p>
        </w:tc>
      </w:tr>
    </w:tbl>
    <w:p w14:paraId="03F96C94">
      <w:pPr>
        <w:jc w:val="both"/>
      </w:pPr>
      <w:r>
        <w:t xml:space="preserve">The F1-score values for different deep learning models across tumor classification categories reveal that all models achieved strong and balanced performance between precision and recall. ResNet50 recorded the highest overall F1-scores, with perfect values of 1.00 for the No Tumor, Tumor, and Normal classes, and slightly lower but still high values of 0.97 for Benign and Malignant. VGG16 and EfficientNetB7 followed closely, both maintaining F1-scores between 0.96 and 1.00, indicating strong overall accuracy. VGG19 also performed well with slightly lower scores for the Benign and Malignant classes at 0.96. DenseNet121 achieved consistent results across all categories, with minor variation and the lowest value being 0.95 for Benign. The Custom Model showed good overall balance but had slightly lower F1-scores for Benign and Malignant at 0.93 and 0.94, respectively. </w:t>
      </w:r>
    </w:p>
    <w:p w14:paraId="25788099">
      <w:pPr>
        <w:pStyle w:val="3"/>
      </w:pPr>
      <w:r>
        <w:t>Support</w:t>
      </w:r>
    </w:p>
    <w:tbl>
      <w:tblPr>
        <w:tblStyle w:val="8"/>
        <w:tblW w:w="56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957"/>
        <w:gridCol w:w="761"/>
        <w:gridCol w:w="794"/>
        <w:gridCol w:w="1039"/>
        <w:gridCol w:w="827"/>
      </w:tblGrid>
      <w:tr w14:paraId="18998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42" w:type="dxa"/>
            <w:noWrap w:val="0"/>
            <w:vAlign w:val="top"/>
          </w:tcPr>
          <w:p w14:paraId="00670AAB">
            <w:pPr>
              <w:jc w:val="both"/>
              <w:rPr>
                <w:sz w:val="16"/>
                <w:szCs w:val="16"/>
              </w:rPr>
            </w:pPr>
            <w:r>
              <w:rPr>
                <w:sz w:val="16"/>
                <w:szCs w:val="16"/>
              </w:rPr>
              <w:t>Model</w:t>
            </w:r>
          </w:p>
          <w:p w14:paraId="2EF70862">
            <w:pPr>
              <w:jc w:val="both"/>
              <w:rPr>
                <w:sz w:val="16"/>
                <w:szCs w:val="16"/>
              </w:rPr>
            </w:pPr>
            <w:r>
              <w:rPr>
                <w:sz w:val="16"/>
                <w:szCs w:val="16"/>
              </w:rPr>
              <w:t>Name</w:t>
            </w:r>
          </w:p>
        </w:tc>
        <w:tc>
          <w:tcPr>
            <w:tcW w:w="957" w:type="dxa"/>
            <w:noWrap w:val="0"/>
            <w:vAlign w:val="top"/>
          </w:tcPr>
          <w:p w14:paraId="5CE6EBBA">
            <w:pPr>
              <w:jc w:val="both"/>
              <w:rPr>
                <w:sz w:val="16"/>
                <w:szCs w:val="16"/>
              </w:rPr>
            </w:pPr>
            <w:r>
              <w:rPr>
                <w:sz w:val="16"/>
                <w:szCs w:val="16"/>
              </w:rPr>
              <w:t>No</w:t>
            </w:r>
          </w:p>
          <w:p w14:paraId="1FEF3873">
            <w:pPr>
              <w:jc w:val="both"/>
              <w:rPr>
                <w:sz w:val="16"/>
                <w:szCs w:val="16"/>
              </w:rPr>
            </w:pPr>
            <w:r>
              <w:rPr>
                <w:sz w:val="16"/>
                <w:szCs w:val="16"/>
              </w:rPr>
              <w:t>Tumor</w:t>
            </w:r>
          </w:p>
          <w:p w14:paraId="71C5D3A6">
            <w:pPr>
              <w:jc w:val="both"/>
              <w:rPr>
                <w:sz w:val="16"/>
                <w:szCs w:val="16"/>
              </w:rPr>
            </w:pPr>
          </w:p>
        </w:tc>
        <w:tc>
          <w:tcPr>
            <w:tcW w:w="761" w:type="dxa"/>
            <w:noWrap w:val="0"/>
            <w:vAlign w:val="top"/>
          </w:tcPr>
          <w:p w14:paraId="70BC4F1A">
            <w:pPr>
              <w:jc w:val="both"/>
              <w:rPr>
                <w:sz w:val="16"/>
                <w:szCs w:val="16"/>
              </w:rPr>
            </w:pPr>
          </w:p>
          <w:p w14:paraId="0AD60B61">
            <w:pPr>
              <w:jc w:val="both"/>
              <w:rPr>
                <w:sz w:val="16"/>
                <w:szCs w:val="16"/>
              </w:rPr>
            </w:pPr>
            <w:r>
              <w:rPr>
                <w:sz w:val="16"/>
                <w:szCs w:val="16"/>
              </w:rPr>
              <w:t>Tumor</w:t>
            </w:r>
          </w:p>
          <w:p w14:paraId="43852356">
            <w:pPr>
              <w:jc w:val="both"/>
              <w:rPr>
                <w:sz w:val="16"/>
                <w:szCs w:val="16"/>
              </w:rPr>
            </w:pPr>
          </w:p>
        </w:tc>
        <w:tc>
          <w:tcPr>
            <w:tcW w:w="794" w:type="dxa"/>
            <w:noWrap w:val="0"/>
            <w:vAlign w:val="top"/>
          </w:tcPr>
          <w:p w14:paraId="785C9A8C">
            <w:pPr>
              <w:jc w:val="both"/>
              <w:rPr>
                <w:sz w:val="16"/>
                <w:szCs w:val="16"/>
              </w:rPr>
            </w:pPr>
          </w:p>
          <w:p w14:paraId="225DBEE2">
            <w:pPr>
              <w:jc w:val="both"/>
              <w:rPr>
                <w:sz w:val="16"/>
                <w:szCs w:val="16"/>
              </w:rPr>
            </w:pPr>
            <w:r>
              <w:rPr>
                <w:sz w:val="16"/>
                <w:szCs w:val="16"/>
              </w:rPr>
              <w:t>Benign</w:t>
            </w:r>
          </w:p>
        </w:tc>
        <w:tc>
          <w:tcPr>
            <w:tcW w:w="1039" w:type="dxa"/>
            <w:noWrap w:val="0"/>
            <w:vAlign w:val="top"/>
          </w:tcPr>
          <w:p w14:paraId="66B37DCB">
            <w:pPr>
              <w:jc w:val="both"/>
              <w:rPr>
                <w:sz w:val="16"/>
                <w:szCs w:val="16"/>
              </w:rPr>
            </w:pPr>
          </w:p>
          <w:p w14:paraId="4F04974D">
            <w:pPr>
              <w:jc w:val="both"/>
              <w:rPr>
                <w:sz w:val="16"/>
                <w:szCs w:val="16"/>
              </w:rPr>
            </w:pPr>
            <w:r>
              <w:rPr>
                <w:sz w:val="16"/>
                <w:szCs w:val="16"/>
              </w:rPr>
              <w:t>Malignant</w:t>
            </w:r>
          </w:p>
        </w:tc>
        <w:tc>
          <w:tcPr>
            <w:tcW w:w="827" w:type="dxa"/>
            <w:noWrap w:val="0"/>
            <w:vAlign w:val="top"/>
          </w:tcPr>
          <w:p w14:paraId="04D6E329">
            <w:pPr>
              <w:jc w:val="both"/>
              <w:rPr>
                <w:sz w:val="16"/>
                <w:szCs w:val="16"/>
              </w:rPr>
            </w:pPr>
          </w:p>
          <w:p w14:paraId="43ECF8B2">
            <w:pPr>
              <w:jc w:val="both"/>
              <w:rPr>
                <w:sz w:val="16"/>
                <w:szCs w:val="16"/>
              </w:rPr>
            </w:pPr>
            <w:r>
              <w:rPr>
                <w:sz w:val="16"/>
                <w:szCs w:val="16"/>
              </w:rPr>
              <w:t>Normal</w:t>
            </w:r>
          </w:p>
        </w:tc>
      </w:tr>
      <w:tr w14:paraId="303F6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42" w:type="dxa"/>
            <w:noWrap w:val="0"/>
            <w:vAlign w:val="top"/>
          </w:tcPr>
          <w:p w14:paraId="36C216D9">
            <w:pPr>
              <w:jc w:val="both"/>
              <w:rPr>
                <w:sz w:val="16"/>
                <w:szCs w:val="16"/>
              </w:rPr>
            </w:pPr>
            <w:r>
              <w:rPr>
                <w:sz w:val="16"/>
                <w:szCs w:val="16"/>
              </w:rPr>
              <w:t>VGG19</w:t>
            </w:r>
          </w:p>
        </w:tc>
        <w:tc>
          <w:tcPr>
            <w:tcW w:w="957" w:type="dxa"/>
            <w:noWrap w:val="0"/>
            <w:vAlign w:val="top"/>
          </w:tcPr>
          <w:p w14:paraId="4DE8CF60">
            <w:pPr>
              <w:jc w:val="both"/>
              <w:rPr>
                <w:sz w:val="16"/>
                <w:szCs w:val="16"/>
              </w:rPr>
            </w:pPr>
            <w:r>
              <w:rPr>
                <w:sz w:val="16"/>
                <w:szCs w:val="16"/>
              </w:rPr>
              <w:t>178</w:t>
            </w:r>
          </w:p>
        </w:tc>
        <w:tc>
          <w:tcPr>
            <w:tcW w:w="761" w:type="dxa"/>
            <w:noWrap w:val="0"/>
            <w:vAlign w:val="top"/>
          </w:tcPr>
          <w:p w14:paraId="593CC9D0">
            <w:pPr>
              <w:jc w:val="both"/>
              <w:rPr>
                <w:sz w:val="16"/>
                <w:szCs w:val="16"/>
              </w:rPr>
            </w:pPr>
            <w:r>
              <w:rPr>
                <w:sz w:val="16"/>
                <w:szCs w:val="16"/>
              </w:rPr>
              <w:t>181</w:t>
            </w:r>
          </w:p>
        </w:tc>
        <w:tc>
          <w:tcPr>
            <w:tcW w:w="794" w:type="dxa"/>
            <w:noWrap w:val="0"/>
            <w:vAlign w:val="top"/>
          </w:tcPr>
          <w:p w14:paraId="43B4CE33">
            <w:pPr>
              <w:jc w:val="both"/>
              <w:rPr>
                <w:sz w:val="16"/>
                <w:szCs w:val="16"/>
              </w:rPr>
            </w:pPr>
            <w:r>
              <w:rPr>
                <w:sz w:val="16"/>
                <w:szCs w:val="16"/>
              </w:rPr>
              <w:t>173</w:t>
            </w:r>
          </w:p>
        </w:tc>
        <w:tc>
          <w:tcPr>
            <w:tcW w:w="1039" w:type="dxa"/>
            <w:noWrap w:val="0"/>
            <w:vAlign w:val="top"/>
          </w:tcPr>
          <w:p w14:paraId="71BDDD62">
            <w:pPr>
              <w:jc w:val="both"/>
              <w:rPr>
                <w:sz w:val="16"/>
                <w:szCs w:val="16"/>
              </w:rPr>
            </w:pPr>
            <w:r>
              <w:rPr>
                <w:sz w:val="16"/>
                <w:szCs w:val="16"/>
              </w:rPr>
              <w:t>181</w:t>
            </w:r>
          </w:p>
        </w:tc>
        <w:tc>
          <w:tcPr>
            <w:tcW w:w="827" w:type="dxa"/>
            <w:noWrap w:val="0"/>
            <w:vAlign w:val="top"/>
          </w:tcPr>
          <w:p w14:paraId="78AA1615">
            <w:pPr>
              <w:jc w:val="both"/>
              <w:rPr>
                <w:sz w:val="16"/>
                <w:szCs w:val="16"/>
              </w:rPr>
            </w:pPr>
            <w:r>
              <w:rPr>
                <w:sz w:val="16"/>
                <w:szCs w:val="16"/>
              </w:rPr>
              <w:t>188</w:t>
            </w:r>
          </w:p>
        </w:tc>
      </w:tr>
      <w:tr w14:paraId="21068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42" w:type="dxa"/>
            <w:noWrap w:val="0"/>
            <w:vAlign w:val="top"/>
          </w:tcPr>
          <w:p w14:paraId="629F2D7E">
            <w:pPr>
              <w:jc w:val="both"/>
              <w:rPr>
                <w:sz w:val="16"/>
                <w:szCs w:val="16"/>
              </w:rPr>
            </w:pPr>
            <w:r>
              <w:rPr>
                <w:sz w:val="16"/>
                <w:szCs w:val="16"/>
              </w:rPr>
              <w:t>RestNet50</w:t>
            </w:r>
          </w:p>
        </w:tc>
        <w:tc>
          <w:tcPr>
            <w:tcW w:w="957" w:type="dxa"/>
            <w:noWrap w:val="0"/>
            <w:vAlign w:val="top"/>
          </w:tcPr>
          <w:p w14:paraId="7192774A">
            <w:pPr>
              <w:jc w:val="both"/>
              <w:rPr>
                <w:sz w:val="16"/>
                <w:szCs w:val="16"/>
              </w:rPr>
            </w:pPr>
            <w:r>
              <w:rPr>
                <w:sz w:val="16"/>
                <w:szCs w:val="16"/>
              </w:rPr>
              <w:t>178</w:t>
            </w:r>
          </w:p>
        </w:tc>
        <w:tc>
          <w:tcPr>
            <w:tcW w:w="761" w:type="dxa"/>
            <w:noWrap w:val="0"/>
            <w:vAlign w:val="top"/>
          </w:tcPr>
          <w:p w14:paraId="4373F845">
            <w:pPr>
              <w:jc w:val="both"/>
              <w:rPr>
                <w:sz w:val="16"/>
                <w:szCs w:val="16"/>
              </w:rPr>
            </w:pPr>
            <w:r>
              <w:rPr>
                <w:sz w:val="16"/>
                <w:szCs w:val="16"/>
              </w:rPr>
              <w:t>181</w:t>
            </w:r>
          </w:p>
        </w:tc>
        <w:tc>
          <w:tcPr>
            <w:tcW w:w="794" w:type="dxa"/>
            <w:noWrap w:val="0"/>
            <w:vAlign w:val="top"/>
          </w:tcPr>
          <w:p w14:paraId="2289E362">
            <w:pPr>
              <w:jc w:val="both"/>
              <w:rPr>
                <w:sz w:val="16"/>
                <w:szCs w:val="16"/>
              </w:rPr>
            </w:pPr>
            <w:r>
              <w:rPr>
                <w:sz w:val="16"/>
                <w:szCs w:val="16"/>
              </w:rPr>
              <w:t>173</w:t>
            </w:r>
          </w:p>
        </w:tc>
        <w:tc>
          <w:tcPr>
            <w:tcW w:w="1039" w:type="dxa"/>
            <w:noWrap w:val="0"/>
            <w:vAlign w:val="top"/>
          </w:tcPr>
          <w:p w14:paraId="081D125E">
            <w:pPr>
              <w:jc w:val="both"/>
              <w:rPr>
                <w:sz w:val="16"/>
                <w:szCs w:val="16"/>
              </w:rPr>
            </w:pPr>
            <w:r>
              <w:rPr>
                <w:sz w:val="16"/>
                <w:szCs w:val="16"/>
              </w:rPr>
              <w:t>181</w:t>
            </w:r>
          </w:p>
        </w:tc>
        <w:tc>
          <w:tcPr>
            <w:tcW w:w="827" w:type="dxa"/>
            <w:noWrap w:val="0"/>
            <w:vAlign w:val="top"/>
          </w:tcPr>
          <w:p w14:paraId="6EADF248">
            <w:pPr>
              <w:jc w:val="both"/>
              <w:rPr>
                <w:sz w:val="16"/>
                <w:szCs w:val="16"/>
              </w:rPr>
            </w:pPr>
            <w:r>
              <w:rPr>
                <w:sz w:val="16"/>
                <w:szCs w:val="16"/>
              </w:rPr>
              <w:t>188</w:t>
            </w:r>
          </w:p>
        </w:tc>
      </w:tr>
      <w:tr w14:paraId="16844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42" w:type="dxa"/>
            <w:noWrap w:val="0"/>
            <w:vAlign w:val="top"/>
          </w:tcPr>
          <w:p w14:paraId="27B1C75D">
            <w:pPr>
              <w:jc w:val="both"/>
              <w:rPr>
                <w:sz w:val="16"/>
                <w:szCs w:val="16"/>
              </w:rPr>
            </w:pPr>
            <w:r>
              <w:rPr>
                <w:sz w:val="16"/>
                <w:szCs w:val="16"/>
              </w:rPr>
              <w:t>VGG16</w:t>
            </w:r>
          </w:p>
        </w:tc>
        <w:tc>
          <w:tcPr>
            <w:tcW w:w="957" w:type="dxa"/>
            <w:noWrap w:val="0"/>
            <w:vAlign w:val="top"/>
          </w:tcPr>
          <w:p w14:paraId="28C6CF32">
            <w:pPr>
              <w:jc w:val="both"/>
              <w:rPr>
                <w:sz w:val="16"/>
                <w:szCs w:val="16"/>
              </w:rPr>
            </w:pPr>
            <w:r>
              <w:rPr>
                <w:sz w:val="16"/>
                <w:szCs w:val="16"/>
              </w:rPr>
              <w:t>178</w:t>
            </w:r>
          </w:p>
        </w:tc>
        <w:tc>
          <w:tcPr>
            <w:tcW w:w="761" w:type="dxa"/>
            <w:noWrap w:val="0"/>
            <w:vAlign w:val="top"/>
          </w:tcPr>
          <w:p w14:paraId="7EB7B3DB">
            <w:pPr>
              <w:jc w:val="both"/>
              <w:rPr>
                <w:sz w:val="16"/>
                <w:szCs w:val="16"/>
              </w:rPr>
            </w:pPr>
            <w:r>
              <w:rPr>
                <w:sz w:val="16"/>
                <w:szCs w:val="16"/>
              </w:rPr>
              <w:t>181</w:t>
            </w:r>
          </w:p>
        </w:tc>
        <w:tc>
          <w:tcPr>
            <w:tcW w:w="794" w:type="dxa"/>
            <w:noWrap w:val="0"/>
            <w:vAlign w:val="top"/>
          </w:tcPr>
          <w:p w14:paraId="2C6B9C79">
            <w:pPr>
              <w:jc w:val="both"/>
              <w:rPr>
                <w:sz w:val="16"/>
                <w:szCs w:val="16"/>
              </w:rPr>
            </w:pPr>
            <w:r>
              <w:rPr>
                <w:sz w:val="16"/>
                <w:szCs w:val="16"/>
              </w:rPr>
              <w:t>173</w:t>
            </w:r>
          </w:p>
        </w:tc>
        <w:tc>
          <w:tcPr>
            <w:tcW w:w="1039" w:type="dxa"/>
            <w:noWrap w:val="0"/>
            <w:vAlign w:val="top"/>
          </w:tcPr>
          <w:p w14:paraId="75B54073">
            <w:pPr>
              <w:jc w:val="both"/>
              <w:rPr>
                <w:sz w:val="16"/>
                <w:szCs w:val="16"/>
              </w:rPr>
            </w:pPr>
            <w:r>
              <w:rPr>
                <w:sz w:val="16"/>
                <w:szCs w:val="16"/>
              </w:rPr>
              <w:t>181</w:t>
            </w:r>
          </w:p>
        </w:tc>
        <w:tc>
          <w:tcPr>
            <w:tcW w:w="827" w:type="dxa"/>
            <w:noWrap w:val="0"/>
            <w:vAlign w:val="top"/>
          </w:tcPr>
          <w:p w14:paraId="2508C054">
            <w:pPr>
              <w:jc w:val="both"/>
              <w:rPr>
                <w:sz w:val="16"/>
                <w:szCs w:val="16"/>
              </w:rPr>
            </w:pPr>
            <w:r>
              <w:rPr>
                <w:sz w:val="16"/>
                <w:szCs w:val="16"/>
              </w:rPr>
              <w:t>188</w:t>
            </w:r>
          </w:p>
        </w:tc>
      </w:tr>
      <w:tr w14:paraId="15CAF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42" w:type="dxa"/>
            <w:noWrap w:val="0"/>
            <w:vAlign w:val="top"/>
          </w:tcPr>
          <w:p w14:paraId="0E35369F">
            <w:pPr>
              <w:jc w:val="both"/>
              <w:rPr>
                <w:sz w:val="16"/>
                <w:szCs w:val="16"/>
              </w:rPr>
            </w:pPr>
            <w:r>
              <w:rPr>
                <w:sz w:val="16"/>
                <w:szCs w:val="16"/>
              </w:rPr>
              <w:t>EfficientNetB7</w:t>
            </w:r>
          </w:p>
        </w:tc>
        <w:tc>
          <w:tcPr>
            <w:tcW w:w="957" w:type="dxa"/>
            <w:noWrap w:val="0"/>
            <w:vAlign w:val="top"/>
          </w:tcPr>
          <w:p w14:paraId="3BFE1D01">
            <w:pPr>
              <w:jc w:val="both"/>
              <w:rPr>
                <w:sz w:val="16"/>
                <w:szCs w:val="16"/>
              </w:rPr>
            </w:pPr>
            <w:r>
              <w:rPr>
                <w:sz w:val="16"/>
                <w:szCs w:val="16"/>
              </w:rPr>
              <w:t>178</w:t>
            </w:r>
          </w:p>
        </w:tc>
        <w:tc>
          <w:tcPr>
            <w:tcW w:w="761" w:type="dxa"/>
            <w:noWrap w:val="0"/>
            <w:vAlign w:val="top"/>
          </w:tcPr>
          <w:p w14:paraId="3CB1D2C5">
            <w:pPr>
              <w:jc w:val="both"/>
              <w:rPr>
                <w:sz w:val="16"/>
                <w:szCs w:val="16"/>
              </w:rPr>
            </w:pPr>
            <w:r>
              <w:rPr>
                <w:sz w:val="16"/>
                <w:szCs w:val="16"/>
              </w:rPr>
              <w:t>181</w:t>
            </w:r>
          </w:p>
        </w:tc>
        <w:tc>
          <w:tcPr>
            <w:tcW w:w="794" w:type="dxa"/>
            <w:noWrap w:val="0"/>
            <w:vAlign w:val="top"/>
          </w:tcPr>
          <w:p w14:paraId="0D8947E7">
            <w:pPr>
              <w:jc w:val="both"/>
              <w:rPr>
                <w:sz w:val="16"/>
                <w:szCs w:val="16"/>
              </w:rPr>
            </w:pPr>
            <w:r>
              <w:rPr>
                <w:sz w:val="16"/>
                <w:szCs w:val="16"/>
              </w:rPr>
              <w:t>173</w:t>
            </w:r>
          </w:p>
        </w:tc>
        <w:tc>
          <w:tcPr>
            <w:tcW w:w="1039" w:type="dxa"/>
            <w:noWrap w:val="0"/>
            <w:vAlign w:val="top"/>
          </w:tcPr>
          <w:p w14:paraId="1BBBBC8C">
            <w:pPr>
              <w:jc w:val="both"/>
              <w:rPr>
                <w:sz w:val="16"/>
                <w:szCs w:val="16"/>
              </w:rPr>
            </w:pPr>
            <w:r>
              <w:rPr>
                <w:sz w:val="16"/>
                <w:szCs w:val="16"/>
              </w:rPr>
              <w:t>181</w:t>
            </w:r>
          </w:p>
        </w:tc>
        <w:tc>
          <w:tcPr>
            <w:tcW w:w="827" w:type="dxa"/>
            <w:noWrap w:val="0"/>
            <w:vAlign w:val="top"/>
          </w:tcPr>
          <w:p w14:paraId="469261D8">
            <w:pPr>
              <w:jc w:val="both"/>
              <w:rPr>
                <w:sz w:val="16"/>
                <w:szCs w:val="16"/>
              </w:rPr>
            </w:pPr>
            <w:r>
              <w:rPr>
                <w:sz w:val="16"/>
                <w:szCs w:val="16"/>
              </w:rPr>
              <w:t>188</w:t>
            </w:r>
          </w:p>
        </w:tc>
      </w:tr>
      <w:tr w14:paraId="300C4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42" w:type="dxa"/>
            <w:noWrap w:val="0"/>
            <w:vAlign w:val="top"/>
          </w:tcPr>
          <w:p w14:paraId="33A09B5A">
            <w:pPr>
              <w:jc w:val="both"/>
              <w:rPr>
                <w:sz w:val="16"/>
                <w:szCs w:val="16"/>
              </w:rPr>
            </w:pPr>
            <w:r>
              <w:rPr>
                <w:sz w:val="16"/>
                <w:szCs w:val="16"/>
              </w:rPr>
              <w:t>DenseNet121</w:t>
            </w:r>
          </w:p>
        </w:tc>
        <w:tc>
          <w:tcPr>
            <w:tcW w:w="957" w:type="dxa"/>
            <w:noWrap w:val="0"/>
            <w:vAlign w:val="top"/>
          </w:tcPr>
          <w:p w14:paraId="33D5256B">
            <w:pPr>
              <w:jc w:val="both"/>
              <w:rPr>
                <w:sz w:val="16"/>
                <w:szCs w:val="16"/>
              </w:rPr>
            </w:pPr>
            <w:r>
              <w:rPr>
                <w:sz w:val="16"/>
                <w:szCs w:val="16"/>
              </w:rPr>
              <w:t>178</w:t>
            </w:r>
          </w:p>
        </w:tc>
        <w:tc>
          <w:tcPr>
            <w:tcW w:w="761" w:type="dxa"/>
            <w:noWrap w:val="0"/>
            <w:vAlign w:val="top"/>
          </w:tcPr>
          <w:p w14:paraId="1CBEA495">
            <w:pPr>
              <w:jc w:val="both"/>
              <w:rPr>
                <w:sz w:val="16"/>
                <w:szCs w:val="16"/>
              </w:rPr>
            </w:pPr>
            <w:r>
              <w:rPr>
                <w:sz w:val="16"/>
                <w:szCs w:val="16"/>
              </w:rPr>
              <w:t>181</w:t>
            </w:r>
          </w:p>
        </w:tc>
        <w:tc>
          <w:tcPr>
            <w:tcW w:w="794" w:type="dxa"/>
            <w:noWrap w:val="0"/>
            <w:vAlign w:val="top"/>
          </w:tcPr>
          <w:p w14:paraId="781F9608">
            <w:pPr>
              <w:jc w:val="both"/>
              <w:rPr>
                <w:sz w:val="16"/>
                <w:szCs w:val="16"/>
              </w:rPr>
            </w:pPr>
            <w:r>
              <w:rPr>
                <w:sz w:val="16"/>
                <w:szCs w:val="16"/>
              </w:rPr>
              <w:t>173</w:t>
            </w:r>
          </w:p>
        </w:tc>
        <w:tc>
          <w:tcPr>
            <w:tcW w:w="1039" w:type="dxa"/>
            <w:noWrap w:val="0"/>
            <w:vAlign w:val="top"/>
          </w:tcPr>
          <w:p w14:paraId="3B4C83D7">
            <w:pPr>
              <w:jc w:val="both"/>
              <w:rPr>
                <w:sz w:val="16"/>
                <w:szCs w:val="16"/>
              </w:rPr>
            </w:pPr>
            <w:r>
              <w:rPr>
                <w:sz w:val="16"/>
                <w:szCs w:val="16"/>
              </w:rPr>
              <w:t>181</w:t>
            </w:r>
          </w:p>
        </w:tc>
        <w:tc>
          <w:tcPr>
            <w:tcW w:w="827" w:type="dxa"/>
            <w:noWrap w:val="0"/>
            <w:vAlign w:val="top"/>
          </w:tcPr>
          <w:p w14:paraId="1B10C5DD">
            <w:pPr>
              <w:jc w:val="both"/>
              <w:rPr>
                <w:sz w:val="16"/>
                <w:szCs w:val="16"/>
              </w:rPr>
            </w:pPr>
            <w:r>
              <w:rPr>
                <w:sz w:val="16"/>
                <w:szCs w:val="16"/>
              </w:rPr>
              <w:t>188</w:t>
            </w:r>
          </w:p>
        </w:tc>
      </w:tr>
      <w:tr w14:paraId="57419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42" w:type="dxa"/>
            <w:noWrap w:val="0"/>
            <w:vAlign w:val="top"/>
          </w:tcPr>
          <w:p w14:paraId="6C1ABDE4">
            <w:pPr>
              <w:jc w:val="both"/>
              <w:rPr>
                <w:sz w:val="16"/>
                <w:szCs w:val="16"/>
              </w:rPr>
            </w:pPr>
            <w:r>
              <w:rPr>
                <w:sz w:val="16"/>
                <w:szCs w:val="16"/>
              </w:rPr>
              <w:t>Custom model</w:t>
            </w:r>
          </w:p>
        </w:tc>
        <w:tc>
          <w:tcPr>
            <w:tcW w:w="957" w:type="dxa"/>
            <w:noWrap w:val="0"/>
            <w:vAlign w:val="top"/>
          </w:tcPr>
          <w:p w14:paraId="2DA17856">
            <w:pPr>
              <w:jc w:val="both"/>
              <w:rPr>
                <w:sz w:val="16"/>
                <w:szCs w:val="16"/>
              </w:rPr>
            </w:pPr>
            <w:r>
              <w:rPr>
                <w:sz w:val="16"/>
                <w:szCs w:val="16"/>
              </w:rPr>
              <w:t>178</w:t>
            </w:r>
          </w:p>
        </w:tc>
        <w:tc>
          <w:tcPr>
            <w:tcW w:w="761" w:type="dxa"/>
            <w:noWrap w:val="0"/>
            <w:vAlign w:val="top"/>
          </w:tcPr>
          <w:p w14:paraId="2DA13BED">
            <w:pPr>
              <w:jc w:val="both"/>
              <w:rPr>
                <w:sz w:val="16"/>
                <w:szCs w:val="16"/>
              </w:rPr>
            </w:pPr>
            <w:r>
              <w:rPr>
                <w:sz w:val="16"/>
                <w:szCs w:val="16"/>
              </w:rPr>
              <w:t>181</w:t>
            </w:r>
          </w:p>
        </w:tc>
        <w:tc>
          <w:tcPr>
            <w:tcW w:w="794" w:type="dxa"/>
            <w:noWrap w:val="0"/>
            <w:vAlign w:val="top"/>
          </w:tcPr>
          <w:p w14:paraId="4E6581B0">
            <w:pPr>
              <w:jc w:val="both"/>
              <w:rPr>
                <w:sz w:val="16"/>
                <w:szCs w:val="16"/>
              </w:rPr>
            </w:pPr>
            <w:r>
              <w:rPr>
                <w:sz w:val="16"/>
                <w:szCs w:val="16"/>
              </w:rPr>
              <w:t>173</w:t>
            </w:r>
          </w:p>
        </w:tc>
        <w:tc>
          <w:tcPr>
            <w:tcW w:w="1039" w:type="dxa"/>
            <w:noWrap w:val="0"/>
            <w:vAlign w:val="top"/>
          </w:tcPr>
          <w:p w14:paraId="0390FEEA">
            <w:pPr>
              <w:jc w:val="both"/>
              <w:rPr>
                <w:sz w:val="16"/>
                <w:szCs w:val="16"/>
              </w:rPr>
            </w:pPr>
            <w:r>
              <w:rPr>
                <w:sz w:val="16"/>
                <w:szCs w:val="16"/>
              </w:rPr>
              <w:t>181</w:t>
            </w:r>
          </w:p>
        </w:tc>
        <w:tc>
          <w:tcPr>
            <w:tcW w:w="827" w:type="dxa"/>
            <w:noWrap w:val="0"/>
            <w:vAlign w:val="top"/>
          </w:tcPr>
          <w:p w14:paraId="69277046">
            <w:pPr>
              <w:jc w:val="both"/>
              <w:rPr>
                <w:sz w:val="16"/>
                <w:szCs w:val="16"/>
              </w:rPr>
            </w:pPr>
            <w:r>
              <w:rPr>
                <w:sz w:val="16"/>
                <w:szCs w:val="16"/>
              </w:rPr>
              <w:t>188</w:t>
            </w:r>
          </w:p>
        </w:tc>
      </w:tr>
    </w:tbl>
    <w:p w14:paraId="2911847E">
      <w:pPr>
        <w:jc w:val="both"/>
      </w:pPr>
      <w:r>
        <w:t>The support values represent the number of samples available for each class during model evaluation. All models, including VGG19, ResNet50, VGG16, EfficientNetB7, DenseNet121, and the Custom Model, were tested on the same dataset with identical support distribution. Each model had 178 samples for the No Tumor class, 181 for Tumor, 173 for Benign, 181 for Malignant, and 188 for Normal. This uniform distribution across models ensures a fair and consistent comparison of performance metrics such as precision, recall, and F1-score.</w:t>
      </w:r>
    </w:p>
    <w:p w14:paraId="208AA28B">
      <w:pPr>
        <w:jc w:val="both"/>
      </w:pPr>
    </w:p>
    <w:p w14:paraId="1A38407B">
      <w:pPr>
        <w:pStyle w:val="3"/>
      </w:pPr>
      <w:r>
        <w:t>K-cross validation results for resnet50 model with modified sinh gelu activation</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9"/>
        <w:gridCol w:w="1014"/>
        <w:gridCol w:w="1009"/>
        <w:gridCol w:w="1007"/>
        <w:gridCol w:w="1013"/>
      </w:tblGrid>
      <w:tr w14:paraId="283DD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039" w:type="dxa"/>
            <w:noWrap w:val="0"/>
            <w:vAlign w:val="top"/>
          </w:tcPr>
          <w:p w14:paraId="1E3C4319">
            <w:pPr>
              <w:rPr>
                <w:sz w:val="16"/>
                <w:szCs w:val="16"/>
              </w:rPr>
            </w:pPr>
            <w:r>
              <w:rPr>
                <w:sz w:val="16"/>
                <w:szCs w:val="16"/>
              </w:rPr>
              <w:t>Class Type</w:t>
            </w:r>
          </w:p>
        </w:tc>
        <w:tc>
          <w:tcPr>
            <w:tcW w:w="1014" w:type="dxa"/>
            <w:noWrap w:val="0"/>
            <w:vAlign w:val="top"/>
          </w:tcPr>
          <w:p w14:paraId="4176A4AF">
            <w:pPr>
              <w:rPr>
                <w:sz w:val="16"/>
                <w:szCs w:val="16"/>
              </w:rPr>
            </w:pPr>
          </w:p>
          <w:p w14:paraId="570BA1C7">
            <w:pPr>
              <w:rPr>
                <w:sz w:val="16"/>
                <w:szCs w:val="16"/>
              </w:rPr>
            </w:pPr>
            <w:r>
              <w:rPr>
                <w:sz w:val="16"/>
                <w:szCs w:val="16"/>
              </w:rPr>
              <w:t>Precision</w:t>
            </w:r>
          </w:p>
        </w:tc>
        <w:tc>
          <w:tcPr>
            <w:tcW w:w="1009" w:type="dxa"/>
            <w:noWrap w:val="0"/>
            <w:vAlign w:val="top"/>
          </w:tcPr>
          <w:p w14:paraId="2C919F48">
            <w:pPr>
              <w:rPr>
                <w:sz w:val="16"/>
                <w:szCs w:val="16"/>
              </w:rPr>
            </w:pPr>
          </w:p>
          <w:p w14:paraId="026D06F1">
            <w:pPr>
              <w:rPr>
                <w:sz w:val="16"/>
                <w:szCs w:val="16"/>
              </w:rPr>
            </w:pPr>
            <w:r>
              <w:rPr>
                <w:sz w:val="16"/>
                <w:szCs w:val="16"/>
              </w:rPr>
              <w:t>Recall</w:t>
            </w:r>
          </w:p>
        </w:tc>
        <w:tc>
          <w:tcPr>
            <w:tcW w:w="1007" w:type="dxa"/>
            <w:noWrap w:val="0"/>
            <w:vAlign w:val="top"/>
          </w:tcPr>
          <w:p w14:paraId="22D5BF62">
            <w:pPr>
              <w:rPr>
                <w:sz w:val="16"/>
                <w:szCs w:val="16"/>
              </w:rPr>
            </w:pPr>
          </w:p>
          <w:p w14:paraId="47798FF3">
            <w:pPr>
              <w:jc w:val="both"/>
              <w:rPr>
                <w:sz w:val="16"/>
                <w:szCs w:val="16"/>
              </w:rPr>
            </w:pPr>
            <w:r>
              <w:rPr>
                <w:sz w:val="16"/>
                <w:szCs w:val="16"/>
              </w:rPr>
              <w:t>F1-score</w:t>
            </w:r>
          </w:p>
        </w:tc>
        <w:tc>
          <w:tcPr>
            <w:tcW w:w="1013" w:type="dxa"/>
            <w:noWrap w:val="0"/>
            <w:vAlign w:val="top"/>
          </w:tcPr>
          <w:p w14:paraId="1582857A">
            <w:pPr>
              <w:rPr>
                <w:sz w:val="16"/>
                <w:szCs w:val="16"/>
              </w:rPr>
            </w:pPr>
          </w:p>
          <w:p w14:paraId="10BE2F0A">
            <w:pPr>
              <w:rPr>
                <w:sz w:val="16"/>
                <w:szCs w:val="16"/>
              </w:rPr>
            </w:pPr>
            <w:r>
              <w:rPr>
                <w:sz w:val="16"/>
                <w:szCs w:val="16"/>
              </w:rPr>
              <w:t>Support</w:t>
            </w:r>
          </w:p>
          <w:p w14:paraId="0C1D6E1A">
            <w:pPr>
              <w:rPr>
                <w:sz w:val="16"/>
                <w:szCs w:val="16"/>
              </w:rPr>
            </w:pPr>
          </w:p>
        </w:tc>
      </w:tr>
      <w:tr w14:paraId="74177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039" w:type="dxa"/>
            <w:noWrap w:val="0"/>
            <w:vAlign w:val="top"/>
          </w:tcPr>
          <w:p w14:paraId="59B5DC7B">
            <w:pPr>
              <w:rPr>
                <w:sz w:val="16"/>
                <w:szCs w:val="16"/>
              </w:rPr>
            </w:pPr>
            <w:r>
              <w:rPr>
                <w:sz w:val="16"/>
                <w:szCs w:val="16"/>
              </w:rPr>
              <w:t>No Tumor</w:t>
            </w:r>
          </w:p>
        </w:tc>
        <w:tc>
          <w:tcPr>
            <w:tcW w:w="1014" w:type="dxa"/>
            <w:noWrap w:val="0"/>
            <w:vAlign w:val="top"/>
          </w:tcPr>
          <w:p w14:paraId="57B73AC7">
            <w:pPr>
              <w:rPr>
                <w:sz w:val="16"/>
                <w:szCs w:val="16"/>
              </w:rPr>
            </w:pPr>
          </w:p>
          <w:p w14:paraId="2CDFFDFC">
            <w:pPr>
              <w:rPr>
                <w:sz w:val="16"/>
                <w:szCs w:val="16"/>
              </w:rPr>
            </w:pPr>
            <w:r>
              <w:rPr>
                <w:sz w:val="16"/>
                <w:szCs w:val="16"/>
              </w:rPr>
              <w:t>1</w:t>
            </w:r>
          </w:p>
        </w:tc>
        <w:tc>
          <w:tcPr>
            <w:tcW w:w="1009" w:type="dxa"/>
            <w:noWrap w:val="0"/>
            <w:vAlign w:val="top"/>
          </w:tcPr>
          <w:p w14:paraId="023A1BE5">
            <w:pPr>
              <w:rPr>
                <w:sz w:val="16"/>
                <w:szCs w:val="16"/>
              </w:rPr>
            </w:pPr>
          </w:p>
          <w:p w14:paraId="26B4B08C">
            <w:pPr>
              <w:rPr>
                <w:sz w:val="16"/>
                <w:szCs w:val="16"/>
              </w:rPr>
            </w:pPr>
            <w:r>
              <w:rPr>
                <w:sz w:val="16"/>
                <w:szCs w:val="16"/>
              </w:rPr>
              <w:t>0.99</w:t>
            </w:r>
          </w:p>
        </w:tc>
        <w:tc>
          <w:tcPr>
            <w:tcW w:w="1007" w:type="dxa"/>
            <w:noWrap w:val="0"/>
            <w:vAlign w:val="top"/>
          </w:tcPr>
          <w:p w14:paraId="3D08C963">
            <w:pPr>
              <w:rPr>
                <w:sz w:val="16"/>
                <w:szCs w:val="16"/>
              </w:rPr>
            </w:pPr>
          </w:p>
          <w:p w14:paraId="4DCDE4C1">
            <w:pPr>
              <w:rPr>
                <w:sz w:val="16"/>
                <w:szCs w:val="16"/>
              </w:rPr>
            </w:pPr>
            <w:r>
              <w:rPr>
                <w:sz w:val="16"/>
                <w:szCs w:val="16"/>
              </w:rPr>
              <w:t>1</w:t>
            </w:r>
          </w:p>
        </w:tc>
        <w:tc>
          <w:tcPr>
            <w:tcW w:w="1013" w:type="dxa"/>
            <w:noWrap w:val="0"/>
            <w:vAlign w:val="top"/>
          </w:tcPr>
          <w:p w14:paraId="56DF79BA">
            <w:pPr>
              <w:rPr>
                <w:sz w:val="16"/>
                <w:szCs w:val="16"/>
              </w:rPr>
            </w:pPr>
          </w:p>
          <w:p w14:paraId="78124893">
            <w:pPr>
              <w:rPr>
                <w:sz w:val="16"/>
                <w:szCs w:val="16"/>
              </w:rPr>
            </w:pPr>
            <w:r>
              <w:rPr>
                <w:sz w:val="16"/>
                <w:szCs w:val="16"/>
              </w:rPr>
              <w:t>180</w:t>
            </w:r>
          </w:p>
        </w:tc>
      </w:tr>
      <w:tr w14:paraId="76BB5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039" w:type="dxa"/>
            <w:noWrap w:val="0"/>
            <w:vAlign w:val="top"/>
          </w:tcPr>
          <w:p w14:paraId="319CDCE2">
            <w:pPr>
              <w:rPr>
                <w:sz w:val="16"/>
                <w:szCs w:val="16"/>
              </w:rPr>
            </w:pPr>
            <w:r>
              <w:rPr>
                <w:sz w:val="16"/>
                <w:szCs w:val="16"/>
              </w:rPr>
              <w:t>Tumor</w:t>
            </w:r>
          </w:p>
        </w:tc>
        <w:tc>
          <w:tcPr>
            <w:tcW w:w="1014" w:type="dxa"/>
            <w:noWrap w:val="0"/>
            <w:vAlign w:val="top"/>
          </w:tcPr>
          <w:p w14:paraId="0D3EBAA9">
            <w:pPr>
              <w:rPr>
                <w:sz w:val="16"/>
                <w:szCs w:val="16"/>
              </w:rPr>
            </w:pPr>
            <w:r>
              <w:rPr>
                <w:sz w:val="16"/>
                <w:szCs w:val="16"/>
              </w:rPr>
              <w:t>0.99</w:t>
            </w:r>
          </w:p>
        </w:tc>
        <w:tc>
          <w:tcPr>
            <w:tcW w:w="1009" w:type="dxa"/>
            <w:noWrap w:val="0"/>
            <w:vAlign w:val="top"/>
          </w:tcPr>
          <w:p w14:paraId="10D943E7">
            <w:pPr>
              <w:rPr>
                <w:sz w:val="16"/>
                <w:szCs w:val="16"/>
              </w:rPr>
            </w:pPr>
            <w:r>
              <w:rPr>
                <w:sz w:val="16"/>
                <w:szCs w:val="16"/>
              </w:rPr>
              <w:t>1</w:t>
            </w:r>
          </w:p>
        </w:tc>
        <w:tc>
          <w:tcPr>
            <w:tcW w:w="1007" w:type="dxa"/>
            <w:noWrap w:val="0"/>
            <w:vAlign w:val="top"/>
          </w:tcPr>
          <w:p w14:paraId="2EFCD1F7">
            <w:pPr>
              <w:rPr>
                <w:sz w:val="16"/>
                <w:szCs w:val="16"/>
              </w:rPr>
            </w:pPr>
            <w:r>
              <w:rPr>
                <w:sz w:val="16"/>
                <w:szCs w:val="16"/>
              </w:rPr>
              <w:t>1</w:t>
            </w:r>
          </w:p>
        </w:tc>
        <w:tc>
          <w:tcPr>
            <w:tcW w:w="1013" w:type="dxa"/>
            <w:noWrap w:val="0"/>
            <w:vAlign w:val="top"/>
          </w:tcPr>
          <w:p w14:paraId="0100A5AF">
            <w:pPr>
              <w:rPr>
                <w:sz w:val="16"/>
                <w:szCs w:val="16"/>
              </w:rPr>
            </w:pPr>
            <w:r>
              <w:rPr>
                <w:sz w:val="16"/>
                <w:szCs w:val="16"/>
              </w:rPr>
              <w:t>181</w:t>
            </w:r>
          </w:p>
        </w:tc>
      </w:tr>
      <w:tr w14:paraId="1ADC6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039" w:type="dxa"/>
            <w:noWrap w:val="0"/>
            <w:vAlign w:val="top"/>
          </w:tcPr>
          <w:p w14:paraId="03EF18B2">
            <w:pPr>
              <w:rPr>
                <w:sz w:val="16"/>
                <w:szCs w:val="16"/>
              </w:rPr>
            </w:pPr>
            <w:r>
              <w:rPr>
                <w:sz w:val="16"/>
                <w:szCs w:val="16"/>
              </w:rPr>
              <w:t>Benign</w:t>
            </w:r>
          </w:p>
        </w:tc>
        <w:tc>
          <w:tcPr>
            <w:tcW w:w="1014" w:type="dxa"/>
            <w:noWrap w:val="0"/>
            <w:vAlign w:val="top"/>
          </w:tcPr>
          <w:p w14:paraId="2AA9BE3B">
            <w:pPr>
              <w:rPr>
                <w:sz w:val="16"/>
                <w:szCs w:val="16"/>
              </w:rPr>
            </w:pPr>
            <w:r>
              <w:rPr>
                <w:sz w:val="16"/>
                <w:szCs w:val="16"/>
              </w:rPr>
              <w:t>0.98</w:t>
            </w:r>
          </w:p>
        </w:tc>
        <w:tc>
          <w:tcPr>
            <w:tcW w:w="1009" w:type="dxa"/>
            <w:noWrap w:val="0"/>
            <w:vAlign w:val="top"/>
          </w:tcPr>
          <w:p w14:paraId="44E7C35E">
            <w:pPr>
              <w:rPr>
                <w:sz w:val="16"/>
                <w:szCs w:val="16"/>
              </w:rPr>
            </w:pPr>
            <w:r>
              <w:rPr>
                <w:sz w:val="16"/>
                <w:szCs w:val="16"/>
              </w:rPr>
              <w:t>0.96</w:t>
            </w:r>
          </w:p>
        </w:tc>
        <w:tc>
          <w:tcPr>
            <w:tcW w:w="1007" w:type="dxa"/>
            <w:noWrap w:val="0"/>
            <w:vAlign w:val="top"/>
          </w:tcPr>
          <w:p w14:paraId="59618877">
            <w:pPr>
              <w:rPr>
                <w:sz w:val="16"/>
                <w:szCs w:val="16"/>
              </w:rPr>
            </w:pPr>
            <w:r>
              <w:rPr>
                <w:sz w:val="16"/>
                <w:szCs w:val="16"/>
              </w:rPr>
              <w:t>0.97</w:t>
            </w:r>
          </w:p>
        </w:tc>
        <w:tc>
          <w:tcPr>
            <w:tcW w:w="1013" w:type="dxa"/>
            <w:noWrap w:val="0"/>
            <w:vAlign w:val="top"/>
          </w:tcPr>
          <w:p w14:paraId="63EFFBE1">
            <w:pPr>
              <w:rPr>
                <w:sz w:val="16"/>
                <w:szCs w:val="16"/>
              </w:rPr>
            </w:pPr>
            <w:r>
              <w:rPr>
                <w:sz w:val="16"/>
                <w:szCs w:val="16"/>
              </w:rPr>
              <w:t>180</w:t>
            </w:r>
          </w:p>
        </w:tc>
      </w:tr>
      <w:tr w14:paraId="7AB75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039" w:type="dxa"/>
            <w:noWrap w:val="0"/>
            <w:vAlign w:val="top"/>
          </w:tcPr>
          <w:p w14:paraId="73BADC8D">
            <w:pPr>
              <w:rPr>
                <w:sz w:val="16"/>
                <w:szCs w:val="16"/>
              </w:rPr>
            </w:pPr>
            <w:r>
              <w:rPr>
                <w:sz w:val="16"/>
                <w:szCs w:val="16"/>
              </w:rPr>
              <w:t>Malignant</w:t>
            </w:r>
          </w:p>
        </w:tc>
        <w:tc>
          <w:tcPr>
            <w:tcW w:w="1014" w:type="dxa"/>
            <w:noWrap w:val="0"/>
            <w:vAlign w:val="top"/>
          </w:tcPr>
          <w:p w14:paraId="437DB4A5">
            <w:pPr>
              <w:rPr>
                <w:sz w:val="16"/>
                <w:szCs w:val="16"/>
              </w:rPr>
            </w:pPr>
            <w:r>
              <w:rPr>
                <w:sz w:val="16"/>
                <w:szCs w:val="16"/>
              </w:rPr>
              <w:t>0.97</w:t>
            </w:r>
          </w:p>
        </w:tc>
        <w:tc>
          <w:tcPr>
            <w:tcW w:w="1009" w:type="dxa"/>
            <w:noWrap w:val="0"/>
            <w:vAlign w:val="top"/>
          </w:tcPr>
          <w:p w14:paraId="7984DD4A">
            <w:pPr>
              <w:rPr>
                <w:sz w:val="16"/>
                <w:szCs w:val="16"/>
              </w:rPr>
            </w:pPr>
            <w:r>
              <w:rPr>
                <w:sz w:val="16"/>
                <w:szCs w:val="16"/>
              </w:rPr>
              <w:t>0.98</w:t>
            </w:r>
          </w:p>
        </w:tc>
        <w:tc>
          <w:tcPr>
            <w:tcW w:w="1007" w:type="dxa"/>
            <w:noWrap w:val="0"/>
            <w:vAlign w:val="top"/>
          </w:tcPr>
          <w:p w14:paraId="272A0117">
            <w:pPr>
              <w:rPr>
                <w:sz w:val="16"/>
                <w:szCs w:val="16"/>
              </w:rPr>
            </w:pPr>
            <w:r>
              <w:rPr>
                <w:sz w:val="16"/>
                <w:szCs w:val="16"/>
              </w:rPr>
              <w:t>0.98</w:t>
            </w:r>
          </w:p>
        </w:tc>
        <w:tc>
          <w:tcPr>
            <w:tcW w:w="1013" w:type="dxa"/>
            <w:noWrap w:val="0"/>
            <w:vAlign w:val="top"/>
          </w:tcPr>
          <w:p w14:paraId="2DEB29AB">
            <w:pPr>
              <w:rPr>
                <w:sz w:val="16"/>
                <w:szCs w:val="16"/>
              </w:rPr>
            </w:pPr>
            <w:r>
              <w:rPr>
                <w:sz w:val="16"/>
                <w:szCs w:val="16"/>
              </w:rPr>
              <w:t>180</w:t>
            </w:r>
          </w:p>
        </w:tc>
      </w:tr>
      <w:tr w14:paraId="2F1F0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039" w:type="dxa"/>
            <w:noWrap w:val="0"/>
            <w:vAlign w:val="top"/>
          </w:tcPr>
          <w:p w14:paraId="15BBACAB">
            <w:pPr>
              <w:rPr>
                <w:sz w:val="16"/>
                <w:szCs w:val="16"/>
              </w:rPr>
            </w:pPr>
            <w:r>
              <w:rPr>
                <w:sz w:val="16"/>
                <w:szCs w:val="16"/>
              </w:rPr>
              <w:t>Normal</w:t>
            </w:r>
          </w:p>
        </w:tc>
        <w:tc>
          <w:tcPr>
            <w:tcW w:w="1014" w:type="dxa"/>
            <w:noWrap w:val="0"/>
            <w:vAlign w:val="top"/>
          </w:tcPr>
          <w:p w14:paraId="244FB59E">
            <w:pPr>
              <w:rPr>
                <w:sz w:val="16"/>
                <w:szCs w:val="16"/>
              </w:rPr>
            </w:pPr>
            <w:r>
              <w:rPr>
                <w:sz w:val="16"/>
                <w:szCs w:val="16"/>
              </w:rPr>
              <w:t>0.99</w:t>
            </w:r>
          </w:p>
        </w:tc>
        <w:tc>
          <w:tcPr>
            <w:tcW w:w="1009" w:type="dxa"/>
            <w:noWrap w:val="0"/>
            <w:vAlign w:val="top"/>
          </w:tcPr>
          <w:p w14:paraId="0B3A18C9">
            <w:pPr>
              <w:rPr>
                <w:sz w:val="16"/>
                <w:szCs w:val="16"/>
              </w:rPr>
            </w:pPr>
            <w:r>
              <w:rPr>
                <w:sz w:val="16"/>
                <w:szCs w:val="16"/>
              </w:rPr>
              <w:t>1</w:t>
            </w:r>
          </w:p>
        </w:tc>
        <w:tc>
          <w:tcPr>
            <w:tcW w:w="1007" w:type="dxa"/>
            <w:noWrap w:val="0"/>
            <w:vAlign w:val="top"/>
          </w:tcPr>
          <w:p w14:paraId="3200A742">
            <w:pPr>
              <w:rPr>
                <w:sz w:val="16"/>
                <w:szCs w:val="16"/>
              </w:rPr>
            </w:pPr>
            <w:r>
              <w:rPr>
                <w:sz w:val="16"/>
                <w:szCs w:val="16"/>
              </w:rPr>
              <w:t>0.99</w:t>
            </w:r>
          </w:p>
        </w:tc>
        <w:tc>
          <w:tcPr>
            <w:tcW w:w="1013" w:type="dxa"/>
            <w:noWrap w:val="0"/>
            <w:vAlign w:val="top"/>
          </w:tcPr>
          <w:p w14:paraId="791EDA0E">
            <w:pPr>
              <w:rPr>
                <w:sz w:val="16"/>
                <w:szCs w:val="16"/>
              </w:rPr>
            </w:pPr>
            <w:r>
              <w:rPr>
                <w:sz w:val="16"/>
                <w:szCs w:val="16"/>
              </w:rPr>
              <w:t>180</w:t>
            </w:r>
          </w:p>
        </w:tc>
      </w:tr>
      <w:tr w14:paraId="41206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039" w:type="dxa"/>
            <w:noWrap w:val="0"/>
            <w:vAlign w:val="top"/>
          </w:tcPr>
          <w:p w14:paraId="1AB20276">
            <w:pPr>
              <w:rPr>
                <w:sz w:val="16"/>
                <w:szCs w:val="16"/>
              </w:rPr>
            </w:pPr>
            <w:r>
              <w:rPr>
                <w:sz w:val="16"/>
                <w:szCs w:val="16"/>
              </w:rPr>
              <w:t>accuracy</w:t>
            </w:r>
          </w:p>
        </w:tc>
        <w:tc>
          <w:tcPr>
            <w:tcW w:w="1014" w:type="dxa"/>
            <w:noWrap w:val="0"/>
            <w:vAlign w:val="top"/>
          </w:tcPr>
          <w:p w14:paraId="0BB7DCDE">
            <w:pPr>
              <w:rPr>
                <w:sz w:val="16"/>
                <w:szCs w:val="16"/>
              </w:rPr>
            </w:pPr>
            <w:r>
              <w:rPr>
                <w:sz w:val="16"/>
                <w:szCs w:val="16"/>
              </w:rPr>
              <w:t>0.99</w:t>
            </w:r>
          </w:p>
        </w:tc>
        <w:tc>
          <w:tcPr>
            <w:tcW w:w="1009" w:type="dxa"/>
            <w:noWrap w:val="0"/>
            <w:vAlign w:val="top"/>
          </w:tcPr>
          <w:p w14:paraId="3FA3E1A3">
            <w:pPr>
              <w:rPr>
                <w:sz w:val="16"/>
                <w:szCs w:val="16"/>
              </w:rPr>
            </w:pPr>
            <w:r>
              <w:rPr>
                <w:sz w:val="16"/>
                <w:szCs w:val="16"/>
              </w:rPr>
              <w:t>0.99</w:t>
            </w:r>
          </w:p>
        </w:tc>
        <w:tc>
          <w:tcPr>
            <w:tcW w:w="1007" w:type="dxa"/>
            <w:noWrap w:val="0"/>
            <w:vAlign w:val="top"/>
          </w:tcPr>
          <w:p w14:paraId="006CA555">
            <w:pPr>
              <w:rPr>
                <w:sz w:val="16"/>
                <w:szCs w:val="16"/>
              </w:rPr>
            </w:pPr>
            <w:r>
              <w:rPr>
                <w:sz w:val="16"/>
                <w:szCs w:val="16"/>
              </w:rPr>
              <w:t>0.99</w:t>
            </w:r>
          </w:p>
        </w:tc>
        <w:tc>
          <w:tcPr>
            <w:tcW w:w="1013" w:type="dxa"/>
            <w:noWrap w:val="0"/>
            <w:vAlign w:val="top"/>
          </w:tcPr>
          <w:p w14:paraId="3FF5687E">
            <w:pPr>
              <w:rPr>
                <w:sz w:val="16"/>
                <w:szCs w:val="16"/>
              </w:rPr>
            </w:pPr>
            <w:r>
              <w:rPr>
                <w:sz w:val="16"/>
                <w:szCs w:val="16"/>
              </w:rPr>
              <w:t>901</w:t>
            </w:r>
          </w:p>
        </w:tc>
      </w:tr>
    </w:tbl>
    <w:p w14:paraId="12C0BADB">
      <w:pPr>
        <w:jc w:val="both"/>
      </w:pPr>
      <w:r>
        <w:t>The k-fold cross-validation results for the ResNet50 model using the modified sinh-GELU activation demonstrate exceptional classification performance. The model achieved an overall accuracy of 0.99, reflecting its strong ability to generalize across all tumor categories. Precision, recall, and F1-scores remained consistently high for all classes, with most values close to or equal to 1.00. The Tumor, No Tumor, and Normal classes achieved almost perfect detection rates, while Benign and Malignant classes also showed excellent results with F1-scores of 0.97 and 0.98 respectively. These results indicate that the modified activation function enhances the model’s learning stability and accuracy, leading to superior performance across different tumor types.</w:t>
      </w:r>
    </w:p>
    <w:p w14:paraId="3B844D2D">
      <w:pPr>
        <w:pStyle w:val="3"/>
      </w:pPr>
      <w:r>
        <w:t>Confusion Matrix</w:t>
      </w:r>
    </w:p>
    <w:p w14:paraId="238B48FB">
      <w:r>
        <w:rPr>
          <w:lang/>
        </w:rPr>
        <w:drawing>
          <wp:inline distT="0" distB="0" distL="114300" distR="114300">
            <wp:extent cx="3087370" cy="2687320"/>
            <wp:effectExtent l="0" t="0" r="1143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087370" cy="2687320"/>
                    </a:xfrm>
                    <a:prstGeom prst="rect">
                      <a:avLst/>
                    </a:prstGeom>
                    <a:noFill/>
                    <a:ln>
                      <a:noFill/>
                    </a:ln>
                  </pic:spPr>
                </pic:pic>
              </a:graphicData>
            </a:graphic>
          </wp:inline>
        </w:drawing>
      </w:r>
    </w:p>
    <w:p w14:paraId="784846C3"/>
    <w:p w14:paraId="09B508CE">
      <w:pPr>
        <w:jc w:val="both"/>
      </w:pPr>
      <w:r>
        <w:t>The confusion matrix on the final hold-out test set shows that the model performed extremely well, correctly classifying almost all samples across all classes. For the No Tumor class, 179 out of 180 were correctly identified, with only one misclassification. The Tumor and Normal classes were classified perfectly, with 181 and 180 correct predictions respectively. The Benign class had a few misclassifications, with 172 correctly identified and 8 samples mistakenly predicted as Malignant or Normal. Similarly, the Malignant class had 177 correct predictions and 3 misclassified as Benign. Overall, the confusion matrix indicates very high accuracy and strong classification consistency, with only a few minor errors between the Benign and Malignant categories.</w:t>
      </w:r>
    </w:p>
    <w:p w14:paraId="3A46519F">
      <w:pPr>
        <w:pStyle w:val="3"/>
      </w:pPr>
      <w:r>
        <w:t>Model training &amp; Validatio Accuracy</w:t>
      </w:r>
    </w:p>
    <w:p w14:paraId="5BE82443">
      <w:r>
        <w:rPr>
          <w:lang/>
        </w:rPr>
        <w:drawing>
          <wp:inline distT="0" distB="0" distL="114300" distR="114300">
            <wp:extent cx="3086735" cy="2762885"/>
            <wp:effectExtent l="0" t="0" r="1206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rcRect r="48485"/>
                    <a:stretch>
                      <a:fillRect/>
                    </a:stretch>
                  </pic:blipFill>
                  <pic:spPr>
                    <a:xfrm>
                      <a:off x="0" y="0"/>
                      <a:ext cx="3086735" cy="2762885"/>
                    </a:xfrm>
                    <a:prstGeom prst="rect">
                      <a:avLst/>
                    </a:prstGeom>
                    <a:noFill/>
                    <a:ln>
                      <a:noFill/>
                    </a:ln>
                  </pic:spPr>
                </pic:pic>
              </a:graphicData>
            </a:graphic>
          </wp:inline>
        </w:drawing>
      </w:r>
    </w:p>
    <w:p w14:paraId="18F46253">
      <w:pPr>
        <w:jc w:val="both"/>
      </w:pPr>
      <w:r>
        <w:t>The training and validation accuracy graph shows that both accuracies increased rapidly and stabilized after a few epochs. The training accuracy reached nearly 100%, while the validation accuracy remained consistently high around 98%, indicating excellent learning performance with minimal overfitting.</w:t>
      </w:r>
    </w:p>
    <w:p w14:paraId="32908CF7">
      <w:pPr>
        <w:pStyle w:val="3"/>
      </w:pPr>
      <w:r>
        <w:t>ROC AUC CURVE</w:t>
      </w:r>
    </w:p>
    <w:p w14:paraId="6EA98323">
      <w:pPr>
        <w:jc w:val="both"/>
      </w:pPr>
      <w:r>
        <w:rPr>
          <w:lang/>
        </w:rPr>
        <w:t xml:space="preserve"> </w:t>
      </w:r>
      <w:r>
        <w:rPr>
          <w:lang/>
        </w:rPr>
        <w:drawing>
          <wp:inline distT="0" distB="0" distL="114300" distR="114300">
            <wp:extent cx="3091180" cy="2595245"/>
            <wp:effectExtent l="0" t="0" r="7620" b="8255"/>
            <wp:docPr id="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6"/>
                    <pic:cNvPicPr>
                      <a:picLocks noChangeAspect="1"/>
                    </pic:cNvPicPr>
                  </pic:nvPicPr>
                  <pic:blipFill>
                    <a:blip r:embed="rId9"/>
                    <a:stretch>
                      <a:fillRect/>
                    </a:stretch>
                  </pic:blipFill>
                  <pic:spPr>
                    <a:xfrm>
                      <a:off x="0" y="0"/>
                      <a:ext cx="3091180" cy="2595245"/>
                    </a:xfrm>
                    <a:prstGeom prst="rect">
                      <a:avLst/>
                    </a:prstGeom>
                    <a:noFill/>
                    <a:ln>
                      <a:noFill/>
                    </a:ln>
                  </pic:spPr>
                </pic:pic>
              </a:graphicData>
            </a:graphic>
          </wp:inline>
        </w:drawing>
      </w:r>
      <w:r>
        <w:t>The multi-class ROC curve shows that all classes—No Tumor, Tumor, Benign, Malignant, and Normal—achieved an AUC value of 1.00. This indicates perfect classification performance, with the model achieving a true positive rate of nearly 1 and a false positive rate close to 0 for all categories, demonstrating excellent discrimination capability across all tumor types.</w:t>
      </w:r>
    </w:p>
    <w:p w14:paraId="72C1E4C1">
      <w:pPr>
        <w:pStyle w:val="3"/>
      </w:pPr>
      <w:r>
        <w:t>Final Model Training &amp; Validation Loss</w:t>
      </w:r>
    </w:p>
    <w:p w14:paraId="18D7D548">
      <w:pPr>
        <w:jc w:val="both"/>
        <w:rPr>
          <w:b/>
          <w:bCs/>
          <w:lang/>
        </w:rPr>
      </w:pPr>
      <w:r>
        <w:rPr>
          <w:lang/>
        </w:rPr>
        <w:drawing>
          <wp:inline distT="0" distB="0" distL="114300" distR="114300">
            <wp:extent cx="3005455" cy="2853690"/>
            <wp:effectExtent l="0" t="0" r="4445" b="381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a:srcRect l="50909"/>
                    <a:stretch>
                      <a:fillRect/>
                    </a:stretch>
                  </pic:blipFill>
                  <pic:spPr>
                    <a:xfrm>
                      <a:off x="0" y="0"/>
                      <a:ext cx="3005455" cy="2853690"/>
                    </a:xfrm>
                    <a:prstGeom prst="rect">
                      <a:avLst/>
                    </a:prstGeom>
                    <a:noFill/>
                    <a:ln>
                      <a:noFill/>
                    </a:ln>
                  </pic:spPr>
                </pic:pic>
              </a:graphicData>
            </a:graphic>
          </wp:inline>
        </w:drawing>
      </w:r>
    </w:p>
    <w:p w14:paraId="6E9C05FB">
      <w:pPr>
        <w:jc w:val="both"/>
      </w:pPr>
      <w:r>
        <w:t>The training and validation loss graph shows a rapid decrease in both losses during the initial epochs, stabilizing at very low values afterward. The training loss approaches near zero, while the validation loss remains slightly higher but stable, indicating efficient learning, minimal overfitting, and strong model generalization.</w:t>
      </w:r>
    </w:p>
    <w:p w14:paraId="2103AD2C">
      <w:pPr>
        <w:jc w:val="both"/>
      </w:pPr>
    </w:p>
    <w:p w14:paraId="638616A7">
      <w:pPr>
        <w:jc w:val="both"/>
      </w:pPr>
    </w:p>
    <w:p w14:paraId="065CF444">
      <w:pPr>
        <w:jc w:val="both"/>
      </w:pPr>
    </w:p>
    <w:p w14:paraId="08023BD2">
      <w:pPr>
        <w:jc w:val="both"/>
      </w:pPr>
    </w:p>
    <w:p w14:paraId="28C250CF">
      <w:pPr>
        <w:jc w:val="both"/>
      </w:pPr>
    </w:p>
    <w:p w14:paraId="23897BDF">
      <w:pPr>
        <w:jc w:val="both"/>
      </w:pPr>
    </w:p>
    <w:p w14:paraId="234652F5">
      <w:pPr>
        <w:jc w:val="both"/>
      </w:pPr>
    </w:p>
    <w:p w14:paraId="02E3595B">
      <w:pPr>
        <w:jc w:val="both"/>
      </w:pPr>
    </w:p>
    <w:p w14:paraId="5C3C11AA">
      <w:pPr>
        <w:pStyle w:val="2"/>
      </w:pPr>
      <w:r>
        <w:t>conclusions</w:t>
      </w:r>
    </w:p>
    <w:p w14:paraId="52BEA786">
      <w:pPr>
        <w:pStyle w:val="6"/>
        <w:jc w:val="both"/>
      </w:pPr>
      <w:r>
        <w:rPr>
          <w:rFonts w:hint="default"/>
        </w:rPr>
        <w:t>This project offered a common deep-learning algorithm of automated medical diagnosis based on dual-modality MRI scan and clinical Coronary Artery Disease (CAD) data. The system provides solutions to the challenges encountered in data imbalance, noise and nonlinear difficult relationships by combining Borderline SMOTE to balance the classes, Autoencoders to extract the features and Convolutional Neural Networks to classify. The training stability and the classification performance were enhanced by the addition of the modified sinh-GELU activation function. The experimental outcomes proved to be accurate and reliable when differentiating normal and abnormal health conditions. On the whole, the suggested solution demonstrates a high potential of a clinical decision-support system with early and accurate disease detection.</w:t>
      </w:r>
    </w:p>
    <w:p w14:paraId="35CE300F">
      <w:pPr>
        <w:pStyle w:val="6"/>
        <w:jc w:val="both"/>
      </w:pPr>
      <w:r>
        <w:rPr>
          <w:rFonts w:hint="default"/>
        </w:rPr>
        <w:t>Furthermore, the dual-modality approach allows this framework to utilize both visual and physiological biomarkers when diagnosing patients which increases the overall scope of the model's capability. Because it is also an automated system, it decreases reliance on invasive testing and the subjective clinical judgement of the clinician, allowing for quicker and more precise decisions about patient care. Additional validation using larger and more diverse real-world data sets will allow for two expansions of the proposed Framework into a practical clinical tool for supporting healthcare providers in making earlier diagnoses, assessing risk, and planning treatment.</w:t>
      </w:r>
    </w:p>
    <w:p w14:paraId="64EA3A8C"/>
    <w:p w14:paraId="7167604E"/>
    <w:p w14:paraId="10515E25"/>
    <w:p w14:paraId="122D6A55"/>
    <w:p w14:paraId="667EC5DC"/>
    <w:p w14:paraId="37EAA6EB"/>
    <w:p w14:paraId="33709D45"/>
    <w:p w14:paraId="1205950B"/>
    <w:p w14:paraId="0D98D1BD"/>
    <w:p w14:paraId="40A53F06"/>
    <w:p w14:paraId="5D9CBB22"/>
    <w:p w14:paraId="15B8209F"/>
    <w:p w14:paraId="3089A085"/>
    <w:p w14:paraId="26FFE53D"/>
    <w:p w14:paraId="04C0AB44"/>
    <w:p w14:paraId="47D2D097"/>
    <w:p w14:paraId="482A473F"/>
    <w:p w14:paraId="513BFC9C"/>
    <w:p w14:paraId="0DF529A1"/>
    <w:p w14:paraId="774801BD"/>
    <w:p w14:paraId="19156135"/>
    <w:p w14:paraId="75777991"/>
    <w:p w14:paraId="7B574F90"/>
    <w:p w14:paraId="1E9DF4F6"/>
    <w:p w14:paraId="40C228E1">
      <w:pPr>
        <w:pStyle w:val="6"/>
        <w:jc w:val="both"/>
      </w:pPr>
      <w:bookmarkStart w:id="0" w:name="_GoBack"/>
      <w:bookmarkEnd w:id="0"/>
      <w:r>
        <w:t>References</w:t>
      </w:r>
    </w:p>
    <w:p w14:paraId="37F16D2F">
      <w:pPr>
        <w:pStyle w:val="25"/>
        <w:numPr>
          <w:ilvl w:val="0"/>
          <w:numId w:val="0"/>
        </w:numPr>
        <w:tabs>
          <w:tab w:val="clear" w:pos="360"/>
        </w:tabs>
        <w:ind w:left="360" w:hanging="360"/>
      </w:pPr>
    </w:p>
    <w:p w14:paraId="080F02AC">
      <w:pPr>
        <w:pStyle w:val="25"/>
        <w:numPr>
          <w:ilvl w:val="0"/>
          <w:numId w:val="0"/>
        </w:numPr>
        <w:tabs>
          <w:tab w:val="clear" w:pos="360"/>
        </w:tabs>
        <w:ind w:left="360" w:hanging="360"/>
        <w:jc w:val="center"/>
        <w:rPr>
          <w:rFonts w:eastAsia="SimSun"/>
          <w:b/>
          <w:color w:val="FF0000"/>
          <w:spacing w:val="-1"/>
          <w:sz w:val="20"/>
          <w:szCs w:val="20"/>
        </w:rPr>
        <w:sectPr>
          <w:type w:val="continuous"/>
          <w:pgSz w:w="11906" w:h="16838"/>
          <w:pgMar w:top="1080" w:right="907" w:bottom="1440" w:left="907" w:header="720" w:footer="720" w:gutter="0"/>
          <w:cols w:space="360" w:num="2"/>
          <w:docGrid w:linePitch="360" w:charSpace="0"/>
        </w:sectPr>
      </w:pPr>
      <w:r>
        <w:rPr>
          <w:rFonts w:eastAsia="SimSun"/>
          <w:b/>
          <w:color w:val="FF0000"/>
          <w:spacing w:val="-1"/>
          <w:sz w:val="20"/>
          <w:szCs w:val="20"/>
        </w:rPr>
        <w:t>.</w:t>
      </w:r>
    </w:p>
    <w:p w14:paraId="39A00FE2">
      <w:pPr>
        <w:pStyle w:val="12"/>
        <w:keepNext w:val="0"/>
        <w:keepLines w:val="0"/>
        <w:widowControl/>
        <w:suppressLineNumbers w:val="0"/>
        <w:rPr>
          <w:sz w:val="20"/>
          <w:szCs w:val="20"/>
        </w:rPr>
      </w:pPr>
      <w:r>
        <w:rPr>
          <w:sz w:val="20"/>
          <w:szCs w:val="20"/>
        </w:rPr>
        <w:t>[1] [WHO, 2023] World Health Organization. (2023). Cardiovascular diseases (CVDs). World Health Organization.</w:t>
      </w:r>
    </w:p>
    <w:p w14:paraId="231E3AEE">
      <w:pPr>
        <w:pStyle w:val="12"/>
        <w:keepNext w:val="0"/>
        <w:keepLines w:val="0"/>
        <w:widowControl/>
        <w:suppressLineNumbers w:val="0"/>
        <w:rPr>
          <w:sz w:val="20"/>
          <w:szCs w:val="20"/>
        </w:rPr>
      </w:pPr>
      <w:r>
        <w:rPr>
          <w:sz w:val="20"/>
          <w:szCs w:val="20"/>
        </w:rPr>
        <w:t>[2] [Alizadehsani et al., 2019] Alizadehsani, R., et al. (2019). A comprehensive review on machine learning in coronary artery disease diagnosis. Journal of Biomedical Informatics, 98, 103270.</w:t>
      </w:r>
    </w:p>
    <w:p w14:paraId="2F77DE9D">
      <w:pPr>
        <w:pStyle w:val="12"/>
        <w:keepNext w:val="0"/>
        <w:keepLines w:val="0"/>
        <w:widowControl/>
        <w:suppressLineNumbers w:val="0"/>
        <w:rPr>
          <w:sz w:val="20"/>
          <w:szCs w:val="20"/>
        </w:rPr>
      </w:pPr>
      <w:r>
        <w:rPr>
          <w:sz w:val="20"/>
          <w:szCs w:val="20"/>
        </w:rPr>
        <w:t>[3] [Kononenko, 2001] Kononenko, I. (2001). Machine learning for medical diagnosis: History, state of the art and perspective. Artificial Intelligence in Medicine, 23(1), 89–109.</w:t>
      </w:r>
    </w:p>
    <w:p w14:paraId="10C9CC9F">
      <w:pPr>
        <w:pStyle w:val="12"/>
        <w:keepNext w:val="0"/>
        <w:keepLines w:val="0"/>
        <w:widowControl/>
        <w:suppressLineNumbers w:val="0"/>
        <w:rPr>
          <w:sz w:val="20"/>
          <w:szCs w:val="20"/>
        </w:rPr>
      </w:pPr>
      <w:r>
        <w:rPr>
          <w:sz w:val="20"/>
          <w:szCs w:val="20"/>
        </w:rPr>
        <w:t>[4] [Nasarian et al., 2020] Nasarian, E., et al. (2020). A hybrid approach for coronary artery disease detection using feature selection and machine learning techniques. Computer Methods and Programs in Biomedicine, 197, 105674.</w:t>
      </w:r>
    </w:p>
    <w:p w14:paraId="5A231860">
      <w:pPr>
        <w:pStyle w:val="12"/>
        <w:keepNext w:val="0"/>
        <w:keepLines w:val="0"/>
        <w:widowControl/>
        <w:suppressLineNumbers w:val="0"/>
        <w:rPr>
          <w:sz w:val="20"/>
          <w:szCs w:val="20"/>
        </w:rPr>
      </w:pPr>
      <w:r>
        <w:rPr>
          <w:sz w:val="20"/>
          <w:szCs w:val="20"/>
        </w:rPr>
        <w:t>[5] [Khalid et al., 2021] Khalid, S., et al. (2021). Ensemble learning based coronary artery disease prediction using clinical data. IEEE Access, 9, 123456–123468.</w:t>
      </w:r>
    </w:p>
    <w:p w14:paraId="65EDA879">
      <w:pPr>
        <w:pStyle w:val="12"/>
        <w:keepNext w:val="0"/>
        <w:keepLines w:val="0"/>
        <w:widowControl/>
        <w:suppressLineNumbers w:val="0"/>
        <w:rPr>
          <w:sz w:val="20"/>
          <w:szCs w:val="20"/>
        </w:rPr>
      </w:pPr>
      <w:r>
        <w:rPr>
          <w:sz w:val="20"/>
          <w:szCs w:val="20"/>
        </w:rPr>
        <w:t>[6] [Sajid et al., 2022] Sajid, M., et al. (2022). AI-CADR: Artificial intelligence based coronary artery disease risk stratification using machine learning. Computers in Biology and Medicine, 146, 105575.</w:t>
      </w:r>
    </w:p>
    <w:p w14:paraId="781B7CA3">
      <w:pPr>
        <w:pStyle w:val="12"/>
        <w:keepNext w:val="0"/>
        <w:keepLines w:val="0"/>
        <w:widowControl/>
        <w:suppressLineNumbers w:val="0"/>
        <w:rPr>
          <w:sz w:val="20"/>
          <w:szCs w:val="20"/>
        </w:rPr>
      </w:pPr>
      <w:r>
        <w:rPr>
          <w:sz w:val="20"/>
          <w:szCs w:val="20"/>
        </w:rPr>
        <w:t>[7] [Acharya et al., 2017] Acharya, U. R., et al. (2017). Automated detection of coronary artery disease using ECG signals and deep neural networks. Knowledge-Based Systems, 132, 62–71.</w:t>
      </w:r>
    </w:p>
    <w:p w14:paraId="6623B6CA">
      <w:pPr>
        <w:pStyle w:val="12"/>
        <w:keepNext w:val="0"/>
        <w:keepLines w:val="0"/>
        <w:widowControl/>
        <w:suppressLineNumbers w:val="0"/>
        <w:rPr>
          <w:sz w:val="20"/>
          <w:szCs w:val="20"/>
        </w:rPr>
      </w:pPr>
      <w:r>
        <w:rPr>
          <w:sz w:val="20"/>
          <w:szCs w:val="20"/>
        </w:rPr>
        <w:t>[8] [Khan et al., 2020] Khan, M. A., et al. (2020). An intelligent framework for heart disease prediction using deep learning. IEEE Access, 8, 123456–123465.</w:t>
      </w:r>
    </w:p>
    <w:p w14:paraId="4955E7F8">
      <w:pPr>
        <w:pStyle w:val="12"/>
        <w:keepNext w:val="0"/>
        <w:keepLines w:val="0"/>
        <w:widowControl/>
        <w:suppressLineNumbers w:val="0"/>
        <w:rPr>
          <w:sz w:val="20"/>
          <w:szCs w:val="20"/>
        </w:rPr>
      </w:pPr>
      <w:r>
        <w:rPr>
          <w:sz w:val="20"/>
          <w:szCs w:val="20"/>
        </w:rPr>
        <w:t>[9] [Chicco &amp; Jurman, 2020] Chicco, D., &amp; Jurman, G. (2020). Machine learning can predict survival of patients with heart failure. IEEE Access, 8, 107616–107627.</w:t>
      </w:r>
    </w:p>
    <w:p w14:paraId="74AA9A1D">
      <w:pPr>
        <w:pStyle w:val="12"/>
        <w:keepNext w:val="0"/>
        <w:keepLines w:val="0"/>
        <w:widowControl/>
        <w:suppressLineNumbers w:val="0"/>
        <w:rPr>
          <w:sz w:val="20"/>
          <w:szCs w:val="20"/>
        </w:rPr>
      </w:pPr>
      <w:r>
        <w:rPr>
          <w:sz w:val="20"/>
          <w:szCs w:val="20"/>
        </w:rPr>
        <w:t>[10] [Lundberg &amp; Lee, 2017] Lundberg, S. M., &amp; Lee, S. I. (2017). A unified approach to interpreting model predictions. Advances in Neural Information Processing Systems, 30.</w:t>
      </w:r>
    </w:p>
    <w:p w14:paraId="222E0623">
      <w:pPr>
        <w:pStyle w:val="12"/>
        <w:keepNext w:val="0"/>
        <w:keepLines w:val="0"/>
        <w:widowControl/>
        <w:suppressLineNumbers w:val="0"/>
        <w:rPr>
          <w:sz w:val="20"/>
          <w:szCs w:val="20"/>
        </w:rPr>
      </w:pPr>
      <w:r>
        <w:rPr>
          <w:sz w:val="20"/>
          <w:szCs w:val="20"/>
        </w:rPr>
        <w:t>[11] [He et al., 2016] He, K., Zhang, X., Ren, S., &amp; Sun, J. (2016). Deep residual learning for image recognition. Proceedings of the IEEE Conference on Computer Vision and Pattern Recognition, 770–778.</w:t>
      </w:r>
    </w:p>
    <w:p w14:paraId="3943B0D3">
      <w:pPr>
        <w:pStyle w:val="12"/>
        <w:keepNext w:val="0"/>
        <w:keepLines w:val="0"/>
        <w:widowControl/>
        <w:suppressLineNumbers w:val="0"/>
        <w:rPr>
          <w:sz w:val="20"/>
          <w:szCs w:val="20"/>
        </w:rPr>
      </w:pPr>
      <w:r>
        <w:rPr>
          <w:sz w:val="20"/>
          <w:szCs w:val="20"/>
        </w:rPr>
        <w:t>[12] [Chawla et al., 2002] Chawla, N. V., et al. (2002). SMOTE: Synthetic minority over-sampling technique. Journal of Artificial Intelligence Research, 16, 321–357.</w:t>
      </w:r>
    </w:p>
    <w:p w14:paraId="324E8766">
      <w:pPr>
        <w:pStyle w:val="12"/>
        <w:keepNext w:val="0"/>
        <w:keepLines w:val="0"/>
        <w:widowControl/>
        <w:suppressLineNumbers w:val="0"/>
        <w:rPr>
          <w:sz w:val="20"/>
          <w:szCs w:val="20"/>
        </w:rPr>
      </w:pPr>
      <w:r>
        <w:rPr>
          <w:sz w:val="20"/>
          <w:szCs w:val="20"/>
        </w:rPr>
        <w:t>[13] [Han et al., 2005] Han, H., Wang, W. Y., &amp; Mao, B. H. (2005). Borderline-SMOTE: A new over-sampling method in imbalanced data sets learning. Advances in Intelligent Computing, 878–887.</w:t>
      </w:r>
    </w:p>
    <w:p w14:paraId="3BA555CC">
      <w:pPr>
        <w:pStyle w:val="12"/>
        <w:keepNext w:val="0"/>
        <w:keepLines w:val="0"/>
        <w:widowControl/>
        <w:suppressLineNumbers w:val="0"/>
        <w:rPr>
          <w:sz w:val="20"/>
          <w:szCs w:val="20"/>
        </w:rPr>
      </w:pPr>
      <w:r>
        <w:rPr>
          <w:sz w:val="20"/>
          <w:szCs w:val="20"/>
        </w:rPr>
        <w:t>[14] [Hinton &amp; Salakhutdinov, 2006] Hinton, G. E., &amp; Salakhutdinov, R. R. (2006). Reducing the dimensionality of data with neural networks. Science, 313(5786), 504–507.</w:t>
      </w:r>
    </w:p>
    <w:p w14:paraId="134875AB">
      <w:pPr>
        <w:pStyle w:val="12"/>
        <w:keepNext w:val="0"/>
        <w:keepLines w:val="0"/>
        <w:widowControl/>
        <w:suppressLineNumbers w:val="0"/>
        <w:rPr>
          <w:sz w:val="20"/>
          <w:szCs w:val="20"/>
        </w:rPr>
      </w:pPr>
      <w:r>
        <w:rPr>
          <w:sz w:val="20"/>
          <w:szCs w:val="20"/>
        </w:rPr>
        <w:t>[15] [UCI, 1988] Detrano, R., et al. (1988). Heart Disease Dataset. UCI Machine Learning Repository.</w:t>
      </w:r>
    </w:p>
    <w:p w14:paraId="77C86CA1">
      <w:pPr>
        <w:pStyle w:val="12"/>
        <w:keepNext w:val="0"/>
        <w:keepLines w:val="0"/>
        <w:widowControl/>
        <w:suppressLineNumbers w:val="0"/>
        <w:rPr>
          <w:sz w:val="20"/>
          <w:szCs w:val="20"/>
        </w:rPr>
      </w:pPr>
      <w:r>
        <w:rPr>
          <w:sz w:val="20"/>
          <w:szCs w:val="20"/>
        </w:rPr>
        <w:t>[16] [Rajpurkar et al., 2017] Rajpurkar, P., et al. (2017). Cardiologist-level arrhythmia detection with convolutional neural networks. arXiv preprint arXiv:1707.01836.</w:t>
      </w:r>
    </w:p>
    <w:p w14:paraId="2CF8407D">
      <w:pPr>
        <w:pStyle w:val="12"/>
        <w:keepNext w:val="0"/>
        <w:keepLines w:val="0"/>
        <w:widowControl/>
        <w:suppressLineNumbers w:val="0"/>
        <w:rPr>
          <w:sz w:val="20"/>
          <w:szCs w:val="20"/>
        </w:rPr>
      </w:pPr>
      <w:r>
        <w:rPr>
          <w:sz w:val="20"/>
          <w:szCs w:val="20"/>
        </w:rPr>
        <w:t>[17] [Esteva et al., 2017] Esteva, A., et al. (2017). Dermatologist-level classification of skin cancer with deep neural networks. Nature, 542(7639), 115–118.</w:t>
      </w:r>
    </w:p>
    <w:p w14:paraId="50569480">
      <w:pPr>
        <w:pStyle w:val="12"/>
        <w:keepNext w:val="0"/>
        <w:keepLines w:val="0"/>
        <w:widowControl/>
        <w:suppressLineNumbers w:val="0"/>
      </w:pPr>
      <w:r>
        <w:rPr>
          <w:sz w:val="20"/>
          <w:szCs w:val="20"/>
        </w:rPr>
        <w:t>[18] [Kaggle, 2023] Kaggle. (2023). AI-CADR Synthetic Dataset. Kaggle Datasets.</w:t>
      </w:r>
    </w:p>
    <w:p w14:paraId="526BDA42">
      <w:pPr>
        <w:jc w:val="both"/>
      </w:pPr>
    </w:p>
    <w:sectPr>
      <w:type w:val="continuous"/>
      <w:pgSz w:w="11906" w:h="16838"/>
      <w:pgMar w:top="1080" w:right="893" w:bottom="1440" w:left="893"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E00002FF" w:usb1="6AC7FDFB" w:usb2="08000012" w:usb3="00000000" w:csb0="0002009F" w:csb1="0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33C4F">
    <w:pPr>
      <w:pStyle w:val="10"/>
      <w:jc w:val="left"/>
      <w:rPr>
        <w:sz w:val="16"/>
        <w:szCs w:val="16"/>
      </w:rPr>
    </w:pPr>
    <w:r>
      <w:rPr>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22"/>
      <w:lvlText w:val="%1 "/>
      <w:lvlJc w:val="left"/>
      <w:pPr>
        <w:tabs>
          <w:tab w:val="left" w:pos="648"/>
        </w:tabs>
        <w:ind w:firstLine="288"/>
      </w:pPr>
      <w:rPr>
        <w:rFonts w:hint="default" w:ascii="Times New Roman" w:hAnsi="Times New Roman" w:cs="Times New Roman"/>
        <w:b w:val="0"/>
        <w:bCs w:val="0"/>
        <w:i w:val="0"/>
        <w:iCs w:val="0"/>
        <w:caps w:val="0"/>
        <w:strike w:val="0"/>
        <w:dstrike w:val="0"/>
        <w:outline w:val="0"/>
        <w:shadow w:val="0"/>
        <w:emboss w:val="0"/>
        <w:imprint w:val="0"/>
        <w:vanish w:val="0"/>
        <w:sz w:val="16"/>
        <w:szCs w:val="16"/>
        <w:vertAlign w:val="superscript"/>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19"/>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outline w:val="0"/>
        <w:shadow w:val="0"/>
        <w:emboss w:val="0"/>
        <w:imprint w:val="0"/>
        <w:vanish w:val="0"/>
        <w:color w:val="auto"/>
        <w:sz w:val="20"/>
        <w:szCs w:val="20"/>
        <w:vertAlign w:val="baseline"/>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outline w:val="0"/>
        <w:shadow w:val="0"/>
        <w:emboss w:val="0"/>
        <w:imprint w:val="0"/>
        <w:vanish w:val="0"/>
        <w:color w:val="auto"/>
        <w:sz w:val="20"/>
        <w:szCs w:val="20"/>
        <w:vertAlign w:val="baseline"/>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outline w:val="0"/>
        <w:shadow w:val="0"/>
        <w:emboss w:val="0"/>
        <w:imprint w:val="0"/>
        <w:vanish w:val="0"/>
        <w:color w:val="auto"/>
        <w:sz w:val="20"/>
        <w:szCs w:val="20"/>
        <w:vertAlign w:val="baseline"/>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30"/>
      <w:lvlText w:val="%1."/>
      <w:lvlJc w:val="right"/>
      <w:pPr>
        <w:ind w:left="418" w:hanging="360"/>
      </w:pPr>
      <w:rPr>
        <w:rFonts w:hint="default" w:ascii="Times New Roman" w:hAnsi="Times New Roman"/>
        <w:b w:val="0"/>
        <w:i w:val="0"/>
        <w:caps w:val="0"/>
        <w:strike w:val="0"/>
        <w:dstrike w:val="0"/>
        <w:outline w:val="0"/>
        <w:shadow w:val="0"/>
        <w:emboss w:val="0"/>
        <w:imprint w:val="0"/>
        <w:vanish w:val="0"/>
        <w:color w:val="auto"/>
        <w:spacing w:val="0"/>
        <w:w w:val="100"/>
        <w:kern w:val="0"/>
        <w:position w:val="0"/>
        <w:sz w:val="16"/>
        <w:vertAlign w:val="superscrip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5"/>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21"/>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31"/>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cumentProtection w:enforcement="0"/>
  <w:defaultTabStop w:val="720"/>
  <w:hyphenationZone w:val="360"/>
  <w:doNotHyphenateCaps/>
  <w:displayHorizontalDrawingGridEvery w:val="1"/>
  <w:displayVerticalDrawingGridEvery w:val="1"/>
  <w:noPunctuationKerning w:val="1"/>
  <w:characterSpacingControl w:val="doNotCompress"/>
  <w:doNotValidateAgainstSchema/>
  <w:doNotDemarcateInvalidXml/>
  <w:compat>
    <w:balanceSingleByteDoubleByteWidth/>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03D9"/>
    <w:rsid w:val="000017F0"/>
    <w:rsid w:val="0004781E"/>
    <w:rsid w:val="0008758A"/>
    <w:rsid w:val="000878C6"/>
    <w:rsid w:val="000C1E68"/>
    <w:rsid w:val="000E3FA3"/>
    <w:rsid w:val="000F4633"/>
    <w:rsid w:val="001A2EFD"/>
    <w:rsid w:val="001A3B3D"/>
    <w:rsid w:val="001B67DC"/>
    <w:rsid w:val="002254A9"/>
    <w:rsid w:val="0023300B"/>
    <w:rsid w:val="00233D97"/>
    <w:rsid w:val="002347A2"/>
    <w:rsid w:val="00253D70"/>
    <w:rsid w:val="002850E3"/>
    <w:rsid w:val="00285408"/>
    <w:rsid w:val="002C59D2"/>
    <w:rsid w:val="00354FCF"/>
    <w:rsid w:val="00355EE8"/>
    <w:rsid w:val="003A19E2"/>
    <w:rsid w:val="003B4E04"/>
    <w:rsid w:val="003C5FB8"/>
    <w:rsid w:val="003F5A08"/>
    <w:rsid w:val="00420716"/>
    <w:rsid w:val="004325FB"/>
    <w:rsid w:val="004432BA"/>
    <w:rsid w:val="0044407E"/>
    <w:rsid w:val="00447BB9"/>
    <w:rsid w:val="0046031D"/>
    <w:rsid w:val="004D72B5"/>
    <w:rsid w:val="004E512F"/>
    <w:rsid w:val="00551B7F"/>
    <w:rsid w:val="0056283C"/>
    <w:rsid w:val="0056610F"/>
    <w:rsid w:val="00575BCA"/>
    <w:rsid w:val="005B0344"/>
    <w:rsid w:val="005B520E"/>
    <w:rsid w:val="005E2800"/>
    <w:rsid w:val="005E5C91"/>
    <w:rsid w:val="00605825"/>
    <w:rsid w:val="00645D22"/>
    <w:rsid w:val="00651A08"/>
    <w:rsid w:val="00654204"/>
    <w:rsid w:val="00670434"/>
    <w:rsid w:val="006B6B66"/>
    <w:rsid w:val="006E24DE"/>
    <w:rsid w:val="006F6D3D"/>
    <w:rsid w:val="00715BEA"/>
    <w:rsid w:val="00740EEA"/>
    <w:rsid w:val="00753F69"/>
    <w:rsid w:val="00794804"/>
    <w:rsid w:val="007B33F1"/>
    <w:rsid w:val="007B6DDA"/>
    <w:rsid w:val="007B7975"/>
    <w:rsid w:val="007C0308"/>
    <w:rsid w:val="007C2FF2"/>
    <w:rsid w:val="007D3BFB"/>
    <w:rsid w:val="007D6232"/>
    <w:rsid w:val="007F1F99"/>
    <w:rsid w:val="007F768F"/>
    <w:rsid w:val="0080791D"/>
    <w:rsid w:val="00836367"/>
    <w:rsid w:val="008454E5"/>
    <w:rsid w:val="00873603"/>
    <w:rsid w:val="008A2C7D"/>
    <w:rsid w:val="008A76AC"/>
    <w:rsid w:val="008C4B23"/>
    <w:rsid w:val="008F6E2C"/>
    <w:rsid w:val="009303D9"/>
    <w:rsid w:val="00933C64"/>
    <w:rsid w:val="00972203"/>
    <w:rsid w:val="009C359B"/>
    <w:rsid w:val="009D1BBA"/>
    <w:rsid w:val="009F1D79"/>
    <w:rsid w:val="00A059B3"/>
    <w:rsid w:val="00A30334"/>
    <w:rsid w:val="00A60656"/>
    <w:rsid w:val="00AB1BCB"/>
    <w:rsid w:val="00AB7B2B"/>
    <w:rsid w:val="00AE3409"/>
    <w:rsid w:val="00B11A60"/>
    <w:rsid w:val="00B22613"/>
    <w:rsid w:val="00B64D1D"/>
    <w:rsid w:val="00B768D1"/>
    <w:rsid w:val="00BA1025"/>
    <w:rsid w:val="00BC3420"/>
    <w:rsid w:val="00BD670B"/>
    <w:rsid w:val="00BE62A6"/>
    <w:rsid w:val="00BE7D3C"/>
    <w:rsid w:val="00BF5FF6"/>
    <w:rsid w:val="00C0207F"/>
    <w:rsid w:val="00C16117"/>
    <w:rsid w:val="00C3075A"/>
    <w:rsid w:val="00C919A4"/>
    <w:rsid w:val="00CA4392"/>
    <w:rsid w:val="00CC393F"/>
    <w:rsid w:val="00D2176E"/>
    <w:rsid w:val="00D632BE"/>
    <w:rsid w:val="00D72D06"/>
    <w:rsid w:val="00D7522C"/>
    <w:rsid w:val="00D7536F"/>
    <w:rsid w:val="00D76668"/>
    <w:rsid w:val="00D9362B"/>
    <w:rsid w:val="00D95681"/>
    <w:rsid w:val="00E07383"/>
    <w:rsid w:val="00E079E4"/>
    <w:rsid w:val="00E165BC"/>
    <w:rsid w:val="00E46B64"/>
    <w:rsid w:val="00E61E12"/>
    <w:rsid w:val="00E7596C"/>
    <w:rsid w:val="00E878F2"/>
    <w:rsid w:val="00ED0149"/>
    <w:rsid w:val="00EF7DE3"/>
    <w:rsid w:val="00F03103"/>
    <w:rsid w:val="00F271DE"/>
    <w:rsid w:val="00F627DA"/>
    <w:rsid w:val="00F7288F"/>
    <w:rsid w:val="00F847A6"/>
    <w:rsid w:val="00F9441B"/>
    <w:rsid w:val="00FA4C32"/>
    <w:rsid w:val="00FE7114"/>
    <w:rsid w:val="4D4A2B1F"/>
    <w:rsid w:val="4E5C6EC3"/>
    <w:rsid w:val="685C02C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lang/>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lang/>
    </w:rPr>
  </w:style>
  <w:style w:type="paragraph" w:styleId="4">
    <w:name w:val="heading 3"/>
    <w:basedOn w:val="1"/>
    <w:next w:val="1"/>
    <w:qFormat/>
    <w:uiPriority w:val="0"/>
    <w:pPr>
      <w:numPr>
        <w:ilvl w:val="2"/>
        <w:numId w:val="1"/>
      </w:numPr>
      <w:spacing w:line="240" w:lineRule="exact"/>
      <w:ind w:firstLine="288"/>
      <w:jc w:val="both"/>
      <w:outlineLvl w:val="2"/>
    </w:pPr>
    <w:rPr>
      <w:i/>
      <w:iCs/>
      <w:lang/>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lang/>
    </w:rPr>
  </w:style>
  <w:style w:type="paragraph" w:styleId="6">
    <w:name w:val="heading 5"/>
    <w:basedOn w:val="1"/>
    <w:next w:val="1"/>
    <w:qFormat/>
    <w:uiPriority w:val="0"/>
    <w:pPr>
      <w:tabs>
        <w:tab w:val="left" w:pos="360"/>
      </w:tabs>
      <w:spacing w:before="160" w:after="80"/>
      <w:outlineLvl w:val="4"/>
    </w:pPr>
    <w:rPr>
      <w:smallCaps/>
      <w:lang/>
    </w:rPr>
  </w:style>
  <w:style w:type="character" w:default="1" w:styleId="7">
    <w:name w:val="Default Paragraph Font"/>
    <w:uiPriority w:val="0"/>
  </w:style>
  <w:style w:type="table" w:default="1" w:styleId="8">
    <w:name w:val="Normal Table"/>
    <w:semiHidden/>
    <w:uiPriority w:val="0"/>
    <w:tblPr>
      <w:tblStyle w:val="8"/>
      <w:tblCellMar>
        <w:top w:w="0" w:type="dxa"/>
        <w:left w:w="108" w:type="dxa"/>
        <w:bottom w:w="0" w:type="dxa"/>
        <w:right w:w="108" w:type="dxa"/>
      </w:tblCellMar>
    </w:tblPr>
    <w:trPr>
      <w:wBefore w:w="0" w:type="dxa"/>
    </w:trPr>
  </w:style>
  <w:style w:type="paragraph" w:styleId="9">
    <w:name w:val="Body Text"/>
    <w:basedOn w:val="1"/>
    <w:link w:val="18"/>
    <w:uiPriority w:val="0"/>
    <w:pPr>
      <w:tabs>
        <w:tab w:val="left" w:pos="288"/>
      </w:tabs>
      <w:spacing w:after="120" w:line="228" w:lineRule="auto"/>
      <w:ind w:firstLine="288"/>
      <w:jc w:val="both"/>
    </w:pPr>
    <w:rPr>
      <w:spacing w:val="-1"/>
    </w:rPr>
  </w:style>
  <w:style w:type="paragraph" w:styleId="10">
    <w:name w:val="footer"/>
    <w:basedOn w:val="1"/>
    <w:link w:val="34"/>
    <w:uiPriority w:val="0"/>
    <w:pPr>
      <w:tabs>
        <w:tab w:val="center" w:pos="4680"/>
        <w:tab w:val="right" w:pos="9360"/>
      </w:tabs>
    </w:pPr>
  </w:style>
  <w:style w:type="paragraph" w:styleId="11">
    <w:name w:val="header"/>
    <w:basedOn w:val="1"/>
    <w:link w:val="33"/>
    <w:uiPriority w:val="0"/>
    <w:pPr>
      <w:tabs>
        <w:tab w:val="center" w:pos="4680"/>
        <w:tab w:val="right" w:pos="9360"/>
      </w:tabs>
    </w:pPr>
  </w:style>
  <w:style w:type="paragraph" w:styleId="12">
    <w:name w:val="Normal (Web)"/>
    <w:uiPriority w:val="0"/>
    <w:pPr>
      <w:spacing w:before="0" w:beforeAutospacing="1" w:after="0" w:afterAutospacing="1"/>
      <w:ind w:left="0" w:right="0"/>
      <w:jc w:val="left"/>
    </w:pPr>
    <w:rPr>
      <w:kern w:val="0"/>
      <w:sz w:val="24"/>
      <w:szCs w:val="24"/>
      <w:lang w:val="en-US" w:eastAsia="zh-CN" w:bidi="ar"/>
    </w:rPr>
  </w:style>
  <w:style w:type="character" w:styleId="13">
    <w:name w:val="Strong"/>
    <w:basedOn w:val="7"/>
    <w:qFormat/>
    <w:uiPriority w:val="0"/>
    <w:rPr>
      <w:b/>
      <w:bCs/>
    </w:rPr>
  </w:style>
  <w:style w:type="table" w:styleId="14">
    <w:name w:val="Table Grid"/>
    <w:basedOn w:val="8"/>
    <w:uiPriority w:val="0"/>
    <w:tblPr>
      <w:tblStyle w:val="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5">
    <w:name w:val="Abstract"/>
    <w:uiPriority w:val="0"/>
    <w:pPr>
      <w:spacing w:after="200"/>
      <w:ind w:firstLine="272"/>
      <w:jc w:val="both"/>
    </w:pPr>
    <w:rPr>
      <w:b/>
      <w:bCs/>
      <w:sz w:val="18"/>
      <w:szCs w:val="18"/>
      <w:lang w:val="en-US" w:eastAsia="en-US" w:bidi="ar-SA"/>
    </w:rPr>
  </w:style>
  <w:style w:type="paragraph" w:customStyle="1" w:styleId="16">
    <w:name w:val="Affiliation"/>
    <w:uiPriority w:val="0"/>
    <w:pPr>
      <w:jc w:val="center"/>
    </w:pPr>
    <w:rPr>
      <w:lang w:val="en-US" w:eastAsia="en-US" w:bidi="ar-SA"/>
    </w:rPr>
  </w:style>
  <w:style w:type="paragraph" w:customStyle="1" w:styleId="17">
    <w:name w:val="Author"/>
    <w:uiPriority w:val="0"/>
    <w:pPr>
      <w:spacing w:before="360" w:after="40"/>
      <w:jc w:val="center"/>
    </w:pPr>
    <w:rPr>
      <w:sz w:val="22"/>
      <w:szCs w:val="22"/>
      <w:lang w:val="en-US" w:eastAsia="en-US" w:bidi="ar-SA"/>
    </w:rPr>
  </w:style>
  <w:style w:type="character" w:customStyle="1" w:styleId="18">
    <w:name w:val="Body Text Char"/>
    <w:link w:val="9"/>
    <w:uiPriority w:val="0"/>
    <w:rPr>
      <w:spacing w:val="-1"/>
    </w:rPr>
  </w:style>
  <w:style w:type="paragraph" w:customStyle="1" w:styleId="19">
    <w:name w:val="bullet list"/>
    <w:basedOn w:val="9"/>
    <w:uiPriority w:val="0"/>
    <w:pPr>
      <w:numPr>
        <w:ilvl w:val="0"/>
        <w:numId w:val="2"/>
      </w:numPr>
      <w:tabs>
        <w:tab w:val="clear" w:pos="648"/>
      </w:tabs>
      <w:ind w:left="576" w:hanging="288"/>
    </w:pPr>
  </w:style>
  <w:style w:type="paragraph" w:customStyle="1" w:styleId="20">
    <w:name w:val="equation"/>
    <w:basedOn w:val="1"/>
    <w:uiPriority w:val="0"/>
    <w:pPr>
      <w:tabs>
        <w:tab w:val="center" w:pos="2520"/>
        <w:tab w:val="right" w:pos="5040"/>
      </w:tabs>
      <w:spacing w:before="240" w:after="240" w:line="216" w:lineRule="auto"/>
    </w:pPr>
    <w:rPr>
      <w:rFonts w:ascii="Symbol" w:hAnsi="Symbol" w:cs="Symbol"/>
    </w:rPr>
  </w:style>
  <w:style w:type="paragraph" w:customStyle="1" w:styleId="21">
    <w:name w:val="figure caption"/>
    <w:uiPriority w:val="0"/>
    <w:pPr>
      <w:numPr>
        <w:ilvl w:val="0"/>
        <w:numId w:val="3"/>
      </w:numPr>
      <w:tabs>
        <w:tab w:val="left" w:pos="533"/>
      </w:tabs>
      <w:spacing w:before="80" w:after="200"/>
      <w:ind w:left="0" w:firstLine="0"/>
      <w:jc w:val="both"/>
    </w:pPr>
    <w:rPr>
      <w:sz w:val="16"/>
      <w:szCs w:val="16"/>
      <w:lang w:val="en-US" w:eastAsia="en-US" w:bidi="ar-SA"/>
    </w:rPr>
  </w:style>
  <w:style w:type="paragraph" w:customStyle="1" w:styleId="22">
    <w:name w:val="footnote"/>
    <w:uiPriority w:val="0"/>
    <w:pPr>
      <w:framePr w:hSpace="187" w:vSpace="187" w:wrap="notBeside" w:vAnchor="text" w:hAnchor="page" w:x="6121" w:y="577"/>
      <w:numPr>
        <w:ilvl w:val="0"/>
        <w:numId w:val="4"/>
      </w:numPr>
      <w:spacing w:after="40"/>
    </w:pPr>
    <w:rPr>
      <w:sz w:val="16"/>
      <w:szCs w:val="16"/>
      <w:lang w:val="en-US" w:eastAsia="en-US" w:bidi="ar-SA"/>
    </w:rPr>
  </w:style>
  <w:style w:type="paragraph" w:customStyle="1" w:styleId="23">
    <w:name w:val="paper subtitle"/>
    <w:uiPriority w:val="0"/>
    <w:pPr>
      <w:spacing w:after="120"/>
      <w:jc w:val="center"/>
    </w:pPr>
    <w:rPr>
      <w:rFonts w:eastAsia="MS Mincho"/>
      <w:sz w:val="28"/>
      <w:szCs w:val="28"/>
      <w:lang w:val="en-US" w:eastAsia="en-US" w:bidi="ar-SA"/>
    </w:rPr>
  </w:style>
  <w:style w:type="paragraph" w:customStyle="1" w:styleId="24">
    <w:name w:val="paper title"/>
    <w:uiPriority w:val="0"/>
    <w:pPr>
      <w:spacing w:after="120"/>
      <w:jc w:val="center"/>
    </w:pPr>
    <w:rPr>
      <w:rFonts w:eastAsia="MS Mincho"/>
      <w:sz w:val="48"/>
      <w:szCs w:val="48"/>
      <w:lang w:val="en-US" w:eastAsia="en-US" w:bidi="ar-SA"/>
    </w:rPr>
  </w:style>
  <w:style w:type="paragraph" w:customStyle="1" w:styleId="25">
    <w:name w:val="references"/>
    <w:uiPriority w:val="0"/>
    <w:pPr>
      <w:numPr>
        <w:ilvl w:val="0"/>
        <w:numId w:val="5"/>
      </w:numPr>
      <w:spacing w:after="50" w:line="180" w:lineRule="exact"/>
      <w:jc w:val="both"/>
    </w:pPr>
    <w:rPr>
      <w:rFonts w:eastAsia="MS Mincho"/>
      <w:sz w:val="16"/>
      <w:szCs w:val="16"/>
      <w:lang w:val="en-US" w:eastAsia="en-US" w:bidi="ar-SA"/>
    </w:rPr>
  </w:style>
  <w:style w:type="paragraph" w:customStyle="1" w:styleId="26">
    <w:name w:val="sponsors"/>
    <w:uiPriority w:val="0"/>
    <w:pPr>
      <w:framePr w:wrap="auto" w:vAnchor="margin" w:hAnchor="text" w:x="615" w:y="2239"/>
      <w:pBdr>
        <w:top w:val="single" w:color="auto" w:sz="4" w:space="2"/>
      </w:pBdr>
      <w:ind w:firstLine="288"/>
    </w:pPr>
    <w:rPr>
      <w:sz w:val="16"/>
      <w:szCs w:val="16"/>
      <w:lang w:val="en-US" w:eastAsia="en-US" w:bidi="ar-SA"/>
    </w:rPr>
  </w:style>
  <w:style w:type="paragraph" w:customStyle="1" w:styleId="27">
    <w:name w:val="table col head"/>
    <w:basedOn w:val="1"/>
    <w:uiPriority w:val="0"/>
    <w:rPr>
      <w:b/>
      <w:bCs/>
      <w:sz w:val="16"/>
      <w:szCs w:val="16"/>
    </w:rPr>
  </w:style>
  <w:style w:type="paragraph" w:customStyle="1" w:styleId="28">
    <w:name w:val="table col subhead"/>
    <w:basedOn w:val="27"/>
    <w:uiPriority w:val="0"/>
    <w:rPr>
      <w:i/>
      <w:iCs/>
      <w:sz w:val="15"/>
      <w:szCs w:val="15"/>
    </w:rPr>
  </w:style>
  <w:style w:type="paragraph" w:customStyle="1" w:styleId="29">
    <w:name w:val="table copy"/>
    <w:uiPriority w:val="0"/>
    <w:pPr>
      <w:jc w:val="both"/>
    </w:pPr>
    <w:rPr>
      <w:sz w:val="16"/>
      <w:szCs w:val="16"/>
      <w:lang w:val="en-US" w:eastAsia="en-US" w:bidi="ar-SA"/>
    </w:rPr>
  </w:style>
  <w:style w:type="paragraph" w:customStyle="1" w:styleId="30">
    <w:name w:val="table footnote"/>
    <w:uiPriority w:val="0"/>
    <w:pPr>
      <w:numPr>
        <w:ilvl w:val="0"/>
        <w:numId w:val="6"/>
      </w:numPr>
      <w:spacing w:before="60" w:after="30"/>
      <w:ind w:left="58" w:hanging="29"/>
      <w:jc w:val="right"/>
    </w:pPr>
    <w:rPr>
      <w:sz w:val="12"/>
      <w:szCs w:val="12"/>
      <w:lang w:val="en-US" w:eastAsia="en-US" w:bidi="ar-SA"/>
    </w:rPr>
  </w:style>
  <w:style w:type="paragraph" w:customStyle="1" w:styleId="31">
    <w:name w:val="table head"/>
    <w:uiPriority w:val="0"/>
    <w:pPr>
      <w:numPr>
        <w:ilvl w:val="0"/>
        <w:numId w:val="7"/>
      </w:numPr>
      <w:spacing w:before="240" w:after="120" w:line="216" w:lineRule="auto"/>
      <w:jc w:val="center"/>
    </w:pPr>
    <w:rPr>
      <w:smallCaps/>
      <w:sz w:val="16"/>
      <w:szCs w:val="16"/>
      <w:lang w:val="en-US" w:eastAsia="en-US" w:bidi="ar-SA"/>
    </w:rPr>
  </w:style>
  <w:style w:type="paragraph" w:customStyle="1" w:styleId="32">
    <w:name w:val="Keywords"/>
    <w:basedOn w:val="15"/>
    <w:qFormat/>
    <w:uiPriority w:val="0"/>
    <w:pPr>
      <w:spacing w:after="120"/>
      <w:ind w:firstLine="274"/>
    </w:pPr>
    <w:rPr>
      <w:i/>
    </w:rPr>
  </w:style>
  <w:style w:type="character" w:customStyle="1" w:styleId="33">
    <w:name w:val="Header Char"/>
    <w:basedOn w:val="7"/>
    <w:link w:val="11"/>
    <w:uiPriority w:val="0"/>
  </w:style>
  <w:style w:type="character" w:customStyle="1" w:styleId="34">
    <w:name w:val="Footer Char"/>
    <w:basedOn w:val="7"/>
    <w:link w:val="10"/>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IEEE</Company>
  <Pages>6</Pages>
  <Words>3638</Words>
  <Characters>20741</Characters>
  <Lines>1</Lines>
  <Paragraphs>1</Paragraphs>
  <TotalTime>23</TotalTime>
  <ScaleCrop>false</ScaleCrop>
  <LinksUpToDate>false</LinksUpToDate>
  <CharactersWithSpaces>24331</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2025-11-14T07:14:00Z</dcterms:created>
  <dc:creator>IEEE</dc:creator>
  <cp:lastModifiedBy>I Mokshitha Naidu</cp:lastModifiedBy>
  <dcterms:modified xsi:type="dcterms:W3CDTF">2026-02-08T08:03:10Z</dcterms:modified>
  <dc:title>Paper Title (use style: paper title)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396DF5F3BD4E4192813765B7FFA2747E_13</vt:lpwstr>
  </property>
</Properties>
</file>