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2"/>
          <w:szCs w:val="32"/>
        </w:rPr>
        <w:t xml:space="preserve">MÔ TẢ QUAN HỆ GIỮA CÁC BẢNG DỮ LIỆU</w:t>
      </w:r>
    </w:p>
    <w:p>
      <w:pPr>
        <w:pStyle w:val="Heading2"/>
        <w:spacing w:after="120" w:before="240"/>
      </w:pPr>
      <w:r>
        <w:rPr>
          <w:rFonts w:ascii="Times New Roman" w:cs="Times New Roman" w:eastAsia="Times New Roman" w:hAnsi="Times New Roman"/>
          <w:b/>
          <w:bCs/>
          <w:sz w:val="28"/>
          <w:szCs w:val="28"/>
        </w:rPr>
        <w:t xml:space="preserve">1. Giới thiệu</w:t>
      </w:r>
    </w:p>
    <w:p>
      <w:pPr>
        <w:spacing w:after="120" w:line="360"/>
      </w:pPr>
      <w:r>
        <w:rPr>
          <w:rFonts w:ascii="Times New Roman" w:cs="Times New Roman" w:eastAsia="Times New Roman" w:hAnsi="Times New Roman"/>
          <w:sz w:val="26"/>
          <w:szCs w:val="26"/>
        </w:rPr>
        <w:t xml:space="preserve">Hệ thống quản lý nhà hàng bao gồm 33 bảng dữ liệu, được phân thành 12 nhóm nghiệp vụ. Phần này mô tả chi tiết các quan hệ giữa các bảng (1-1, 1-N, N-N), đồng thời giải thích ý nghĩa nghiệp vụ của từng quan hệ.</w:t>
      </w:r>
    </w:p>
    <w:p>
      <w:pPr>
        <w:spacing w:after="120" w:line="360"/>
      </w:pPr>
      <w:r>
        <w:rPr>
          <w:rFonts w:ascii="Times New Roman" w:cs="Times New Roman" w:eastAsia="Times New Roman" w:hAnsi="Times New Roman"/>
          <w:b/>
          <w:bCs/>
          <w:sz w:val="26"/>
          <w:szCs w:val="26"/>
        </w:rPr>
        <w:t xml:space="preserve">Các loại quan hệ sử dụng:</w:t>
      </w:r>
    </w:p>
    <w:p>
      <w:pPr>
        <w:spacing w:after="120" w:line="360"/>
      </w:pPr>
      <w:r>
        <w:rPr>
          <w:rFonts w:ascii="Times New Roman" w:cs="Times New Roman" w:eastAsia="Times New Roman" w:hAnsi="Times New Roman"/>
          <w:b/>
          <w:bCs/>
          <w:sz w:val="26"/>
          <w:szCs w:val="26"/>
        </w:rPr>
        <w:t xml:space="preserve">1-1 (One-to-One): </w:t>
      </w:r>
      <w:r>
        <w:rPr>
          <w:rFonts w:ascii="Times New Roman" w:cs="Times New Roman" w:eastAsia="Times New Roman" w:hAnsi="Times New Roman"/>
          <w:sz w:val="26"/>
          <w:szCs w:val="26"/>
        </w:rPr>
        <w:t xml:space="preserve">Một bản ghi ở bảng A tương ứng với đúng một bản ghi ở bảng B. Ví dụ: customers → customer_wallets.</w:t>
      </w:r>
    </w:p>
    <w:p>
      <w:pPr>
        <w:spacing w:after="120" w:line="360"/>
      </w:pPr>
      <w:r>
        <w:rPr>
          <w:rFonts w:ascii="Times New Roman" w:cs="Times New Roman" w:eastAsia="Times New Roman" w:hAnsi="Times New Roman"/>
          <w:b/>
          <w:bCs/>
          <w:sz w:val="26"/>
          <w:szCs w:val="26"/>
        </w:rPr>
        <w:t xml:space="preserve">1-N (One-to-Many): </w:t>
      </w:r>
      <w:r>
        <w:rPr>
          <w:rFonts w:ascii="Times New Roman" w:cs="Times New Roman" w:eastAsia="Times New Roman" w:hAnsi="Times New Roman"/>
          <w:sz w:val="26"/>
          <w:szCs w:val="26"/>
        </w:rPr>
        <w:t xml:space="preserve">Một bản ghi ở bảng A tương ứng với nhiều bản ghi ở bảng B. Ví dụ: orders → order_items.</w:t>
      </w:r>
    </w:p>
    <w:p>
      <w:pPr>
        <w:spacing w:after="120" w:line="360"/>
      </w:pPr>
      <w:r>
        <w:rPr>
          <w:rFonts w:ascii="Times New Roman" w:cs="Times New Roman" w:eastAsia="Times New Roman" w:hAnsi="Times New Roman"/>
          <w:b/>
          <w:bCs/>
          <w:sz w:val="26"/>
          <w:szCs w:val="26"/>
        </w:rPr>
        <w:t xml:space="preserve">N-N (Many-to-Many): </w:t>
      </w:r>
      <w:r>
        <w:rPr>
          <w:rFonts w:ascii="Times New Roman" w:cs="Times New Roman" w:eastAsia="Times New Roman" w:hAnsi="Times New Roman"/>
          <w:sz w:val="26"/>
          <w:szCs w:val="26"/>
        </w:rPr>
        <w:t xml:space="preserve">Nhiều bản ghi ở bảng A tương ứng với nhiều bản ghi ở bảng B, thông qua bảng trung gian. Ví dụ: menu_items ↔ ingredients (qua recipes).</w:t>
      </w:r>
    </w:p>
    <w:p>
      <w:pPr>
        <w:pStyle w:val="Heading2"/>
        <w:spacing w:after="120" w:before="240"/>
      </w:pPr>
      <w:r>
        <w:rPr>
          <w:rFonts w:ascii="Times New Roman" w:cs="Times New Roman" w:eastAsia="Times New Roman" w:hAnsi="Times New Roman"/>
          <w:b/>
          <w:bCs/>
          <w:sz w:val="28"/>
          <w:szCs w:val="28"/>
        </w:rPr>
        <w:t xml:space="preserve">2. Bảng tổng hợp quan hệ giữa các bảng</w:t>
      </w:r>
    </w:p>
    <w:p>
      <w:pPr>
        <w:spacing w:after="120" w:line="360"/>
      </w:pPr>
      <w:r>
        <w:rPr>
          <w:rFonts w:ascii="Times New Roman" w:cs="Times New Roman" w:eastAsia="Times New Roman" w:hAnsi="Times New Roman"/>
          <w:sz w:val="26"/>
          <w:szCs w:val="26"/>
        </w:rPr>
        <w:t xml:space="preserve">Bảng dưới đây liệt kê toàn bộ 42 quan hệ giữa các bảng, phân nhóm theo nghiệp vụ:</w:t>
      </w:r>
    </w:p>
    <w:p>
      <w:pPr>
        <w:spacing w:after="120" w:line="360"/>
      </w:pPr>
      <w:r>
        <w:rPr>
          <w:rFonts w:ascii="Times New Roman" w:cs="Times New Roman" w:eastAsia="Times New Roman" w:hAnsi="Times New Roman"/>
          <w:sz w:val="26"/>
          <w:szCs w:val="26"/>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1000"/>
        <w:gridCol w:w="4800"/>
      </w:tblGrid>
      <w:tr>
        <w:trPr>
          <w:tblHeader/>
        </w:trPr>
        <w:tc>
          <w:tcPr>
            <w:tcW w:type="dxa" w:w="600"/>
            <w:shd w:fill="D9E2F3" w:val="clear"/>
          </w:tcPr>
          <w:p>
            <w:pPr>
              <w:spacing w:after="40" w:before="40"/>
              <w:jc w:val="center"/>
            </w:pPr>
            <w:r>
              <w:rPr>
                <w:rFonts w:ascii="Times New Roman" w:cs="Times New Roman" w:eastAsia="Times New Roman" w:hAnsi="Times New Roman"/>
                <w:b/>
                <w:bCs/>
                <w:sz w:val="24"/>
                <w:szCs w:val="24"/>
              </w:rPr>
              <w:t xml:space="preserve">STT</w:t>
            </w:r>
          </w:p>
        </w:tc>
        <w:tc>
          <w:tcPr>
            <w:tcW w:type="dxa" w:w="3200"/>
            <w:shd w:fill="D9E2F3" w:val="clear"/>
          </w:tcPr>
          <w:p>
            <w:pPr>
              <w:spacing w:after="40" w:before="40"/>
              <w:jc w:val="center"/>
            </w:pPr>
            <w:r>
              <w:rPr>
                <w:rFonts w:ascii="Times New Roman" w:cs="Times New Roman" w:eastAsia="Times New Roman" w:hAnsi="Times New Roman"/>
                <w:b/>
                <w:bCs/>
                <w:sz w:val="24"/>
                <w:szCs w:val="24"/>
              </w:rPr>
              <w:t xml:space="preserve">Quan hệ</w:t>
            </w:r>
          </w:p>
        </w:tc>
        <w:tc>
          <w:tcPr>
            <w:tcW w:type="dxa" w:w="1000"/>
            <w:shd w:fill="D9E2F3" w:val="clear"/>
          </w:tcPr>
          <w:p>
            <w:pPr>
              <w:spacing w:after="40" w:before="40"/>
              <w:jc w:val="center"/>
            </w:pPr>
            <w:r>
              <w:rPr>
                <w:rFonts w:ascii="Times New Roman" w:cs="Times New Roman" w:eastAsia="Times New Roman" w:hAnsi="Times New Roman"/>
                <w:b/>
                <w:bCs/>
                <w:sz w:val="24"/>
                <w:szCs w:val="24"/>
              </w:rPr>
              <w:t xml:space="preserve">Loại</w:t>
            </w:r>
          </w:p>
        </w:tc>
        <w:tc>
          <w:tcPr>
            <w:tcW w:type="dxa" w:w="4800"/>
            <w:shd w:fill="D9E2F3" w:val="clear"/>
          </w:tcPr>
          <w:p>
            <w:pPr>
              <w:spacing w:after="40" w:before="40"/>
              <w:jc w:val="center"/>
            </w:pPr>
            <w:r>
              <w:rPr>
                <w:rFonts w:ascii="Times New Roman" w:cs="Times New Roman" w:eastAsia="Times New Roman" w:hAnsi="Times New Roman"/>
                <w:b/>
                <w:bCs/>
                <w:sz w:val="24"/>
                <w:szCs w:val="24"/>
              </w:rPr>
              <w:t xml:space="preserve">Ý nghĩa nghiệp vụ</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 Công ty &amp;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branches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công ty có nhiều chi nhánh. Đây là gốc phân cấp toàn hệ thống — mọi dữ liệu đều thuộc về một company.</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2: Nhân sự</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roles →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nhân viên giữ đúng một vai trò (WAITER, CASHIER, KITCHEN, MANAGER…). Phân quyền chức năng dựa trên role.</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Nhân viên thuộc một chi nhánh cụ thể.</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kitchen_types →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Nhân viên bếp được gán loại bếp (HOT/COLD/BAR) để nhận đúng món khi order vào.</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3: Thực đơn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menu_categories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Danh mục món ăn quản lý cấp công ty, dùng chung cho tất cả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menu_categories → menu_items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món thuộc một danh mục (Khai vị, Món chính, Đồ uống…).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kitchen_types → menu_items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món được gán loại bếp để hệ thống tự động gửi order đến đúng khu bếp.</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4: Bàn &amp; Đặt bàn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branch_sections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Chi nhánh chia thành nhiều khu vực (tầng 1, sân vườn, VIP…).</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branch_sections → dining_tables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khu vực chứa nhiều bàn.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dining_tables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Bàn thuộc chi nhánh (FK trực tiếp, song song với section).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 reservations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bàn có thể nhận nhiều lượt đặt trước (khác ngày/giờ).</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reservations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Đặt bàn luôn gắn với chi nhánh cụ thể.</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5: Đơn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Đơn hàng phát sinh tại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đơn gắn với bàn đang phục vụ (nullable cho đơn đặt trước).</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employees → orders (waiter_id)</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Nhân viên phục vụ chịu trách nhiệm đơn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reservations →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Đặt bàn có thể chuyển thành đơn hàng khi khách đến (pre-order).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orders → order_items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Quan hệ cốt lõi nhất — mỗi đơn chứa nhiều dòng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menu_items → order_items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dòng món tham chiếu đến thực đơn (snapshot giá tại thời điểm order).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orders → cancel_requests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Đơn có thể có nhiều yêu cầu hủy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order_items → cancel_requests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Yêu cầu hủy gắn với dòng món cụ thể, cần quản lý duyệt.</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6: Hóa đơn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invoices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Hóa đơn phát sinh tại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 invoices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Hóa đơn gắn với bàn (để in bill).</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invoices → invoice_payments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hóa đơn có thể có nhiều lần thanh toán (PayOS QR, tiền mặt…).</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7: Khách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customers → customer_tokens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khách có nhiều token (reset mật khẩu, xác minh email).</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8: Ví điện tử</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customers → customer_wallets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khách có đúng một ví (tự tạo bằng trigger khi đăng ký).</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customer_wallets → wallet_topups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Ví có nhiều lần nạp tiền (qua PayOS).</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customer_wallets → wallet_transactions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Mọi biến động số dư đều ghi lại: TOPUP, PAYMENT, REFUND, CASHBACK.</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9: Voucher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voucher_templates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Mẫu voucher quản lý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voucher_templates ↔ branches (qua voucher_branches)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voucher áp dụng cho nhiều chi nhánh, một chi nhánh nhận nhiều voucher.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voucher_templates ↔ customers (qua customer_vouchers)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Khách sở hữu nhiều voucher, mỗi voucher phát cho nhiều khách. Theo dõi trạng thái used/unused.</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10: Nguyên liệu &amp; Kho</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ingredients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Danh mục nguyên liệu quản lý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menu_items ↔ ingredients (qua recipes)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Công thức chế biến: một món cần nhiều nguyên liệu, một nguyên liệu dùng cho nhiều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ingredients (qua branch_inventory)</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Tồn kho theo chi nhánh: mỗi chi nhánh có số lượng tồn riêng cho từng nguyên liệu.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ingredients → inventory_transactions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biến động kho (nhập/xuất/kiểm kê/hao hụt) ghi nhận stock_before → stock_after.</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11: Nhà cung cấp</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suppliers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Nhà cung cấp quản lý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suppliers → purchase_receipts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NCC có nhiều phiếu nhập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purchase_receipts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Phiếu nhập hàng gắn với chi nhánh nhận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purchase_receipts → purchase_receipt_items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phiếu nhập chứa nhiều dòng nguyên liệu.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ingredients → purchase_receipt_items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Dòng nhập hàng tham chiếu nguyên liệu + số lượng + đơn giá.</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12: Cấu hình &amp; Nhật ký</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cashback_rates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Độc lập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Bảng cấu hình tỷ lệ hoàn tiền theo rank khách hàng (normal/silver/gold/platinum).</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home_banners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Độc lập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Banner trang chủ app khách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audit_logs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Độc lập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Nhật ký hệ thống — không FK để đảm bảo ghi log độc lập, không bị ảnh hưởng khi xóa dữ liệu gốc.</w:t>
            </w:r>
          </w:p>
        </w:tc>
      </w:tr>
    </w:tbl>
    <w:p>
      <w:r>
        <w:br w:type="page"/>
      </w:r>
    </w:p>
    <w:p>
      <w:pPr>
        <w:pStyle w:val="Heading2"/>
        <w:spacing w:after="120" w:before="240"/>
      </w:pPr>
      <w:r>
        <w:rPr>
          <w:rFonts w:ascii="Times New Roman" w:cs="Times New Roman" w:eastAsia="Times New Roman" w:hAnsi="Times New Roman"/>
          <w:b/>
          <w:bCs/>
          <w:sz w:val="28"/>
          <w:szCs w:val="28"/>
        </w:rPr>
        <w:t xml:space="preserve">3. Các quan hệ cốt lõi quyết định nghiệp vụ</w:t>
      </w:r>
    </w:p>
    <w:p>
      <w:pPr>
        <w:spacing w:after="120" w:line="360"/>
      </w:pPr>
      <w:r>
        <w:rPr>
          <w:rFonts w:ascii="Times New Roman" w:cs="Times New Roman" w:eastAsia="Times New Roman" w:hAnsi="Times New Roman"/>
          <w:sz w:val="26"/>
          <w:szCs w:val="26"/>
        </w:rPr>
        <w:t xml:space="preserve">Trong 42 quan hệ trên, có 7 chuỗi quan hệ cốt lõi quyết định toàn bộ hoạt động của hệ thống:</w:t>
      </w:r>
    </w:p>
    <w:p>
      <w:pPr>
        <w:spacing w:after="120" w:line="360"/>
      </w:pPr>
      <w:r>
        <w:rPr>
          <w:rFonts w:ascii="Times New Roman" w:cs="Times New Roman" w:eastAsia="Times New Roman" w:hAnsi="Times New Roman"/>
          <w:sz w:val="26"/>
          <w:szCs w:val="26"/>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200"/>
        <w:gridCol w:w="4800"/>
      </w:tblGrid>
      <w:tr>
        <w:trPr>
          <w:tblHeader/>
        </w:trPr>
        <w:tc>
          <w:tcPr>
            <w:tcW w:type="dxa" w:w="600"/>
            <w:shd w:fill="D9E2F3" w:val="clear"/>
          </w:tcPr>
          <w:p>
            <w:pPr>
              <w:spacing w:after="40" w:before="40"/>
              <w:jc w:val="center"/>
            </w:pPr>
            <w:r>
              <w:rPr>
                <w:rFonts w:ascii="Times New Roman" w:cs="Times New Roman" w:eastAsia="Times New Roman" w:hAnsi="Times New Roman"/>
                <w:b/>
                <w:bCs/>
                <w:sz w:val="24"/>
                <w:szCs w:val="24"/>
              </w:rPr>
              <w:t xml:space="preserve">STT</w:t>
            </w:r>
          </w:p>
        </w:tc>
        <w:tc>
          <w:tcPr>
            <w:tcW w:type="dxa" w:w="4200"/>
            <w:shd w:fill="D9E2F3" w:val="clear"/>
          </w:tcPr>
          <w:p>
            <w:pPr>
              <w:spacing w:after="40" w:before="40"/>
              <w:jc w:val="center"/>
            </w:pPr>
            <w:r>
              <w:rPr>
                <w:rFonts w:ascii="Times New Roman" w:cs="Times New Roman" w:eastAsia="Times New Roman" w:hAnsi="Times New Roman"/>
                <w:b/>
                <w:bCs/>
                <w:sz w:val="24"/>
                <w:szCs w:val="24"/>
              </w:rPr>
              <w:t xml:space="preserve">Chuỗi quan hệ</w:t>
            </w:r>
          </w:p>
        </w:tc>
        <w:tc>
          <w:tcPr>
            <w:tcW w:type="dxa" w:w="4800"/>
            <w:shd w:fill="D9E2F3" w:val="clear"/>
          </w:tcPr>
          <w:p>
            <w:pPr>
              <w:spacing w:after="40" w:before="40"/>
              <w:jc w:val="center"/>
            </w:pPr>
            <w:r>
              <w:rPr>
                <w:rFonts w:ascii="Times New Roman" w:cs="Times New Roman" w:eastAsia="Times New Roman" w:hAnsi="Times New Roman"/>
                <w:b/>
                <w:bCs/>
                <w:sz w:val="24"/>
                <w:szCs w:val="24"/>
              </w:rPr>
              <w:t xml:space="preserve">Vai trò nghiệp vụ</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companies → branches → dining_tables → orders → order_items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Luồng phục vụ chính: từ tổ chức → chi nhánh → bàn → đặt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menu_items → order_items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Gắn thực đơn vào đơn hàng, snapshot giá</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orders → invoices → invoice_payments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Luồng thanh toán: đơn → hóa đơn → thu tiền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menu_items ↔ ingredients (recipes)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Công thức chế biến, cơ sở tính tồn kho tự động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5</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suppliers → purchase_receipts → ingredients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Luồng nhập kho: NCC giao hàng → nhập kho → cập nhật tồn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6</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customers → wallets → wallet_transactions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Ví điện tử: nạp tiền, thanh toán, hoàn tiền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7</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voucher_templates ↔ customers (N-N)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Chương trình khuyến mãi gắn khách hàng</w:t>
            </w:r>
          </w:p>
        </w:tc>
      </w:tr>
    </w:tbl>
    <w:p>
      <w:pPr>
        <w:pStyle w:val="Heading2"/>
        <w:spacing w:after="120" w:before="240"/>
      </w:pPr>
      <w:r>
        <w:rPr>
          <w:rFonts w:ascii="Times New Roman" w:cs="Times New Roman" w:eastAsia="Times New Roman" w:hAnsi="Times New Roman"/>
          <w:b/>
          <w:bCs/>
          <w:sz w:val="28"/>
          <w:szCs w:val="28"/>
        </w:rPr>
        <w:t xml:space="preserve">4. Phân tích chi tiết theo nhóm</w:t>
      </w:r>
    </w:p>
    <w:p>
      <w:pPr>
        <w:pStyle w:val="Heading3"/>
        <w:spacing w:after="100" w:before="200"/>
      </w:pPr>
      <w:r>
        <w:rPr>
          <w:rFonts w:ascii="Times New Roman" w:cs="Times New Roman" w:eastAsia="Times New Roman" w:hAnsi="Times New Roman"/>
          <w:b/>
          <w:bCs/>
          <w:sz w:val="26"/>
          <w:szCs w:val="26"/>
        </w:rPr>
        <w:t xml:space="preserve">4.1. Nhóm 1 — Công ty &amp; Chi nhánh</w:t>
      </w:r>
    </w:p>
    <w:p>
      <w:pPr>
        <w:spacing w:after="120" w:line="360"/>
      </w:pPr>
      <w:r>
        <w:rPr>
          <w:rFonts w:ascii="Times New Roman" w:cs="Times New Roman" w:eastAsia="Times New Roman" w:hAnsi="Times New Roman"/>
          <w:sz w:val="26"/>
          <w:szCs w:val="26"/>
        </w:rPr>
        <w:t xml:space="preserve">Quan hệ companies → branches (1-N) là gốc của toàn bộ hệ thống. Mọi thực thể nghiệp vụ (nhân viên, thực đơn, đơn hàng, kho…) đều trực tiếp hoặc gián tiếp thuộc về một company thông qua branch. Đây là mô hình multi-tenant cho phép một hệ thống phục vụ nhiều chuỗi nhà hàng.</w:t>
      </w:r>
    </w:p>
    <w:p>
      <w:pPr>
        <w:pStyle w:val="Heading3"/>
        <w:spacing w:after="100" w:before="200"/>
      </w:pPr>
      <w:r>
        <w:rPr>
          <w:rFonts w:ascii="Times New Roman" w:cs="Times New Roman" w:eastAsia="Times New Roman" w:hAnsi="Times New Roman"/>
          <w:b/>
          <w:bCs/>
          <w:sz w:val="26"/>
          <w:szCs w:val="26"/>
        </w:rPr>
        <w:t xml:space="preserve">4.2. Nhóm 5 — Đơn hàng (Nghiệp vụ cốt lõi)</w:t>
      </w:r>
    </w:p>
    <w:p>
      <w:pPr>
        <w:spacing w:after="120" w:line="360"/>
      </w:pPr>
      <w:r>
        <w:rPr>
          <w:rFonts w:ascii="Times New Roman" w:cs="Times New Roman" w:eastAsia="Times New Roman" w:hAnsi="Times New Roman"/>
          <w:sz w:val="26"/>
          <w:szCs w:val="26"/>
        </w:rPr>
        <w:t xml:space="preserve">Đơn hàng là trung tâm của hệ thống với 8 quan hệ. Chuỗi chính:</w:t>
      </w:r>
    </w:p>
    <w:p>
      <w:pPr>
        <w:spacing w:after="120" w:line="360"/>
      </w:pPr>
      <w:r>
        <w:rPr>
          <w:rFonts w:ascii="Times New Roman" w:cs="Times New Roman" w:eastAsia="Times New Roman" w:hAnsi="Times New Roman"/>
          <w:b/>
          <w:bCs/>
          <w:sz w:val="26"/>
          <w:szCs w:val="26"/>
        </w:rPr>
        <w:t xml:space="preserve">branches → orders → order_items ← menu_items</w:t>
      </w:r>
    </w:p>
    <w:p>
      <w:pPr>
        <w:spacing w:after="120" w:line="360"/>
      </w:pPr>
      <w:r>
        <w:rPr>
          <w:rFonts w:ascii="Times New Roman" w:cs="Times New Roman" w:eastAsia="Times New Roman" w:hAnsi="Times New Roman"/>
          <w:sz w:val="26"/>
          <w:szCs w:val="26"/>
        </w:rPr>
        <w:t xml:space="preserve">Mỗi đơn hàng (orders) phát sinh tại một chi nhánh, gắn với bàn đang phục vụ và nhân viên phục vụ. Mỗi đơn chứa nhiều dòng món (order_items), mỗi dòng tham chiếu đến thực đơn (menu_items) và lưu snapshot giá tại thời điểm đặt (unit_price, item_name) để đảm bảo tính chính xác khi thực đơn thay đổi giá sau này.</w:t>
      </w:r>
    </w:p>
    <w:p>
      <w:pPr>
        <w:spacing w:after="120" w:line="360"/>
      </w:pPr>
      <w:r>
        <w:rPr>
          <w:rFonts w:ascii="Times New Roman" w:cs="Times New Roman" w:eastAsia="Times New Roman" w:hAnsi="Times New Roman"/>
          <w:sz w:val="26"/>
          <w:szCs w:val="26"/>
        </w:rPr>
        <w:t xml:space="preserve">Quan hệ reservations → orders (1-1) cho phép chuyển đổi đặt bàn thành đơn hàng khi khách đến, hỗ trợ pre-order.</w:t>
      </w:r>
    </w:p>
    <w:p>
      <w:pPr>
        <w:spacing w:after="120" w:line="360"/>
      </w:pPr>
      <w:r>
        <w:rPr>
          <w:rFonts w:ascii="Times New Roman" w:cs="Times New Roman" w:eastAsia="Times New Roman" w:hAnsi="Times New Roman"/>
          <w:sz w:val="26"/>
          <w:szCs w:val="26"/>
        </w:rPr>
        <w:t xml:space="preserve">Quan hệ order_items → cancel_requests (1-N) đảm bảo quy trình hủy món minh bạch: nhân viên gửi yêu cầu, quản lý duyệt/từ chối, ghi nhận lý do và ảnh hưởng tồn kho.</w:t>
      </w:r>
    </w:p>
    <w:p>
      <w:pPr>
        <w:pStyle w:val="Heading3"/>
        <w:spacing w:after="100" w:before="200"/>
      </w:pPr>
      <w:r>
        <w:rPr>
          <w:rFonts w:ascii="Times New Roman" w:cs="Times New Roman" w:eastAsia="Times New Roman" w:hAnsi="Times New Roman"/>
          <w:b/>
          <w:bCs/>
          <w:sz w:val="26"/>
          <w:szCs w:val="26"/>
        </w:rPr>
        <w:t xml:space="preserve">4.3. Nhóm 6 — Hóa đơn &amp; Thanh toán</w:t>
      </w:r>
    </w:p>
    <w:p>
      <w:pPr>
        <w:spacing w:after="120" w:line="360"/>
      </w:pPr>
      <w:r>
        <w:rPr>
          <w:rFonts w:ascii="Times New Roman" w:cs="Times New Roman" w:eastAsia="Times New Roman" w:hAnsi="Times New Roman"/>
          <w:sz w:val="26"/>
          <w:szCs w:val="26"/>
        </w:rPr>
        <w:t xml:space="preserve">Luồng thanh toán: orders → invoices → invoice_payments. Một hóa đơn có thể có nhiều lần thanh toán (hỗ trợ thanh toán một phần, nhiều phương thức). Invoice lưu snapshot các món (JSONB) để đảm bảo bill không thay đổi khi dữ liệu gốc bị sửa.</w:t>
      </w:r>
    </w:p>
    <w:p>
      <w:pPr>
        <w:pStyle w:val="Heading3"/>
        <w:spacing w:after="100" w:before="200"/>
      </w:pPr>
      <w:r>
        <w:rPr>
          <w:rFonts w:ascii="Times New Roman" w:cs="Times New Roman" w:eastAsia="Times New Roman" w:hAnsi="Times New Roman"/>
          <w:b/>
          <w:bCs/>
          <w:sz w:val="26"/>
          <w:szCs w:val="26"/>
        </w:rPr>
        <w:t xml:space="preserve">4.4. Nhóm 8 — Ví điện tử</w:t>
      </w:r>
    </w:p>
    <w:p>
      <w:pPr>
        <w:spacing w:after="120" w:line="360"/>
      </w:pPr>
      <w:r>
        <w:rPr>
          <w:rFonts w:ascii="Times New Roman" w:cs="Times New Roman" w:eastAsia="Times New Roman" w:hAnsi="Times New Roman"/>
          <w:sz w:val="26"/>
          <w:szCs w:val="26"/>
        </w:rPr>
        <w:t xml:space="preserve">Quan hệ customers → customer_wallets (1-1) được tạo tự động bằng trigger. Mọi biến động số dư đều ghi thành wallet_transactions với balance_before/balance_after, đảm bảo truy vết được toàn bộ lịch sử tài chính.</w:t>
      </w:r>
    </w:p>
    <w:p>
      <w:pPr>
        <w:pStyle w:val="Heading3"/>
        <w:spacing w:after="100" w:before="200"/>
      </w:pPr>
      <w:r>
        <w:rPr>
          <w:rFonts w:ascii="Times New Roman" w:cs="Times New Roman" w:eastAsia="Times New Roman" w:hAnsi="Times New Roman"/>
          <w:b/>
          <w:bCs/>
          <w:sz w:val="26"/>
          <w:szCs w:val="26"/>
        </w:rPr>
        <w:t xml:space="preserve">4.5. Nhóm 9 — Voucher</w:t>
      </w:r>
    </w:p>
    <w:p>
      <w:pPr>
        <w:spacing w:after="120" w:line="360"/>
      </w:pPr>
      <w:r>
        <w:rPr>
          <w:rFonts w:ascii="Times New Roman" w:cs="Times New Roman" w:eastAsia="Times New Roman" w:hAnsi="Times New Roman"/>
          <w:sz w:val="26"/>
          <w:szCs w:val="26"/>
        </w:rPr>
        <w:t xml:space="preserve">Hệ thống voucher sử dụng hai quan hệ N-N:</w:t>
      </w:r>
    </w:p>
    <w:p>
      <w:pPr>
        <w:spacing w:after="120" w:line="360"/>
      </w:pPr>
      <w:r>
        <w:rPr>
          <w:rFonts w:ascii="Times New Roman" w:cs="Times New Roman" w:eastAsia="Times New Roman" w:hAnsi="Times New Roman"/>
          <w:b/>
          <w:bCs/>
          <w:sz w:val="26"/>
          <w:szCs w:val="26"/>
        </w:rPr>
        <w:t xml:space="preserve">voucher_templates ↔ branches </w:t>
      </w:r>
      <w:r>
        <w:rPr>
          <w:rFonts w:ascii="Times New Roman" w:cs="Times New Roman" w:eastAsia="Times New Roman" w:hAnsi="Times New Roman"/>
          <w:sz w:val="26"/>
          <w:szCs w:val="26"/>
        </w:rPr>
        <w:t xml:space="preserve">(qua voucher_branches): Xác định voucher áp dụng cho chi nhánh nào.</w:t>
      </w:r>
    </w:p>
    <w:p>
      <w:pPr>
        <w:spacing w:after="120" w:line="360"/>
      </w:pPr>
      <w:r>
        <w:rPr>
          <w:rFonts w:ascii="Times New Roman" w:cs="Times New Roman" w:eastAsia="Times New Roman" w:hAnsi="Times New Roman"/>
          <w:b/>
          <w:bCs/>
          <w:sz w:val="26"/>
          <w:szCs w:val="26"/>
        </w:rPr>
        <w:t xml:space="preserve">voucher_templates ↔ customers </w:t>
      </w:r>
      <w:r>
        <w:rPr>
          <w:rFonts w:ascii="Times New Roman" w:cs="Times New Roman" w:eastAsia="Times New Roman" w:hAnsi="Times New Roman"/>
          <w:sz w:val="26"/>
          <w:szCs w:val="26"/>
        </w:rPr>
        <w:t xml:space="preserve">(qua customer_vouchers): Theo dõi voucher đã phát cho khách và trạng thái sử dụng.</w:t>
      </w:r>
    </w:p>
    <w:p>
      <w:pPr>
        <w:pStyle w:val="Heading3"/>
        <w:spacing w:after="100" w:before="200"/>
      </w:pPr>
      <w:r>
        <w:rPr>
          <w:rFonts w:ascii="Times New Roman" w:cs="Times New Roman" w:eastAsia="Times New Roman" w:hAnsi="Times New Roman"/>
          <w:b/>
          <w:bCs/>
          <w:sz w:val="26"/>
          <w:szCs w:val="26"/>
        </w:rPr>
        <w:t xml:space="preserve">4.6. Nhóm 10 &amp; 11 — Kho &amp; Nhà cung cấp</w:t>
      </w:r>
    </w:p>
    <w:p>
      <w:pPr>
        <w:spacing w:after="120" w:line="360"/>
      </w:pPr>
      <w:r>
        <w:rPr>
          <w:rFonts w:ascii="Times New Roman" w:cs="Times New Roman" w:eastAsia="Times New Roman" w:hAnsi="Times New Roman"/>
          <w:sz w:val="26"/>
          <w:szCs w:val="26"/>
        </w:rPr>
        <w:t xml:space="preserve">Hai quan hệ N-N quan trọng:</w:t>
      </w:r>
    </w:p>
    <w:p>
      <w:pPr>
        <w:spacing w:after="120" w:line="360"/>
      </w:pPr>
      <w:r>
        <w:rPr>
          <w:rFonts w:ascii="Times New Roman" w:cs="Times New Roman" w:eastAsia="Times New Roman" w:hAnsi="Times New Roman"/>
          <w:b/>
          <w:bCs/>
          <w:sz w:val="26"/>
          <w:szCs w:val="26"/>
        </w:rPr>
        <w:t xml:space="preserve">menu_items ↔ ingredients </w:t>
      </w:r>
      <w:r>
        <w:rPr>
          <w:rFonts w:ascii="Times New Roman" w:cs="Times New Roman" w:eastAsia="Times New Roman" w:hAnsi="Times New Roman"/>
          <w:sz w:val="26"/>
          <w:szCs w:val="26"/>
        </w:rPr>
        <w:t xml:space="preserve">(qua recipes): Công thức chế biến, là cơ sở để tính trừ tồn kho tự động khi bán món.</w:t>
      </w:r>
    </w:p>
    <w:p>
      <w:pPr>
        <w:spacing w:after="120" w:line="360"/>
      </w:pPr>
      <w:r>
        <w:rPr>
          <w:rFonts w:ascii="Times New Roman" w:cs="Times New Roman" w:eastAsia="Times New Roman" w:hAnsi="Times New Roman"/>
          <w:b/>
          <w:bCs/>
          <w:sz w:val="26"/>
          <w:szCs w:val="26"/>
        </w:rPr>
        <w:t xml:space="preserve">branches ↔ ingredients </w:t>
      </w:r>
      <w:r>
        <w:rPr>
          <w:rFonts w:ascii="Times New Roman" w:cs="Times New Roman" w:eastAsia="Times New Roman" w:hAnsi="Times New Roman"/>
          <w:sz w:val="26"/>
          <w:szCs w:val="26"/>
        </w:rPr>
        <w:t xml:space="preserve">(qua branch_inventory): Quản lý tồn kho độc lập theo từng chi nhánh.</w:t>
      </w:r>
    </w:p>
    <w:p>
      <w:pPr>
        <w:spacing w:after="120" w:line="360"/>
      </w:pPr>
      <w:r>
        <w:rPr>
          <w:rFonts w:ascii="Times New Roman" w:cs="Times New Roman" w:eastAsia="Times New Roman" w:hAnsi="Times New Roman"/>
          <w:sz w:val="26"/>
          <w:szCs w:val="26"/>
        </w:rPr>
        <w:t xml:space="preserve">Luồng nhập kho: suppliers → purchase_receipts → purchase_receipt_items → ingredients. Khi xác nhận phiếu nhập, hệ thống tự động cập nhật branch_inventory và ghi inventory_transactions.</w:t>
      </w:r>
    </w:p>
    <w:p>
      <w:pPr>
        <w:pStyle w:val="Heading3"/>
        <w:spacing w:after="100" w:before="200"/>
      </w:pPr>
      <w:r>
        <w:rPr>
          <w:rFonts w:ascii="Times New Roman" w:cs="Times New Roman" w:eastAsia="Times New Roman" w:hAnsi="Times New Roman"/>
          <w:b/>
          <w:bCs/>
          <w:sz w:val="26"/>
          <w:szCs w:val="26"/>
        </w:rPr>
        <w:t xml:space="preserve">4.7. Nhóm 12 — Cấu hình &amp; Nhật ký</w:t>
      </w:r>
    </w:p>
    <w:p>
      <w:pPr>
        <w:spacing w:after="120" w:line="360"/>
      </w:pPr>
      <w:r>
        <w:rPr>
          <w:rFonts w:ascii="Times New Roman" w:cs="Times New Roman" w:eastAsia="Times New Roman" w:hAnsi="Times New Roman"/>
          <w:sz w:val="26"/>
          <w:szCs w:val="26"/>
        </w:rPr>
        <w:t xml:space="preserve">Ba bảng độc lập, không có FK đến bảng nào khác:</w:t>
      </w:r>
    </w:p>
    <w:p>
      <w:pPr>
        <w:spacing w:after="120" w:line="360"/>
      </w:pPr>
      <w:r>
        <w:rPr>
          <w:rFonts w:ascii="Times New Roman" w:cs="Times New Roman" w:eastAsia="Times New Roman" w:hAnsi="Times New Roman"/>
          <w:b/>
          <w:bCs/>
          <w:sz w:val="26"/>
          <w:szCs w:val="26"/>
        </w:rPr>
        <w:t xml:space="preserve">audit_logs: </w:t>
      </w:r>
      <w:r>
        <w:rPr>
          <w:rFonts w:ascii="Times New Roman" w:cs="Times New Roman" w:eastAsia="Times New Roman" w:hAnsi="Times New Roman"/>
          <w:sz w:val="26"/>
          <w:szCs w:val="26"/>
        </w:rPr>
        <w:t xml:space="preserve">Cố ý không đặt FK để đảm bảo ghi log không bị ảnh hưởng khi xóa dữ liệu gốc (actor_id, entity_id chỉ là giá trị tham chiếu, không ràng buộc).</w:t>
      </w:r>
    </w:p>
    <w:p>
      <w:pPr>
        <w:spacing w:after="120" w:line="360"/>
      </w:pPr>
      <w:r>
        <w:rPr>
          <w:rFonts w:ascii="Times New Roman" w:cs="Times New Roman" w:eastAsia="Times New Roman" w:hAnsi="Times New Roman"/>
          <w:b/>
          <w:bCs/>
          <w:sz w:val="26"/>
          <w:szCs w:val="26"/>
        </w:rPr>
        <w:t xml:space="preserve">cashback_rates: </w:t>
      </w:r>
      <w:r>
        <w:rPr>
          <w:rFonts w:ascii="Times New Roman" w:cs="Times New Roman" w:eastAsia="Times New Roman" w:hAnsi="Times New Roman"/>
          <w:sz w:val="26"/>
          <w:szCs w:val="26"/>
        </w:rPr>
        <w:t xml:space="preserve">Bảng cấu hình nhỏ, PK là rank (normal/silver/gold/platinum), liên kết logic với customers.rank nhưng không dùng FK để linh hoạt cấu hình.</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2026-08-03T05:04:11.157Z</dcterms:created>
  <dcterms:modified xsi:type="dcterms:W3CDTF">2026-08-03T05:04:11.158Z</dcterms:modified>
</cp:coreProperties>
</file>

<file path=docProps/custom.xml><?xml version="1.0" encoding="utf-8"?>
<Properties xmlns="http://schemas.openxmlformats.org/officeDocument/2006/custom-properties" xmlns:vt="http://schemas.openxmlformats.org/officeDocument/2006/docPropsVTypes"/>
</file>