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CellMar>
          <w:left w:w="0" w:type="dxa"/>
          <w:right w:w="0" w:type="dxa"/>
        </w:tblCellMar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094C607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0" w:name="_Toc39354654"/>
            <w:r>
              <w:rPr>
                <w:color w:val="000000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1" descr="https://lh6.googleusercontent.com/QcftzNtI05T0Y6fjdSh1Rr2rt8oqZ1IvnLvbn1jLJ7CCyteVir3k-xBLv4SL1wAgWJsRhmmJSR0UW-RP63_GQenE4vVWv05BRoZTsmIcBccVTnfxwmsnNMvjg599x9SqZd8E3dk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4" descr="https://lh6.googleusercontent.com/QcftzNtI05T0Y6fjdSh1Rr2rt8oqZ1IvnLvbn1jLJ7CCyteVir3k-xBLv4SL1wAgWJsRhmmJSR0UW-RP63_GQenE4vVWv05BRoZTsmIcBccVTnfxwmsnNMvjg599x9SqZd8E3dkd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10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40D27FE" w14:textId="77777777">
            <w:pPr>
              <w:pBdr/>
              <w:spacing w:line="240" w:lineRule="atLeast"/>
              <w:ind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 xml:space="preserve">МИНОБРНАУКИ РОССИИ</w:t>
            </w:r>
            <w:r>
              <w:rPr>
                <w:caps/>
                <w:sz w:val="28"/>
                <w:szCs w:val="28"/>
              </w:rPr>
            </w:r>
            <w:r>
              <w:rPr>
                <w:caps/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282"/>
        </w:trPr>
        <w:tc>
          <w:tcPr>
            <w:tcBorders/>
            <w:tcW w:w="5000" w:type="pct"/>
          </w:tcPr>
          <w:p w14:paraId="34125D42" w14:textId="77777777">
            <w:pPr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/>
            <w:bookmarkStart w:id="1" w:name="_Toc528747643"/>
            <w:r/>
            <w:bookmarkStart w:id="2" w:name="_Toc528748837"/>
            <w:r/>
            <w:bookmarkStart w:id="3" w:name="_Toc51925134"/>
            <w:r/>
            <w:bookmarkStart w:id="4" w:name="_Toc51925377"/>
            <w:r/>
            <w:bookmarkStart w:id="5" w:name="_Toc52870765"/>
            <w:r/>
            <w:bookmarkStart w:id="6" w:name="_Toc52871789"/>
            <w:r/>
            <w:bookmarkStart w:id="7" w:name="_Toc52873112"/>
            <w:r/>
            <w:bookmarkStart w:id="8" w:name="_Toc57522000"/>
            <w:r/>
            <w:bookmarkStart w:id="9" w:name="_Toc57522102"/>
            <w:r/>
            <w:bookmarkStart w:id="10" w:name="_Toc64624288"/>
            <w:r/>
            <w:bookmarkStart w:id="11" w:name="_Toc64624387"/>
            <w:r/>
            <w:bookmarkStart w:id="12" w:name="_Toc65212517"/>
            <w:r/>
            <w:bookmarkStart w:id="13" w:name="_Toc96456520"/>
            <w:r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</w:t>
            </w:r>
            <w:bookmarkStart w:id="14" w:name="_Toc528747644"/>
            <w:r/>
            <w:bookmarkStart w:id="15" w:name="_Toc528748838"/>
            <w:r/>
            <w:bookmarkStart w:id="16" w:name="_Toc51925135"/>
            <w:r/>
            <w:bookmarkStart w:id="17" w:name="_Toc51925378"/>
            <w:r/>
            <w:bookmarkStart w:id="18" w:name="_Toc52870766"/>
            <w:r/>
            <w:bookmarkStart w:id="19" w:name="_Toc52871790"/>
            <w:r/>
            <w:bookmarkStart w:id="20" w:name="_Toc52873113"/>
            <w:r/>
            <w:bookmarkEnd w:id="1"/>
            <w:r/>
            <w:bookmarkEnd w:id="2"/>
            <w:r/>
            <w:bookmarkEnd w:id="3"/>
            <w:r/>
            <w:bookmarkEnd w:id="4"/>
            <w:r/>
            <w:bookmarkEnd w:id="5"/>
            <w:r/>
            <w:bookmarkEnd w:id="6"/>
            <w:r/>
            <w:bookmarkEnd w:id="7"/>
            <w:r>
              <w:rPr>
                <w:sz w:val="28"/>
                <w:szCs w:val="28"/>
              </w:rPr>
              <w:t xml:space="preserve"> высшего образования</w:t>
            </w:r>
            <w:bookmarkEnd w:id="8"/>
            <w:r/>
            <w:bookmarkEnd w:id="9"/>
            <w:r/>
            <w:bookmarkEnd w:id="10"/>
            <w:r/>
            <w:bookmarkEnd w:id="11"/>
            <w:r/>
            <w:bookmarkEnd w:id="12"/>
            <w:r/>
            <w:bookmarkEnd w:id="13"/>
            <w:r/>
            <w:bookmarkEnd w:id="14"/>
            <w:r/>
            <w:bookmarkEnd w:id="15"/>
            <w:r/>
            <w:bookmarkEnd w:id="16"/>
            <w:r/>
            <w:bookmarkEnd w:id="17"/>
            <w:r/>
            <w:bookmarkEnd w:id="18"/>
            <w:r/>
            <w:bookmarkEnd w:id="19"/>
            <w:r/>
            <w:bookmarkEnd w:id="20"/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F907608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21" w:name="_Toc528747645"/>
            <w:r/>
            <w:bookmarkStart w:id="22" w:name="_Toc528748839"/>
            <w:r/>
            <w:bookmarkStart w:id="23" w:name="_Toc51925136"/>
            <w:r/>
            <w:bookmarkStart w:id="24" w:name="_Toc51925379"/>
            <w:r/>
            <w:bookmarkStart w:id="25" w:name="_Toc52870767"/>
            <w:r/>
            <w:bookmarkStart w:id="26" w:name="_Toc52871791"/>
            <w:r/>
            <w:bookmarkStart w:id="27" w:name="_Toc52873114"/>
            <w:r/>
            <w:bookmarkStart w:id="28" w:name="_Toc57522001"/>
            <w:r/>
            <w:bookmarkStart w:id="29" w:name="_Toc57522103"/>
            <w:r/>
            <w:bookmarkStart w:id="30" w:name="_Toc64624289"/>
            <w:r/>
            <w:bookmarkStart w:id="31" w:name="_Toc64624388"/>
            <w:r/>
            <w:bookmarkStart w:id="32" w:name="_Toc65212518"/>
            <w:r/>
            <w:bookmarkStart w:id="33" w:name="_Toc96456521"/>
            <w:r>
              <w:rPr>
                <w:sz w:val="28"/>
                <w:szCs w:val="28"/>
              </w:rPr>
              <w:t xml:space="preserve">«МИРЭА - Российский технологический университет»</w:t>
            </w:r>
            <w:bookmarkEnd w:id="21"/>
            <w:r/>
            <w:bookmarkEnd w:id="22"/>
            <w:r/>
            <w:bookmarkEnd w:id="23"/>
            <w:r/>
            <w:bookmarkEnd w:id="24"/>
            <w:r/>
            <w:bookmarkEnd w:id="25"/>
            <w:r/>
            <w:bookmarkEnd w:id="26"/>
            <w:r/>
            <w:bookmarkEnd w:id="27"/>
            <w:r/>
            <w:bookmarkEnd w:id="28"/>
            <w:r/>
            <w:bookmarkEnd w:id="29"/>
            <w:r/>
            <w:bookmarkEnd w:id="30"/>
            <w:r/>
            <w:bookmarkEnd w:id="31"/>
            <w:r/>
            <w:bookmarkEnd w:id="32"/>
            <w:r/>
            <w:bookmarkEnd w:id="33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240CEE92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34" w:name="_Toc528747646"/>
            <w:r/>
            <w:bookmarkStart w:id="35" w:name="_Toc528748840"/>
            <w:r/>
            <w:bookmarkStart w:id="36" w:name="_Toc51925137"/>
            <w:r/>
            <w:bookmarkStart w:id="37" w:name="_Toc51925380"/>
            <w:r/>
            <w:bookmarkStart w:id="38" w:name="_Toc52870768"/>
            <w:r/>
            <w:bookmarkStart w:id="39" w:name="_Toc52871792"/>
            <w:r/>
            <w:bookmarkStart w:id="40" w:name="_Toc52873115"/>
            <w:r/>
            <w:bookmarkStart w:id="41" w:name="_Toc57522002"/>
            <w:r/>
            <w:bookmarkStart w:id="42" w:name="_Toc57522104"/>
            <w:r/>
            <w:bookmarkStart w:id="43" w:name="_Toc64624290"/>
            <w:r/>
            <w:bookmarkStart w:id="44" w:name="_Toc64624389"/>
            <w:r/>
            <w:bookmarkStart w:id="45" w:name="_Toc65212519"/>
            <w:r/>
            <w:bookmarkStart w:id="46" w:name="_Toc96456522"/>
            <w:r>
              <w:rPr>
                <w:sz w:val="28"/>
                <w:szCs w:val="28"/>
              </w:rPr>
              <w:t xml:space="preserve">РТУ МИРЭА</w:t>
            </w:r>
            <w:bookmarkEnd w:id="34"/>
            <w:r/>
            <w:bookmarkEnd w:id="35"/>
            <w:r/>
            <w:bookmarkEnd w:id="36"/>
            <w:r/>
            <w:bookmarkEnd w:id="37"/>
            <w:r/>
            <w:bookmarkEnd w:id="38"/>
            <w:r/>
            <w:bookmarkEnd w:id="39"/>
            <w:r/>
            <w:bookmarkEnd w:id="40"/>
            <w:r/>
            <w:bookmarkEnd w:id="41"/>
            <w:r/>
            <w:bookmarkEnd w:id="42"/>
            <w:r/>
            <w:bookmarkEnd w:id="43"/>
            <w:r/>
            <w:bookmarkEnd w:id="44"/>
            <w:r/>
            <w:bookmarkEnd w:id="45"/>
            <w:r/>
            <w:bookmarkEnd w:id="46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4CFF844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7403AC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Института перспективных технологий и индустриального программирования</w:t>
      </w:r>
      <w:r>
        <w:rPr>
          <w:sz w:val="28"/>
          <w:szCs w:val="28"/>
        </w:rPr>
        <w:t xml:space="preserve"> (ИПТиИП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BDB574" w14:textId="77777777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 xml:space="preserve">Индустриального программирования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E6E00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E2E6CC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60FD327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824563D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450D18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5000" w:type="pct"/>
        <w:tblBorders/>
        <w:tblLook w:val="00A0" w:firstRow="1" w:lastRow="0" w:firstColumn="1" w:lastColumn="0" w:noHBand="0" w:noVBand="0"/>
      </w:tblPr>
      <w:tblGrid>
        <w:gridCol w:w="6520"/>
        <w:gridCol w:w="2835"/>
      </w:tblGrid>
      <w:tr>
        <w:trPr/>
        <w:tc>
          <w:tcPr>
            <w:gridSpan w:val="2"/>
            <w:tcBorders/>
            <w:tcW w:w="5000" w:type="pct"/>
          </w:tcPr>
          <w:p w14:paraId="22659B7E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ОТЧЕТ ПО ПРАКТИЧЕСКОЙ РАБОТЕ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2F0AF123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</w:rPr>
              <w:t>«Архитектура микроконтроллера семейства Cortex-M. Конфигурирование микроконтроллера STM32»</w:t>
            </w:r>
          </w:p>
          <w:p w14:paraId="51D1A6AD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72F42851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258"/>
        </w:trPr>
        <w:tc>
          <w:tcPr>
            <w:gridSpan w:val="2"/>
            <w:tcBorders/>
            <w:tcW w:w="5000" w:type="pct"/>
          </w:tcPr>
          <w:p w14:paraId="061F1A6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 xml:space="preserve">по дисциплине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5000" w:type="pct"/>
          </w:tcPr>
          <w:p w14:paraId="64886D0F" w14:textId="77777777">
            <w:pPr>
              <w:pBdr/>
              <w:shd w:val="clear" w:color="auto" w:fill="ffffff"/>
              <w:spacing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«</w:t>
            </w:r>
            <w:r>
              <w:rPr>
                <w:color w:val="000000"/>
                <w:spacing w:val="-5"/>
                <w:sz w:val="28"/>
                <w:szCs w:val="28"/>
              </w:rPr>
              <w:t xml:space="preserve">Программирование киберфизических систем</w:t>
            </w:r>
            <w:r>
              <w:rPr>
                <w:color w:val="000000"/>
                <w:sz w:val="28"/>
                <w:szCs w:val="28"/>
              </w:rPr>
              <w:t xml:space="preserve">»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882"/>
        </w:trPr>
        <w:tc>
          <w:tcPr>
            <w:gridSpan w:val="2"/>
            <w:tcBorders/>
            <w:tcW w:w="5000" w:type="pct"/>
          </w:tcPr>
          <w:p w14:paraId="2D2795C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62A9939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1E8FC659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CB90A8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1D6318A" w14:textId="77777777">
            <w:pPr>
              <w:pBdr/>
              <w:shd w:val="clear" w:color="auto" w:fill="ffffff"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1375A12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17D39F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группы </w:t>
            </w:r>
            <w:r>
              <w:rPr>
                <w:sz w:val="28"/>
                <w:szCs w:val="28"/>
              </w:rPr>
              <w:t xml:space="preserve">ЭФБО-10-23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2C24C5B8" w14:textId="77777777">
            <w:pPr>
              <w:pBdr/>
              <w:shd w:val="clear" w:color="auto" w:fill="ffffff"/>
              <w:spacing/>
              <w:ind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Ефремов А.И.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D798A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7AC09E16" w14:textId="77777777">
            <w:pPr>
              <w:pBdr/>
              <w:shd w:val="clear" w:color="auto" w:fill="ffffff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50E5540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Принял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08D5B218" w14:textId="77777777">
            <w:pPr>
              <w:pBdr/>
              <w:shd w:val="clear" w:color="auto" w:fill="ffffff"/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Сухатерин А.Б.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5B4747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82B18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28E2B2D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BF3873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8965FA1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DF94DA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5E689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FDED97E" w14:textId="77777777">
      <w:pPr>
        <w:pBdr/>
        <w:shd w:val="clear" w:color="auto" w:fill="ffffff"/>
        <w:spacing/>
        <w:ind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534AADFC" w14:textId="77777777">
      <w:pPr>
        <w:pBdr/>
        <w:shd w:val="clear" w:color="auto" w:fill="ffffff"/>
        <w:spacing/>
        <w:ind/>
        <w:jc w:val="center"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4024F00B" w14:textId="0F31C4F3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202</w:t>
      </w:r>
      <w:bookmarkEnd w:id="0"/>
      <w:r>
        <w:rPr>
          <w:sz w:val="28"/>
          <w:szCs w:val="28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  <w:r>
        <w:rPr>
          <w:sz w:val="28"/>
          <w:szCs w:val="28"/>
        </w:rPr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СОДЕРЖАНИЕ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sz w:val="28"/>
        </w:rPr>
        <w:t>3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1 Теоретические сведения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2 Практическая реализация</w:t>
      </w:r>
      <w:r>
        <w:tab/>
      </w:r>
      <w:r>
        <w:rPr>
          <w:rFonts w:ascii="Times New Roman" w:hAnsi="Times New Roman" w:eastAsia="Times New Roman"/>
          <w:sz w:val="28"/>
        </w:rPr>
        <w:t>7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sz w:val="28"/>
        </w:rPr>
        <w:t>10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sz w:val="28"/>
        </w:rPr>
        <w:t>11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Микроконтроллер представляет собой вычислительное устройство, в котором процессорное ядро, память и периферийные модули объединены в одном корпусе. Такие устройства применяются в системах управления, измерительной технике, промышленной автоматизации и устройствах Интернета вещей. Семейство STM32 компании STMicroelectronics построено на ядрах ARM Cortex-M и предназначено для создания встраиваемых систем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изучить назначение основных узлов микроконтроллера с ядром Cortex-M и выполнить конфигурирование микроконтроллера STM32F107VCTx в среде STM32CubeMX.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поставлены следующие задачи: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рассмотреть общую архитектуру ядра Cortex-M и состав периферии микроконтроллера STM32;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изучить назначение системы тактирования и графического конфигуратора STM32CubeMX;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выбрать микроконтроллер STM32F107VCTx, настроить тактирование на частоту 72 МГц и назначить выводы GPIO;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зафиксировать выполненную конфигурацию скриншотами среды STM32CubeMX.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1 ТЕОРЕТИЧЕСКИЕ СВЕДЕНИЯ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1.1 Микроконтроллеры STM32 и ядро Cortex-M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Микроконтроллер отличается от обычного процессора тем, что содержит не только вычислительное ядро, но и память, контроллеры портов, таймеры, интерфейсы связи и другие периферийные устройства. За счёт этого он может непосредственно получать сигналы от датчиков и управлять исполнительными устройствами без внешнего набора специализированных микросхем.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STM32 — семейство 32-разрядных микроконтроллеров STMicroelectronics на базе архитектуры ARM Cortex-M. Разные серии STM32 используют ядра Cortex-M0, Cortex-M3, Cortex-M4, Cortex-M7 и другие, поэтому различаются производительностью, энергопотреблением и составом периферии [1]. В рассматриваемой работе используется STM32F107VCTx с ядром Cortex-M3.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Ключевыми узлами Cortex-M являются процессорное ядро, память программ Flash, оперативная память SRAM, система прерываний NVIC и системный таймер SysTick. NVIC принимает запросы прерываний от периферийных модулей, назначает им приоритеты и передаёт управление соответствующему обработчику. Это позволяет микроконтроллеру реагировать на внешние события без непрерывного опроса каждого устройства.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Периферийные модули подключаются к процессорному ядру через системные шины. К типичным модулям STM32 относятся порты GPIO, таймеры, аналого-цифровые преобразователи, интерфейсы UART, SPI и I2C. Конфигурация выводов и тактирования определяет, какие из этих модулей будут доступны проекту [2].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1.2 Особенности STM32F107VCTx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STM32F107VC относится к линейке connectivity line семейства STM32F1. Производитель указывает для него 32-разрядное ядро ARM Cortex-M3 с рабочей частотой до 72 МГц, до 256 Кбайт Flash-памяти и 64 Кбайт SRAM. Периферийные устройства подключены к двум шинам APB, а расширенный набор выводов ввода-вывода позволяет использовать несколько внешних устройств одновременно [3].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конкретного микроконтроллера в STM32CubeMX важен, поскольку от него зависят доступные выводы, предельные тактовые частоты, набор таймеров и интерфейсов. Неверно выбранная модель может привести к конфигурации, которую невозможно реализовать на имеющейся плате.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1.3 Система тактирования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Тактирование задаёт скорость выполнения инструкций процессорного ядра и работы периферийных модулей. В STM32 источниками тактового сигнала могут служить внутренний генератор HSI, внешний генератор или кварцевый резонатор HSE, низкочастотные источники LSI и LSE, а также PLL — блок фазовой автоподстройки частоты.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выбранного источника и PLL формируется системная частота SYSCLK. Затем делители шин AHB, APB1 и APB2 формируют частоты для ядра, памяти и периферии. При настройке необходимо не превышать предельные частоты, приведённые в документации на конкретный микроконтроллер. Для STM32F107VCTx максимальная частота ядра равна 72 МГц [3].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STM32CubeMX отображает дерево тактирования, позволяет выбрать источники, делители и множители, а также проверяет допустимость конфигурации. После настройки выводов, периферии и тактирования программа может сгенерировать стартовый код проекта и инициализацию выбранных модулей [4].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1.4 Назначение выводов GPIO и STM32CubeMX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GPIO — это универсальные цифровые линии ввода-вывода. Каждый вывод может быть настроен, например, как цифровой вход, цифровой выход, альтернативная функция периферийного модуля или аналоговый вход. Для входов может потребоваться внутренняя подтяжка, а для выходов выбирается тип выходного каскада [5].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STM32CubeMX предоставляет карту выводов выбранного корпуса. В ней назначается режим каждого вывода, а пользовательское имя сигнала позволяет связать физическую линию с её назначением в проекте. После выбора конфигурации CubeMX генерирует инициализационный код для выбранной среды разработки [4].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2 ПРАКТИЧЕСКАЯ РЕАЛИЗАЦИЯ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2.1 Выбор микроконтроллера и настройка тактирования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STM32CubeMX был выбран микроконтроллер STM32F107VCTx в корпусе LQFP100. Для отладки оставлены линии SWD: PA13 используется как SYS_JTMS-SWDIO, а PA14 — как SYS_JTCK-SWCLK. Это позволяет подключать отладчик ST-Link без переназначения этих линий под прикладные функции.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конфигураторе RCC выбран внешний высокочастотный источник HSE и включена PLL. По результату настройки системная частота SYSCLK, частота шины AHB и частота ядра HCLK составляют 72 МГц. Для шины APB1 установлена частота 36 МГц, а для APB2 — 72 МГц. Такое распределение соответствует ограничениям микроконтроллера и показано на Рисунке 2.1.</w:t>
      </w:r>
    </w:p>
    <w:p>
      <w:pPr>
        <w:jc w:val="center"/>
      </w:pPr>
      <w:r>
        <w:drawing>
          <wp:inline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config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2.1 — Конфигурация дерева тактирования STM32F107VCTx в STM32CubeMX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2.2 Настройка выводов GPIO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карте выводов были назначены пользовательские сигналы RED, YELLOW, GREEN, PED_RED, PED_GREEN и BUT. Первые пять сигналов подготовлены для управления светодиодными индикаторами, а сигнал BUT — для подключения кнопки. В данной работе выполнялось именно конфигурирование микроконтроллера; программная логика управления устройством в объём работы не входит.</w:t>
      </w:r>
    </w:p>
    <w:p>
      <w:pPr>
        <w:jc w:val="center"/>
      </w:pPr>
      <w:r>
        <w:drawing>
          <wp:inline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2.2 — Настройка выводов GPIO и отладочного интерфейса SWD в STM32CubeMX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практической работы изучена общая архитектура микроконтроллеров семейства Cortex-M и назначение основных компонентов STM32. Рассмотрены процессорное ядро, память, система прерываний, периферийные модули, GPIO и система тактирования.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STM32CubeMX выполнено конфигурирование микроконтроллера STM32F107VCTx: выбраны частоты системных шин, настроена частота ядра 72 МГц, сохранён интерфейс SWD и назначены пользовательские сигналы GPIO. Полученная конфигурация является подготовленным аппаратно-программным основанием для дальнейшей разработки прикладных программ на языке C с использованием библиотеки HAL.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1. STM32 микроконтроллеры: программирование первого проекта для начинающих [Электронный ресурс]. — Skypro Wiki. — URL: https://sky.pro/wiki/gamedev/programmirovanie-stm32-sozdanie-pervogo-proekta-na-c/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2. Программирование STM32: от основ к реальным проектам с примерами [Электронный ресурс]. — Skypro Wiki. — URL: https://sky.pro/wiki/javascript/programmirovanie-stm32-vvedenie-i-primery/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3. STM32F107VC: product page [Электронный ресурс]. — STMicroelectronics. — URL: https://www.st.com/en/microcontrollers-microprocessors/stm32f107vc.html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4. STM32CubeMX for STM32 configuration and initialization C code generation. UM1718 [Электронный ресурс]. — STMicroelectronics. — URL: https://www.st.com/resource/en/user_manual/dm00104712-stm32cubemx-for-stm32-configuration-and-initialization-c-code-generation-stmicroelectronics.pdf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5. Изучение C/C++ для программирования микроконтроллеров: основы [Электронный ресурс]. — Skypro Wiki. — URL: https://sky.pro/wiki/javascript/cc-dlya-mikrokontrollerov-osnovy-i-primery/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6. STM32CubeMX code generator [Электронный ресурс]. — STMicroelectronics. — URL: https://www.st.com/content/st_com/en/stm32cubemx.html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7. Лабораторная работа 1. Знакомство и настройка STM32. Светофор [Электронный ресурс]. — Учебные материалы дисциплины «Программирование киберфизических систем». — `prac1/lab1.docx`.</w:t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53190131"/>
      <w:docPartObj>
        <w:docPartGallery w:val="Page Numbers (Bottom of Page)"/>
        <w:docPartUnique w:val="true"/>
      </w:docPartObj>
      <w:rPr/>
    </w:sdtPr>
    <w:sdtContent>
      <w:p w14:paraId="61583708" w14:textId="77777777">
        <w:pPr>
          <w:pStyle w:val="968"/>
          <w:pBdr/>
          <w:spacing/>
          <w:ind/>
          <w:jc w:val="center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 xml:space="preserve">4</w:t>
        </w:r>
        <w:r>
          <w:rPr>
            <w:sz w:val="28"/>
          </w:rPr>
          <w:fldChar w:fldCharType="end"/>
        </w:r>
        <w:r>
          <w:rPr>
            <w:sz w:val="28"/>
          </w:rPr>
        </w:r>
        <w:r>
          <w:rPr>
            <w:sz w:val="28"/>
          </w:rPr>
        </w:r>
      </w:p>
    </w:sdtContent>
  </w:sdt>
  <w:p w14:paraId="1044074D" w14:textId="77777777">
    <w:pPr>
      <w:pStyle w:val="9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323"/>
    <w:lvl w:ilvl="0">
      <w:isLgl w:val="false"/>
      <w:lvlJc w:val="left"/>
      <w:lvlText w:val="—"/>
      <w:numFmt w:val="bullet"/>
      <w:pPr>
        <w:pBdr/>
        <w:spacing/>
        <w:ind w:hanging="245" w:left="533"/>
      </w:pPr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—"/>
      <w:numFmt w:val="bullet"/>
      <w:pPr>
        <w:pBdr/>
        <w:spacing/>
        <w:ind w:hanging="360" w:left="1248"/>
      </w:pPr>
      <w:pStyle w:val="949"/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2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0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9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34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35442A09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6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3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3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3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3"/>
      <w:rPr/>
      <w:start w:val="1"/>
      <w:suff w:val="tab"/>
    </w:lvl>
  </w:abstractNum>
  <w:abstractNum w:abstractNumId="2">
    <w:nsid w:val="564607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3">
    <w:nsid w:val="6C57260A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4">
      <w:isLgl w:val="false"/>
      <w:lvlJc w:val="right"/>
      <w:lvlText w:val="%1.%2.%3.%4.%5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1.%2.%3.%4.%5.%6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6">
      <w:isLgl w:val="false"/>
      <w:lvlJc w:val="right"/>
      <w:lvlText w:val="%1.%2.%3.%4.%5.%6.%7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7">
      <w:isLgl w:val="false"/>
      <w:lvlJc w:val="right"/>
      <w:lvlText w:val="%1.%2.%3.%4.%5.%6.%7.%8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1.%2.%3.%4.%5.%6.%7.%8.%9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0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3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4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4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Quote Char"/>
    <w:basedOn w:val="934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Quote Char"/>
    <w:basedOn w:val="93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4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34"/>
    <w:link w:val="902"/>
    <w:uiPriority w:val="99"/>
    <w:pPr>
      <w:pBdr/>
      <w:spacing/>
      <w:ind/>
    </w:pPr>
  </w:style>
  <w:style w:type="character" w:styleId="904">
    <w:name w:val="Footer Char"/>
    <w:basedOn w:val="934"/>
    <w:link w:val="968"/>
    <w:uiPriority w:val="99"/>
    <w:pPr>
      <w:pBdr/>
      <w:spacing/>
      <w:ind/>
    </w:p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4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4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925">
    <w:name w:val="Heading 1"/>
    <w:basedOn w:val="924"/>
    <w:next w:val="924"/>
    <w:link w:val="939"/>
    <w:uiPriority w:val="9"/>
    <w:qFormat/>
    <w:pPr>
      <w:keepNext w:val="true"/>
      <w:pageBreakBefore w:val="true"/>
      <w:widowControl w:val="false"/>
      <w:numPr>
        <w:numId w:val="25"/>
      </w:numPr>
      <w:pBdr/>
      <w:spacing w:after="200" w:line="360" w:lineRule="auto"/>
      <w:ind/>
      <w:outlineLvl w:val="0"/>
    </w:pPr>
    <w:rPr>
      <w:rFonts w:eastAsiaTheme="majorEastAsia" w:cstheme="majorBidi"/>
      <w:b/>
      <w:caps/>
      <w:sz w:val="36"/>
      <w:szCs w:val="32"/>
      <w:lang w:eastAsia="en-US"/>
      <w14:ligatures w14:val="standardContextual"/>
    </w:rPr>
  </w:style>
  <w:style w:type="paragraph" w:styleId="926">
    <w:name w:val="Heading 2"/>
    <w:basedOn w:val="924"/>
    <w:next w:val="924"/>
    <w:link w:val="937"/>
    <w:uiPriority w:val="9"/>
    <w:unhideWhenUsed/>
    <w:qFormat/>
    <w:pPr>
      <w:keepNext w:val="true"/>
      <w:keepLines w:val="true"/>
      <w:numPr>
        <w:ilvl w:val="1"/>
        <w:numId w:val="25"/>
      </w:numPr>
      <w:pBdr/>
      <w:spacing w:after="200" w:before="300" w:line="360" w:lineRule="auto"/>
      <w:ind/>
      <w:outlineLvl w:val="1"/>
    </w:pPr>
    <w:rPr>
      <w:rFonts w:eastAsiaTheme="majorEastAsia" w:cstheme="majorBidi"/>
      <w:b/>
      <w:sz w:val="32"/>
      <w:szCs w:val="26"/>
      <w:lang w:eastAsia="en-US"/>
      <w14:ligatures w14:val="standardContextual"/>
    </w:rPr>
  </w:style>
  <w:style w:type="paragraph" w:styleId="927">
    <w:name w:val="Heading 3"/>
    <w:basedOn w:val="924"/>
    <w:next w:val="924"/>
    <w:link w:val="938"/>
    <w:uiPriority w:val="9"/>
    <w:unhideWhenUsed/>
    <w:qFormat/>
    <w:pPr>
      <w:keepNext w:val="true"/>
      <w:keepLines w:val="true"/>
      <w:numPr>
        <w:ilvl w:val="2"/>
        <w:numId w:val="25"/>
      </w:numPr>
      <w:pBdr/>
      <w:tabs>
        <w:tab w:val="left" w:leader="none" w:pos="1560"/>
      </w:tabs>
      <w:spacing w:after="200" w:before="300" w:line="360" w:lineRule="auto"/>
      <w:ind/>
      <w:jc w:val="both"/>
      <w:outlineLvl w:val="2"/>
    </w:pPr>
    <w:rPr>
      <w:rFonts w:eastAsiaTheme="majorEastAsia" w:cstheme="majorBidi"/>
      <w:b/>
      <w:sz w:val="28"/>
      <w:lang w:eastAsia="en-US"/>
      <w14:ligatures w14:val="standardContextual"/>
    </w:rPr>
  </w:style>
  <w:style w:type="paragraph" w:styleId="928">
    <w:name w:val="Heading 4"/>
    <w:basedOn w:val="924"/>
    <w:next w:val="924"/>
    <w:link w:val="950"/>
    <w:uiPriority w:val="9"/>
    <w:semiHidden/>
    <w:unhideWhenUsed/>
    <w:qFormat/>
    <w:pPr>
      <w:keepNext w:val="true"/>
      <w:keepLines w:val="true"/>
      <w:numPr>
        <w:ilvl w:val="3"/>
        <w:numId w:val="25"/>
      </w:numPr>
      <w:pBdr/>
      <w:spacing w:before="40" w:line="360" w:lineRule="auto"/>
      <w:ind/>
      <w:jc w:val="both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29">
    <w:name w:val="Heading 5"/>
    <w:basedOn w:val="924"/>
    <w:next w:val="924"/>
    <w:link w:val="951"/>
    <w:uiPriority w:val="9"/>
    <w:semiHidden/>
    <w:unhideWhenUsed/>
    <w:qFormat/>
    <w:pPr>
      <w:keepNext w:val="true"/>
      <w:keepLines w:val="true"/>
      <w:numPr>
        <w:ilvl w:val="4"/>
        <w:numId w:val="25"/>
      </w:numPr>
      <w:pBdr/>
      <w:spacing w:before="40" w:line="360" w:lineRule="auto"/>
      <w:ind/>
      <w:jc w:val="both"/>
      <w:outlineLvl w:val="4"/>
    </w:pPr>
    <w:rPr>
      <w:rFonts w:asciiTheme="majorHAnsi" w:hAnsiTheme="majorHAnsi" w:eastAsiaTheme="majorEastAsia" w:cstheme="majorBidi"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30">
    <w:name w:val="Heading 6"/>
    <w:basedOn w:val="924"/>
    <w:next w:val="924"/>
    <w:link w:val="952"/>
    <w:uiPriority w:val="9"/>
    <w:semiHidden/>
    <w:unhideWhenUsed/>
    <w:qFormat/>
    <w:pPr>
      <w:keepNext w:val="true"/>
      <w:keepLines w:val="true"/>
      <w:numPr>
        <w:ilvl w:val="5"/>
        <w:numId w:val="25"/>
      </w:numPr>
      <w:pBdr/>
      <w:spacing w:before="40" w:line="360" w:lineRule="auto"/>
      <w:ind/>
      <w:jc w:val="both"/>
      <w:outlineLvl w:val="5"/>
    </w:pPr>
    <w:rPr>
      <w:rFonts w:asciiTheme="majorHAnsi" w:hAnsiTheme="majorHAnsi" w:eastAsiaTheme="majorEastAsia" w:cstheme="majorBidi"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1">
    <w:name w:val="Heading 7"/>
    <w:basedOn w:val="924"/>
    <w:next w:val="924"/>
    <w:link w:val="953"/>
    <w:uiPriority w:val="9"/>
    <w:semiHidden/>
    <w:unhideWhenUsed/>
    <w:qFormat/>
    <w:pPr>
      <w:keepNext w:val="true"/>
      <w:keepLines w:val="true"/>
      <w:numPr>
        <w:ilvl w:val="6"/>
        <w:numId w:val="25"/>
      </w:numPr>
      <w:pBdr/>
      <w:spacing w:before="40" w:line="360" w:lineRule="auto"/>
      <w:ind/>
      <w:jc w:val="both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2">
    <w:name w:val="Heading 8"/>
    <w:basedOn w:val="924"/>
    <w:next w:val="924"/>
    <w:link w:val="954"/>
    <w:uiPriority w:val="9"/>
    <w:semiHidden/>
    <w:unhideWhenUsed/>
    <w:qFormat/>
    <w:pPr>
      <w:keepNext w:val="true"/>
      <w:keepLines w:val="true"/>
      <w:numPr>
        <w:ilvl w:val="7"/>
        <w:numId w:val="25"/>
      </w:numPr>
      <w:pBdr/>
      <w:spacing w:before="40" w:line="360" w:lineRule="auto"/>
      <w:ind/>
      <w:jc w:val="both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n-US"/>
      <w14:ligatures w14:val="standardContextual"/>
    </w:rPr>
  </w:style>
  <w:style w:type="paragraph" w:styleId="933">
    <w:name w:val="Heading 9"/>
    <w:basedOn w:val="924"/>
    <w:next w:val="924"/>
    <w:link w:val="955"/>
    <w:uiPriority w:val="9"/>
    <w:semiHidden/>
    <w:unhideWhenUsed/>
    <w:qFormat/>
    <w:pPr>
      <w:keepNext w:val="true"/>
      <w:keepLines w:val="true"/>
      <w:numPr>
        <w:ilvl w:val="8"/>
        <w:numId w:val="25"/>
      </w:numPr>
      <w:pBdr/>
      <w:spacing w:before="40" w:line="360" w:lineRule="auto"/>
      <w:ind/>
      <w:jc w:val="both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n-US"/>
      <w14:ligatures w14:val="standardContextual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Заголовок 2 Знак"/>
    <w:basedOn w:val="934"/>
    <w:link w:val="926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38" w:customStyle="1">
    <w:name w:val="Заголовок 3 Знак"/>
    <w:basedOn w:val="934"/>
    <w:link w:val="92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939" w:customStyle="1">
    <w:name w:val="Заголовок 1 Знак"/>
    <w:basedOn w:val="934"/>
    <w:link w:val="92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940" w:customStyle="1">
    <w:name w:val="Основной"/>
    <w:basedOn w:val="924"/>
    <w:qFormat/>
    <w:pPr>
      <w:pBdr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1" w:customStyle="1">
    <w:name w:val="Рисунок"/>
    <w:basedOn w:val="924"/>
    <w:qFormat/>
    <w:pPr>
      <w:keepNext w:val="true"/>
      <w:pBdr/>
      <w:spacing w:line="360" w:lineRule="auto"/>
      <w:ind/>
      <w:jc w:val="center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2" w:customStyle="1">
    <w:name w:val="Подпись_Рис"/>
    <w:basedOn w:val="943"/>
    <w:qFormat/>
    <w:pPr>
      <w:pBdr/>
      <w:spacing w:after="120"/>
      <w:ind w:firstLine="0"/>
    </w:pPr>
    <w:rPr>
      <w:b/>
    </w:rPr>
  </w:style>
  <w:style w:type="paragraph" w:styleId="943">
    <w:name w:val="Caption"/>
    <w:basedOn w:val="924"/>
    <w:next w:val="924"/>
    <w:uiPriority w:val="35"/>
    <w:unhideWhenUsed/>
    <w:qFormat/>
    <w:pPr>
      <w:pBdr/>
      <w:spacing w:after="200"/>
      <w:ind w:firstLine="709"/>
      <w:jc w:val="center"/>
    </w:pPr>
    <w:rPr>
      <w:rFonts w:eastAsiaTheme="minorHAnsi" w:cstheme="minorBidi"/>
      <w:iCs/>
      <w:szCs w:val="18"/>
      <w:lang w:eastAsia="en-US"/>
      <w14:ligatures w14:val="standardContextual"/>
    </w:rPr>
  </w:style>
  <w:style w:type="paragraph" w:styleId="944" w:customStyle="1">
    <w:name w:val="Содержание"/>
    <w:basedOn w:val="925"/>
    <w:next w:val="940"/>
    <w:qFormat/>
    <w:pPr>
      <w:numPr>
        <w:numId w:val="0"/>
      </w:numPr>
      <w:pBdr/>
      <w:spacing/>
      <w:ind/>
      <w:jc w:val="center"/>
    </w:pPr>
  </w:style>
  <w:style w:type="paragraph" w:styleId="945" w:customStyle="1">
    <w:name w:val="Список источников"/>
    <w:basedOn w:val="944"/>
    <w:qFormat/>
    <w:pPr>
      <w:pBdr/>
      <w:spacing/>
      <w:ind/>
    </w:pPr>
  </w:style>
  <w:style w:type="paragraph" w:styleId="946" w:customStyle="1">
    <w:name w:val="Таблица"/>
    <w:basedOn w:val="924"/>
    <w:qFormat/>
    <w:pPr>
      <w:keepNext w:val="true"/>
      <w:pageBreakBefore w:val="true"/>
      <w:widowControl w:val="false"/>
      <w:pBdr/>
      <w:spacing w:before="120"/>
      <w:ind/>
    </w:pPr>
    <w:rPr>
      <w:b/>
      <w:i/>
      <w:szCs w:val="22"/>
      <w:lang w:eastAsia="en-US"/>
      <w14:ligatures w14:val="standardContextual"/>
    </w:rPr>
  </w:style>
  <w:style w:type="paragraph" w:styleId="947" w:customStyle="1">
    <w:name w:val="ШапкаТаблицы"/>
    <w:basedOn w:val="924"/>
    <w:qFormat/>
    <w:pPr>
      <w:widowControl w:val="false"/>
      <w:pBdr/>
      <w:spacing/>
      <w:ind/>
      <w:jc w:val="center"/>
    </w:pPr>
    <w:rPr>
      <w:b/>
      <w:szCs w:val="22"/>
      <w:lang w:val="en-US" w:eastAsia="en-US"/>
    </w:rPr>
  </w:style>
  <w:style w:type="paragraph" w:styleId="948" w:customStyle="1">
    <w:name w:val="ТекстТаблицы"/>
    <w:basedOn w:val="946"/>
    <w:qFormat/>
    <w:pPr>
      <w:keepNext w:val="false"/>
      <w:pageBreakBefore w:val="false"/>
      <w:pBdr/>
      <w:spacing w:before="0"/>
      <w:ind/>
    </w:pPr>
    <w:rPr>
      <w:b w:val="0"/>
      <w:i w:val="0"/>
    </w:rPr>
  </w:style>
  <w:style w:type="paragraph" w:styleId="949" w:customStyle="1">
    <w:name w:val="Отступ с -"/>
    <w:basedOn w:val="924"/>
    <w:qFormat/>
    <w:pPr>
      <w:widowControl w:val="false"/>
      <w:numPr>
        <w:ilvl w:val="1"/>
        <w:numId w:val="26"/>
      </w:numPr>
      <w:pBdr/>
      <w:tabs>
        <w:tab w:val="left" w:leader="none" w:pos="1249"/>
      </w:tabs>
      <w:spacing w:line="360" w:lineRule="auto"/>
      <w:ind/>
      <w:jc w:val="both"/>
    </w:pPr>
    <w:rPr>
      <w:sz w:val="28"/>
      <w:szCs w:val="22"/>
      <w:lang w:eastAsia="en-US"/>
      <w14:ligatures w14:val="standardContextual"/>
    </w:rPr>
  </w:style>
  <w:style w:type="character" w:styleId="950" w:customStyle="1">
    <w:name w:val="Заголовок 4 Знак"/>
    <w:basedOn w:val="934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951" w:customStyle="1">
    <w:name w:val="Заголовок 5 Знак"/>
    <w:basedOn w:val="934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</w:rPr>
  </w:style>
  <w:style w:type="character" w:styleId="952" w:customStyle="1">
    <w:name w:val="Заголовок 6 Знак"/>
    <w:basedOn w:val="934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</w:rPr>
  </w:style>
  <w:style w:type="character" w:styleId="953" w:customStyle="1">
    <w:name w:val="Заголовок 7 Знак"/>
    <w:basedOn w:val="934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character" w:styleId="954" w:customStyle="1">
    <w:name w:val="Заголовок 8 Знак"/>
    <w:basedOn w:val="934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55" w:customStyle="1">
    <w:name w:val="Заголовок 9 Знак"/>
    <w:basedOn w:val="934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56">
    <w:name w:val="List Paragraph"/>
    <w:basedOn w:val="924"/>
    <w:uiPriority w:val="34"/>
    <w:qFormat/>
    <w:pPr>
      <w:pBdr/>
      <w:spacing w:line="360" w:lineRule="auto"/>
      <w:ind w:firstLine="709" w:left="720"/>
      <w:contextualSpacing w:val="true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57">
    <w:name w:val="TOC Heading"/>
    <w:basedOn w:val="925"/>
    <w:next w:val="924"/>
    <w:uiPriority w:val="39"/>
    <w:unhideWhenUsed/>
    <w:qFormat/>
    <w:pPr>
      <w:pBdr/>
      <w:spacing w:line="259" w:lineRule="auto"/>
      <w:ind w:firstLine="0" w:left="709"/>
      <w:outlineLvl w:val="9"/>
    </w:pPr>
    <w:rPr>
      <w14:ligatures w14:val="none"/>
    </w:rPr>
  </w:style>
  <w:style w:type="paragraph" w:styleId="958">
    <w:name w:val="Title"/>
    <w:basedOn w:val="924"/>
    <w:next w:val="924"/>
    <w:link w:val="959"/>
    <w:uiPriority w:val="10"/>
    <w:qFormat/>
    <w:pPr>
      <w:pBdr/>
      <w:spacing w:after="80"/>
      <w:ind w:firstLine="709"/>
      <w:contextualSpacing w:val="true"/>
      <w:jc w:val="both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959" w:customStyle="1">
    <w:name w:val="Заголовок Знак"/>
    <w:basedOn w:val="934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0">
    <w:name w:val="Subtitle"/>
    <w:basedOn w:val="924"/>
    <w:next w:val="924"/>
    <w:link w:val="961"/>
    <w:uiPriority w:val="11"/>
    <w:qFormat/>
    <w:pPr>
      <w:numPr>
        <w:ilvl w:val="1"/>
      </w:numPr>
      <w:pBdr/>
      <w:spacing w:after="160" w:line="360" w:lineRule="auto"/>
      <w:ind w:firstLine="709"/>
      <w:jc w:val="both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961" w:customStyle="1">
    <w:name w:val="Подзаголовок Знак"/>
    <w:basedOn w:val="934"/>
    <w:link w:val="9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2">
    <w:name w:val="Quote"/>
    <w:basedOn w:val="924"/>
    <w:next w:val="924"/>
    <w:link w:val="963"/>
    <w:uiPriority w:val="29"/>
    <w:qFormat/>
    <w:pPr>
      <w:pBdr/>
      <w:spacing w:after="160" w:before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  <w14:ligatures w14:val="standardContextual"/>
    </w:rPr>
  </w:style>
  <w:style w:type="character" w:styleId="963" w:customStyle="1">
    <w:name w:val="Цитата 2 Знак"/>
    <w:basedOn w:val="934"/>
    <w:link w:val="962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64">
    <w:name w:val="Intense Quote"/>
    <w:basedOn w:val="924"/>
    <w:next w:val="924"/>
    <w:link w:val="96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 w:line="360" w:lineRule="auto"/>
      <w:ind w:right="864" w:firstLine="709" w:lef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character" w:styleId="965" w:customStyle="1">
    <w:name w:val="Выделенная цитата Знак"/>
    <w:basedOn w:val="934"/>
    <w:link w:val="964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66">
    <w:name w:val="Intense Emphasis"/>
    <w:basedOn w:val="93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character" w:styleId="967">
    <w:name w:val="Intense Reference"/>
    <w:basedOn w:val="93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68">
    <w:name w:val="Footer"/>
    <w:basedOn w:val="924"/>
    <w:link w:val="9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9" w:customStyle="1">
    <w:name w:val="Нижний колонтитул Знак"/>
    <w:basedOn w:val="934"/>
    <w:link w:val="96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revision>5</cp:revision>
  <dcterms:created xsi:type="dcterms:W3CDTF">2025-09-13T11:07:00Z</dcterms:created>
  <dcterms:modified xsi:type="dcterms:W3CDTF">2026-09-23T17:30:16Z</dcterms:modified>
</cp:coreProperties>
</file>