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CellMar>
          <w:left w:w="0" w:type="dxa"/>
          <w:right w:w="0" w:type="dxa"/>
        </w:tblCellMar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094C607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0" w:name="_Toc39354654"/>
            <w:r>
              <w:rPr>
                <w:color w:val="000000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5350" cy="1009650"/>
                      <wp:effectExtent l="0" t="0" r="0" b="0"/>
                      <wp:docPr id="1" name="Рисунок 1" descr="https://lh6.googleusercontent.com/QcftzNtI05T0Y6fjdSh1Rr2rt8oqZ1IvnLvbn1jLJ7CCyteVir3k-xBLv4SL1wAgWJsRhmmJSR0UW-RP63_GQenE4vVWv05BRoZTsmIcBccVTnfxwmsnNMvjg599x9SqZd8E3dk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4" descr="https://lh6.googleusercontent.com/QcftzNtI05T0Y6fjdSh1Rr2rt8oqZ1IvnLvbn1jLJ7CCyteVir3k-xBLv4SL1wAgWJsRhmmJSR0UW-RP63_GQenE4vVWv05BRoZTsmIcBccVTnfxwmsnNMvjg599x9SqZd8E3dkd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50" cy="10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50pt;height:79.5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40D27FE" w14:textId="77777777">
            <w:pPr>
              <w:pBdr/>
              <w:spacing w:line="240" w:lineRule="atLeast"/>
              <w:ind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 xml:space="preserve">МИНОБРНАУКИ РОССИИ</w:t>
            </w:r>
            <w:r>
              <w:rPr>
                <w:caps/>
                <w:sz w:val="28"/>
                <w:szCs w:val="28"/>
              </w:rPr>
            </w:r>
            <w:r>
              <w:rPr>
                <w:caps/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282"/>
        </w:trPr>
        <w:tc>
          <w:tcPr>
            <w:tcBorders/>
            <w:tcW w:w="5000" w:type="pct"/>
          </w:tcPr>
          <w:p w14:paraId="34125D42" w14:textId="77777777">
            <w:pPr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/>
            <w:bookmarkStart w:id="1" w:name="_Toc528747643"/>
            <w:r/>
            <w:bookmarkStart w:id="2" w:name="_Toc528748837"/>
            <w:r/>
            <w:bookmarkStart w:id="3" w:name="_Toc51925134"/>
            <w:r/>
            <w:bookmarkStart w:id="4" w:name="_Toc51925377"/>
            <w:r/>
            <w:bookmarkStart w:id="5" w:name="_Toc52870765"/>
            <w:r/>
            <w:bookmarkStart w:id="6" w:name="_Toc52871789"/>
            <w:r/>
            <w:bookmarkStart w:id="7" w:name="_Toc52873112"/>
            <w:r/>
            <w:bookmarkStart w:id="8" w:name="_Toc57522000"/>
            <w:r/>
            <w:bookmarkStart w:id="9" w:name="_Toc57522102"/>
            <w:r/>
            <w:bookmarkStart w:id="10" w:name="_Toc64624288"/>
            <w:r/>
            <w:bookmarkStart w:id="11" w:name="_Toc64624387"/>
            <w:r/>
            <w:bookmarkStart w:id="12" w:name="_Toc65212517"/>
            <w:r/>
            <w:bookmarkStart w:id="13" w:name="_Toc96456520"/>
            <w:r>
              <w:rPr>
                <w:sz w:val="28"/>
                <w:szCs w:val="28"/>
              </w:rPr>
              <w:t xml:space="preserve">Федеральное государственное бюджетное образовательное учреждение</w:t>
            </w:r>
            <w:bookmarkStart w:id="14" w:name="_Toc528747644"/>
            <w:r/>
            <w:bookmarkStart w:id="15" w:name="_Toc528748838"/>
            <w:r/>
            <w:bookmarkStart w:id="16" w:name="_Toc51925135"/>
            <w:r/>
            <w:bookmarkStart w:id="17" w:name="_Toc51925378"/>
            <w:r/>
            <w:bookmarkStart w:id="18" w:name="_Toc52870766"/>
            <w:r/>
            <w:bookmarkStart w:id="19" w:name="_Toc52871790"/>
            <w:r/>
            <w:bookmarkStart w:id="20" w:name="_Toc52873113"/>
            <w:r/>
            <w:bookmarkEnd w:id="1"/>
            <w:r/>
            <w:bookmarkEnd w:id="2"/>
            <w:r/>
            <w:bookmarkEnd w:id="3"/>
            <w:r/>
            <w:bookmarkEnd w:id="4"/>
            <w:r/>
            <w:bookmarkEnd w:id="5"/>
            <w:r/>
            <w:bookmarkEnd w:id="6"/>
            <w:r/>
            <w:bookmarkEnd w:id="7"/>
            <w:r>
              <w:rPr>
                <w:sz w:val="28"/>
                <w:szCs w:val="28"/>
              </w:rPr>
              <w:t xml:space="preserve"> высшего образования</w:t>
            </w:r>
            <w:bookmarkEnd w:id="8"/>
            <w:r/>
            <w:bookmarkEnd w:id="9"/>
            <w:r/>
            <w:bookmarkEnd w:id="10"/>
            <w:r/>
            <w:bookmarkEnd w:id="11"/>
            <w:r/>
            <w:bookmarkEnd w:id="12"/>
            <w:r/>
            <w:bookmarkEnd w:id="13"/>
            <w:r/>
            <w:bookmarkEnd w:id="14"/>
            <w:r/>
            <w:bookmarkEnd w:id="15"/>
            <w:r/>
            <w:bookmarkEnd w:id="16"/>
            <w:r/>
            <w:bookmarkEnd w:id="17"/>
            <w:r/>
            <w:bookmarkEnd w:id="18"/>
            <w:r/>
            <w:bookmarkEnd w:id="19"/>
            <w:r/>
            <w:bookmarkEnd w:id="20"/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F907608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21" w:name="_Toc528747645"/>
            <w:r/>
            <w:bookmarkStart w:id="22" w:name="_Toc528748839"/>
            <w:r/>
            <w:bookmarkStart w:id="23" w:name="_Toc51925136"/>
            <w:r/>
            <w:bookmarkStart w:id="24" w:name="_Toc51925379"/>
            <w:r/>
            <w:bookmarkStart w:id="25" w:name="_Toc52870767"/>
            <w:r/>
            <w:bookmarkStart w:id="26" w:name="_Toc52871791"/>
            <w:r/>
            <w:bookmarkStart w:id="27" w:name="_Toc52873114"/>
            <w:r/>
            <w:bookmarkStart w:id="28" w:name="_Toc57522001"/>
            <w:r/>
            <w:bookmarkStart w:id="29" w:name="_Toc57522103"/>
            <w:r/>
            <w:bookmarkStart w:id="30" w:name="_Toc64624289"/>
            <w:r/>
            <w:bookmarkStart w:id="31" w:name="_Toc64624388"/>
            <w:r/>
            <w:bookmarkStart w:id="32" w:name="_Toc65212518"/>
            <w:r/>
            <w:bookmarkStart w:id="33" w:name="_Toc96456521"/>
            <w:r>
              <w:rPr>
                <w:sz w:val="28"/>
                <w:szCs w:val="28"/>
              </w:rPr>
              <w:t xml:space="preserve">«МИРЭА - Российский технологический университет»</w:t>
            </w:r>
            <w:bookmarkEnd w:id="21"/>
            <w:r/>
            <w:bookmarkEnd w:id="22"/>
            <w:r/>
            <w:bookmarkEnd w:id="23"/>
            <w:r/>
            <w:bookmarkEnd w:id="24"/>
            <w:r/>
            <w:bookmarkEnd w:id="25"/>
            <w:r/>
            <w:bookmarkEnd w:id="26"/>
            <w:r/>
            <w:bookmarkEnd w:id="27"/>
            <w:r/>
            <w:bookmarkEnd w:id="28"/>
            <w:r/>
            <w:bookmarkEnd w:id="29"/>
            <w:r/>
            <w:bookmarkEnd w:id="30"/>
            <w:r/>
            <w:bookmarkEnd w:id="31"/>
            <w:r/>
            <w:bookmarkEnd w:id="32"/>
            <w:r/>
            <w:bookmarkEnd w:id="33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240CEE92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34" w:name="_Toc528747646"/>
            <w:r/>
            <w:bookmarkStart w:id="35" w:name="_Toc528748840"/>
            <w:r/>
            <w:bookmarkStart w:id="36" w:name="_Toc51925137"/>
            <w:r/>
            <w:bookmarkStart w:id="37" w:name="_Toc51925380"/>
            <w:r/>
            <w:bookmarkStart w:id="38" w:name="_Toc52870768"/>
            <w:r/>
            <w:bookmarkStart w:id="39" w:name="_Toc52871792"/>
            <w:r/>
            <w:bookmarkStart w:id="40" w:name="_Toc52873115"/>
            <w:r/>
            <w:bookmarkStart w:id="41" w:name="_Toc57522002"/>
            <w:r/>
            <w:bookmarkStart w:id="42" w:name="_Toc57522104"/>
            <w:r/>
            <w:bookmarkStart w:id="43" w:name="_Toc64624290"/>
            <w:r/>
            <w:bookmarkStart w:id="44" w:name="_Toc64624389"/>
            <w:r/>
            <w:bookmarkStart w:id="45" w:name="_Toc65212519"/>
            <w:r/>
            <w:bookmarkStart w:id="46" w:name="_Toc96456522"/>
            <w:r>
              <w:rPr>
                <w:sz w:val="28"/>
                <w:szCs w:val="28"/>
              </w:rPr>
              <w:t xml:space="preserve">РТУ МИРЭА</w:t>
            </w:r>
            <w:bookmarkEnd w:id="34"/>
            <w:r/>
            <w:bookmarkEnd w:id="35"/>
            <w:r/>
            <w:bookmarkEnd w:id="36"/>
            <w:r/>
            <w:bookmarkEnd w:id="37"/>
            <w:r/>
            <w:bookmarkEnd w:id="38"/>
            <w:r/>
            <w:bookmarkEnd w:id="39"/>
            <w:r/>
            <w:bookmarkEnd w:id="40"/>
            <w:r/>
            <w:bookmarkEnd w:id="41"/>
            <w:r/>
            <w:bookmarkEnd w:id="42"/>
            <w:r/>
            <w:bookmarkEnd w:id="43"/>
            <w:r/>
            <w:bookmarkEnd w:id="44"/>
            <w:r/>
            <w:bookmarkEnd w:id="45"/>
            <w:r/>
            <w:bookmarkEnd w:id="46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4CFF844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7403AC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Института перспективных технологий и индустриального программирования</w:t>
      </w:r>
      <w:r>
        <w:rPr>
          <w:sz w:val="28"/>
          <w:szCs w:val="28"/>
        </w:rPr>
        <w:t xml:space="preserve"> (ИПТиИП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BDB574" w14:textId="77777777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 xml:space="preserve">Индустриального программирования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E6E00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E2E6CC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60FD327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824563D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450D18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5000" w:type="pct"/>
        <w:tblBorders/>
        <w:tblLook w:val="00A0" w:firstRow="1" w:lastRow="0" w:firstColumn="1" w:lastColumn="0" w:noHBand="0" w:noVBand="0"/>
      </w:tblPr>
      <w:tblGrid>
        <w:gridCol w:w="6520"/>
        <w:gridCol w:w="2835"/>
      </w:tblGrid>
      <w:tr>
        <w:trPr/>
        <w:tc>
          <w:tcPr>
            <w:gridSpan w:val="2"/>
            <w:tcBorders/>
            <w:tcW w:w="5000" w:type="pct"/>
          </w:tcPr>
          <w:p w14:paraId="22659B7E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ОТЧЕТ ПО ПРАКТИЧЕСКОЙ РАБОТЕ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2F0AF123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sz w:val="28"/>
              </w:rPr>
              <w:t>«Принцип работы порта ввода-вывода микроконтроллера GPIO. Выполнение проекта "Светофор"»</w:t>
            </w:r>
          </w:p>
          <w:p w14:paraId="51D1A6AD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72F42851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258"/>
        </w:trPr>
        <w:tc>
          <w:tcPr>
            <w:gridSpan w:val="2"/>
            <w:tcBorders/>
            <w:tcW w:w="5000" w:type="pct"/>
          </w:tcPr>
          <w:p w14:paraId="061F1A6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 xml:space="preserve">по дисциплине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5000" w:type="pct"/>
          </w:tcPr>
          <w:p w14:paraId="64886D0F" w14:textId="77777777">
            <w:pPr>
              <w:pBdr/>
              <w:shd w:val="clear" w:color="auto" w:fill="ffffff"/>
              <w:spacing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pacing w:val="-5"/>
                <w:sz w:val="28"/>
                <w:szCs w:val="28"/>
              </w:rPr>
              <w:t xml:space="preserve">«</w:t>
            </w:r>
            <w:r>
              <w:rPr>
                <w:color w:val="000000"/>
                <w:spacing w:val="-5"/>
                <w:sz w:val="28"/>
                <w:szCs w:val="28"/>
              </w:rPr>
              <w:t xml:space="preserve">Программирование киберфизических систем</w:t>
            </w:r>
            <w:r>
              <w:rPr>
                <w:color w:val="000000"/>
                <w:sz w:val="28"/>
                <w:szCs w:val="28"/>
              </w:rPr>
              <w:t xml:space="preserve">»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1882"/>
        </w:trPr>
        <w:tc>
          <w:tcPr>
            <w:gridSpan w:val="2"/>
            <w:tcBorders/>
            <w:tcW w:w="5000" w:type="pct"/>
          </w:tcPr>
          <w:p w14:paraId="2D2795C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62A9939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1E8FC659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CB90A8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1D6318A" w14:textId="77777777">
            <w:pPr>
              <w:pBdr/>
              <w:shd w:val="clear" w:color="auto" w:fill="ffffff"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1375A12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17D39F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 студент группы </w:t>
            </w:r>
            <w:r>
              <w:rPr>
                <w:sz w:val="28"/>
                <w:szCs w:val="28"/>
              </w:rPr>
              <w:t xml:space="preserve">ЭФБО-10-23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2C24C5B8" w14:textId="77777777">
            <w:pPr>
              <w:pBdr/>
              <w:shd w:val="clear" w:color="auto" w:fill="ffffff"/>
              <w:spacing/>
              <w:ind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Ефремов А.И.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D798A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7AC09E16" w14:textId="77777777">
            <w:pPr>
              <w:pBdr/>
              <w:shd w:val="clear" w:color="auto" w:fill="ffffff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50E5540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Принял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08D5B218" w14:textId="77777777">
            <w:pPr>
              <w:pBdr/>
              <w:shd w:val="clear" w:color="auto" w:fill="ffffff"/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Сухатерин А.Б.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</w:tbl>
    <w:p w14:paraId="5B4747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882B18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28E2B2D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BF3873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8965FA1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DF94DA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B5E689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FDED97E" w14:textId="77777777">
      <w:pPr>
        <w:pBdr/>
        <w:shd w:val="clear" w:color="auto" w:fill="ffffff"/>
        <w:spacing/>
        <w:ind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534AADFC" w14:textId="77777777">
      <w:pPr>
        <w:pBdr/>
        <w:shd w:val="clear" w:color="auto" w:fill="ffffff"/>
        <w:spacing/>
        <w:ind/>
        <w:jc w:val="center"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4024F00B" w14:textId="0F31C4F3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202</w:t>
      </w:r>
      <w:bookmarkEnd w:id="0"/>
      <w:r>
        <w:rPr>
          <w:sz w:val="28"/>
          <w:szCs w:val="28"/>
        </w:rPr>
        <w:t xml:space="preserve">6</w:t>
      </w:r>
      <w:r>
        <w:rPr>
          <w:sz w:val="28"/>
          <w:szCs w:val="28"/>
        </w:rPr>
      </w:r>
      <w:r>
        <w:rPr>
          <w:sz w:val="28"/>
          <w:szCs w:val="28"/>
        </w:rPr>
      </w:r>
      <w:r/>
      <w:r/>
      <w:r>
        <w:rPr>
          <w:sz w:val="28"/>
          <w:szCs w:val="28"/>
        </w:rPr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СОДЕРЖАНИЕ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sz w:val="28"/>
        </w:rPr>
        <w:t>3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1 Теоретические сведения</w:t>
      </w:r>
      <w:r>
        <w:tab/>
      </w:r>
      <w:r>
        <w:rPr>
          <w:rFonts w:ascii="Times New Roman" w:hAnsi="Times New Roman" w:eastAsia="Times New Roman"/>
          <w:sz w:val="28"/>
        </w:rPr>
        <w:t>4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2 Практическая реализация</w:t>
      </w:r>
      <w:r>
        <w:tab/>
      </w:r>
      <w:r>
        <w:rPr>
          <w:rFonts w:ascii="Times New Roman" w:hAnsi="Times New Roman" w:eastAsia="Times New Roman"/>
          <w:sz w:val="28"/>
        </w:rPr>
        <w:t>6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sz w:val="28"/>
        </w:rPr>
        <w:t>12</w:t>
      </w:r>
    </w:p>
    <w:p>
      <w:pPr>
        <w:tabs>
          <w:tab w:pos="9071" w:val="right" w:leader="dot"/>
        </w:tabs>
        <w:spacing w:line="360" w:lineRule="auto" w:before="0" w:after="0"/>
        <w:jc w:val="left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sz w:val="28"/>
        </w:rPr>
        <w:t>13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Порты общего назначения GPIO обеспечивают физическое взаимодействие микроконтроллера с внешними устройствами. Через цифровые выходы можно управлять светодиодами, а через цифровые входы — получать состояние кнопок, датчиков и других источников дискретного сигнала. Для STM32 настройка GPIO выполняется до начала основной логики программы и определяет электрическое поведение каждого вывода [1].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изучить назначение и режимы работы портов GPIO микроконтроллера STM32, а также реализовать контроллер автомобильного и пешеходного светофора с кнопкой запроса перехода.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были поставлены следующие задачи: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изучить назначение цифровых входов и выходов GPIO;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рассмотреть настройку входа с внутренней подтяжкой и выхода push-pull;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освоить функции библиотеки HAL для чтения, записи и переключения состояния вывода;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собрать схему в Wokwi и реализовать светофор на STM32 Nucleo-C031C6;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– проверить исходное автомобильное состояние и пешеходную фазу после нажатия кнопки.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1 ТЕОРЕТИЧЕСКИЕ СВЕДЕНИЯ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1.1 Назначение GPIO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GPIO — это универсальные цифровые линии ввода-вывода микроконтроллера. В STM32 выводы объединены в порты, например GPIOA, GPIOB и GPIOC. Каждый вывод может быть назначен цифровым входом, цифровым выходом, аналоговым входом или линией альтернативной функции периферийного модуля [1].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режиме цифрового входа программа считывает логический уровень на выводе. Высокий уровень интерпретируется как логическая единица, низкий — как логический ноль. В режиме цифрового выхода программа задаёт уровень на выводе, что позволяет включать и выключать светодиод или передавать управляющий сигнал внешнему устройству.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STM32C031C6, используемый на плате Nucleo-C031C6, построен на 32-разрядном ядре Cortex-M0+ и работает на частоте до 48 МГц. Микроконтроллер содержит до 45 линий быстрого ввода-вывода, а также средства разработки через интерфейс SWD [2].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1.2 Режимы цифрового входа и выхода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управления светодиодами в работе применяется выход push-pull. Такой выход активно формирует как высокий, так и низкий уровень. В коде он задаётся значением `GPIO_MODE_OUTPUT_PP`. Подтяжка для светодиодных выходов не требуется, поэтому используется `GPIO_NOPULL`; низкая скорость переключения `GPIO_SPEED_FREQ_LOW` достаточна для индикации и уменьшает лишние помехи [3].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подключена между выводом PB10 и источником питания 3,3 В. Чтобы ненажатая кнопка не оставляла вход в неопределённом состоянии, для PB10 включена внутренняя подтяжка к земле `GPIO_PULLDOWN`. Поэтому в обычном состоянии функция чтения возвращает `GPIO_PIN_RESET`, а при нажатии — `GPIO_PIN_SET`.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1.3 Библиотека HAL для GPIO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HAL — библиотека аппаратной абстракции STMicroelectronics. Она предоставляет единый набор функций для разных семейств STM32 и скрывает прямую работу с регистрами периферии [4]. Перед настройкой выводов необходимо включить тактирование соответствующих портов. В проекте это выполняют макросы `__HAL_RCC_GPIOA_CLK_ENABLE()`, `__HAL_RCC_GPIOB_CLK_ENABLE()` и `__HAL_RCC_GPIOC_CLK_ENABLE()`.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работы со светофором используются три основные функции HAL. `HAL_GPIO_WritePin` устанавливает высокий или низкий уровень на выходе. `HAL_GPIO_ReadPin` возвращает текущее состояние цифрового входа. `HAL_GPIO_TogglePin` инвертирует текущее состояние выхода; в проекте эта функция используется для мигания зелёного сигнала [1]. Задержка `HAL_Delay` задаёт длительность световых фаз в миллисекундах.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2 ПРАКТИЧЕСКАЯ РЕАЛИЗАЦИЯ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2.1 Схема подключения и назначение выводов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Wokwi использована плата STM32 Nucleo-C031C6. К ней подключены пять светодиодов и кнопка запроса перехода. Автомобильный светофор подключён к D13, D12 и D11, что соответствует выводам PA5, PA6 и PA7. Красный и зелёный пешеходные светодиоды подключены к D9 и D8, то есть к PC7 и PA9. Кнопка подключена к D4, соответствующему PB10, и к линии 3,3 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Назначения выводов в исходном коде определены отдельными макросами. Это связывает понятные имена `RED`, `YELLOW`, `GREEN`, `PED_RED`, `PED_GREEN` и `BUT` с физическими линиями микроконтроллера и исключает необходимость использовать номера выводов внутри алгоритма.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Схема Wokwi хранится в файле `diagram.json`. В нём перечислены плата, пять светодиодов, кнопка и все электрические соединения. Листинг 2.1 подтверждает, что D13, D12, D11, D9 и D8 соединены с индикаторами, а D4 соединён с кнопкой, второй контакт которой подключён к 3,3 В.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i/>
          <w:sz w:val="24"/>
        </w:rPr>
        <w:t>Листинг 2.1 — Фрагмент программы на json</w:t>
      </w:r>
    </w:p>
    <w:tbl>
      <w:tblPr>
        <w:tblStyle w:val="757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before="0" w:after="0"/>
              <w:jc w:val="left"/>
            </w:pPr>
            <w:r>
              <w:rPr>
                <w:rFonts w:ascii="Courier New" w:hAnsi="Courier New" w:eastAsia="Courier New"/>
                <w:sz w:val="20"/>
              </w:rPr>
              <w:t>{</w:t>
              <w:br/>
              <w:t xml:space="preserve">  "version": 1,</w:t>
              <w:br/>
              <w:t xml:space="preserve">  "author": "Aleksey",</w:t>
              <w:br/>
              <w:t xml:space="preserve">  "editor": "wokwi",</w:t>
              <w:br/>
              <w:t xml:space="preserve">  "parts": [</w:t>
              <w:br/>
              <w:t xml:space="preserve">    { "type": "board-st-nucleo-c031c6", "id": "nucleo", "top": 0, "left": 0, "attrs": {} },</w:t>
              <w:br/>
              <w:t xml:space="preserve">    { "type": "wokwi-led", "id": "carRed", "top": -100, "left": 390, "attrs": { "color": "red", "label": "Cars: red" } },</w:t>
              <w:br/>
              <w:t xml:space="preserve">    { "type": "wokwi-led", "id": "carYellow", "top": -50, "left": 390, "attrs": { "color": "yellow", "label": "Cars: yellow" } },</w:t>
              <w:br/>
              <w:t xml:space="preserve">    { "type": "wokwi-led", "id": "carGreen", "top": 0, "left": 390, "attrs": { "color": "green", "label": "Cars: green" } },</w:t>
              <w:br/>
              <w:t xml:space="preserve">    { "type": "wokwi-led", "id": "pedRed", "top": 80, "left": 390, "attrs": { "color": "red", "label": "Pedestrians: red" } },</w:t>
              <w:br/>
              <w:t xml:space="preserve">    { "type": "wokwi-led", "id": "pedGreen", "top": 130, "left": 390, "attrs": { "color": "green", "label": "Pedestrians: green" } },</w:t>
              <w:br/>
              <w:t xml:space="preserve">    { "type": "wokwi-pushbutton", "id": "button", "top": 260, "left": 420, "attrs": { "color": "blue", "label": "Cross request" } }</w:t>
              <w:br/>
              <w:t xml:space="preserve">  ],</w:t>
              <w:br/>
              <w:t xml:space="preserve">  "connections": [</w:t>
              <w:br/>
              <w:t xml:space="preserve">    [ "nucleo:D13", "carRed:A", "red", [] ],</w:t>
              <w:br/>
              <w:t xml:space="preserve">    [ "nucleo:D12", "carYellow:A", "gold", [] ],</w:t>
              <w:br/>
              <w:t xml:space="preserve">    [ "nucleo:D11", "carGreen:A", "green", [] ],</w:t>
              <w:br/>
              <w:t xml:space="preserve">    [ "nucleo:D9", "pedRed:A", "red", [] ],</w:t>
              <w:br/>
              <w:t xml:space="preserve">    [ "nucleo:D8", "pedGreen:A", "green", [] ],</w:t>
              <w:br/>
              <w:t xml:space="preserve">    [ "carRed:C", "nucleo:GND.1", "black", [] ],</w:t>
              <w:br/>
              <w:t xml:space="preserve">    [ "carYellow:C", "nucleo:GND.1", "black", [] ],</w:t>
              <w:br/>
              <w:t xml:space="preserve">    [ "carGreen:C", "nucleo:GND.1", "black", [] ],</w:t>
              <w:br/>
              <w:t xml:space="preserve">    [ "pedRed:C", "nucleo:GND.1", "black", [] ],</w:t>
              <w:br/>
              <w:t xml:space="preserve">    [ "pedGreen:C", "nucleo:GND.1", "black", [] ],</w:t>
              <w:br/>
              <w:t xml:space="preserve">    [ "nucleo:D4", "button:1.l", "blue", [] ],</w:t>
              <w:br/>
              <w:t xml:space="preserve">    [ "button:2.l", "nucleo:3V3", "red", [] ]</w:t>
              <w:br/>
              <w:t xml:space="preserve">  ],</w:t>
              <w:br/>
              <w:t xml:space="preserve">  "dependencies": {}</w:t>
              <w:br/>
              <w:t>}</w:t>
            </w:r>
          </w:p>
        </w:tc>
      </w:tr>
    </w:tbl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2.2 Алгоритм работы светофора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инициализации в исходном состоянии автомобильному светофору включается зелёный сигнал, а пешеходному — красный. На Рисунке 2.1 показано это состояние работающей схемы.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нажатии кнопки программа считывает высокий уровень на PB10. Далее зелёный автомобильный сигнал мигает шесть раз с интервалом 500 мс. После мигания на две секунды включается жёлтый сигнал для автомобилей. Затем автомобили получают красный, а пешеходы — зелёный на 10 секунд. В конце пешеходный зелёный сигнал мигает шесть раз, после чего пешеходам включается красный, а автомобилям на две секунды включается жёлтый сигнал. После отпускания кнопки контроллер возвращается в исходное состояние.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2.2 зафиксирована пешеходная фаза: для автомобилей включён красный сигнал, для пешеходов — зелёный.</w:t>
      </w:r>
    </w:p>
    <w:p>
      <w:pPr>
        <w:jc w:val="center"/>
      </w:pPr>
      <w:r>
        <w:drawing>
          <wp:inline xmlns:pic="http://schemas.openxmlformats.org/drawingml/2006/picture">
            <wp:extent cx="5220000" cy="2709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s_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Рисунок 2.1 — Исходное состояние: автомобилям разрешено движение</w:t>
      </w:r>
    </w:p>
    <w:p>
      <w:pPr>
        <w:jc w:val="center"/>
      </w:pPr>
      <w:r>
        <w:drawing>
          <wp:inline xmlns:pic="http://schemas.openxmlformats.org/drawingml/2006/picture">
            <wp:extent cx="5220000" cy="26999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_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Рисунок 2.2 — Пешеходная фаза после обработки запроса кнопкой</w:t>
      </w:r>
    </w:p>
    <w:p>
      <w:pPr>
        <w:keepNext/>
        <w:spacing w:before="480" w:after="240" w:line="360" w:lineRule="auto"/>
        <w:jc w:val="left"/>
      </w:pPr>
      <w:r>
        <w:rPr>
          <w:rFonts w:ascii="Times New Roman" w:hAnsi="Times New Roman" w:eastAsia="Times New Roman"/>
          <w:b/>
          <w:sz w:val="32"/>
        </w:rPr>
        <w:t>2.3 Программная реализация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инициализирует тактирование системы и порты GPIO, затем выполняет алгоритм в бесконечном цикле. Все светодиоды настроены выходами push-pull, а кнопка — цифровым входом с подтяжкой к земле. Полный исходный код проекта приведён в Листинге 2.2.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Times New Roman"/>
          <w:i/>
          <w:sz w:val="24"/>
        </w:rPr>
        <w:t>Листинг 2.2 — Фрагмент программы на c</w:t>
      </w:r>
    </w:p>
    <w:tbl>
      <w:tblPr>
        <w:tblStyle w:val="757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before="0" w:after="0"/>
              <w:jc w:val="left"/>
            </w:pPr>
            <w:r>
              <w:rPr>
                <w:rFonts w:ascii="Courier New" w:hAnsi="Courier New" w:eastAsia="Courier New"/>
                <w:sz w:val="20"/>
              </w:rPr>
              <w:t>#include "stm32c0xx_hal.h"</w:t>
              <w:br/>
              <w:br/>
              <w:t>#define RED_GPIO_Port       GPIOA</w:t>
              <w:br/>
              <w:t>#define RED_Pin             GPIO_PIN_5   // D13</w:t>
              <w:br/>
              <w:t>#define YELLOW_GPIO_Port    GPIOA</w:t>
              <w:br/>
              <w:t>#define YELLOW_Pin          GPIO_PIN_6   // D12</w:t>
              <w:br/>
              <w:t>#define GREEN_GPIO_Port     GPIOA</w:t>
              <w:br/>
              <w:t>#define GREEN_Pin           GPIO_PIN_7   // D11</w:t>
              <w:br/>
              <w:t>#define PED_RED_GPIO_Port   GPIOC</w:t>
              <w:br/>
              <w:t>#define PED_RED_Pin         GPIO_PIN_7   // D9</w:t>
              <w:br/>
              <w:t>#define PED_GREEN_GPIO_Port GPIOA</w:t>
              <w:br/>
              <w:t>#define PED_GREEN_Pin       GPIO_PIN_9   // D8</w:t>
              <w:br/>
              <w:t>#define BUT_GPIO_Port       GPIOB</w:t>
              <w:br/>
              <w:t>#define BUT_Pin             GPIO_PIN_10  // D4</w:t>
              <w:br/>
              <w:br/>
              <w:t>static void SystemClock_Config(void);</w:t>
              <w:br/>
              <w:t>static void MX_GPIO_Init(void);</w:t>
              <w:br/>
              <w:br/>
              <w:t>int main(void) {</w:t>
              <w:br/>
              <w:t xml:space="preserve">  HAL_Init();</w:t>
              <w:br/>
              <w:t xml:space="preserve">  SystemClock_Config();</w:t>
              <w:br/>
              <w:t xml:space="preserve">  MX_GPIO_Init();</w:t>
              <w:br/>
              <w:br/>
              <w:t xml:space="preserve">  while (1) {</w:t>
              <w:br/>
              <w:t xml:space="preserve">    // едут машины</w:t>
              <w:br/>
              <w:t xml:space="preserve">    HAL_GPIO_WritePin(RED_GPIO_Port, RED_Pin, GPIO_PIN_RESET);</w:t>
              <w:br/>
              <w:t xml:space="preserve">    HAL_GPIO_WritePin(YELLOW_GPIO_Port, YELLOW_Pin, GPIO_PIN_RESET);</w:t>
              <w:br/>
              <w:t xml:space="preserve">    HAL_GPIO_WritePin(GREEN_GPIO_Port, GREEN_Pin, GPIO_PIN_SET);</w:t>
              <w:br/>
              <w:t xml:space="preserve">    HAL_GPIO_WritePin(PED_RED_GPIO_Port, PED_RED_Pin, GPIO_PIN_SET);</w:t>
              <w:br/>
              <w:t xml:space="preserve">    HAL_GPIO_WritePin(PED_GREEN_GPIO_Port, PED_GREEN_Pin, GPIO_PIN_RESET);</w:t>
              <w:br/>
              <w:br/>
              <w:t xml:space="preserve">    if (HAL_GPIO_ReadPin(BUT_GPIO_Port, BUT_Pin) == GPIO_PIN_SET) {</w:t>
              <w:br/>
              <w:t xml:space="preserve">      // мигание для машин</w:t>
              <w:br/>
              <w:t xml:space="preserve">      for (int i = 0; i &lt; 6; i++) {</w:t>
              <w:br/>
              <w:t xml:space="preserve">        HAL_GPIO_TogglePin(GREEN_GPIO_Port, GREEN_Pin);</w:t>
              <w:br/>
              <w:t xml:space="preserve">        HAL_Delay(500);</w:t>
              <w:br/>
              <w:t xml:space="preserve">      }</w:t>
              <w:br/>
              <w:br/>
              <w:t xml:space="preserve">      // машины жёлтый, пеш красный</w:t>
              <w:br/>
              <w:t xml:space="preserve">      HAL_GPIO_WritePin(GREEN_GPIO_Port, GREEN_Pin, GPIO_PIN_RESET);</w:t>
              <w:br/>
              <w:t xml:space="preserve">      HAL_GPIO_WritePin(YELLOW_GPIO_Port, YELLOW_Pin, GPIO_PIN_SET);</w:t>
              <w:br/>
              <w:t xml:space="preserve">      HAL_Delay(2000);</w:t>
              <w:br/>
              <w:br/>
              <w:t xml:space="preserve">      // машины красный, пеш зелёный</w:t>
              <w:br/>
              <w:t xml:space="preserve">      HAL_GPIO_WritePin(YELLOW_GPIO_Port, YELLOW_Pin, GPIO_PIN_RESET);</w:t>
              <w:br/>
              <w:t xml:space="preserve">      HAL_GPIO_WritePin(RED_GPIO_Port, RED_Pin, GPIO_PIN_SET);</w:t>
              <w:br/>
              <w:t xml:space="preserve">      HAL_GPIO_WritePin(PED_RED_GPIO_Port, PED_RED_Pin, GPIO_PIN_RESET);</w:t>
              <w:br/>
              <w:t xml:space="preserve">      HAL_GPIO_WritePin(PED_GREEN_GPIO_Port, PED_GREEN_Pin, GPIO_PIN_SET);</w:t>
              <w:br/>
              <w:t xml:space="preserve">      HAL_Delay(10000);</w:t>
              <w:br/>
              <w:br/>
              <w:t xml:space="preserve">      // пеш мигает 3 сек</w:t>
              <w:br/>
              <w:t xml:space="preserve">      for (int i = 0; i &lt; 6; i++) {</w:t>
              <w:br/>
              <w:t xml:space="preserve">        HAL_GPIO_TogglePin(PED_GREEN_GPIO_Port, PED_GREEN_Pin);</w:t>
              <w:br/>
              <w:t xml:space="preserve">        HAL_Delay(500);</w:t>
              <w:br/>
              <w:t xml:space="preserve">      }</w:t>
              <w:br/>
              <w:br/>
              <w:t xml:space="preserve">      // пеш красный, машинам красный и жёлтый</w:t>
              <w:br/>
              <w:t xml:space="preserve">      HAL_GPIO_WritePin(PED_GREEN_GPIO_Port, PED_GREEN_Pin, GPIO_PIN_RESET);</w:t>
              <w:br/>
              <w:t xml:space="preserve">      HAL_GPIO_WritePin(PED_RED_GPIO_Port, PED_RED_Pin, GPIO_PIN_SET);</w:t>
              <w:br/>
              <w:t xml:space="preserve">      HAL_GPIO_WritePin(YELLOW_GPIO_Port, YELLOW_Pin, GPIO_PIN_SET);</w:t>
              <w:br/>
              <w:t xml:space="preserve">      HAL_Delay(2000);</w:t>
              <w:br/>
              <w:br/>
              <w:t xml:space="preserve">      // повторный цикл</w:t>
              <w:br/>
              <w:t xml:space="preserve">      while (HAL_GPIO_ReadPin(BUT_GPIO_Port, BUT_Pin) == GPIO_PIN_SET) {</w:t>
              <w:br/>
              <w:t xml:space="preserve">        HAL_Delay(10);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  <w:br/>
              <w:br/>
              <w:t>static void SystemClock_Config(void) {</w:t>
              <w:br/>
              <w:t xml:space="preserve">  RCC_OscInitTypeDef osc = {0};</w:t>
              <w:br/>
              <w:t xml:space="preserve">  RCC_ClkInitTypeDef clk = {0};</w:t>
              <w:br/>
              <w:br/>
              <w:t xml:space="preserve">  osc.OscillatorType = RCC_OSCILLATORTYPE_HSI;</w:t>
              <w:br/>
              <w:t xml:space="preserve">  osc.HSIState = RCC_HSI_ON;</w:t>
              <w:br/>
              <w:t xml:space="preserve">  osc.HSIDiv = RCC_HSI_DIV1;</w:t>
              <w:br/>
              <w:t xml:space="preserve">  osc.HSICalibrationValue = RCC_HSICALIBRATION_DEFAULT;</w:t>
              <w:br/>
              <w:t xml:space="preserve">  if (HAL_RCC_OscConfig(&amp;osc) != HAL_OK) {</w:t>
              <w:br/>
              <w:t xml:space="preserve">    while (1) { }</w:t>
              <w:br/>
              <w:t xml:space="preserve">  }</w:t>
              <w:br/>
              <w:br/>
              <w:t xml:space="preserve">  clk.ClockType = RCC_CLOCKTYPE_HCLK | RCC_CLOCKTYPE_SYSCLK | RCC_CLOCKTYPE_PCLK1;</w:t>
              <w:br/>
              <w:t xml:space="preserve">  clk.SYSCLKSource = RCC_SYSCLKSOURCE_HSI;</w:t>
              <w:br/>
              <w:t xml:space="preserve">  clk.AHBCLKDivider = RCC_SYSCLK_DIV1;</w:t>
              <w:br/>
              <w:t xml:space="preserve">  clk.APB1CLKDivider = RCC_HCLK_DIV1;</w:t>
              <w:br/>
              <w:t xml:space="preserve">  if (HAL_RCC_ClockConfig(&amp;clk, FLASH_LATENCY_1) != HAL_OK) {</w:t>
              <w:br/>
              <w:t xml:space="preserve">    while (1) { }</w:t>
              <w:br/>
              <w:t xml:space="preserve">  }</w:t>
              <w:br/>
              <w:t>}</w:t>
              <w:br/>
              <w:br/>
              <w:t>static void MX_GPIO_Init(void) {</w:t>
              <w:br/>
              <w:t xml:space="preserve">  GPIO_InitTypeDef gpio = {0};</w:t>
              <w:br/>
              <w:br/>
              <w:t xml:space="preserve">  __HAL_RCC_GPIOA_CLK_ENABLE();</w:t>
              <w:br/>
              <w:t xml:space="preserve">  __HAL_RCC_GPIOB_CLK_ENABLE();</w:t>
              <w:br/>
              <w:t xml:space="preserve">  __HAL_RCC_GPIOC_CLK_ENABLE();</w:t>
              <w:br/>
              <w:br/>
              <w:t xml:space="preserve">  HAL_GPIO_WritePin(GPIOA, RED_Pin | YELLOW_Pin | GREEN_Pin | PED_GREEN_Pin, GPIO_PIN_RESET);</w:t>
              <w:br/>
              <w:t xml:space="preserve">  HAL_GPIO_WritePin(GPIOC, PED_RED_Pin, GPIO_PIN_RESET);</w:t>
              <w:br/>
              <w:br/>
              <w:t xml:space="preserve">  gpio.Mode = GPIO_MODE_OUTPUT_PP;</w:t>
              <w:br/>
              <w:t xml:space="preserve">  gpio.Pull = GPIO_NOPULL;</w:t>
              <w:br/>
              <w:t xml:space="preserve">  gpio.Speed = GPIO_SPEED_FREQ_LOW;</w:t>
              <w:br/>
              <w:t xml:space="preserve">  gpio.Pin = RED_Pin | YELLOW_Pin | GREEN_Pin | PED_GREEN_Pin;</w:t>
              <w:br/>
              <w:t xml:space="preserve">  HAL_GPIO_Init(GPIOA, &amp;gpio);</w:t>
              <w:br/>
              <w:br/>
              <w:t xml:space="preserve">  gpio.Pin = PED_RED_Pin;</w:t>
              <w:br/>
              <w:t xml:space="preserve">  HAL_GPIO_Init(GPIOC, &amp;gpio);</w:t>
              <w:br/>
              <w:br/>
              <w:t xml:space="preserve">  gpio.Mode = GPIO_MODE_INPUT;</w:t>
              <w:br/>
              <w:t xml:space="preserve">  gpio.Pull = GPIO_PULLDOWN;</w:t>
              <w:br/>
              <w:t xml:space="preserve">  gpio.Pin = BUT_Pin;</w:t>
              <w:br/>
              <w:t xml:space="preserve">  HAL_GPIO_Init(GPIOB, &amp;gpio);</w:t>
              <w:br/>
              <w:t>}</w:t>
            </w:r>
          </w:p>
        </w:tc>
      </w:tr>
    </w:tbl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практической работы изучены цифровые входы и выходы GPIO микроконтроллера STM32, режимы push-pull и входа с внутренней подтяжкой, а также основные функции библиотеки HAL для управления выводами.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Wokwi реализован контроллер светофора на плате Nucleo-C031C6. Светодиоды автомобильного и пешеходного светофоров управляются выходами GPIO, а кнопка запроса перехода считывается как вход PB10 с `GPIO_PULLDOWN`. Работоспособность алгоритма подтверждена скриншотами исходного и пешеходного состояний схемы.</w:t>
      </w:r>
    </w:p>
    <w:p>
      <w:pPr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eastAsia="Times New Roman"/>
          <w:b/>
          <w:sz w:val="36"/>
        </w:rPr>
        <w:t>СПИСОК ИСПОЛЬЗОВАННЫХ ИСТОЧНИКОВ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1. GPIO на STM32: полное руководство по управлению портами ввода-вывода [Электронный ресурс]. — Skypro Wiki. — URL: https://sky.pro/wiki/gamedev/rabota-s-gpio-na-stm32-poshagovoe-rukovodstvo/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2. STM32C031C6: product page [Электронный ресурс]. — STMicroelectronics. — URL: https://www.st.com/en/microcontrollers-microprocessors/stm32c031c6.html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3. Программирование STM32: создаем проект мигающего светодиода [Электронный ресурс]. — Skypro Wiki. — URL: https://sky.pro/wiki/gadgets/primery-proektov-na-stm32-miganie-svetodiodom/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4. Getting started with STM32CubeC0 for STM32C0 series. UM2985 [Электронный ресурс]. — STMicroelectronics. — URL: https://www.st.com/resource/en/user_manual/um2985-getting-started-with-stm32cubec0-for-stm32c0-series-stmicroelectronics.pdf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5. Программирование STM32 на C: освоение микроконтроллеров — путь к успеху [Электронный ресурс]. — Skypro Wiki. — URL: https://sky.pro/wiki/gamedev/osnovy-programmirovaniya-stm32-na-yazyke-c/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6. Программирование STM32: от основ к реальным проектам с примерами [Электронный ресурс]. — Skypro Wiki. — URL: https://sky.pro/wiki/javascript/programmirovanie-stm32-vvedenie-i-primery/ (дата обращения: 23.09.2026).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/>
          <w:b w:val="0"/>
          <w:sz w:val="28"/>
        </w:rPr>
        <w:t>7. STM32CubeMX code generator [Электронный ресурс]. — STMicroelectronics. — URL: https://www.st.com/content/st_com/en/stm32cubemx.html (дата обращения: 23.09.2026).</w:t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303040B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53190131"/>
      <w:docPartObj>
        <w:docPartGallery w:val="Page Numbers (Bottom of Page)"/>
        <w:docPartUnique w:val="true"/>
      </w:docPartObj>
      <w:rPr/>
    </w:sdtPr>
    <w:sdtContent>
      <w:p w14:paraId="61583708" w14:textId="77777777">
        <w:pPr>
          <w:pStyle w:val="968"/>
          <w:pBdr/>
          <w:spacing/>
          <w:ind/>
          <w:jc w:val="center"/>
          <w:rPr>
            <w:sz w:val="28"/>
          </w:rPr>
        </w:pPr>
        <w:r>
          <w:rPr>
            <w:sz w:val="28"/>
          </w:rPr>
          <w:fldChar w:fldCharType="begin"/>
        </w:r>
        <w:r>
          <w:rPr>
            <w:sz w:val="28"/>
          </w:rPr>
          <w:instrText xml:space="preserve">PAGE   \* MERGEFORMAT</w:instrText>
        </w:r>
        <w:r>
          <w:rPr>
            <w:sz w:val="28"/>
          </w:rPr>
          <w:fldChar w:fldCharType="separate"/>
        </w:r>
        <w:r>
          <w:rPr>
            <w:sz w:val="28"/>
          </w:rPr>
          <w:t xml:space="preserve">4</w:t>
        </w:r>
        <w:r>
          <w:rPr>
            <w:sz w:val="28"/>
          </w:rPr>
          <w:fldChar w:fldCharType="end"/>
        </w:r>
        <w:r>
          <w:rPr>
            <w:sz w:val="28"/>
          </w:rPr>
        </w:r>
        <w:r>
          <w:rPr>
            <w:sz w:val="28"/>
          </w:rPr>
        </w:r>
      </w:p>
    </w:sdtContent>
  </w:sdt>
  <w:p w14:paraId="1044074D" w14:textId="77777777">
    <w:pPr>
      <w:pStyle w:val="9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1323"/>
    <w:lvl w:ilvl="0">
      <w:isLgl w:val="false"/>
      <w:lvlJc w:val="left"/>
      <w:lvlText w:val="—"/>
      <w:numFmt w:val="bullet"/>
      <w:pPr>
        <w:pBdr/>
        <w:spacing/>
        <w:ind w:hanging="245" w:left="533"/>
      </w:pPr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—"/>
      <w:numFmt w:val="bullet"/>
      <w:pPr>
        <w:pBdr/>
        <w:spacing/>
        <w:ind w:hanging="360" w:left="1248"/>
      </w:pPr>
      <w:pStyle w:val="949"/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2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0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9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7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834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35442A09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25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6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7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3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3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3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33"/>
      <w:rPr/>
      <w:start w:val="1"/>
      <w:suff w:val="tab"/>
    </w:lvl>
  </w:abstractNum>
  <w:abstractNum w:abstractNumId="2">
    <w:nsid w:val="564607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3">
    <w:nsid w:val="6C57260A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4">
      <w:isLgl w:val="false"/>
      <w:lvlJc w:val="right"/>
      <w:lvlText w:val="%1.%2.%3.%4.%5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5">
      <w:isLgl w:val="false"/>
      <w:lvlJc w:val="right"/>
      <w:lvlText w:val="%1.%2.%3.%4.%5.%6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6">
      <w:isLgl w:val="false"/>
      <w:lvlJc w:val="right"/>
      <w:lvlText w:val="%1.%2.%3.%4.%5.%6.%7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7">
      <w:isLgl w:val="false"/>
      <w:lvlJc w:val="right"/>
      <w:lvlText w:val="%1.%2.%3.%4.%5.%6.%7.%8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8">
      <w:isLgl w:val="false"/>
      <w:lvlJc w:val="right"/>
      <w:lvlText w:val="%1.%2.%3.%4.%5.%6.%7.%8.%9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0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3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4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4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Quote Char"/>
    <w:basedOn w:val="934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Quote Char"/>
    <w:basedOn w:val="93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24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Header Char"/>
    <w:basedOn w:val="934"/>
    <w:link w:val="902"/>
    <w:uiPriority w:val="99"/>
    <w:pPr>
      <w:pBdr/>
      <w:spacing/>
      <w:ind/>
    </w:pPr>
  </w:style>
  <w:style w:type="character" w:styleId="904">
    <w:name w:val="Footer Char"/>
    <w:basedOn w:val="934"/>
    <w:link w:val="968"/>
    <w:uiPriority w:val="99"/>
    <w:pPr>
      <w:pBdr/>
      <w:spacing/>
      <w:ind/>
    </w:p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34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34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8"/>
      <w:szCs w:val="24"/>
      <w:lang w:eastAsia="ru-RU"/>
      <w14:ligatures w14:val="none"/>
    </w:rPr>
  </w:style>
  <w:style w:type="paragraph" w:styleId="925">
    <w:name w:val="Heading 1"/>
    <w:basedOn w:val="924"/>
    <w:next w:val="924"/>
    <w:link w:val="939"/>
    <w:uiPriority w:val="9"/>
    <w:qFormat/>
    <w:pPr>
      <w:keepNext w:val="true"/>
      <w:pageBreakBefore w:val="true"/>
      <w:widowControl w:val="false"/>
      <w:numPr>
        <w:numId w:val="25"/>
      </w:numPr>
      <w:pBdr/>
      <w:spacing w:after="200" w:line="360" w:lineRule="auto"/>
      <w:ind/>
      <w:outlineLvl w:val="0"/>
    </w:pPr>
    <w:rPr>
      <w:rFonts w:eastAsiaTheme="majorEastAsia" w:cstheme="majorBidi"/>
      <w:b/>
      <w:caps/>
      <w:sz w:val="36"/>
      <w:szCs w:val="32"/>
      <w:lang w:eastAsia="en-US"/>
      <w14:ligatures w14:val="standardContextual"/>
    </w:rPr>
  </w:style>
  <w:style w:type="paragraph" w:styleId="926">
    <w:name w:val="Heading 2"/>
    <w:basedOn w:val="924"/>
    <w:next w:val="924"/>
    <w:link w:val="937"/>
    <w:uiPriority w:val="9"/>
    <w:unhideWhenUsed/>
    <w:qFormat/>
    <w:pPr>
      <w:keepNext w:val="true"/>
      <w:keepLines w:val="true"/>
      <w:numPr>
        <w:ilvl w:val="1"/>
        <w:numId w:val="25"/>
      </w:numPr>
      <w:pBdr/>
      <w:spacing w:after="200" w:before="300" w:line="360" w:lineRule="auto"/>
      <w:ind/>
      <w:outlineLvl w:val="1"/>
    </w:pPr>
    <w:rPr>
      <w:rFonts w:eastAsiaTheme="majorEastAsia" w:cstheme="majorBidi"/>
      <w:b/>
      <w:sz w:val="32"/>
      <w:szCs w:val="26"/>
      <w:lang w:eastAsia="en-US"/>
      <w14:ligatures w14:val="standardContextual"/>
    </w:rPr>
  </w:style>
  <w:style w:type="paragraph" w:styleId="927">
    <w:name w:val="Heading 3"/>
    <w:basedOn w:val="924"/>
    <w:next w:val="924"/>
    <w:link w:val="938"/>
    <w:uiPriority w:val="9"/>
    <w:unhideWhenUsed/>
    <w:qFormat/>
    <w:pPr>
      <w:keepNext w:val="true"/>
      <w:keepLines w:val="true"/>
      <w:numPr>
        <w:ilvl w:val="2"/>
        <w:numId w:val="25"/>
      </w:numPr>
      <w:pBdr/>
      <w:tabs>
        <w:tab w:val="left" w:leader="none" w:pos="1560"/>
      </w:tabs>
      <w:spacing w:after="200" w:before="300" w:line="360" w:lineRule="auto"/>
      <w:ind/>
      <w:jc w:val="both"/>
      <w:outlineLvl w:val="2"/>
    </w:pPr>
    <w:rPr>
      <w:rFonts w:eastAsiaTheme="majorEastAsia" w:cstheme="majorBidi"/>
      <w:b/>
      <w:sz w:val="28"/>
      <w:lang w:eastAsia="en-US"/>
      <w14:ligatures w14:val="standardContextual"/>
    </w:rPr>
  </w:style>
  <w:style w:type="paragraph" w:styleId="928">
    <w:name w:val="Heading 4"/>
    <w:basedOn w:val="924"/>
    <w:next w:val="924"/>
    <w:link w:val="950"/>
    <w:uiPriority w:val="9"/>
    <w:semiHidden/>
    <w:unhideWhenUsed/>
    <w:qFormat/>
    <w:pPr>
      <w:keepNext w:val="true"/>
      <w:keepLines w:val="true"/>
      <w:numPr>
        <w:ilvl w:val="3"/>
        <w:numId w:val="25"/>
      </w:numPr>
      <w:pBdr/>
      <w:spacing w:before="40" w:line="360" w:lineRule="auto"/>
      <w:ind/>
      <w:jc w:val="both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29">
    <w:name w:val="Heading 5"/>
    <w:basedOn w:val="924"/>
    <w:next w:val="924"/>
    <w:link w:val="951"/>
    <w:uiPriority w:val="9"/>
    <w:semiHidden/>
    <w:unhideWhenUsed/>
    <w:qFormat/>
    <w:pPr>
      <w:keepNext w:val="true"/>
      <w:keepLines w:val="true"/>
      <w:numPr>
        <w:ilvl w:val="4"/>
        <w:numId w:val="25"/>
      </w:numPr>
      <w:pBdr/>
      <w:spacing w:before="40" w:line="360" w:lineRule="auto"/>
      <w:ind/>
      <w:jc w:val="both"/>
      <w:outlineLvl w:val="4"/>
    </w:pPr>
    <w:rPr>
      <w:rFonts w:asciiTheme="majorHAnsi" w:hAnsiTheme="majorHAnsi" w:eastAsiaTheme="majorEastAsia" w:cstheme="majorBidi"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30">
    <w:name w:val="Heading 6"/>
    <w:basedOn w:val="924"/>
    <w:next w:val="924"/>
    <w:link w:val="952"/>
    <w:uiPriority w:val="9"/>
    <w:semiHidden/>
    <w:unhideWhenUsed/>
    <w:qFormat/>
    <w:pPr>
      <w:keepNext w:val="true"/>
      <w:keepLines w:val="true"/>
      <w:numPr>
        <w:ilvl w:val="5"/>
        <w:numId w:val="25"/>
      </w:numPr>
      <w:pBdr/>
      <w:spacing w:before="40" w:line="360" w:lineRule="auto"/>
      <w:ind/>
      <w:jc w:val="both"/>
      <w:outlineLvl w:val="5"/>
    </w:pPr>
    <w:rPr>
      <w:rFonts w:asciiTheme="majorHAnsi" w:hAnsiTheme="majorHAnsi" w:eastAsiaTheme="majorEastAsia" w:cstheme="majorBidi"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1">
    <w:name w:val="Heading 7"/>
    <w:basedOn w:val="924"/>
    <w:next w:val="924"/>
    <w:link w:val="953"/>
    <w:uiPriority w:val="9"/>
    <w:semiHidden/>
    <w:unhideWhenUsed/>
    <w:qFormat/>
    <w:pPr>
      <w:keepNext w:val="true"/>
      <w:keepLines w:val="true"/>
      <w:numPr>
        <w:ilvl w:val="6"/>
        <w:numId w:val="25"/>
      </w:numPr>
      <w:pBdr/>
      <w:spacing w:before="40" w:line="360" w:lineRule="auto"/>
      <w:ind/>
      <w:jc w:val="both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2">
    <w:name w:val="Heading 8"/>
    <w:basedOn w:val="924"/>
    <w:next w:val="924"/>
    <w:link w:val="954"/>
    <w:uiPriority w:val="9"/>
    <w:semiHidden/>
    <w:unhideWhenUsed/>
    <w:qFormat/>
    <w:pPr>
      <w:keepNext w:val="true"/>
      <w:keepLines w:val="true"/>
      <w:numPr>
        <w:ilvl w:val="7"/>
        <w:numId w:val="25"/>
      </w:numPr>
      <w:pBdr/>
      <w:spacing w:before="40" w:line="360" w:lineRule="auto"/>
      <w:ind/>
      <w:jc w:val="both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n-US"/>
      <w14:ligatures w14:val="standardContextual"/>
    </w:rPr>
  </w:style>
  <w:style w:type="paragraph" w:styleId="933">
    <w:name w:val="Heading 9"/>
    <w:basedOn w:val="924"/>
    <w:next w:val="924"/>
    <w:link w:val="955"/>
    <w:uiPriority w:val="9"/>
    <w:semiHidden/>
    <w:unhideWhenUsed/>
    <w:qFormat/>
    <w:pPr>
      <w:keepNext w:val="true"/>
      <w:keepLines w:val="true"/>
      <w:numPr>
        <w:ilvl w:val="8"/>
        <w:numId w:val="25"/>
      </w:numPr>
      <w:pBdr/>
      <w:spacing w:before="40" w:line="360" w:lineRule="auto"/>
      <w:ind/>
      <w:jc w:val="both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n-US"/>
      <w14:ligatures w14:val="standardContextual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 w:customStyle="1">
    <w:name w:val="Заголовок 2 Знак"/>
    <w:basedOn w:val="934"/>
    <w:link w:val="926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26"/>
    </w:rPr>
  </w:style>
  <w:style w:type="character" w:styleId="938" w:customStyle="1">
    <w:name w:val="Заголовок 3 Знак"/>
    <w:basedOn w:val="934"/>
    <w:link w:val="92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</w:rPr>
  </w:style>
  <w:style w:type="character" w:styleId="939" w:customStyle="1">
    <w:name w:val="Заголовок 1 Знак"/>
    <w:basedOn w:val="934"/>
    <w:link w:val="92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940" w:customStyle="1">
    <w:name w:val="Основной"/>
    <w:basedOn w:val="924"/>
    <w:qFormat/>
    <w:pPr>
      <w:pBdr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1" w:customStyle="1">
    <w:name w:val="Рисунок"/>
    <w:basedOn w:val="924"/>
    <w:qFormat/>
    <w:pPr>
      <w:keepNext w:val="true"/>
      <w:pBdr/>
      <w:spacing w:line="360" w:lineRule="auto"/>
      <w:ind/>
      <w:jc w:val="center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2" w:customStyle="1">
    <w:name w:val="Подпись_Рис"/>
    <w:basedOn w:val="943"/>
    <w:qFormat/>
    <w:pPr>
      <w:pBdr/>
      <w:spacing w:after="120"/>
      <w:ind w:firstLine="0"/>
    </w:pPr>
    <w:rPr>
      <w:b/>
    </w:rPr>
  </w:style>
  <w:style w:type="paragraph" w:styleId="943">
    <w:name w:val="Caption"/>
    <w:basedOn w:val="924"/>
    <w:next w:val="924"/>
    <w:uiPriority w:val="35"/>
    <w:unhideWhenUsed/>
    <w:qFormat/>
    <w:pPr>
      <w:pBdr/>
      <w:spacing w:after="200"/>
      <w:ind w:firstLine="709"/>
      <w:jc w:val="center"/>
    </w:pPr>
    <w:rPr>
      <w:rFonts w:eastAsiaTheme="minorHAnsi" w:cstheme="minorBidi"/>
      <w:iCs/>
      <w:szCs w:val="18"/>
      <w:lang w:eastAsia="en-US"/>
      <w14:ligatures w14:val="standardContextual"/>
    </w:rPr>
  </w:style>
  <w:style w:type="paragraph" w:styleId="944" w:customStyle="1">
    <w:name w:val="Содержание"/>
    <w:basedOn w:val="925"/>
    <w:next w:val="940"/>
    <w:qFormat/>
    <w:pPr>
      <w:numPr>
        <w:numId w:val="0"/>
      </w:numPr>
      <w:pBdr/>
      <w:spacing/>
      <w:ind/>
      <w:jc w:val="center"/>
    </w:pPr>
  </w:style>
  <w:style w:type="paragraph" w:styleId="945" w:customStyle="1">
    <w:name w:val="Список источников"/>
    <w:basedOn w:val="944"/>
    <w:qFormat/>
    <w:pPr>
      <w:pBdr/>
      <w:spacing/>
      <w:ind/>
    </w:pPr>
  </w:style>
  <w:style w:type="paragraph" w:styleId="946" w:customStyle="1">
    <w:name w:val="Таблица"/>
    <w:basedOn w:val="924"/>
    <w:qFormat/>
    <w:pPr>
      <w:keepNext w:val="true"/>
      <w:pageBreakBefore w:val="true"/>
      <w:widowControl w:val="false"/>
      <w:pBdr/>
      <w:spacing w:before="120"/>
      <w:ind/>
    </w:pPr>
    <w:rPr>
      <w:b/>
      <w:i/>
      <w:szCs w:val="22"/>
      <w:lang w:eastAsia="en-US"/>
      <w14:ligatures w14:val="standardContextual"/>
    </w:rPr>
  </w:style>
  <w:style w:type="paragraph" w:styleId="947" w:customStyle="1">
    <w:name w:val="ШапкаТаблицы"/>
    <w:basedOn w:val="924"/>
    <w:qFormat/>
    <w:pPr>
      <w:widowControl w:val="false"/>
      <w:pBdr/>
      <w:spacing/>
      <w:ind/>
      <w:jc w:val="center"/>
    </w:pPr>
    <w:rPr>
      <w:b/>
      <w:szCs w:val="22"/>
      <w:lang w:val="en-US" w:eastAsia="en-US"/>
    </w:rPr>
  </w:style>
  <w:style w:type="paragraph" w:styleId="948" w:customStyle="1">
    <w:name w:val="ТекстТаблицы"/>
    <w:basedOn w:val="946"/>
    <w:qFormat/>
    <w:pPr>
      <w:keepNext w:val="false"/>
      <w:pageBreakBefore w:val="false"/>
      <w:pBdr/>
      <w:spacing w:before="0"/>
      <w:ind/>
    </w:pPr>
    <w:rPr>
      <w:b w:val="0"/>
      <w:i w:val="0"/>
    </w:rPr>
  </w:style>
  <w:style w:type="paragraph" w:styleId="949" w:customStyle="1">
    <w:name w:val="Отступ с -"/>
    <w:basedOn w:val="924"/>
    <w:qFormat/>
    <w:pPr>
      <w:widowControl w:val="false"/>
      <w:numPr>
        <w:ilvl w:val="1"/>
        <w:numId w:val="26"/>
      </w:numPr>
      <w:pBdr/>
      <w:tabs>
        <w:tab w:val="left" w:leader="none" w:pos="1249"/>
      </w:tabs>
      <w:spacing w:line="360" w:lineRule="auto"/>
      <w:ind/>
      <w:jc w:val="both"/>
    </w:pPr>
    <w:rPr>
      <w:sz w:val="28"/>
      <w:szCs w:val="22"/>
      <w:lang w:eastAsia="en-US"/>
      <w14:ligatures w14:val="standardContextual"/>
    </w:rPr>
  </w:style>
  <w:style w:type="character" w:styleId="950" w:customStyle="1">
    <w:name w:val="Заголовок 4 Знак"/>
    <w:basedOn w:val="934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character" w:styleId="951" w:customStyle="1">
    <w:name w:val="Заголовок 5 Знак"/>
    <w:basedOn w:val="934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</w:rPr>
  </w:style>
  <w:style w:type="character" w:styleId="952" w:customStyle="1">
    <w:name w:val="Заголовок 6 Знак"/>
    <w:basedOn w:val="934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</w:rPr>
  </w:style>
  <w:style w:type="character" w:styleId="953" w:customStyle="1">
    <w:name w:val="Заголовок 7 Знак"/>
    <w:basedOn w:val="934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</w:rPr>
  </w:style>
  <w:style w:type="character" w:styleId="954" w:customStyle="1">
    <w:name w:val="Заголовок 8 Знак"/>
    <w:basedOn w:val="934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55" w:customStyle="1">
    <w:name w:val="Заголовок 9 Знак"/>
    <w:basedOn w:val="934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56">
    <w:name w:val="List Paragraph"/>
    <w:basedOn w:val="924"/>
    <w:uiPriority w:val="34"/>
    <w:qFormat/>
    <w:pPr>
      <w:pBdr/>
      <w:spacing w:line="360" w:lineRule="auto"/>
      <w:ind w:firstLine="709" w:left="720"/>
      <w:contextualSpacing w:val="true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57">
    <w:name w:val="TOC Heading"/>
    <w:basedOn w:val="925"/>
    <w:next w:val="924"/>
    <w:uiPriority w:val="39"/>
    <w:unhideWhenUsed/>
    <w:qFormat/>
    <w:pPr>
      <w:pBdr/>
      <w:spacing w:line="259" w:lineRule="auto"/>
      <w:ind w:firstLine="0" w:left="709"/>
      <w:outlineLvl w:val="9"/>
    </w:pPr>
    <w:rPr>
      <w14:ligatures w14:val="none"/>
    </w:rPr>
  </w:style>
  <w:style w:type="paragraph" w:styleId="958">
    <w:name w:val="Title"/>
    <w:basedOn w:val="924"/>
    <w:next w:val="924"/>
    <w:link w:val="959"/>
    <w:uiPriority w:val="10"/>
    <w:qFormat/>
    <w:pPr>
      <w:pBdr/>
      <w:spacing w:after="80"/>
      <w:ind w:firstLine="709"/>
      <w:contextualSpacing w:val="true"/>
      <w:jc w:val="both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959" w:customStyle="1">
    <w:name w:val="Заголовок Знак"/>
    <w:basedOn w:val="934"/>
    <w:link w:val="9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0">
    <w:name w:val="Subtitle"/>
    <w:basedOn w:val="924"/>
    <w:next w:val="924"/>
    <w:link w:val="961"/>
    <w:uiPriority w:val="11"/>
    <w:qFormat/>
    <w:pPr>
      <w:numPr>
        <w:ilvl w:val="1"/>
      </w:numPr>
      <w:pBdr/>
      <w:spacing w:after="160" w:line="360" w:lineRule="auto"/>
      <w:ind w:firstLine="709"/>
      <w:jc w:val="both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961" w:customStyle="1">
    <w:name w:val="Подзаголовок Знак"/>
    <w:basedOn w:val="934"/>
    <w:link w:val="9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2">
    <w:name w:val="Quote"/>
    <w:basedOn w:val="924"/>
    <w:next w:val="924"/>
    <w:link w:val="963"/>
    <w:uiPriority w:val="29"/>
    <w:qFormat/>
    <w:pPr>
      <w:pBdr/>
      <w:spacing w:after="160" w:before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  <w14:ligatures w14:val="standardContextual"/>
    </w:rPr>
  </w:style>
  <w:style w:type="character" w:styleId="963" w:customStyle="1">
    <w:name w:val="Цитата 2 Знак"/>
    <w:basedOn w:val="934"/>
    <w:link w:val="962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64">
    <w:name w:val="Intense Quote"/>
    <w:basedOn w:val="924"/>
    <w:next w:val="924"/>
    <w:link w:val="96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 w:line="360" w:lineRule="auto"/>
      <w:ind w:right="864" w:firstLine="709" w:lef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character" w:styleId="965" w:customStyle="1">
    <w:name w:val="Выделенная цитата Знак"/>
    <w:basedOn w:val="934"/>
    <w:link w:val="964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66">
    <w:name w:val="Intense Emphasis"/>
    <w:basedOn w:val="93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character" w:styleId="967">
    <w:name w:val="Intense Reference"/>
    <w:basedOn w:val="93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68">
    <w:name w:val="Footer"/>
    <w:basedOn w:val="924"/>
    <w:link w:val="96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9" w:customStyle="1">
    <w:name w:val="Нижний колонтитул Знак"/>
    <w:basedOn w:val="934"/>
    <w:link w:val="96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revision>5</cp:revision>
  <dcterms:created xsi:type="dcterms:W3CDTF">2025-09-13T11:07:00Z</dcterms:created>
  <dcterms:modified xsi:type="dcterms:W3CDTF">2026-09-23T17:30:16Z</dcterms:modified>
</cp:coreProperties>
</file>