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CellMar>
          <w:left w:w="0" w:type="dxa"/>
          <w:right w:w="0" w:type="dxa"/>
        </w:tblCellMar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094C607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0" w:name="_Toc39354654"/>
            <w:r>
              <w:rPr>
                <w:color w:val="000000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5350" cy="1009650"/>
                      <wp:effectExtent l="0" t="0" r="0" b="0"/>
                      <wp:docPr id="1" name="Рисунок 1" descr="https://lh6.googleusercontent.com/QcftzNtI05T0Y6fjdSh1Rr2rt8oqZ1IvnLvbn1jLJ7CCyteVir3k-xBLv4SL1wAgWJsRhmmJSR0UW-RP63_GQenE4vVWv05BRoZTsmIcBccVTnfxwmsnNMvjg599x9SqZd8E3dk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4" descr="https://lh6.googleusercontent.com/QcftzNtI05T0Y6fjdSh1Rr2rt8oqZ1IvnLvbn1jLJ7CCyteVir3k-xBLv4SL1wAgWJsRhmmJSR0UW-RP63_GQenE4vVWv05BRoZTsmIcBccVTnfxwmsnNMvjg599x9SqZd8E3dkd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50" cy="10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50pt;height:79.5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40D27FE" w14:textId="77777777">
            <w:pPr>
              <w:pBdr/>
              <w:spacing w:line="240" w:lineRule="atLeast"/>
              <w:ind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 xml:space="preserve">МИНОБРНАУКИ РОССИИ</w:t>
            </w:r>
            <w:r>
              <w:rPr>
                <w:caps/>
                <w:sz w:val="28"/>
                <w:szCs w:val="28"/>
              </w:rPr>
            </w:r>
            <w:r>
              <w:rPr>
                <w:caps/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282"/>
        </w:trPr>
        <w:tc>
          <w:tcPr>
            <w:tcBorders/>
            <w:tcW w:w="5000" w:type="pct"/>
          </w:tcPr>
          <w:p w14:paraId="34125D42" w14:textId="77777777">
            <w:pPr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/>
            <w:bookmarkStart w:id="1" w:name="_Toc528747643"/>
            <w:r/>
            <w:bookmarkStart w:id="2" w:name="_Toc528748837"/>
            <w:r/>
            <w:bookmarkStart w:id="3" w:name="_Toc51925134"/>
            <w:r/>
            <w:bookmarkStart w:id="4" w:name="_Toc51925377"/>
            <w:r/>
            <w:bookmarkStart w:id="5" w:name="_Toc52870765"/>
            <w:r/>
            <w:bookmarkStart w:id="6" w:name="_Toc52871789"/>
            <w:r/>
            <w:bookmarkStart w:id="7" w:name="_Toc52873112"/>
            <w:r/>
            <w:bookmarkStart w:id="8" w:name="_Toc57522000"/>
            <w:r/>
            <w:bookmarkStart w:id="9" w:name="_Toc57522102"/>
            <w:r/>
            <w:bookmarkStart w:id="10" w:name="_Toc64624288"/>
            <w:r/>
            <w:bookmarkStart w:id="11" w:name="_Toc64624387"/>
            <w:r/>
            <w:bookmarkStart w:id="12" w:name="_Toc65212517"/>
            <w:r/>
            <w:bookmarkStart w:id="13" w:name="_Toc96456520"/>
            <w:r>
              <w:rPr>
                <w:sz w:val="28"/>
                <w:szCs w:val="28"/>
              </w:rPr>
              <w:t xml:space="preserve">Федеральное государственное бюджетное образовательное учреждение</w:t>
            </w:r>
            <w:bookmarkStart w:id="14" w:name="_Toc528747644"/>
            <w:r/>
            <w:bookmarkStart w:id="15" w:name="_Toc528748838"/>
            <w:r/>
            <w:bookmarkStart w:id="16" w:name="_Toc51925135"/>
            <w:r/>
            <w:bookmarkStart w:id="17" w:name="_Toc51925378"/>
            <w:r/>
            <w:bookmarkStart w:id="18" w:name="_Toc52870766"/>
            <w:r/>
            <w:bookmarkStart w:id="19" w:name="_Toc52871790"/>
            <w:r/>
            <w:bookmarkStart w:id="20" w:name="_Toc52873113"/>
            <w:r/>
            <w:bookmarkEnd w:id="1"/>
            <w:r/>
            <w:bookmarkEnd w:id="2"/>
            <w:r/>
            <w:bookmarkEnd w:id="3"/>
            <w:r/>
            <w:bookmarkEnd w:id="4"/>
            <w:r/>
            <w:bookmarkEnd w:id="5"/>
            <w:r/>
            <w:bookmarkEnd w:id="6"/>
            <w:r/>
            <w:bookmarkEnd w:id="7"/>
            <w:r>
              <w:rPr>
                <w:sz w:val="28"/>
                <w:szCs w:val="28"/>
              </w:rPr>
              <w:t xml:space="preserve"> высшего образования</w:t>
            </w:r>
            <w:bookmarkEnd w:id="8"/>
            <w:r/>
            <w:bookmarkEnd w:id="9"/>
            <w:r/>
            <w:bookmarkEnd w:id="10"/>
            <w:r/>
            <w:bookmarkEnd w:id="11"/>
            <w:r/>
            <w:bookmarkEnd w:id="12"/>
            <w:r/>
            <w:bookmarkEnd w:id="13"/>
            <w:r/>
            <w:bookmarkEnd w:id="14"/>
            <w:r/>
            <w:bookmarkEnd w:id="15"/>
            <w:r/>
            <w:bookmarkEnd w:id="16"/>
            <w:r/>
            <w:bookmarkEnd w:id="17"/>
            <w:r/>
            <w:bookmarkEnd w:id="18"/>
            <w:r/>
            <w:bookmarkEnd w:id="19"/>
            <w:r/>
            <w:bookmarkEnd w:id="20"/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F907608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21" w:name="_Toc528747645"/>
            <w:r/>
            <w:bookmarkStart w:id="22" w:name="_Toc528748839"/>
            <w:r/>
            <w:bookmarkStart w:id="23" w:name="_Toc51925136"/>
            <w:r/>
            <w:bookmarkStart w:id="24" w:name="_Toc51925379"/>
            <w:r/>
            <w:bookmarkStart w:id="25" w:name="_Toc52870767"/>
            <w:r/>
            <w:bookmarkStart w:id="26" w:name="_Toc52871791"/>
            <w:r/>
            <w:bookmarkStart w:id="27" w:name="_Toc52873114"/>
            <w:r/>
            <w:bookmarkStart w:id="28" w:name="_Toc57522001"/>
            <w:r/>
            <w:bookmarkStart w:id="29" w:name="_Toc57522103"/>
            <w:r/>
            <w:bookmarkStart w:id="30" w:name="_Toc64624289"/>
            <w:r/>
            <w:bookmarkStart w:id="31" w:name="_Toc64624388"/>
            <w:r/>
            <w:bookmarkStart w:id="32" w:name="_Toc65212518"/>
            <w:r/>
            <w:bookmarkStart w:id="33" w:name="_Toc96456521"/>
            <w:r>
              <w:rPr>
                <w:sz w:val="28"/>
                <w:szCs w:val="28"/>
              </w:rPr>
              <w:t xml:space="preserve">«МИРЭА - Российский технологический университет»</w:t>
            </w:r>
            <w:bookmarkEnd w:id="21"/>
            <w:r/>
            <w:bookmarkEnd w:id="22"/>
            <w:r/>
            <w:bookmarkEnd w:id="23"/>
            <w:r/>
            <w:bookmarkEnd w:id="24"/>
            <w:r/>
            <w:bookmarkEnd w:id="25"/>
            <w:r/>
            <w:bookmarkEnd w:id="26"/>
            <w:r/>
            <w:bookmarkEnd w:id="27"/>
            <w:r/>
            <w:bookmarkEnd w:id="28"/>
            <w:r/>
            <w:bookmarkEnd w:id="29"/>
            <w:r/>
            <w:bookmarkEnd w:id="30"/>
            <w:r/>
            <w:bookmarkEnd w:id="31"/>
            <w:r/>
            <w:bookmarkEnd w:id="32"/>
            <w:r/>
            <w:bookmarkEnd w:id="33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240CEE92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34" w:name="_Toc528747646"/>
            <w:r/>
            <w:bookmarkStart w:id="35" w:name="_Toc528748840"/>
            <w:r/>
            <w:bookmarkStart w:id="36" w:name="_Toc51925137"/>
            <w:r/>
            <w:bookmarkStart w:id="37" w:name="_Toc51925380"/>
            <w:r/>
            <w:bookmarkStart w:id="38" w:name="_Toc52870768"/>
            <w:r/>
            <w:bookmarkStart w:id="39" w:name="_Toc52871792"/>
            <w:r/>
            <w:bookmarkStart w:id="40" w:name="_Toc52873115"/>
            <w:r/>
            <w:bookmarkStart w:id="41" w:name="_Toc57522002"/>
            <w:r/>
            <w:bookmarkStart w:id="42" w:name="_Toc57522104"/>
            <w:r/>
            <w:bookmarkStart w:id="43" w:name="_Toc64624290"/>
            <w:r/>
            <w:bookmarkStart w:id="44" w:name="_Toc64624389"/>
            <w:r/>
            <w:bookmarkStart w:id="45" w:name="_Toc65212519"/>
            <w:r/>
            <w:bookmarkStart w:id="46" w:name="_Toc96456522"/>
            <w:r>
              <w:rPr>
                <w:sz w:val="28"/>
                <w:szCs w:val="28"/>
              </w:rPr>
              <w:t xml:space="preserve">РТУ МИРЭА</w:t>
            </w:r>
            <w:bookmarkEnd w:id="34"/>
            <w:r/>
            <w:bookmarkEnd w:id="35"/>
            <w:r/>
            <w:bookmarkEnd w:id="36"/>
            <w:r/>
            <w:bookmarkEnd w:id="37"/>
            <w:r/>
            <w:bookmarkEnd w:id="38"/>
            <w:r/>
            <w:bookmarkEnd w:id="39"/>
            <w:r/>
            <w:bookmarkEnd w:id="40"/>
            <w:r/>
            <w:bookmarkEnd w:id="41"/>
            <w:r/>
            <w:bookmarkEnd w:id="42"/>
            <w:r/>
            <w:bookmarkEnd w:id="43"/>
            <w:r/>
            <w:bookmarkEnd w:id="44"/>
            <w:r/>
            <w:bookmarkEnd w:id="45"/>
            <w:r/>
            <w:bookmarkEnd w:id="46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4CFF844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7403AC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Института перспективных технологий и индустриального программирования</w:t>
      </w:r>
      <w:r>
        <w:rPr>
          <w:sz w:val="28"/>
          <w:szCs w:val="28"/>
        </w:rPr>
        <w:t xml:space="preserve"> (ИПТиИП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BDB574" w14:textId="77777777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 xml:space="preserve">Индустриального программирования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E6E00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E2E6CC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60FD327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824563D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450D18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5000" w:type="pct"/>
        <w:tblBorders/>
        <w:tblLook w:val="00A0" w:firstRow="1" w:lastRow="0" w:firstColumn="1" w:lastColumn="0" w:noHBand="0" w:noVBand="0"/>
      </w:tblPr>
      <w:tblGrid>
        <w:gridCol w:w="6520"/>
        <w:gridCol w:w="2835"/>
      </w:tblGrid>
      <w:tr>
        <w:trPr/>
        <w:tc>
          <w:tcPr>
            <w:gridSpan w:val="2"/>
            <w:tcBorders/>
            <w:tcW w:w="5000" w:type="pct"/>
          </w:tcPr>
          <w:p w14:paraId="22659B7E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ОТЧЕТ ПО ПРАКТИЧЕСКОЙ РАБОТЕ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2F0AF123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</w:rPr>
              <w:t>«Принцип работы таймера микроконтроллера. Расчёт времени таймера»</w:t>
            </w:r>
          </w:p>
          <w:p w14:paraId="51D1A6AD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72F42851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258"/>
        </w:trPr>
        <w:tc>
          <w:tcPr>
            <w:gridSpan w:val="2"/>
            <w:tcBorders/>
            <w:tcW w:w="5000" w:type="pct"/>
          </w:tcPr>
          <w:p w14:paraId="061F1A6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 xml:space="preserve">по дисциплине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5000" w:type="pct"/>
          </w:tcPr>
          <w:p w14:paraId="64886D0F" w14:textId="77777777">
            <w:pPr>
              <w:pBdr/>
              <w:shd w:val="clear" w:color="auto" w:fill="ffffff"/>
              <w:spacing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pacing w:val="-5"/>
                <w:sz w:val="28"/>
                <w:szCs w:val="28"/>
              </w:rPr>
              <w:t xml:space="preserve">«</w:t>
            </w:r>
            <w:r>
              <w:rPr>
                <w:color w:val="000000"/>
                <w:spacing w:val="-5"/>
                <w:sz w:val="28"/>
                <w:szCs w:val="28"/>
              </w:rPr>
              <w:t xml:space="preserve">Программирование киберфизических систем</w:t>
            </w:r>
            <w:r>
              <w:rPr>
                <w:color w:val="000000"/>
                <w:sz w:val="28"/>
                <w:szCs w:val="28"/>
              </w:rPr>
              <w:t xml:space="preserve">»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1882"/>
        </w:trPr>
        <w:tc>
          <w:tcPr>
            <w:gridSpan w:val="2"/>
            <w:tcBorders/>
            <w:tcW w:w="5000" w:type="pct"/>
          </w:tcPr>
          <w:p w14:paraId="2D2795C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62A9939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1E8FC659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CB90A8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1D6318A" w14:textId="77777777">
            <w:pPr>
              <w:pBdr/>
              <w:shd w:val="clear" w:color="auto" w:fill="ffffff"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1375A12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17D39F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 студент группы </w:t>
            </w:r>
            <w:r>
              <w:rPr>
                <w:sz w:val="28"/>
                <w:szCs w:val="28"/>
              </w:rPr>
              <w:t xml:space="preserve">ЭФБО-10-23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2C24C5B8" w14:textId="77777777">
            <w:pPr>
              <w:pBdr/>
              <w:shd w:val="clear" w:color="auto" w:fill="ffffff"/>
              <w:spacing/>
              <w:ind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Ефремов А.И.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D798A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7AC09E16" w14:textId="77777777">
            <w:pPr>
              <w:pBdr/>
              <w:shd w:val="clear" w:color="auto" w:fill="ffffff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50E5540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Принял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08D5B218" w14:textId="77777777">
            <w:pPr>
              <w:pBdr/>
              <w:shd w:val="clear" w:color="auto" w:fill="ffffff"/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Сухатерин А.Б.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</w:tbl>
    <w:p w14:paraId="5B4747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882B18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28E2B2D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BF3873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8965FA1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DF94DA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B5E689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FDED97E" w14:textId="77777777">
      <w:pPr>
        <w:pBdr/>
        <w:shd w:val="clear" w:color="auto" w:fill="ffffff"/>
        <w:spacing/>
        <w:ind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534AADFC" w14:textId="77777777">
      <w:pPr>
        <w:pBdr/>
        <w:shd w:val="clear" w:color="auto" w:fill="ffffff"/>
        <w:spacing/>
        <w:ind/>
        <w:jc w:val="center"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4024F00B" w14:textId="0F31C4F3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202</w:t>
      </w:r>
      <w:bookmarkEnd w:id="0"/>
      <w:r>
        <w:rPr>
          <w:sz w:val="28"/>
          <w:szCs w:val="28"/>
        </w:rPr>
        <w:t xml:space="preserve">6</w:t>
      </w:r>
      <w:r>
        <w:rPr>
          <w:sz w:val="28"/>
          <w:szCs w:val="28"/>
        </w:rPr>
      </w:r>
      <w:r>
        <w:rPr>
          <w:sz w:val="28"/>
          <w:szCs w:val="28"/>
        </w:rPr>
      </w:r>
      <w:r/>
      <w:r/>
      <w:r>
        <w:rPr>
          <w:sz w:val="28"/>
          <w:szCs w:val="28"/>
        </w:rPr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СОДЕРЖАНИЕ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sz w:val="28"/>
        </w:rPr>
        <w:t>3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1 Теоретические сведения</w:t>
      </w:r>
      <w:r>
        <w:tab/>
      </w:r>
      <w:r>
        <w:rPr>
          <w:rFonts w:ascii="Times New Roman" w:hAnsi="Times New Roman" w:eastAsia="Times New Roman"/>
          <w:sz w:val="28"/>
        </w:rPr>
        <w:t>4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2 Практическая реализация</w:t>
      </w:r>
      <w:r>
        <w:tab/>
      </w:r>
      <w:r>
        <w:rPr>
          <w:rFonts w:ascii="Times New Roman" w:hAnsi="Times New Roman" w:eastAsia="Times New Roman"/>
          <w:sz w:val="28"/>
        </w:rPr>
        <w:t>6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sz w:val="28"/>
        </w:rPr>
        <w:t>9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sz w:val="28"/>
        </w:rPr>
        <w:t>10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Аппаратный таймер — периферийный модуль микроконтроллера, который отсчитывает импульсы тактового сигнала независимо от выполнения прикладного кода. Таймеры применяются для формирования задержек, периодических событий, измерения длительности внешних импульсов, генерации ШИМ-сигналов и управления исполнительными устройствами [1].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изучить принцип работы аппаратного таймера STM32 и заменить системные задержки `HAL_Delay` в контроллере светофора собственной задержкой на базе TIM14.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1 ТЕОРЕТИЧЕСКИЕ СВЕДЕНИЯ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1.1 Назначение таймеров STM32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Таймер содержит счётчик, который изменяется синхронно с тактовым сигналом. Процессор может читать текущее значение счётчика, сравнивать его с заданным значением или реагировать на переполнение. За счёт этого отсчёт времени не зависит от количества инструкций в основном цикле программы [1].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STM32 используются несколько классов таймеров. SysTick входит в ядро Cortex-M и обычно используется HAL как системная временная база для `HAL_Delay`. Базовые таймеры предназначены для простого отсчёта времени и периодических событий. Таймеры общего назначения дополнительно могут работать с захватом входного сигнала, сравнением, ШИМ и однократными импульсами. Расширенные таймеры применяются, когда нужны комплементарные выходы и специальные режимы управления силовой нагрузкой. Отдельно используются таймеры низкого потребления и сторожевые таймеры [1, 2].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STM32C031C6 производитель указывает таймеры для управления ШИМ, четыре 16-разрядных таймера общего назначения, два сторожевых таймера и системный SysTick [3]. Конкретный набор возможностей определяется моделью микроконтроллера, поэтому при выборе таймера необходимо сверяться с её справочным руководством.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1.2 Предделитель, счётчик и переполнение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вход таймера поступает тактовая частота `Fclk`. Предделитель PSC делит её на значение `PSC + 1`, поэтому частота счётчика вычисляется по формуле: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sz w:val="28"/>
        </w:rPr>
        <w:t>Fcnt = Fclk / (PSC + 1)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Счётчик увеличивается с частотой `Fcnt` и при достижении значения автоматической перезагрузки ARR начинает отсчёт заново. Для периодического события период определяется выражением: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sz w:val="28"/>
        </w:rPr>
        <w:t>T = (ARR + 1) / Fcnt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использовании таймера как свободно работающего счётчика достаточно запустить его и считывать текущее значение. Тогда длительность интервала определяется разностью текущего и сохранённого начального значения. Этот подход не требует обработчика прерывания, однако во время ожидания процессор остаётся в цикле проверки счётчика. В данной работе это допустимо, поскольку алгоритм светофора изначально также использовал блокирующие задержки.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1.3 Типы таймеров и выбор TIM14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Номера TIMx не образуют одну универсальную последовательность для всех STM32: набор модулей зависит от конкретного микроконтроллера. В STM32C031C6 имеются следующие аппаратные таймеры [3, 4]: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`TIM1` — расширенный таймер управления; он предназначен прежде всего для формирования ШИМ, в том числе для задач управления двигателем;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`TIM3` — четырёхканальный 16-разрядный таймер общего назначения;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`TIM14`, `TIM16` и `TIM17` — одноканальные 16-разрядные таймеры общего назначения;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`SysTick` — системный таймер ядра Cortex-M0+, используемый HAL для функции `HAL_Delay`;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`IWDG` и `WWDG` — сторожевые таймеры, предназначенные для перезапуска программы при её зависании, а не для обычных задержек.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`TIM1` образует отдельную группу расширенных таймеров, а `TIM3`, `TIM14`, `TIM16` и `TIM17` — группу таймеров общего назначения. Для светофора требовался только независимый миллисекундный счётчик: не нужны комплементарные ШИМ-выходы `TIM1` и не нужно занимать `SysTick`, который обслуживает `HAL_Delay`. Поэтому можно было выбрать любой свободный таймер из группы общего назначения, если он не задействован другой частью проекта.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Выбран `TIM14`. Он не используется схемой GPIO светофора, имеет программируемый 16-разрядный предделитель, 16-разрядный счётчик с автоматической перезагрузкой и один канал захвата, сравнения или ШИМ [4]. В данной работе используется только счётчик, поэтому возможностей TIM14 достаточно, а его применение создаёт отдельную от SysTick аппаратную временную базу.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2 ПРАКТИЧЕСКАЯ РЕАЛИЗАЦИЯ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2.1 Расчёт параметров TIM14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системная частота HSI составляет 48 МГц. Для получения частоты счётчика 1 кГц выбран предделитель `48000 - 1`. Расчёт имеет вид: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sz w:val="28"/>
        </w:rPr>
        <w:t>Fcnt = 48 000 000 / (47 999 + 1) = 1 000 Гц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Следовательно, счётчик увеличивается на единицу каждую миллисекунду. В качестве периода установлен `0xFFFF`, то есть максимальное значение 16-разрядного счётчика. Переполнение происходит через 65 536 отсчётов, или через 65,536 с. Наибольшая задержка в светофоре равна 10 000 мс, поэтому она значительно меньше периода переполнения.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Инициализация TIM14 и запуск счётчика приведены в Листинге 2.1. Функция `HAL_TIM_Base_Start` включает счётчик без использования прерываний.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i/>
          <w:sz w:val="24"/>
        </w:rPr>
        <w:t>Листинг 2.1 — Фрагмент программы на c</w:t>
      </w:r>
    </w:p>
    <w:tbl>
      <w:tblPr>
        <w:tblStyle w:val="757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before="0" w:after="0"/>
              <w:jc w:val="left"/>
            </w:pPr>
            <w:r>
              <w:rPr>
                <w:rFonts w:ascii="Courier New" w:hAnsi="Courier New" w:eastAsia="Courier New"/>
                <w:sz w:val="20"/>
              </w:rPr>
              <w:t>TIM_HandleTypeDef htim14;</w:t>
              <w:br/>
              <w:br/>
              <w:t>static void MX_TIM14_Init(void) {</w:t>
              <w:br/>
              <w:t xml:space="preserve">  __HAL_RCC_TIM14_CLK_ENABLE();</w:t>
              <w:br/>
              <w:br/>
              <w:t xml:space="preserve">  htim14.Instance = TIM14;</w:t>
              <w:br/>
              <w:t xml:space="preserve">  htim14.Init.Prescaler = 48000 - 1; // 48 МГц -&gt; 1 кГц</w:t>
              <w:br/>
              <w:t xml:space="preserve">  htim14.Init.CounterMode = TIM_COUNTERMODE_UP;</w:t>
              <w:br/>
              <w:t xml:space="preserve">  htim14.Init.Period = 0xFFFF;</w:t>
              <w:br/>
              <w:t xml:space="preserve">  htim14.Init.ClockDivision = TIM_CLOCKDIVISION_DIV1;</w:t>
              <w:br/>
              <w:t xml:space="preserve">  htim14.Init.AutoReloadPreload = TIM_AUTORELOAD_PRELOAD_DISABLE;</w:t>
              <w:br/>
              <w:t xml:space="preserve">  if (HAL_TIM_Base_Init(&amp;htim14) != HAL_OK) {</w:t>
              <w:br/>
              <w:t xml:space="preserve">    while (1) { }</w:t>
              <w:br/>
              <w:t xml:space="preserve">  }</w:t>
              <w:br/>
              <w:t>}</w:t>
              <w:br/>
              <w:br/>
              <w:t>/* В функции main после MX_GPIO_Init(): */</w:t>
              <w:br/>
              <w:t>MX_TIM14_Init();</w:t>
              <w:br/>
              <w:t>HAL_TIM_Base_Start(&amp;htim14);</w:t>
            </w:r>
          </w:p>
        </w:tc>
      </w:tr>
    </w:tbl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2.2 Замена системной задержки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Вместо `HAL_Delay` в программе используется функция `TimerDelay`. В начале она сохраняет текущее значение регистра счётчика TIM14. Затем функция ожидает, пока беззнаковая разность текущего и начального значений не станет равна требуемой задержке.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Беззнаковое приведение к `uint16_t` важно при переполнении. Когда счётчик переходит от `0xFFFF` к нулю, арифметика 16-разрядного беззнакового значения сохраняет корректную разность. Поэтому задержки меньше 65 536 мс остаются правильными даже при переходе через переполнение. Реализация функции приведена в Листинге 2.2.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i/>
          <w:sz w:val="24"/>
        </w:rPr>
        <w:t>Листинг 2.2 — Фрагмент программы на c</w:t>
      </w:r>
    </w:p>
    <w:tbl>
      <w:tblPr>
        <w:tblStyle w:val="757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before="0" w:after="0"/>
              <w:jc w:val="left"/>
            </w:pPr>
            <w:r>
              <w:rPr>
                <w:rFonts w:ascii="Courier New" w:hAnsi="Courier New" w:eastAsia="Courier New"/>
                <w:sz w:val="20"/>
              </w:rPr>
              <w:t>static void TimerDelay(uint16_t ms) {</w:t>
              <w:br/>
              <w:t xml:space="preserve">  uint16_t started_at = (uint16_t)__HAL_TIM_GET_COUNTER(&amp;htim14);</w:t>
              <w:br/>
              <w:t xml:space="preserve">  while ((uint16_t)(__HAL_TIM_GET_COUNTER(&amp;htim14) - started_at) &lt; ms) { }</w:t>
              <w:br/>
              <w:t>}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последовательность светофора и схема Wokwi не менялись: изменения касаются только временной базы. В исходном состоянии автомобилям разрешено движение, а пешеходам включён запрещающий сигнал. Это подтверждено Рисунком 2.1.</w:t>
      </w:r>
    </w:p>
    <w:p>
      <w:pPr>
        <w:jc w:val="center"/>
      </w:pPr>
      <w:r>
        <w:drawing>
          <wp:inline xmlns:pic="http://schemas.openxmlformats.org/drawingml/2006/picture">
            <wp:extent cx="5220000" cy="2709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s_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Рисунок 2.1 — Исходное состояние светофора с временной базой TIM14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нажатия кнопки выполняется пешеходная фаза: автомобильный красный сигнал включён, пешеходный зелёный сигнал разрешает переход. Рисунок 2.2 показывает, что замена `HAL_Delay` на ожидание по TIM14 не изменила подключение устройств и ожидаемое состояние схемы.</w:t>
      </w:r>
    </w:p>
    <w:p>
      <w:pPr>
        <w:jc w:val="center"/>
      </w:pPr>
      <w:r>
        <w:drawing>
          <wp:inline xmlns:pic="http://schemas.openxmlformats.org/drawingml/2006/picture">
            <wp:extent cx="5220000" cy="2699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_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Рисунок 2.2 — Пешеходная фаза светофора с временной базой TIM14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2.3 Использование TimerDelay в алгоритме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коде все интервалы из предыдущей реализации сохранены: 500 мс для мигания, 2 000 мс для жёлтого сигнала, 10 000 мс для пешеходной фазы и 10 мс для ожидания отпускания кнопки. Отличие состоит только в источнике времени. Пример замены задержки в цикле мигания приведён в Листинге 2.3.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i/>
          <w:sz w:val="24"/>
        </w:rPr>
        <w:t>Листинг 2.3 — Фрагмент программы на c</w:t>
      </w:r>
    </w:p>
    <w:tbl>
      <w:tblPr>
        <w:tblStyle w:val="757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before="0" w:after="0"/>
              <w:jc w:val="left"/>
            </w:pPr>
            <w:r>
              <w:rPr>
                <w:rFonts w:ascii="Courier New" w:hAnsi="Courier New" w:eastAsia="Courier New"/>
                <w:sz w:val="20"/>
              </w:rPr>
              <w:t>for (int i = 0; i &lt; 6; i++) {</w:t>
              <w:br/>
              <w:t xml:space="preserve">  HAL_GPIO_TogglePin(GREEN_GPIO_Port, GREEN_Pin);</w:t>
              <w:br/>
              <w:t xml:space="preserve">  TimerDelay(500);</w:t>
              <w:br/>
              <w:t>}</w:t>
            </w:r>
          </w:p>
        </w:tc>
      </w:tr>
    </w:tbl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практической работы изучены назначение аппаратных таймеров STM32, принцип настройки предделителя и периода счётчика, а также способы использования таймера для формирования временных интервалов.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контроллере светофора системные задержки `HAL_Delay` заменены собственной функцией `TimerDelay`, использующей свободно работающий счётчик TIM14. При системной частоте 48 МГц и предделителе 47 999 таймер формирует один отсчёт в миллисекунду. Полученная временная база не использует SysTick и сохраняет алгоритм работы светофора без изменения схемы GPIO.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СПИСОК ИСПОЛЬЗОВАННЫХ ИСТОЧНИКОВ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1. Таймеры STM32: управление временем в микроконтроллере, примеры [Электронный ресурс]. — Skypro Wiki. — URL: https://sky.pro/wiki/gamedev/ispolzovanie-tajmerov-na-stm32/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2. Программирование STM32 на C: освоение микроконтроллеров — путь к успеху [Электронный ресурс]. — Skypro Wiki. — URL: https://sky.pro/wiki/gamedev/osnovy-programmirovaniya-stm32-na-yazyke-c/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3. STM32C031C6: product page [Электронный ресурс]. — STMicroelectronics. — URL: https://www.st.com/en/microcontrollers-microprocessors/stm32c031c6.html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4. STM32C0 series advanced Arm-based 32-bit MCUs. RM0490 [Электронный ресурс]. — STMicroelectronics. — URL: https://www.st.com/resource/en/reference_manual/rm0490-stm32c0-series-advanced-armbased-32bit-mcus-stmicroelectronics.pdf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5. Программирование STM32: от первого проекта до сложных систем [Электронный ресурс]. — Skypro Wiki. — URL: https://sky.pro/wiki/gamedev/sozdanie-prostyh-prilozhenij-na-stm32/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6. HAL TimeBase TIM Overview [Электронный ресурс]. — STMicroelectronics. — URL: https://dev.st.com/stm32cube-docs/stm32c5xx-hal-drivers/2.0.0/en/docs/drivers/hal_drivers/hal_common_drivers/hal_timebases/hal_timebase_tim/hal_timebase_tim_overview.html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7. Программирование STM32: от основ к реальным проектам с примерами [Электронный ресурс]. — Skypro Wiki. — URL: https://sky.pro/wiki/javascript/programmirovanie-stm32-vvedenie-i-primery/ (дата обращения: 23.09.2026).</w:t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303040B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53190131"/>
      <w:docPartObj>
        <w:docPartGallery w:val="Page Numbers (Bottom of Page)"/>
        <w:docPartUnique w:val="true"/>
      </w:docPartObj>
      <w:rPr/>
    </w:sdtPr>
    <w:sdtContent>
      <w:p w14:paraId="61583708" w14:textId="77777777">
        <w:pPr>
          <w:pStyle w:val="968"/>
          <w:pBdr/>
          <w:spacing/>
          <w:ind/>
          <w:jc w:val="center"/>
          <w:rPr>
            <w:sz w:val="28"/>
          </w:rPr>
        </w:pPr>
        <w:r>
          <w:rPr>
            <w:sz w:val="28"/>
          </w:rPr>
          <w:fldChar w:fldCharType="begin"/>
        </w:r>
        <w:r>
          <w:rPr>
            <w:sz w:val="28"/>
          </w:rPr>
          <w:instrText xml:space="preserve">PAGE   \* MERGEFORMAT</w:instrText>
        </w:r>
        <w:r>
          <w:rPr>
            <w:sz w:val="28"/>
          </w:rPr>
          <w:fldChar w:fldCharType="separate"/>
        </w:r>
        <w:r>
          <w:rPr>
            <w:sz w:val="28"/>
          </w:rPr>
          <w:t xml:space="preserve">4</w:t>
        </w:r>
        <w:r>
          <w:rPr>
            <w:sz w:val="28"/>
          </w:rPr>
          <w:fldChar w:fldCharType="end"/>
        </w:r>
        <w:r>
          <w:rPr>
            <w:sz w:val="28"/>
          </w:rPr>
        </w:r>
        <w:r>
          <w:rPr>
            <w:sz w:val="28"/>
          </w:rPr>
        </w:r>
      </w:p>
    </w:sdtContent>
  </w:sdt>
  <w:p w14:paraId="1044074D" w14:textId="77777777">
    <w:pPr>
      <w:pStyle w:val="9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1323"/>
    <w:lvl w:ilvl="0">
      <w:isLgl w:val="false"/>
      <w:lvlJc w:val="left"/>
      <w:lvlText w:val="—"/>
      <w:numFmt w:val="bullet"/>
      <w:pPr>
        <w:pBdr/>
        <w:spacing/>
        <w:ind w:hanging="245" w:left="533"/>
      </w:pPr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—"/>
      <w:numFmt w:val="bullet"/>
      <w:pPr>
        <w:pBdr/>
        <w:spacing/>
        <w:ind w:hanging="360" w:left="1248"/>
      </w:pPr>
      <w:pStyle w:val="949"/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2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0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9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7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834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35442A09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25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6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7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3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3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3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33"/>
      <w:rPr/>
      <w:start w:val="1"/>
      <w:suff w:val="tab"/>
    </w:lvl>
  </w:abstractNum>
  <w:abstractNum w:abstractNumId="2">
    <w:nsid w:val="564607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3">
    <w:nsid w:val="6C57260A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4">
      <w:isLgl w:val="false"/>
      <w:lvlJc w:val="right"/>
      <w:lvlText w:val="%1.%2.%3.%4.%5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5">
      <w:isLgl w:val="false"/>
      <w:lvlJc w:val="right"/>
      <w:lvlText w:val="%1.%2.%3.%4.%5.%6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6">
      <w:isLgl w:val="false"/>
      <w:lvlJc w:val="right"/>
      <w:lvlText w:val="%1.%2.%3.%4.%5.%6.%7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7">
      <w:isLgl w:val="false"/>
      <w:lvlJc w:val="right"/>
      <w:lvlText w:val="%1.%2.%3.%4.%5.%6.%7.%8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8">
      <w:isLgl w:val="false"/>
      <w:lvlJc w:val="right"/>
      <w:lvlText w:val="%1.%2.%3.%4.%5.%6.%7.%8.%9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0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3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4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4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Quote Char"/>
    <w:basedOn w:val="934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Quote Char"/>
    <w:basedOn w:val="93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24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Header Char"/>
    <w:basedOn w:val="934"/>
    <w:link w:val="902"/>
    <w:uiPriority w:val="99"/>
    <w:pPr>
      <w:pBdr/>
      <w:spacing/>
      <w:ind/>
    </w:pPr>
  </w:style>
  <w:style w:type="character" w:styleId="904">
    <w:name w:val="Footer Char"/>
    <w:basedOn w:val="934"/>
    <w:link w:val="968"/>
    <w:uiPriority w:val="99"/>
    <w:pPr>
      <w:pBdr/>
      <w:spacing/>
      <w:ind/>
    </w:p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34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34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8"/>
      <w:szCs w:val="24"/>
      <w:lang w:eastAsia="ru-RU"/>
      <w14:ligatures w14:val="none"/>
    </w:rPr>
  </w:style>
  <w:style w:type="paragraph" w:styleId="925">
    <w:name w:val="Heading 1"/>
    <w:basedOn w:val="924"/>
    <w:next w:val="924"/>
    <w:link w:val="939"/>
    <w:uiPriority w:val="9"/>
    <w:qFormat/>
    <w:pPr>
      <w:keepNext w:val="true"/>
      <w:pageBreakBefore w:val="true"/>
      <w:widowControl w:val="false"/>
      <w:numPr>
        <w:numId w:val="25"/>
      </w:numPr>
      <w:pBdr/>
      <w:spacing w:after="200" w:line="360" w:lineRule="auto"/>
      <w:ind/>
      <w:outlineLvl w:val="0"/>
    </w:pPr>
    <w:rPr>
      <w:rFonts w:eastAsiaTheme="majorEastAsia" w:cstheme="majorBidi"/>
      <w:b/>
      <w:caps/>
      <w:sz w:val="36"/>
      <w:szCs w:val="32"/>
      <w:lang w:eastAsia="en-US"/>
      <w14:ligatures w14:val="standardContextual"/>
    </w:rPr>
  </w:style>
  <w:style w:type="paragraph" w:styleId="926">
    <w:name w:val="Heading 2"/>
    <w:basedOn w:val="924"/>
    <w:next w:val="924"/>
    <w:link w:val="937"/>
    <w:uiPriority w:val="9"/>
    <w:unhideWhenUsed/>
    <w:qFormat/>
    <w:pPr>
      <w:keepNext w:val="true"/>
      <w:keepLines w:val="true"/>
      <w:numPr>
        <w:ilvl w:val="1"/>
        <w:numId w:val="25"/>
      </w:numPr>
      <w:pBdr/>
      <w:spacing w:after="200" w:before="300" w:line="360" w:lineRule="auto"/>
      <w:ind/>
      <w:outlineLvl w:val="1"/>
    </w:pPr>
    <w:rPr>
      <w:rFonts w:eastAsiaTheme="majorEastAsia" w:cstheme="majorBidi"/>
      <w:b/>
      <w:sz w:val="32"/>
      <w:szCs w:val="26"/>
      <w:lang w:eastAsia="en-US"/>
      <w14:ligatures w14:val="standardContextual"/>
    </w:rPr>
  </w:style>
  <w:style w:type="paragraph" w:styleId="927">
    <w:name w:val="Heading 3"/>
    <w:basedOn w:val="924"/>
    <w:next w:val="924"/>
    <w:link w:val="938"/>
    <w:uiPriority w:val="9"/>
    <w:unhideWhenUsed/>
    <w:qFormat/>
    <w:pPr>
      <w:keepNext w:val="true"/>
      <w:keepLines w:val="true"/>
      <w:numPr>
        <w:ilvl w:val="2"/>
        <w:numId w:val="25"/>
      </w:numPr>
      <w:pBdr/>
      <w:tabs>
        <w:tab w:val="left" w:leader="none" w:pos="1560"/>
      </w:tabs>
      <w:spacing w:after="200" w:before="300" w:line="360" w:lineRule="auto"/>
      <w:ind/>
      <w:jc w:val="both"/>
      <w:outlineLvl w:val="2"/>
    </w:pPr>
    <w:rPr>
      <w:rFonts w:eastAsiaTheme="majorEastAsia" w:cstheme="majorBidi"/>
      <w:b/>
      <w:sz w:val="28"/>
      <w:lang w:eastAsia="en-US"/>
      <w14:ligatures w14:val="standardContextual"/>
    </w:rPr>
  </w:style>
  <w:style w:type="paragraph" w:styleId="928">
    <w:name w:val="Heading 4"/>
    <w:basedOn w:val="924"/>
    <w:next w:val="924"/>
    <w:link w:val="950"/>
    <w:uiPriority w:val="9"/>
    <w:semiHidden/>
    <w:unhideWhenUsed/>
    <w:qFormat/>
    <w:pPr>
      <w:keepNext w:val="true"/>
      <w:keepLines w:val="true"/>
      <w:numPr>
        <w:ilvl w:val="3"/>
        <w:numId w:val="25"/>
      </w:numPr>
      <w:pBdr/>
      <w:spacing w:before="40" w:line="360" w:lineRule="auto"/>
      <w:ind/>
      <w:jc w:val="both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29">
    <w:name w:val="Heading 5"/>
    <w:basedOn w:val="924"/>
    <w:next w:val="924"/>
    <w:link w:val="951"/>
    <w:uiPriority w:val="9"/>
    <w:semiHidden/>
    <w:unhideWhenUsed/>
    <w:qFormat/>
    <w:pPr>
      <w:keepNext w:val="true"/>
      <w:keepLines w:val="true"/>
      <w:numPr>
        <w:ilvl w:val="4"/>
        <w:numId w:val="25"/>
      </w:numPr>
      <w:pBdr/>
      <w:spacing w:before="40" w:line="360" w:lineRule="auto"/>
      <w:ind/>
      <w:jc w:val="both"/>
      <w:outlineLvl w:val="4"/>
    </w:pPr>
    <w:rPr>
      <w:rFonts w:asciiTheme="majorHAnsi" w:hAnsiTheme="majorHAnsi" w:eastAsiaTheme="majorEastAsia" w:cstheme="majorBidi"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30">
    <w:name w:val="Heading 6"/>
    <w:basedOn w:val="924"/>
    <w:next w:val="924"/>
    <w:link w:val="952"/>
    <w:uiPriority w:val="9"/>
    <w:semiHidden/>
    <w:unhideWhenUsed/>
    <w:qFormat/>
    <w:pPr>
      <w:keepNext w:val="true"/>
      <w:keepLines w:val="true"/>
      <w:numPr>
        <w:ilvl w:val="5"/>
        <w:numId w:val="25"/>
      </w:numPr>
      <w:pBdr/>
      <w:spacing w:before="40" w:line="360" w:lineRule="auto"/>
      <w:ind/>
      <w:jc w:val="both"/>
      <w:outlineLvl w:val="5"/>
    </w:pPr>
    <w:rPr>
      <w:rFonts w:asciiTheme="majorHAnsi" w:hAnsiTheme="majorHAnsi" w:eastAsiaTheme="majorEastAsia" w:cstheme="majorBidi"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1">
    <w:name w:val="Heading 7"/>
    <w:basedOn w:val="924"/>
    <w:next w:val="924"/>
    <w:link w:val="953"/>
    <w:uiPriority w:val="9"/>
    <w:semiHidden/>
    <w:unhideWhenUsed/>
    <w:qFormat/>
    <w:pPr>
      <w:keepNext w:val="true"/>
      <w:keepLines w:val="true"/>
      <w:numPr>
        <w:ilvl w:val="6"/>
        <w:numId w:val="25"/>
      </w:numPr>
      <w:pBdr/>
      <w:spacing w:before="40" w:line="360" w:lineRule="auto"/>
      <w:ind/>
      <w:jc w:val="both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2">
    <w:name w:val="Heading 8"/>
    <w:basedOn w:val="924"/>
    <w:next w:val="924"/>
    <w:link w:val="954"/>
    <w:uiPriority w:val="9"/>
    <w:semiHidden/>
    <w:unhideWhenUsed/>
    <w:qFormat/>
    <w:pPr>
      <w:keepNext w:val="true"/>
      <w:keepLines w:val="true"/>
      <w:numPr>
        <w:ilvl w:val="7"/>
        <w:numId w:val="25"/>
      </w:numPr>
      <w:pBdr/>
      <w:spacing w:before="40" w:line="360" w:lineRule="auto"/>
      <w:ind/>
      <w:jc w:val="both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n-US"/>
      <w14:ligatures w14:val="standardContextual"/>
    </w:rPr>
  </w:style>
  <w:style w:type="paragraph" w:styleId="933">
    <w:name w:val="Heading 9"/>
    <w:basedOn w:val="924"/>
    <w:next w:val="924"/>
    <w:link w:val="955"/>
    <w:uiPriority w:val="9"/>
    <w:semiHidden/>
    <w:unhideWhenUsed/>
    <w:qFormat/>
    <w:pPr>
      <w:keepNext w:val="true"/>
      <w:keepLines w:val="true"/>
      <w:numPr>
        <w:ilvl w:val="8"/>
        <w:numId w:val="25"/>
      </w:numPr>
      <w:pBdr/>
      <w:spacing w:before="40" w:line="360" w:lineRule="auto"/>
      <w:ind/>
      <w:jc w:val="both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n-US"/>
      <w14:ligatures w14:val="standardContextual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 w:customStyle="1">
    <w:name w:val="Заголовок 2 Знак"/>
    <w:basedOn w:val="934"/>
    <w:link w:val="926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26"/>
    </w:rPr>
  </w:style>
  <w:style w:type="character" w:styleId="938" w:customStyle="1">
    <w:name w:val="Заголовок 3 Знак"/>
    <w:basedOn w:val="934"/>
    <w:link w:val="92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</w:rPr>
  </w:style>
  <w:style w:type="character" w:styleId="939" w:customStyle="1">
    <w:name w:val="Заголовок 1 Знак"/>
    <w:basedOn w:val="934"/>
    <w:link w:val="92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940" w:customStyle="1">
    <w:name w:val="Основной"/>
    <w:basedOn w:val="924"/>
    <w:qFormat/>
    <w:pPr>
      <w:pBdr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1" w:customStyle="1">
    <w:name w:val="Рисунок"/>
    <w:basedOn w:val="924"/>
    <w:qFormat/>
    <w:pPr>
      <w:keepNext w:val="true"/>
      <w:pBdr/>
      <w:spacing w:line="360" w:lineRule="auto"/>
      <w:ind/>
      <w:jc w:val="center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2" w:customStyle="1">
    <w:name w:val="Подпись_Рис"/>
    <w:basedOn w:val="943"/>
    <w:qFormat/>
    <w:pPr>
      <w:pBdr/>
      <w:spacing w:after="120"/>
      <w:ind w:firstLine="0"/>
    </w:pPr>
    <w:rPr>
      <w:b/>
    </w:rPr>
  </w:style>
  <w:style w:type="paragraph" w:styleId="943">
    <w:name w:val="Caption"/>
    <w:basedOn w:val="924"/>
    <w:next w:val="924"/>
    <w:uiPriority w:val="35"/>
    <w:unhideWhenUsed/>
    <w:qFormat/>
    <w:pPr>
      <w:pBdr/>
      <w:spacing w:after="200"/>
      <w:ind w:firstLine="709"/>
      <w:jc w:val="center"/>
    </w:pPr>
    <w:rPr>
      <w:rFonts w:eastAsiaTheme="minorHAnsi" w:cstheme="minorBidi"/>
      <w:iCs/>
      <w:szCs w:val="18"/>
      <w:lang w:eastAsia="en-US"/>
      <w14:ligatures w14:val="standardContextual"/>
    </w:rPr>
  </w:style>
  <w:style w:type="paragraph" w:styleId="944" w:customStyle="1">
    <w:name w:val="Содержание"/>
    <w:basedOn w:val="925"/>
    <w:next w:val="940"/>
    <w:qFormat/>
    <w:pPr>
      <w:numPr>
        <w:numId w:val="0"/>
      </w:numPr>
      <w:pBdr/>
      <w:spacing/>
      <w:ind/>
      <w:jc w:val="center"/>
    </w:pPr>
  </w:style>
  <w:style w:type="paragraph" w:styleId="945" w:customStyle="1">
    <w:name w:val="Список источников"/>
    <w:basedOn w:val="944"/>
    <w:qFormat/>
    <w:pPr>
      <w:pBdr/>
      <w:spacing/>
      <w:ind/>
    </w:pPr>
  </w:style>
  <w:style w:type="paragraph" w:styleId="946" w:customStyle="1">
    <w:name w:val="Таблица"/>
    <w:basedOn w:val="924"/>
    <w:qFormat/>
    <w:pPr>
      <w:keepNext w:val="true"/>
      <w:pageBreakBefore w:val="true"/>
      <w:widowControl w:val="false"/>
      <w:pBdr/>
      <w:spacing w:before="120"/>
      <w:ind/>
    </w:pPr>
    <w:rPr>
      <w:b/>
      <w:i/>
      <w:szCs w:val="22"/>
      <w:lang w:eastAsia="en-US"/>
      <w14:ligatures w14:val="standardContextual"/>
    </w:rPr>
  </w:style>
  <w:style w:type="paragraph" w:styleId="947" w:customStyle="1">
    <w:name w:val="ШапкаТаблицы"/>
    <w:basedOn w:val="924"/>
    <w:qFormat/>
    <w:pPr>
      <w:widowControl w:val="false"/>
      <w:pBdr/>
      <w:spacing/>
      <w:ind/>
      <w:jc w:val="center"/>
    </w:pPr>
    <w:rPr>
      <w:b/>
      <w:szCs w:val="22"/>
      <w:lang w:val="en-US" w:eastAsia="en-US"/>
    </w:rPr>
  </w:style>
  <w:style w:type="paragraph" w:styleId="948" w:customStyle="1">
    <w:name w:val="ТекстТаблицы"/>
    <w:basedOn w:val="946"/>
    <w:qFormat/>
    <w:pPr>
      <w:keepNext w:val="false"/>
      <w:pageBreakBefore w:val="false"/>
      <w:pBdr/>
      <w:spacing w:before="0"/>
      <w:ind/>
    </w:pPr>
    <w:rPr>
      <w:b w:val="0"/>
      <w:i w:val="0"/>
    </w:rPr>
  </w:style>
  <w:style w:type="paragraph" w:styleId="949" w:customStyle="1">
    <w:name w:val="Отступ с -"/>
    <w:basedOn w:val="924"/>
    <w:qFormat/>
    <w:pPr>
      <w:widowControl w:val="false"/>
      <w:numPr>
        <w:ilvl w:val="1"/>
        <w:numId w:val="26"/>
      </w:numPr>
      <w:pBdr/>
      <w:tabs>
        <w:tab w:val="left" w:leader="none" w:pos="1249"/>
      </w:tabs>
      <w:spacing w:line="360" w:lineRule="auto"/>
      <w:ind/>
      <w:jc w:val="both"/>
    </w:pPr>
    <w:rPr>
      <w:sz w:val="28"/>
      <w:szCs w:val="22"/>
      <w:lang w:eastAsia="en-US"/>
      <w14:ligatures w14:val="standardContextual"/>
    </w:rPr>
  </w:style>
  <w:style w:type="character" w:styleId="950" w:customStyle="1">
    <w:name w:val="Заголовок 4 Знак"/>
    <w:basedOn w:val="934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character" w:styleId="951" w:customStyle="1">
    <w:name w:val="Заголовок 5 Знак"/>
    <w:basedOn w:val="934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</w:rPr>
  </w:style>
  <w:style w:type="character" w:styleId="952" w:customStyle="1">
    <w:name w:val="Заголовок 6 Знак"/>
    <w:basedOn w:val="934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</w:rPr>
  </w:style>
  <w:style w:type="character" w:styleId="953" w:customStyle="1">
    <w:name w:val="Заголовок 7 Знак"/>
    <w:basedOn w:val="934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</w:rPr>
  </w:style>
  <w:style w:type="character" w:styleId="954" w:customStyle="1">
    <w:name w:val="Заголовок 8 Знак"/>
    <w:basedOn w:val="934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55" w:customStyle="1">
    <w:name w:val="Заголовок 9 Знак"/>
    <w:basedOn w:val="934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56">
    <w:name w:val="List Paragraph"/>
    <w:basedOn w:val="924"/>
    <w:uiPriority w:val="34"/>
    <w:qFormat/>
    <w:pPr>
      <w:pBdr/>
      <w:spacing w:line="360" w:lineRule="auto"/>
      <w:ind w:firstLine="709" w:left="720"/>
      <w:contextualSpacing w:val="true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57">
    <w:name w:val="TOC Heading"/>
    <w:basedOn w:val="925"/>
    <w:next w:val="924"/>
    <w:uiPriority w:val="39"/>
    <w:unhideWhenUsed/>
    <w:qFormat/>
    <w:pPr>
      <w:pBdr/>
      <w:spacing w:line="259" w:lineRule="auto"/>
      <w:ind w:firstLine="0" w:left="709"/>
      <w:outlineLvl w:val="9"/>
    </w:pPr>
    <w:rPr>
      <w14:ligatures w14:val="none"/>
    </w:rPr>
  </w:style>
  <w:style w:type="paragraph" w:styleId="958">
    <w:name w:val="Title"/>
    <w:basedOn w:val="924"/>
    <w:next w:val="924"/>
    <w:link w:val="959"/>
    <w:uiPriority w:val="10"/>
    <w:qFormat/>
    <w:pPr>
      <w:pBdr/>
      <w:spacing w:after="80"/>
      <w:ind w:firstLine="709"/>
      <w:contextualSpacing w:val="true"/>
      <w:jc w:val="both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959" w:customStyle="1">
    <w:name w:val="Заголовок Знак"/>
    <w:basedOn w:val="934"/>
    <w:link w:val="9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0">
    <w:name w:val="Subtitle"/>
    <w:basedOn w:val="924"/>
    <w:next w:val="924"/>
    <w:link w:val="961"/>
    <w:uiPriority w:val="11"/>
    <w:qFormat/>
    <w:pPr>
      <w:numPr>
        <w:ilvl w:val="1"/>
      </w:numPr>
      <w:pBdr/>
      <w:spacing w:after="160" w:line="360" w:lineRule="auto"/>
      <w:ind w:firstLine="709"/>
      <w:jc w:val="both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961" w:customStyle="1">
    <w:name w:val="Подзаголовок Знак"/>
    <w:basedOn w:val="934"/>
    <w:link w:val="9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2">
    <w:name w:val="Quote"/>
    <w:basedOn w:val="924"/>
    <w:next w:val="924"/>
    <w:link w:val="963"/>
    <w:uiPriority w:val="29"/>
    <w:qFormat/>
    <w:pPr>
      <w:pBdr/>
      <w:spacing w:after="160" w:before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  <w14:ligatures w14:val="standardContextual"/>
    </w:rPr>
  </w:style>
  <w:style w:type="character" w:styleId="963" w:customStyle="1">
    <w:name w:val="Цитата 2 Знак"/>
    <w:basedOn w:val="934"/>
    <w:link w:val="962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64">
    <w:name w:val="Intense Quote"/>
    <w:basedOn w:val="924"/>
    <w:next w:val="924"/>
    <w:link w:val="96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 w:line="360" w:lineRule="auto"/>
      <w:ind w:right="864" w:firstLine="709" w:lef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character" w:styleId="965" w:customStyle="1">
    <w:name w:val="Выделенная цитата Знак"/>
    <w:basedOn w:val="934"/>
    <w:link w:val="964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66">
    <w:name w:val="Intense Emphasis"/>
    <w:basedOn w:val="93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character" w:styleId="967">
    <w:name w:val="Intense Reference"/>
    <w:basedOn w:val="93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68">
    <w:name w:val="Footer"/>
    <w:basedOn w:val="924"/>
    <w:link w:val="96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9" w:customStyle="1">
    <w:name w:val="Нижний колонтитул Знак"/>
    <w:basedOn w:val="934"/>
    <w:link w:val="96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revision>5</cp:revision>
  <dcterms:created xsi:type="dcterms:W3CDTF">2025-09-13T11:07:00Z</dcterms:created>
  <dcterms:modified xsi:type="dcterms:W3CDTF">2026-09-23T17:30:16Z</dcterms:modified>
</cp:coreProperties>
</file>