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CA68" w14:textId="6410E251" w:rsidR="00265071" w:rsidRDefault="00177456" w:rsidP="00177456">
      <w:pPr>
        <w:jc w:val="center"/>
        <w:rPr>
          <w:b/>
          <w:bCs/>
          <w:sz w:val="32"/>
          <w:szCs w:val="32"/>
          <w:lang w:val="en-US"/>
        </w:rPr>
      </w:pPr>
      <w:r w:rsidRPr="00177456">
        <w:rPr>
          <w:b/>
          <w:bCs/>
          <w:sz w:val="32"/>
          <w:szCs w:val="32"/>
          <w:lang w:val="en-US"/>
        </w:rPr>
        <w:t>Traceability Matrix for Quality Requirements and Design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77456" w14:paraId="5C494100" w14:textId="77777777" w:rsidTr="00177456">
        <w:trPr>
          <w:trHeight w:val="830"/>
        </w:trPr>
        <w:tc>
          <w:tcPr>
            <w:tcW w:w="2942" w:type="dxa"/>
            <w:shd w:val="clear" w:color="auto" w:fill="83CAEB" w:themeFill="accent1" w:themeFillTint="66"/>
          </w:tcPr>
          <w:p w14:paraId="356AD6CB" w14:textId="77777777" w:rsidR="00177456" w:rsidRPr="00177456" w:rsidRDefault="00177456" w:rsidP="00177456">
            <w:pPr>
              <w:jc w:val="center"/>
              <w:rPr>
                <w:rStyle w:val="Textoennegrita"/>
              </w:rPr>
            </w:pPr>
          </w:p>
          <w:p w14:paraId="79987F52" w14:textId="16CF9A9A" w:rsidR="00177456" w:rsidRPr="00177456" w:rsidRDefault="00177456" w:rsidP="00177456">
            <w:pPr>
              <w:jc w:val="center"/>
              <w:rPr>
                <w:b/>
                <w:bCs/>
              </w:rPr>
            </w:pPr>
            <w:proofErr w:type="spellStart"/>
            <w:r w:rsidRPr="00177456">
              <w:rPr>
                <w:rStyle w:val="Textoennegrita"/>
              </w:rPr>
              <w:t>Quality</w:t>
            </w:r>
            <w:proofErr w:type="spellEnd"/>
            <w:r w:rsidRPr="00177456">
              <w:rPr>
                <w:rStyle w:val="Textoennegrita"/>
              </w:rPr>
              <w:t xml:space="preserve"> </w:t>
            </w:r>
            <w:proofErr w:type="spellStart"/>
            <w:r w:rsidRPr="00177456">
              <w:rPr>
                <w:rStyle w:val="Textoennegrita"/>
              </w:rPr>
              <w:t>Requirement</w:t>
            </w:r>
            <w:proofErr w:type="spellEnd"/>
          </w:p>
          <w:p w14:paraId="57F2A8A8" w14:textId="77777777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943" w:type="dxa"/>
            <w:shd w:val="clear" w:color="auto" w:fill="83CAEB" w:themeFill="accent1" w:themeFillTint="66"/>
          </w:tcPr>
          <w:p w14:paraId="6D0C957C" w14:textId="77777777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33D19D0" w14:textId="470A3128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7456">
              <w:rPr>
                <w:b/>
                <w:bCs/>
                <w:sz w:val="24"/>
                <w:szCs w:val="24"/>
              </w:rPr>
              <w:t>Design</w:t>
            </w:r>
            <w:proofErr w:type="spellEnd"/>
            <w:r w:rsidRPr="0017745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456">
              <w:rPr>
                <w:b/>
                <w:bCs/>
                <w:sz w:val="24"/>
                <w:szCs w:val="24"/>
              </w:rPr>
              <w:t>Decision</w:t>
            </w:r>
            <w:proofErr w:type="spellEnd"/>
          </w:p>
        </w:tc>
        <w:tc>
          <w:tcPr>
            <w:tcW w:w="2943" w:type="dxa"/>
            <w:shd w:val="clear" w:color="auto" w:fill="83CAEB" w:themeFill="accent1" w:themeFillTint="66"/>
          </w:tcPr>
          <w:p w14:paraId="5D107E85" w14:textId="77777777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A13FFCE" w14:textId="7D77193F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7456">
              <w:rPr>
                <w:b/>
                <w:bCs/>
                <w:sz w:val="24"/>
                <w:szCs w:val="24"/>
              </w:rPr>
              <w:t>Justification</w:t>
            </w:r>
            <w:proofErr w:type="spellEnd"/>
          </w:p>
        </w:tc>
      </w:tr>
      <w:tr w:rsidR="00177456" w14:paraId="488F4E0A" w14:textId="77777777" w:rsidTr="00177456">
        <w:trPr>
          <w:trHeight w:val="983"/>
        </w:trPr>
        <w:tc>
          <w:tcPr>
            <w:tcW w:w="2942" w:type="dxa"/>
          </w:tcPr>
          <w:p w14:paraId="014F7B90" w14:textId="159C88B8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77456">
              <w:rPr>
                <w:b/>
                <w:bCs/>
                <w:sz w:val="24"/>
                <w:szCs w:val="24"/>
                <w:lang w:val="en-US"/>
              </w:rPr>
              <w:t>Consistent style for interactive areas (buttons, text boxes, etc.)</w:t>
            </w:r>
          </w:p>
        </w:tc>
        <w:tc>
          <w:tcPr>
            <w:tcW w:w="2943" w:type="dxa"/>
          </w:tcPr>
          <w:p w14:paraId="6143FFA1" w14:textId="0CEB9018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Use of a style guide and reusable components in a Design System</w:t>
            </w:r>
          </w:p>
        </w:tc>
        <w:tc>
          <w:tcPr>
            <w:tcW w:w="2943" w:type="dxa"/>
          </w:tcPr>
          <w:p w14:paraId="08B2A5CD" w14:textId="2A9C099A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Ensures visual consistency and improves usability</w:t>
            </w:r>
          </w:p>
        </w:tc>
      </w:tr>
      <w:tr w:rsidR="00177456" w14:paraId="449D8BA8" w14:textId="77777777" w:rsidTr="00177456">
        <w:trPr>
          <w:trHeight w:val="1364"/>
        </w:trPr>
        <w:tc>
          <w:tcPr>
            <w:tcW w:w="2942" w:type="dxa"/>
          </w:tcPr>
          <w:p w14:paraId="33B89444" w14:textId="77777777" w:rsid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3CB1A1B0" w14:textId="7665A003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77456">
              <w:rPr>
                <w:b/>
                <w:bCs/>
                <w:sz w:val="24"/>
                <w:szCs w:val="24"/>
                <w:lang w:val="en-US"/>
              </w:rPr>
              <w:t>Minimalist interface without distracting elements</w:t>
            </w:r>
          </w:p>
        </w:tc>
        <w:tc>
          <w:tcPr>
            <w:tcW w:w="2943" w:type="dxa"/>
          </w:tcPr>
          <w:p w14:paraId="05949E6E" w14:textId="54ACB513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Clean design with adequate white space and removal of unnecessary elements</w:t>
            </w:r>
          </w:p>
        </w:tc>
        <w:tc>
          <w:tcPr>
            <w:tcW w:w="2943" w:type="dxa"/>
          </w:tcPr>
          <w:p w14:paraId="318E8BFF" w14:textId="0B649696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Reduces cognitive load and enhances the learning experience</w:t>
            </w:r>
          </w:p>
        </w:tc>
      </w:tr>
      <w:tr w:rsidR="00177456" w14:paraId="53EB5F4C" w14:textId="77777777" w:rsidTr="00177456">
        <w:trPr>
          <w:trHeight w:val="1027"/>
        </w:trPr>
        <w:tc>
          <w:tcPr>
            <w:tcW w:w="2942" w:type="dxa"/>
          </w:tcPr>
          <w:p w14:paraId="6B037396" w14:textId="7FC07EF2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77456">
              <w:rPr>
                <w:b/>
                <w:bCs/>
                <w:sz w:val="24"/>
                <w:szCs w:val="24"/>
                <w:lang w:val="en-US"/>
              </w:rPr>
              <w:t>Clear indication of progress for each enrolled course</w:t>
            </w:r>
          </w:p>
        </w:tc>
        <w:tc>
          <w:tcPr>
            <w:tcW w:w="2943" w:type="dxa"/>
          </w:tcPr>
          <w:p w14:paraId="7E762D3C" w14:textId="06E42D1D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Progress bar in the user interface and visual states for completed modules</w:t>
            </w:r>
          </w:p>
        </w:tc>
        <w:tc>
          <w:tcPr>
            <w:tcW w:w="2943" w:type="dxa"/>
          </w:tcPr>
          <w:p w14:paraId="16B25ECB" w14:textId="5A88BBAF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Motivates users and provides clarity on their progress</w:t>
            </w:r>
          </w:p>
        </w:tc>
      </w:tr>
      <w:tr w:rsidR="00177456" w14:paraId="6A8685A4" w14:textId="77777777" w:rsidTr="00177456">
        <w:trPr>
          <w:trHeight w:val="1259"/>
        </w:trPr>
        <w:tc>
          <w:tcPr>
            <w:tcW w:w="2942" w:type="dxa"/>
          </w:tcPr>
          <w:p w14:paraId="07B3C061" w14:textId="06C0F19C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77456">
              <w:rPr>
                <w:b/>
                <w:bCs/>
                <w:sz w:val="24"/>
                <w:szCs w:val="24"/>
                <w:lang w:val="en-US"/>
              </w:rPr>
              <w:t>Processing indication when an action result is not instantly available</w:t>
            </w:r>
          </w:p>
        </w:tc>
        <w:tc>
          <w:tcPr>
            <w:tcW w:w="2943" w:type="dxa"/>
          </w:tcPr>
          <w:p w14:paraId="15E7ED95" w14:textId="1D3D4767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Use of spinners, loaders, or "Processing..." messages</w:t>
            </w:r>
          </w:p>
        </w:tc>
        <w:tc>
          <w:tcPr>
            <w:tcW w:w="2943" w:type="dxa"/>
          </w:tcPr>
          <w:p w14:paraId="7D922446" w14:textId="02A1673A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Prevents confusion and improves system responsiveness perception</w:t>
            </w:r>
          </w:p>
        </w:tc>
      </w:tr>
      <w:tr w:rsidR="00177456" w14:paraId="50CF171E" w14:textId="77777777" w:rsidTr="00177456">
        <w:trPr>
          <w:trHeight w:val="1368"/>
        </w:trPr>
        <w:tc>
          <w:tcPr>
            <w:tcW w:w="2942" w:type="dxa"/>
          </w:tcPr>
          <w:p w14:paraId="45C1DA4A" w14:textId="5F0BA025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77456">
              <w:rPr>
                <w:b/>
                <w:bCs/>
                <w:sz w:val="24"/>
                <w:szCs w:val="24"/>
                <w:lang w:val="en-US"/>
              </w:rPr>
              <w:t>Tasks based on real-world scenarios to apply soft skills</w:t>
            </w:r>
          </w:p>
        </w:tc>
        <w:tc>
          <w:tcPr>
            <w:tcW w:w="2943" w:type="dxa"/>
          </w:tcPr>
          <w:p w14:paraId="38E0306F" w14:textId="238718A8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Design of interactive exercises with simulated scenarios and immediate feedback</w:t>
            </w:r>
          </w:p>
        </w:tc>
        <w:tc>
          <w:tcPr>
            <w:tcW w:w="2943" w:type="dxa"/>
          </w:tcPr>
          <w:p w14:paraId="0BAEED37" w14:textId="1815A9BF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Facilitates practical learning and reinforces skills in real contexts</w:t>
            </w:r>
          </w:p>
        </w:tc>
      </w:tr>
      <w:tr w:rsidR="00177456" w14:paraId="4C36BC2E" w14:textId="77777777" w:rsidTr="00177456">
        <w:trPr>
          <w:trHeight w:val="1328"/>
        </w:trPr>
        <w:tc>
          <w:tcPr>
            <w:tcW w:w="2942" w:type="dxa"/>
          </w:tcPr>
          <w:p w14:paraId="14E202A8" w14:textId="168C7D82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77456">
              <w:rPr>
                <w:b/>
                <w:bCs/>
                <w:sz w:val="24"/>
                <w:szCs w:val="24"/>
                <w:lang w:val="en-US"/>
              </w:rPr>
              <w:t>Tooltips and contextual help to understand functionalities</w:t>
            </w:r>
          </w:p>
        </w:tc>
        <w:tc>
          <w:tcPr>
            <w:tcW w:w="2943" w:type="dxa"/>
          </w:tcPr>
          <w:p w14:paraId="3D8C9B08" w14:textId="1618D4AD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Integration of tooltips and pop-up messages with brief explanations in the UI</w:t>
            </w:r>
          </w:p>
        </w:tc>
        <w:tc>
          <w:tcPr>
            <w:tcW w:w="2943" w:type="dxa"/>
          </w:tcPr>
          <w:p w14:paraId="56245DFE" w14:textId="06104DD2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Improves learning curve without requiring extensive documentation</w:t>
            </w:r>
          </w:p>
        </w:tc>
      </w:tr>
      <w:tr w:rsidR="00177456" w14:paraId="154CE427" w14:textId="77777777" w:rsidTr="00177456">
        <w:trPr>
          <w:trHeight w:val="1386"/>
        </w:trPr>
        <w:tc>
          <w:tcPr>
            <w:tcW w:w="2942" w:type="dxa"/>
          </w:tcPr>
          <w:p w14:paraId="3405F7C7" w14:textId="254637B9" w:rsidR="00177456" w:rsidRPr="00177456" w:rsidRDefault="00177456" w:rsidP="001774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77456">
              <w:rPr>
                <w:b/>
                <w:bCs/>
                <w:sz w:val="24"/>
                <w:szCs w:val="24"/>
                <w:lang w:val="en-US"/>
              </w:rPr>
              <w:t>Interactive elements with sufficient size and spacing to prevent accidental inputs</w:t>
            </w:r>
          </w:p>
        </w:tc>
        <w:tc>
          <w:tcPr>
            <w:tcW w:w="2943" w:type="dxa"/>
          </w:tcPr>
          <w:p w14:paraId="63FF4C02" w14:textId="1D33D3D2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Implementation of recommended minimum button sizes and proper spacing</w:t>
            </w:r>
          </w:p>
        </w:tc>
        <w:tc>
          <w:tcPr>
            <w:tcW w:w="2943" w:type="dxa"/>
          </w:tcPr>
          <w:p w14:paraId="5413C3D7" w14:textId="44F2E7E2" w:rsidR="00177456" w:rsidRPr="00177456" w:rsidRDefault="00177456" w:rsidP="00177456">
            <w:pPr>
              <w:jc w:val="center"/>
              <w:rPr>
                <w:sz w:val="24"/>
                <w:szCs w:val="24"/>
                <w:lang w:val="en-US"/>
              </w:rPr>
            </w:pPr>
            <w:r w:rsidRPr="00177456">
              <w:rPr>
                <w:sz w:val="24"/>
                <w:szCs w:val="24"/>
                <w:lang w:val="en-US"/>
              </w:rPr>
              <w:t>Enhances accessibility and usability, reducing interaction errors</w:t>
            </w:r>
          </w:p>
        </w:tc>
      </w:tr>
    </w:tbl>
    <w:p w14:paraId="376D1E60" w14:textId="77777777" w:rsidR="00177456" w:rsidRPr="00177456" w:rsidRDefault="00177456" w:rsidP="00177456">
      <w:pPr>
        <w:rPr>
          <w:sz w:val="24"/>
          <w:szCs w:val="24"/>
          <w:lang w:val="en-US"/>
        </w:rPr>
      </w:pPr>
    </w:p>
    <w:sectPr w:rsidR="00177456" w:rsidRPr="001774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56"/>
    <w:rsid w:val="00177456"/>
    <w:rsid w:val="00265071"/>
    <w:rsid w:val="00321CB5"/>
    <w:rsid w:val="007E277B"/>
    <w:rsid w:val="0085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7A39"/>
  <w15:chartTrackingRefBased/>
  <w15:docId w15:val="{152C544D-DA56-4D78-9613-044B208F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4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4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4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4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4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4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4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4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4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4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45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77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229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Cadena Méndez</dc:creator>
  <cp:keywords/>
  <dc:description/>
  <cp:lastModifiedBy>Arturo Cadena Méndez</cp:lastModifiedBy>
  <cp:revision>1</cp:revision>
  <dcterms:created xsi:type="dcterms:W3CDTF">2025-03-24T09:09:00Z</dcterms:created>
  <dcterms:modified xsi:type="dcterms:W3CDTF">2025-03-24T09:19:00Z</dcterms:modified>
</cp:coreProperties>
</file>