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5395"/>
          <w:sz w:val="28"/>
          <w:szCs w:val="28"/>
        </w:rPr>
        <w:t xml:space="preserve">LESSON 4 — ACTIVITIES</w:t>
      </w:r>
    </w:p>
    <w:p>
      <w:pPr>
        <w:spacing w:after="200" w:before="200"/>
        <w:jc w:val="center"/>
      </w:pPr>
      <w:r>
        <w:rPr>
          <w:b/>
          <w:bCs/>
          <w:color w:val="1F3864"/>
          <w:sz w:val="40"/>
          <w:szCs w:val="40"/>
        </w:rPr>
        <w:t xml:space="preserve">In-Class Activities</w:t>
      </w:r>
    </w:p>
    <w:p>
      <w:pPr>
        <w:jc w:val="center"/>
      </w:pPr>
      <w:r>
        <w:rPr>
          <w:i/>
          <w:iCs/>
          <w:color w:val="555555"/>
          <w:sz w:val="24"/>
          <w:szCs w:val="24"/>
        </w:rPr>
        <w:t xml:space="preserve">AI Engineering Concepts for Product Managers</w:t>
      </w:r>
    </w:p>
    <w:p>
      <w:pPr>
        <w:spacing w:before="500"/>
        <w:jc w:val="center"/>
      </w:pPr>
      <w:r>
        <w:rPr>
          <w:color w:val="666666"/>
          <w:sz w:val="20"/>
          <w:szCs w:val="20"/>
        </w:rPr>
        <w:t xml:space="preserve">8 activities across 10 topics — grouped by related concepts</w:t>
      </w:r>
    </w:p>
    <w:p>
      <w:r>
        <w:br w:type="page"/>
      </w:r>
    </w:p>
    <w:p>
      <w:pPr>
        <w:pStyle w:val="Heading1"/>
        <w:spacing w:after="160" w:before="360"/>
      </w:pPr>
      <w:r>
        <w:rPr>
          <w:b/>
          <w:bCs/>
          <w:color w:val="1F3864"/>
        </w:rPr>
        <w:t xml:space="preserve">How to Use This Document</w:t>
      </w:r>
    </w:p>
    <w:p>
      <w:pPr>
        <w:spacing w:after="160" w:line="300"/>
      </w:pPr>
      <w:r>
        <w:t xml:space="preserve">This is the most architecture-heavy lesson so far. Several activities work best as whiteboard or paper exercises where students sketch a system, rather than purely discussion-based.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700"/>
        <w:gridCol w:w="1500"/>
        <w:gridCol w:w="3060"/>
      </w:tblGrid>
      <w:tr>
        <w:trPr>
          <w:tblHeader/>
        </w:trPr>
        <w:tc>
          <w:tcPr>
            <w:tcW w:type="dxa" w:w="500"/>
            <w:shd w:fill="1F3864" w:val="clear"/>
            <w:tcMar>
              <w:top w:type="dxa" w:w="100"/>
              <w:left w:type="dxa" w:w="110"/>
              <w:bottom w:type="dxa" w:w="100"/>
              <w:right w:type="dxa" w:w="110"/>
            </w:tcMar>
          </w:tcPr>
          <w:p>
            <w:r>
              <w:rPr>
                <w:b/>
                <w:bCs/>
                <w:color w:val="FFFFFF"/>
                <w:sz w:val="19"/>
                <w:szCs w:val="19"/>
              </w:rPr>
              <w:t xml:space="preserve">#</w:t>
            </w:r>
          </w:p>
        </w:tc>
        <w:tc>
          <w:tcPr>
            <w:tcW w:type="dxa" w:w="2600"/>
            <w:shd w:fill="1F3864" w:val="clear"/>
            <w:tcMar>
              <w:top w:type="dxa" w:w="100"/>
              <w:left w:type="dxa" w:w="110"/>
              <w:bottom w:type="dxa" w:w="100"/>
              <w:right w:type="dxa" w:w="110"/>
            </w:tcMar>
          </w:tcPr>
          <w:p>
            <w:r>
              <w:rPr>
                <w:b/>
                <w:bCs/>
                <w:color w:val="FFFFFF"/>
                <w:sz w:val="19"/>
                <w:szCs w:val="19"/>
              </w:rPr>
              <w:t xml:space="preserve">Activity</w:t>
            </w:r>
          </w:p>
        </w:tc>
        <w:tc>
          <w:tcPr>
            <w:tcW w:type="dxa" w:w="1700"/>
            <w:shd w:fill="1F3864" w:val="clear"/>
            <w:tcMar>
              <w:top w:type="dxa" w:w="100"/>
              <w:left w:type="dxa" w:w="110"/>
              <w:bottom w:type="dxa" w:w="100"/>
              <w:right w:type="dxa" w:w="110"/>
            </w:tcMar>
          </w:tcPr>
          <w:p>
            <w:r>
              <w:rPr>
                <w:b/>
                <w:bCs/>
                <w:color w:val="FFFFFF"/>
                <w:sz w:val="19"/>
                <w:szCs w:val="19"/>
              </w:rPr>
              <w:t xml:space="preserve">Covers</w:t>
            </w:r>
          </w:p>
        </w:tc>
        <w:tc>
          <w:tcPr>
            <w:tcW w:type="dxa" w:w="1500"/>
            <w:shd w:fill="1F3864" w:val="clear"/>
            <w:tcMar>
              <w:top w:type="dxa" w:w="100"/>
              <w:left w:type="dxa" w:w="110"/>
              <w:bottom w:type="dxa" w:w="100"/>
              <w:right w:type="dxa" w:w="110"/>
            </w:tcMar>
          </w:tcPr>
          <w:p>
            <w:r>
              <w:rPr>
                <w:b/>
                <w:bCs/>
                <w:color w:val="FFFFFF"/>
                <w:sz w:val="19"/>
                <w:szCs w:val="19"/>
              </w:rPr>
              <w:t xml:space="preserve">Priority</w:t>
            </w:r>
          </w:p>
        </w:tc>
        <w:tc>
          <w:tcPr>
            <w:tcW w:type="dxa" w:w="3060"/>
            <w:shd w:fill="1F3864" w:val="clear"/>
            <w:tcMar>
              <w:top w:type="dxa" w:w="100"/>
              <w:left w:type="dxa" w:w="110"/>
              <w:bottom w:type="dxa" w:w="100"/>
              <w:right w:type="dxa" w:w="110"/>
            </w:tcMar>
          </w:tcPr>
          <w:p>
            <w:r>
              <w:rPr>
                <w:b/>
                <w:bCs/>
                <w:color w:val="FFFFFF"/>
                <w:sz w:val="19"/>
                <w:szCs w:val="19"/>
              </w:rPr>
              <w:t xml:space="preserve">Time</w:t>
            </w:r>
          </w:p>
        </w:tc>
      </w:tr>
      <w:tr>
        <w:tc>
          <w:tcPr>
            <w:tcW w:type="dxa" w:w="500"/>
            <w:shd w:fill="FFFFFF" w:val="clear"/>
            <w:tcMar>
              <w:top w:type="dxa" w:w="90"/>
              <w:left w:type="dxa" w:w="110"/>
              <w:bottom w:type="dxa" w:w="90"/>
              <w:right w:type="dxa" w:w="110"/>
            </w:tcMar>
          </w:tcPr>
          <w:p>
            <w:r>
              <w:rPr>
                <w:sz w:val="19"/>
                <w:szCs w:val="19"/>
              </w:rPr>
              <w:t xml:space="preserve">1</w:t>
            </w:r>
          </w:p>
        </w:tc>
        <w:tc>
          <w:tcPr>
            <w:tcW w:type="dxa" w:w="2600"/>
            <w:shd w:fill="FFFFFF" w:val="clear"/>
            <w:tcMar>
              <w:top w:type="dxa" w:w="90"/>
              <w:left w:type="dxa" w:w="110"/>
              <w:bottom w:type="dxa" w:w="90"/>
              <w:right w:type="dxa" w:w="110"/>
            </w:tcMar>
          </w:tcPr>
          <w:p>
            <w:r>
              <w:rPr>
                <w:sz w:val="19"/>
                <w:szCs w:val="19"/>
              </w:rPr>
              <w:t xml:space="preserve">Read the API Docs</w:t>
            </w:r>
          </w:p>
        </w:tc>
        <w:tc>
          <w:tcPr>
            <w:tcW w:type="dxa" w:w="1700"/>
            <w:shd w:fill="FFFFFF" w:val="clear"/>
            <w:tcMar>
              <w:top w:type="dxa" w:w="90"/>
              <w:left w:type="dxa" w:w="110"/>
              <w:bottom w:type="dxa" w:w="90"/>
              <w:right w:type="dxa" w:w="110"/>
            </w:tcMar>
          </w:tcPr>
          <w:p>
            <w:r>
              <w:rPr>
                <w:sz w:val="19"/>
                <w:szCs w:val="19"/>
              </w:rPr>
              <w:t xml:space="preserve">4.1</w:t>
            </w:r>
          </w:p>
        </w:tc>
        <w:tc>
          <w:tcPr>
            <w:tcW w:type="dxa" w:w="1500"/>
            <w:shd w:fill="FFFFFF" w:val="clear"/>
            <w:tcMar>
              <w:top w:type="dxa" w:w="90"/>
              <w:left w:type="dxa" w:w="110"/>
              <w:bottom w:type="dxa" w:w="90"/>
              <w:right w:type="dxa" w:w="110"/>
            </w:tcMar>
          </w:tcPr>
          <w:p>
            <w:r>
              <w:rPr>
                <w:sz w:val="19"/>
                <w:szCs w:val="19"/>
              </w:rPr>
              <w:t xml:space="preserve">Core</w:t>
            </w:r>
          </w:p>
        </w:tc>
        <w:tc>
          <w:tcPr>
            <w:tcW w:type="dxa" w:w="3060"/>
            <w:shd w:fill="FFFFFF" w:val="clear"/>
            <w:tcMar>
              <w:top w:type="dxa" w:w="90"/>
              <w:left w:type="dxa" w:w="110"/>
              <w:bottom w:type="dxa" w:w="90"/>
              <w:right w:type="dxa" w:w="110"/>
            </w:tcMar>
          </w:tcPr>
          <w:p>
            <w:r>
              <w:rPr>
                <w:sz w:val="19"/>
                <w:szCs w:val="19"/>
              </w:rPr>
              <w:t xml:space="preserve">10 min</w:t>
            </w:r>
          </w:p>
        </w:tc>
      </w:tr>
      <w:tr>
        <w:tc>
          <w:tcPr>
            <w:tcW w:type="dxa" w:w="500"/>
            <w:shd w:fill="F2F2F2" w:val="clear"/>
            <w:tcMar>
              <w:top w:type="dxa" w:w="90"/>
              <w:left w:type="dxa" w:w="110"/>
              <w:bottom w:type="dxa" w:w="90"/>
              <w:right w:type="dxa" w:w="110"/>
            </w:tcMar>
          </w:tcPr>
          <w:p>
            <w:r>
              <w:rPr>
                <w:sz w:val="19"/>
                <w:szCs w:val="19"/>
              </w:rPr>
              <w:t xml:space="preserve">2</w:t>
            </w:r>
          </w:p>
        </w:tc>
        <w:tc>
          <w:tcPr>
            <w:tcW w:type="dxa" w:w="2600"/>
            <w:shd w:fill="F2F2F2" w:val="clear"/>
            <w:tcMar>
              <w:top w:type="dxa" w:w="90"/>
              <w:left w:type="dxa" w:w="110"/>
              <w:bottom w:type="dxa" w:w="90"/>
              <w:right w:type="dxa" w:w="110"/>
            </w:tcMar>
          </w:tcPr>
          <w:p>
            <w:r>
              <w:rPr>
                <w:sz w:val="19"/>
                <w:szCs w:val="19"/>
              </w:rPr>
              <w:t xml:space="preserve">Sketch the Stack</w:t>
            </w:r>
          </w:p>
        </w:tc>
        <w:tc>
          <w:tcPr>
            <w:tcW w:type="dxa" w:w="1700"/>
            <w:shd w:fill="F2F2F2" w:val="clear"/>
            <w:tcMar>
              <w:top w:type="dxa" w:w="90"/>
              <w:left w:type="dxa" w:w="110"/>
              <w:bottom w:type="dxa" w:w="90"/>
              <w:right w:type="dxa" w:w="110"/>
            </w:tcMar>
          </w:tcPr>
          <w:p>
            <w:r>
              <w:rPr>
                <w:sz w:val="19"/>
                <w:szCs w:val="19"/>
              </w:rPr>
              <w:t xml:space="preserve">4.2</w:t>
            </w:r>
          </w:p>
        </w:tc>
        <w:tc>
          <w:tcPr>
            <w:tcW w:type="dxa" w:w="1500"/>
            <w:shd w:fill="F2F2F2" w:val="clear"/>
            <w:tcMar>
              <w:top w:type="dxa" w:w="90"/>
              <w:left w:type="dxa" w:w="110"/>
              <w:bottom w:type="dxa" w:w="90"/>
              <w:right w:type="dxa" w:w="110"/>
            </w:tcMar>
          </w:tcPr>
          <w:p>
            <w:r>
              <w:rPr>
                <w:sz w:val="19"/>
                <w:szCs w:val="19"/>
              </w:rPr>
              <w:t xml:space="preserve">Core</w:t>
            </w:r>
          </w:p>
        </w:tc>
        <w:tc>
          <w:tcPr>
            <w:tcW w:type="dxa" w:w="3060"/>
            <w:shd w:fill="F2F2F2" w:val="clear"/>
            <w:tcMar>
              <w:top w:type="dxa" w:w="90"/>
              <w:left w:type="dxa" w:w="110"/>
              <w:bottom w:type="dxa" w:w="90"/>
              <w:right w:type="dxa" w:w="110"/>
            </w:tcMar>
          </w:tcPr>
          <w:p>
            <w:r>
              <w:rPr>
                <w:sz w:val="19"/>
                <w:szCs w:val="19"/>
              </w:rPr>
              <w:t xml:space="preserve">15 min</w:t>
            </w:r>
          </w:p>
        </w:tc>
      </w:tr>
      <w:tr>
        <w:tc>
          <w:tcPr>
            <w:tcW w:type="dxa" w:w="500"/>
            <w:shd w:fill="FFFFFF" w:val="clear"/>
            <w:tcMar>
              <w:top w:type="dxa" w:w="90"/>
              <w:left w:type="dxa" w:w="110"/>
              <w:bottom w:type="dxa" w:w="90"/>
              <w:right w:type="dxa" w:w="110"/>
            </w:tcMar>
          </w:tcPr>
          <w:p>
            <w:r>
              <w:rPr>
                <w:sz w:val="19"/>
                <w:szCs w:val="19"/>
              </w:rPr>
              <w:t xml:space="preserve">3</w:t>
            </w:r>
          </w:p>
        </w:tc>
        <w:tc>
          <w:tcPr>
            <w:tcW w:type="dxa" w:w="2600"/>
            <w:shd w:fill="FFFFFF" w:val="clear"/>
            <w:tcMar>
              <w:top w:type="dxa" w:w="90"/>
              <w:left w:type="dxa" w:w="110"/>
              <w:bottom w:type="dxa" w:w="90"/>
              <w:right w:type="dxa" w:w="110"/>
            </w:tcMar>
          </w:tcPr>
          <w:p>
            <w:r>
              <w:rPr>
                <w:sz w:val="19"/>
                <w:szCs w:val="19"/>
              </w:rPr>
              <w:t xml:space="preserve">Build a RAG Pipeline on Paper</w:t>
            </w:r>
          </w:p>
        </w:tc>
        <w:tc>
          <w:tcPr>
            <w:tcW w:type="dxa" w:w="1700"/>
            <w:shd w:fill="FFFFFF" w:val="clear"/>
            <w:tcMar>
              <w:top w:type="dxa" w:w="90"/>
              <w:left w:type="dxa" w:w="110"/>
              <w:bottom w:type="dxa" w:w="90"/>
              <w:right w:type="dxa" w:w="110"/>
            </w:tcMar>
          </w:tcPr>
          <w:p>
            <w:r>
              <w:rPr>
                <w:sz w:val="19"/>
                <w:szCs w:val="19"/>
              </w:rPr>
              <w:t xml:space="preserve">4.3, 4.4, 4.5</w:t>
            </w:r>
          </w:p>
        </w:tc>
        <w:tc>
          <w:tcPr>
            <w:tcW w:type="dxa" w:w="1500"/>
            <w:shd w:fill="FFFFFF" w:val="clear"/>
            <w:tcMar>
              <w:top w:type="dxa" w:w="90"/>
              <w:left w:type="dxa" w:w="110"/>
              <w:bottom w:type="dxa" w:w="90"/>
              <w:right w:type="dxa" w:w="110"/>
            </w:tcMar>
          </w:tcPr>
          <w:p>
            <w:r>
              <w:rPr>
                <w:sz w:val="19"/>
                <w:szCs w:val="19"/>
              </w:rPr>
              <w:t xml:space="preserve">Core</w:t>
            </w:r>
          </w:p>
        </w:tc>
        <w:tc>
          <w:tcPr>
            <w:tcW w:type="dxa" w:w="3060"/>
            <w:shd w:fill="FFFFFF" w:val="clear"/>
            <w:tcMar>
              <w:top w:type="dxa" w:w="90"/>
              <w:left w:type="dxa" w:w="110"/>
              <w:bottom w:type="dxa" w:w="90"/>
              <w:right w:type="dxa" w:w="110"/>
            </w:tcMar>
          </w:tcPr>
          <w:p>
            <w:r>
              <w:rPr>
                <w:sz w:val="19"/>
                <w:szCs w:val="19"/>
              </w:rPr>
              <w:t xml:space="preserve">20 min</w:t>
            </w:r>
          </w:p>
        </w:tc>
      </w:tr>
      <w:tr>
        <w:tc>
          <w:tcPr>
            <w:tcW w:type="dxa" w:w="500"/>
            <w:shd w:fill="F2F2F2" w:val="clear"/>
            <w:tcMar>
              <w:top w:type="dxa" w:w="90"/>
              <w:left w:type="dxa" w:w="110"/>
              <w:bottom w:type="dxa" w:w="90"/>
              <w:right w:type="dxa" w:w="110"/>
            </w:tcMar>
          </w:tcPr>
          <w:p>
            <w:r>
              <w:rPr>
                <w:sz w:val="19"/>
                <w:szCs w:val="19"/>
              </w:rPr>
              <w:t xml:space="preserve">4</w:t>
            </w:r>
          </w:p>
        </w:tc>
        <w:tc>
          <w:tcPr>
            <w:tcW w:type="dxa" w:w="2600"/>
            <w:shd w:fill="F2F2F2" w:val="clear"/>
            <w:tcMar>
              <w:top w:type="dxa" w:w="90"/>
              <w:left w:type="dxa" w:w="110"/>
              <w:bottom w:type="dxa" w:w="90"/>
              <w:right w:type="dxa" w:w="110"/>
            </w:tcMar>
          </w:tcPr>
          <w:p>
            <w:r>
              <w:rPr>
                <w:sz w:val="19"/>
                <w:szCs w:val="19"/>
              </w:rPr>
              <w:t xml:space="preserve">RAG or Fine-Tune?</w:t>
            </w:r>
          </w:p>
        </w:tc>
        <w:tc>
          <w:tcPr>
            <w:tcW w:type="dxa" w:w="1700"/>
            <w:shd w:fill="F2F2F2" w:val="clear"/>
            <w:tcMar>
              <w:top w:type="dxa" w:w="90"/>
              <w:left w:type="dxa" w:w="110"/>
              <w:bottom w:type="dxa" w:w="90"/>
              <w:right w:type="dxa" w:w="110"/>
            </w:tcMar>
          </w:tcPr>
          <w:p>
            <w:r>
              <w:rPr>
                <w:sz w:val="19"/>
                <w:szCs w:val="19"/>
              </w:rPr>
              <w:t xml:space="preserve">4.6</w:t>
            </w:r>
          </w:p>
        </w:tc>
        <w:tc>
          <w:tcPr>
            <w:tcW w:type="dxa" w:w="1500"/>
            <w:shd w:fill="F2F2F2" w:val="clear"/>
            <w:tcMar>
              <w:top w:type="dxa" w:w="90"/>
              <w:left w:type="dxa" w:w="110"/>
              <w:bottom w:type="dxa" w:w="90"/>
              <w:right w:type="dxa" w:w="110"/>
            </w:tcMar>
          </w:tcPr>
          <w:p>
            <w:r>
              <w:rPr>
                <w:sz w:val="19"/>
                <w:szCs w:val="19"/>
              </w:rPr>
              <w:t xml:space="preserve">Core</w:t>
            </w:r>
          </w:p>
        </w:tc>
        <w:tc>
          <w:tcPr>
            <w:tcW w:type="dxa" w:w="3060"/>
            <w:shd w:fill="F2F2F2" w:val="clear"/>
            <w:tcMar>
              <w:top w:type="dxa" w:w="90"/>
              <w:left w:type="dxa" w:w="110"/>
              <w:bottom w:type="dxa" w:w="90"/>
              <w:right w:type="dxa" w:w="110"/>
            </w:tcMar>
          </w:tcPr>
          <w:p>
            <w:r>
              <w:rPr>
                <w:sz w:val="19"/>
                <w:szCs w:val="19"/>
              </w:rPr>
              <w:t xml:space="preserve">15 min</w:t>
            </w:r>
          </w:p>
        </w:tc>
      </w:tr>
      <w:tr>
        <w:tc>
          <w:tcPr>
            <w:tcW w:type="dxa" w:w="500"/>
            <w:shd w:fill="FFFFFF" w:val="clear"/>
            <w:tcMar>
              <w:top w:type="dxa" w:w="90"/>
              <w:left w:type="dxa" w:w="110"/>
              <w:bottom w:type="dxa" w:w="90"/>
              <w:right w:type="dxa" w:w="110"/>
            </w:tcMar>
          </w:tcPr>
          <w:p>
            <w:r>
              <w:rPr>
                <w:sz w:val="19"/>
                <w:szCs w:val="19"/>
              </w:rPr>
              <w:t xml:space="preserve">5</w:t>
            </w:r>
          </w:p>
        </w:tc>
        <w:tc>
          <w:tcPr>
            <w:tcW w:type="dxa" w:w="2600"/>
            <w:shd w:fill="FFFFFF" w:val="clear"/>
            <w:tcMar>
              <w:top w:type="dxa" w:w="90"/>
              <w:left w:type="dxa" w:w="110"/>
              <w:bottom w:type="dxa" w:w="90"/>
              <w:right w:type="dxa" w:w="110"/>
            </w:tcMar>
          </w:tcPr>
          <w:p>
            <w:r>
              <w:rPr>
                <w:sz w:val="19"/>
                <w:szCs w:val="19"/>
              </w:rPr>
              <w:t xml:space="preserve">Trace the Pipeline</w:t>
            </w:r>
          </w:p>
        </w:tc>
        <w:tc>
          <w:tcPr>
            <w:tcW w:type="dxa" w:w="1700"/>
            <w:shd w:fill="FFFFFF" w:val="clear"/>
            <w:tcMar>
              <w:top w:type="dxa" w:w="90"/>
              <w:left w:type="dxa" w:w="110"/>
              <w:bottom w:type="dxa" w:w="90"/>
              <w:right w:type="dxa" w:w="110"/>
            </w:tcMar>
          </w:tcPr>
          <w:p>
            <w:r>
              <w:rPr>
                <w:sz w:val="19"/>
                <w:szCs w:val="19"/>
              </w:rPr>
              <w:t xml:space="preserve">4.7</w:t>
            </w:r>
          </w:p>
        </w:tc>
        <w:tc>
          <w:tcPr>
            <w:tcW w:type="dxa" w:w="1500"/>
            <w:shd w:fill="FFFFFF" w:val="clear"/>
            <w:tcMar>
              <w:top w:type="dxa" w:w="90"/>
              <w:left w:type="dxa" w:w="110"/>
              <w:bottom w:type="dxa" w:w="90"/>
              <w:right w:type="dxa" w:w="110"/>
            </w:tcMar>
          </w:tcPr>
          <w:p>
            <w:r>
              <w:rPr>
                <w:sz w:val="19"/>
                <w:szCs w:val="19"/>
              </w:rPr>
              <w:t xml:space="preserve">Core</w:t>
            </w:r>
          </w:p>
        </w:tc>
        <w:tc>
          <w:tcPr>
            <w:tcW w:type="dxa" w:w="3060"/>
            <w:shd w:fill="FFFFFF" w:val="clear"/>
            <w:tcMar>
              <w:top w:type="dxa" w:w="90"/>
              <w:left w:type="dxa" w:w="110"/>
              <w:bottom w:type="dxa" w:w="90"/>
              <w:right w:type="dxa" w:w="110"/>
            </w:tcMar>
          </w:tcPr>
          <w:p>
            <w:r>
              <w:rPr>
                <w:sz w:val="19"/>
                <w:szCs w:val="19"/>
              </w:rPr>
              <w:t xml:space="preserve">15 min</w:t>
            </w:r>
          </w:p>
        </w:tc>
      </w:tr>
      <w:tr>
        <w:tc>
          <w:tcPr>
            <w:tcW w:type="dxa" w:w="500"/>
            <w:shd w:fill="F2F2F2" w:val="clear"/>
            <w:tcMar>
              <w:top w:type="dxa" w:w="90"/>
              <w:left w:type="dxa" w:w="110"/>
              <w:bottom w:type="dxa" w:w="90"/>
              <w:right w:type="dxa" w:w="110"/>
            </w:tcMar>
          </w:tcPr>
          <w:p>
            <w:r>
              <w:rPr>
                <w:sz w:val="19"/>
                <w:szCs w:val="19"/>
              </w:rPr>
              <w:t xml:space="preserve">6</w:t>
            </w:r>
          </w:p>
        </w:tc>
        <w:tc>
          <w:tcPr>
            <w:tcW w:type="dxa" w:w="2600"/>
            <w:shd w:fill="F2F2F2" w:val="clear"/>
            <w:tcMar>
              <w:top w:type="dxa" w:w="90"/>
              <w:left w:type="dxa" w:w="110"/>
              <w:bottom w:type="dxa" w:w="90"/>
              <w:right w:type="dxa" w:w="110"/>
            </w:tcMar>
          </w:tcPr>
          <w:p>
            <w:r>
              <w:rPr>
                <w:sz w:val="19"/>
                <w:szCs w:val="19"/>
              </w:rPr>
              <w:t xml:space="preserve">Serving Strategy Draft</w:t>
            </w:r>
          </w:p>
        </w:tc>
        <w:tc>
          <w:tcPr>
            <w:tcW w:type="dxa" w:w="1700"/>
            <w:shd w:fill="F2F2F2" w:val="clear"/>
            <w:tcMar>
              <w:top w:type="dxa" w:w="90"/>
              <w:left w:type="dxa" w:w="110"/>
              <w:bottom w:type="dxa" w:w="90"/>
              <w:right w:type="dxa" w:w="110"/>
            </w:tcMar>
          </w:tcPr>
          <w:p>
            <w:r>
              <w:rPr>
                <w:sz w:val="19"/>
                <w:szCs w:val="19"/>
              </w:rPr>
              <w:t xml:space="preserve">4.8</w:t>
            </w:r>
          </w:p>
        </w:tc>
        <w:tc>
          <w:tcPr>
            <w:tcW w:type="dxa" w:w="1500"/>
            <w:shd w:fill="F2F2F2" w:val="clear"/>
            <w:tcMar>
              <w:top w:type="dxa" w:w="90"/>
              <w:left w:type="dxa" w:w="110"/>
              <w:bottom w:type="dxa" w:w="90"/>
              <w:right w:type="dxa" w:w="110"/>
            </w:tcMar>
          </w:tcPr>
          <w:p>
            <w:r>
              <w:rPr>
                <w:sz w:val="19"/>
                <w:szCs w:val="19"/>
              </w:rPr>
              <w:t xml:space="preserve">Optional</w:t>
            </w:r>
          </w:p>
        </w:tc>
        <w:tc>
          <w:tcPr>
            <w:tcW w:type="dxa" w:w="3060"/>
            <w:shd w:fill="F2F2F2" w:val="clear"/>
            <w:tcMar>
              <w:top w:type="dxa" w:w="90"/>
              <w:left w:type="dxa" w:w="110"/>
              <w:bottom w:type="dxa" w:w="90"/>
              <w:right w:type="dxa" w:w="110"/>
            </w:tcMar>
          </w:tcPr>
          <w:p>
            <w:r>
              <w:rPr>
                <w:sz w:val="19"/>
                <w:szCs w:val="19"/>
              </w:rPr>
              <w:t xml:space="preserve">10 min</w:t>
            </w:r>
          </w:p>
        </w:tc>
      </w:tr>
      <w:tr>
        <w:tc>
          <w:tcPr>
            <w:tcW w:type="dxa" w:w="500"/>
            <w:shd w:fill="FFFFFF" w:val="clear"/>
            <w:tcMar>
              <w:top w:type="dxa" w:w="90"/>
              <w:left w:type="dxa" w:w="110"/>
              <w:bottom w:type="dxa" w:w="90"/>
              <w:right w:type="dxa" w:w="110"/>
            </w:tcMar>
          </w:tcPr>
          <w:p>
            <w:r>
              <w:rPr>
                <w:sz w:val="19"/>
                <w:szCs w:val="19"/>
              </w:rPr>
              <w:t xml:space="preserve">7</w:t>
            </w:r>
          </w:p>
        </w:tc>
        <w:tc>
          <w:tcPr>
            <w:tcW w:type="dxa" w:w="2600"/>
            <w:shd w:fill="FFFFFF" w:val="clear"/>
            <w:tcMar>
              <w:top w:type="dxa" w:w="90"/>
              <w:left w:type="dxa" w:w="110"/>
              <w:bottom w:type="dxa" w:w="90"/>
              <w:right w:type="dxa" w:w="110"/>
            </w:tcMar>
          </w:tcPr>
          <w:p>
            <w:r>
              <w:rPr>
                <w:sz w:val="19"/>
                <w:szCs w:val="19"/>
              </w:rPr>
              <w:t xml:space="preserve">Budget the Bot</w:t>
            </w:r>
          </w:p>
        </w:tc>
        <w:tc>
          <w:tcPr>
            <w:tcW w:type="dxa" w:w="1700"/>
            <w:shd w:fill="FFFFFF" w:val="clear"/>
            <w:tcMar>
              <w:top w:type="dxa" w:w="90"/>
              <w:left w:type="dxa" w:w="110"/>
              <w:bottom w:type="dxa" w:w="90"/>
              <w:right w:type="dxa" w:w="110"/>
            </w:tcMar>
          </w:tcPr>
          <w:p>
            <w:r>
              <w:rPr>
                <w:sz w:val="19"/>
                <w:szCs w:val="19"/>
              </w:rPr>
              <w:t xml:space="preserve">4.9</w:t>
            </w:r>
          </w:p>
        </w:tc>
        <w:tc>
          <w:tcPr>
            <w:tcW w:type="dxa" w:w="1500"/>
            <w:shd w:fill="FFFFFF" w:val="clear"/>
            <w:tcMar>
              <w:top w:type="dxa" w:w="90"/>
              <w:left w:type="dxa" w:w="110"/>
              <w:bottom w:type="dxa" w:w="90"/>
              <w:right w:type="dxa" w:w="110"/>
            </w:tcMar>
          </w:tcPr>
          <w:p>
            <w:r>
              <w:rPr>
                <w:sz w:val="19"/>
                <w:szCs w:val="19"/>
              </w:rPr>
              <w:t xml:space="preserve">Core</w:t>
            </w:r>
          </w:p>
        </w:tc>
        <w:tc>
          <w:tcPr>
            <w:tcW w:type="dxa" w:w="3060"/>
            <w:shd w:fill="FFFFFF" w:val="clear"/>
            <w:tcMar>
              <w:top w:type="dxa" w:w="90"/>
              <w:left w:type="dxa" w:w="110"/>
              <w:bottom w:type="dxa" w:w="90"/>
              <w:right w:type="dxa" w:w="110"/>
            </w:tcMar>
          </w:tcPr>
          <w:p>
            <w:r>
              <w:rPr>
                <w:sz w:val="19"/>
                <w:szCs w:val="19"/>
              </w:rPr>
              <w:t xml:space="preserve">15 min</w:t>
            </w:r>
          </w:p>
        </w:tc>
      </w:tr>
      <w:tr>
        <w:tc>
          <w:tcPr>
            <w:tcW w:type="dxa" w:w="500"/>
            <w:shd w:fill="F2F2F2" w:val="clear"/>
            <w:tcMar>
              <w:top w:type="dxa" w:w="90"/>
              <w:left w:type="dxa" w:w="110"/>
              <w:bottom w:type="dxa" w:w="90"/>
              <w:right w:type="dxa" w:w="110"/>
            </w:tcMar>
          </w:tcPr>
          <w:p>
            <w:r>
              <w:rPr>
                <w:sz w:val="19"/>
                <w:szCs w:val="19"/>
              </w:rPr>
              <w:t xml:space="preserve">8</w:t>
            </w:r>
          </w:p>
        </w:tc>
        <w:tc>
          <w:tcPr>
            <w:tcW w:type="dxa" w:w="2600"/>
            <w:shd w:fill="F2F2F2" w:val="clear"/>
            <w:tcMar>
              <w:top w:type="dxa" w:w="90"/>
              <w:left w:type="dxa" w:w="110"/>
              <w:bottom w:type="dxa" w:w="90"/>
              <w:right w:type="dxa" w:w="110"/>
            </w:tcMar>
          </w:tcPr>
          <w:p>
            <w:r>
              <w:rPr>
                <w:sz w:val="19"/>
                <w:szCs w:val="19"/>
              </w:rPr>
              <w:t xml:space="preserve">Design an Eval Set</w:t>
            </w:r>
          </w:p>
        </w:tc>
        <w:tc>
          <w:tcPr>
            <w:tcW w:type="dxa" w:w="1700"/>
            <w:shd w:fill="F2F2F2" w:val="clear"/>
            <w:tcMar>
              <w:top w:type="dxa" w:w="90"/>
              <w:left w:type="dxa" w:w="110"/>
              <w:bottom w:type="dxa" w:w="90"/>
              <w:right w:type="dxa" w:w="110"/>
            </w:tcMar>
          </w:tcPr>
          <w:p>
            <w:r>
              <w:rPr>
                <w:sz w:val="19"/>
                <w:szCs w:val="19"/>
              </w:rPr>
              <w:t xml:space="preserve">4.10</w:t>
            </w:r>
          </w:p>
        </w:tc>
        <w:tc>
          <w:tcPr>
            <w:tcW w:type="dxa" w:w="1500"/>
            <w:shd w:fill="F2F2F2" w:val="clear"/>
            <w:tcMar>
              <w:top w:type="dxa" w:w="90"/>
              <w:left w:type="dxa" w:w="110"/>
              <w:bottom w:type="dxa" w:w="90"/>
              <w:right w:type="dxa" w:w="110"/>
            </w:tcMar>
          </w:tcPr>
          <w:p>
            <w:r>
              <w:rPr>
                <w:sz w:val="19"/>
                <w:szCs w:val="19"/>
              </w:rPr>
              <w:t xml:space="preserve">Core</w:t>
            </w:r>
          </w:p>
        </w:tc>
        <w:tc>
          <w:tcPr>
            <w:tcW w:type="dxa" w:w="3060"/>
            <w:shd w:fill="F2F2F2" w:val="clear"/>
            <w:tcMar>
              <w:top w:type="dxa" w:w="90"/>
              <w:left w:type="dxa" w:w="110"/>
              <w:bottom w:type="dxa" w:w="90"/>
              <w:right w:type="dxa" w:w="110"/>
            </w:tcMar>
          </w:tcPr>
          <w:p>
            <w:r>
              <w:rPr>
                <w:sz w:val="19"/>
                <w:szCs w:val="19"/>
              </w:rPr>
              <w:t xml:space="preserve">15 min</w:t>
            </w:r>
          </w:p>
        </w:tc>
      </w:tr>
    </w:tbl>
    <w:p>
      <w:r>
        <w:br w:type="page"/>
      </w:r>
    </w:p>
    <w:tbl>
      <w:tblPr>
        <w:tblW w:type="dxa" w:w="9360"/>
        <w:tblBorders>
          <w:top w:val="single" w:color="1F3864" w:sz="4"/>
          <w:left w:val="single" w:color="1F3864" w:sz="4"/>
          <w:bottom w:val="single" w:color="1F3864" w:sz="4"/>
          <w:right w:val="single" w:color="1F3864" w:sz="4"/>
          <w:insideH w:val="single" w:color="1F3864" w:sz="4"/>
          <w:insideV w:val="single" w:color="1F3864" w:sz="4"/>
        </w:tblBorders>
      </w:tblPr>
      <w:tblGrid>
        <w:gridCol w:w="4680"/>
        <w:gridCol w:w="2340"/>
        <w:gridCol w:w="2340"/>
      </w:tblGrid>
      <w:tr>
        <w:tc>
          <w:tcPr>
            <w:tcW w:type="dxa" w:w="4680"/>
            <w:shd w:fill="1F3864" w:val="clear"/>
            <w:tcMar>
              <w:top w:type="dxa" w:w="100"/>
              <w:left w:type="dxa" w:w="140"/>
              <w:bottom w:type="dxa" w:w="100"/>
              <w:right w:type="dxa" w:w="140"/>
            </w:tcMar>
          </w:tcPr>
          <w:p>
            <w:r>
              <w:rPr>
                <w:b/>
                <w:bCs/>
                <w:color w:val="FFFFFF"/>
                <w:sz w:val="21"/>
                <w:szCs w:val="21"/>
              </w:rPr>
              <w:t xml:space="preserve">Activity 1: Read the API Docs</w:t>
            </w:r>
          </w:p>
        </w:tc>
        <w:tc>
          <w:tcPr>
            <w:tcW w:type="dxa" w:w="2340"/>
            <w:shd w:fill="2E7D32" w:val="clear"/>
            <w:tcMar>
              <w:top w:type="dxa" w:w="100"/>
              <w:left w:type="dxa" w:w="140"/>
              <w:bottom w:type="dxa" w:w="100"/>
              <w:right w:type="dxa" w:w="140"/>
            </w:tcMar>
          </w:tcPr>
          <w:p>
            <w:pPr>
              <w:jc w:val="center"/>
            </w:pPr>
            <w:r>
              <w:rPr>
                <w:b/>
                <w:bCs/>
                <w:color w:val="FFFFFF"/>
                <w:sz w:val="19"/>
                <w:szCs w:val="19"/>
              </w:rPr>
              <w:t xml:space="preserve">10 min</w:t>
            </w:r>
          </w:p>
        </w:tc>
        <w:tc>
          <w:tcPr>
            <w:tcW w:type="dxa" w:w="2340"/>
            <w:shd w:fill="2E5395" w:val="clear"/>
            <w:tcMar>
              <w:top w:type="dxa" w:w="100"/>
              <w:left w:type="dxa" w:w="140"/>
              <w:bottom w:type="dxa" w:w="100"/>
              <w:right w:type="dxa" w:w="140"/>
            </w:tcMar>
          </w:tcPr>
          <w:p>
            <w:pPr>
              <w:jc w:val="center"/>
            </w:pPr>
            <w:r>
              <w:rPr>
                <w:b/>
                <w:bCs/>
                <w:color w:val="FFFFFF"/>
                <w:sz w:val="19"/>
                <w:szCs w:val="19"/>
              </w:rPr>
              <w:t xml:space="preserve">Individual</w:t>
            </w:r>
          </w:p>
        </w:tc>
      </w:tr>
    </w:tbl>
    <w:p>
      <w:pPr>
        <w:pStyle w:val="Heading2"/>
        <w:spacing w:after="120" w:before="280"/>
      </w:pPr>
      <w:r>
        <w:rPr>
          <w:b/>
          <w:bCs/>
          <w:color w:val="2E5395"/>
        </w:rPr>
        <w:t xml:space="preserve">Tied to Sub-Lesson 4.1 — APIs</w:t>
      </w:r>
    </w:p>
    <w:p>
      <w:pPr>
        <w:pStyle w:val="Heading2"/>
        <w:spacing w:after="120" w:before="280"/>
      </w:pPr>
      <w:r>
        <w:rPr>
          <w:b/>
          <w:bCs/>
          <w:color w:val="2E5395"/>
        </w:rPr>
        <w:t xml:space="preserve">Instructions for Students</w:t>
      </w:r>
    </w:p>
    <w:p>
      <w:pPr>
        <w:pStyle w:val="ListParagraph"/>
        <w:numPr>
          <w:ilvl w:val="0"/>
          <w:numId w:val="2"/>
        </w:numPr>
        <w:spacing w:after="80"/>
      </w:pPr>
      <w:r>
        <w:t xml:space="preserve">Open the public API documentation for any major model provider (Claude, GPT, Gemini).</w:t>
      </w:r>
    </w:p>
    <w:p>
      <w:pPr>
        <w:pStyle w:val="ListParagraph"/>
        <w:numPr>
          <w:ilvl w:val="0"/>
          <w:numId w:val="2"/>
        </w:numPr>
        <w:spacing w:after="80"/>
      </w:pPr>
      <w:r>
        <w:t xml:space="preserve">Find and write down: the rate limit for a standard tier, the rough price per million tokens, and one parameter you can adjust in a request (e.g., temperature, max tokens).</w:t>
      </w:r>
    </w:p>
    <w:p>
      <w:pPr>
        <w:pStyle w:val="ListParagraph"/>
        <w:numPr>
          <w:ilvl w:val="0"/>
          <w:numId w:val="2"/>
        </w:numPr>
        <w:spacing w:after="80"/>
      </w:pPr>
      <w:r>
        <w:t xml:space="preserve">Share one surprising or unfamiliar term you found with the group.</w:t>
      </w:r>
    </w:p>
    <w:p>
      <w:pPr>
        <w:pStyle w:val="Heading2"/>
        <w:spacing w:after="120" w:before="280"/>
      </w:pPr>
      <w:r>
        <w:rPr>
          <w:b/>
          <w:bCs/>
          <w:color w:val="2E5395"/>
        </w:rPr>
        <w:t xml:space="preserve">Facilitator Notes</w:t>
      </w:r>
    </w:p>
    <w:p>
      <w:pPr>
        <w:spacing w:after="160" w:line="300"/>
      </w:pPr>
      <w:r>
        <w:t xml:space="preserve">The point is simple exposure — most PMs never actually open a provider's API docs before this exercise, and demystifying that document is itself valuable.</w:t>
      </w:r>
    </w:p>
    <w:p>
      <w:r>
        <w:br w:type="page"/>
      </w:r>
    </w:p>
    <w:tbl>
      <w:tblPr>
        <w:tblW w:type="dxa" w:w="9360"/>
        <w:tblBorders>
          <w:top w:val="single" w:color="1F3864" w:sz="4"/>
          <w:left w:val="single" w:color="1F3864" w:sz="4"/>
          <w:bottom w:val="single" w:color="1F3864" w:sz="4"/>
          <w:right w:val="single" w:color="1F3864" w:sz="4"/>
          <w:insideH w:val="single" w:color="1F3864" w:sz="4"/>
          <w:insideV w:val="single" w:color="1F3864" w:sz="4"/>
        </w:tblBorders>
      </w:tblPr>
      <w:tblGrid>
        <w:gridCol w:w="4680"/>
        <w:gridCol w:w="2340"/>
        <w:gridCol w:w="2340"/>
      </w:tblGrid>
      <w:tr>
        <w:tc>
          <w:tcPr>
            <w:tcW w:type="dxa" w:w="4680"/>
            <w:shd w:fill="1F3864" w:val="clear"/>
            <w:tcMar>
              <w:top w:type="dxa" w:w="100"/>
              <w:left w:type="dxa" w:w="140"/>
              <w:bottom w:type="dxa" w:w="100"/>
              <w:right w:type="dxa" w:w="140"/>
            </w:tcMar>
          </w:tcPr>
          <w:p>
            <w:r>
              <w:rPr>
                <w:b/>
                <w:bCs/>
                <w:color w:val="FFFFFF"/>
                <w:sz w:val="21"/>
                <w:szCs w:val="21"/>
              </w:rPr>
              <w:t xml:space="preserve">Activity 2: Sketch the Stack</w:t>
            </w:r>
          </w:p>
        </w:tc>
        <w:tc>
          <w:tcPr>
            <w:tcW w:type="dxa" w:w="2340"/>
            <w:shd w:fill="2E7D32" w:val="clear"/>
            <w:tcMar>
              <w:top w:type="dxa" w:w="100"/>
              <w:left w:type="dxa" w:w="140"/>
              <w:bottom w:type="dxa" w:w="100"/>
              <w:right w:type="dxa" w:w="140"/>
            </w:tcMar>
          </w:tcPr>
          <w:p>
            <w:pPr>
              <w:jc w:val="center"/>
            </w:pPr>
            <w:r>
              <w:rPr>
                <w:b/>
                <w:bCs/>
                <w:color w:val="FFFFFF"/>
                <w:sz w:val="19"/>
                <w:szCs w:val="19"/>
              </w:rPr>
              <w:t xml:space="preserve">15 min</w:t>
            </w:r>
          </w:p>
        </w:tc>
        <w:tc>
          <w:tcPr>
            <w:tcW w:type="dxa" w:w="2340"/>
            <w:shd w:fill="2E5395" w:val="clear"/>
            <w:tcMar>
              <w:top w:type="dxa" w:w="100"/>
              <w:left w:type="dxa" w:w="140"/>
              <w:bottom w:type="dxa" w:w="100"/>
              <w:right w:type="dxa" w:w="140"/>
            </w:tcMar>
          </w:tcPr>
          <w:p>
            <w:pPr>
              <w:jc w:val="center"/>
            </w:pPr>
            <w:r>
              <w:rPr>
                <w:b/>
                <w:bCs/>
                <w:color w:val="FFFFFF"/>
                <w:sz w:val="19"/>
                <w:szCs w:val="19"/>
              </w:rPr>
              <w:t xml:space="preserve">Small groups</w:t>
            </w:r>
          </w:p>
        </w:tc>
      </w:tr>
    </w:tbl>
    <w:p>
      <w:pPr>
        <w:pStyle w:val="Heading2"/>
        <w:spacing w:after="120" w:before="280"/>
      </w:pPr>
      <w:r>
        <w:rPr>
          <w:b/>
          <w:bCs/>
          <w:color w:val="2E5395"/>
        </w:rPr>
        <w:t xml:space="preserve">Tied to Sub-Lesson 4.2 — AI Infrastructure</w:t>
      </w:r>
    </w:p>
    <w:p>
      <w:pPr>
        <w:pStyle w:val="Heading2"/>
        <w:spacing w:after="120" w:before="280"/>
      </w:pPr>
      <w:r>
        <w:rPr>
          <w:b/>
          <w:bCs/>
          <w:color w:val="2E5395"/>
        </w:rPr>
        <w:t xml:space="preserve">Instructions for Students</w:t>
      </w:r>
    </w:p>
    <w:p>
      <w:pPr>
        <w:pStyle w:val="ListParagraph"/>
        <w:numPr>
          <w:ilvl w:val="0"/>
          <w:numId w:val="2"/>
        </w:numPr>
        <w:spacing w:after="80"/>
      </w:pPr>
      <w:r>
        <w:t xml:space="preserve">In groups, draw the three infrastructure layers (compute, model hosting, orchestration) on paper.</w:t>
      </w:r>
    </w:p>
    <w:p>
      <w:pPr>
        <w:pStyle w:val="ListParagraph"/>
        <w:numPr>
          <w:ilvl w:val="0"/>
          <w:numId w:val="2"/>
        </w:numPr>
        <w:spacing w:after="80"/>
      </w:pPr>
      <w:r>
        <w:t xml:space="preserve">For a hypothetical product using a closed model API, mark who manages each layer (you, or the provider).</w:t>
      </w:r>
    </w:p>
    <w:p>
      <w:pPr>
        <w:pStyle w:val="ListParagraph"/>
        <w:numPr>
          <w:ilvl w:val="0"/>
          <w:numId w:val="2"/>
        </w:numPr>
        <w:spacing w:after="80"/>
      </w:pPr>
      <w:r>
        <w:t xml:space="preserve">Repeat for a hypothetical product self-hosting an open-weight model. What changes?</w:t>
      </w:r>
    </w:p>
    <w:p>
      <w:pPr>
        <w:pStyle w:val="Heading2"/>
        <w:spacing w:after="120" w:before="280"/>
      </w:pPr>
      <w:r>
        <w:rPr>
          <w:b/>
          <w:bCs/>
          <w:color w:val="2E5395"/>
        </w:rPr>
        <w:t xml:space="preserve">Facilitator Notes</w:t>
      </w:r>
    </w:p>
    <w:p>
      <w:pPr>
        <w:spacing w:after="160" w:line="300"/>
      </w:pPr>
      <w:r>
        <w:t xml:space="preserve">The key insight to surface: choosing a closed API isn't just a model-quality decision, it's also a decision to outsource almost the entire infrastructure layer.</w:t>
      </w:r>
    </w:p>
    <w:p>
      <w:r>
        <w:br w:type="page"/>
      </w:r>
    </w:p>
    <w:tbl>
      <w:tblPr>
        <w:tblW w:type="dxa" w:w="9360"/>
        <w:tblBorders>
          <w:top w:val="single" w:color="1F3864" w:sz="4"/>
          <w:left w:val="single" w:color="1F3864" w:sz="4"/>
          <w:bottom w:val="single" w:color="1F3864" w:sz="4"/>
          <w:right w:val="single" w:color="1F3864" w:sz="4"/>
          <w:insideH w:val="single" w:color="1F3864" w:sz="4"/>
          <w:insideV w:val="single" w:color="1F3864" w:sz="4"/>
        </w:tblBorders>
      </w:tblPr>
      <w:tblGrid>
        <w:gridCol w:w="4680"/>
        <w:gridCol w:w="2340"/>
        <w:gridCol w:w="2340"/>
      </w:tblGrid>
      <w:tr>
        <w:tc>
          <w:tcPr>
            <w:tcW w:type="dxa" w:w="4680"/>
            <w:shd w:fill="1F3864" w:val="clear"/>
            <w:tcMar>
              <w:top w:type="dxa" w:w="100"/>
              <w:left w:type="dxa" w:w="140"/>
              <w:bottom w:type="dxa" w:w="100"/>
              <w:right w:type="dxa" w:w="140"/>
            </w:tcMar>
          </w:tcPr>
          <w:p>
            <w:r>
              <w:rPr>
                <w:b/>
                <w:bCs/>
                <w:color w:val="FFFFFF"/>
                <w:sz w:val="21"/>
                <w:szCs w:val="21"/>
              </w:rPr>
              <w:t xml:space="preserve">Activity 3: Build a RAG Pipeline on Paper</w:t>
            </w:r>
          </w:p>
        </w:tc>
        <w:tc>
          <w:tcPr>
            <w:tcW w:type="dxa" w:w="2340"/>
            <w:shd w:fill="2E7D32" w:val="clear"/>
            <w:tcMar>
              <w:top w:type="dxa" w:w="100"/>
              <w:left w:type="dxa" w:w="140"/>
              <w:bottom w:type="dxa" w:w="100"/>
              <w:right w:type="dxa" w:w="140"/>
            </w:tcMar>
          </w:tcPr>
          <w:p>
            <w:pPr>
              <w:jc w:val="center"/>
            </w:pPr>
            <w:r>
              <w:rPr>
                <w:b/>
                <w:bCs/>
                <w:color w:val="FFFFFF"/>
                <w:sz w:val="19"/>
                <w:szCs w:val="19"/>
              </w:rPr>
              <w:t xml:space="preserve">20 min</w:t>
            </w:r>
          </w:p>
        </w:tc>
        <w:tc>
          <w:tcPr>
            <w:tcW w:type="dxa" w:w="2340"/>
            <w:shd w:fill="2E5395" w:val="clear"/>
            <w:tcMar>
              <w:top w:type="dxa" w:w="100"/>
              <w:left w:type="dxa" w:w="140"/>
              <w:bottom w:type="dxa" w:w="100"/>
              <w:right w:type="dxa" w:w="140"/>
            </w:tcMar>
          </w:tcPr>
          <w:p>
            <w:pPr>
              <w:jc w:val="center"/>
            </w:pPr>
            <w:r>
              <w:rPr>
                <w:b/>
                <w:bCs/>
                <w:color w:val="FFFFFF"/>
                <w:sz w:val="19"/>
                <w:szCs w:val="19"/>
              </w:rPr>
              <w:t xml:space="preserve">Small groups</w:t>
            </w:r>
          </w:p>
        </w:tc>
      </w:tr>
    </w:tbl>
    <w:p>
      <w:pPr>
        <w:pStyle w:val="Heading2"/>
        <w:spacing w:after="120" w:before="280"/>
      </w:pPr>
      <w:r>
        <w:rPr>
          <w:b/>
          <w:bCs/>
          <w:color w:val="2E5395"/>
        </w:rPr>
        <w:t xml:space="preserve">Tied to Sub-Lessons 4.3, 4.4, 4.5 — RAG, Vector Databases, Embeddings</w:t>
      </w:r>
    </w:p>
    <w:p>
      <w:pPr>
        <w:pStyle w:val="Heading2"/>
        <w:spacing w:after="120" w:before="280"/>
      </w:pPr>
      <w:r>
        <w:rPr>
          <w:b/>
          <w:bCs/>
          <w:color w:val="2E5395"/>
        </w:rPr>
        <w:t xml:space="preserve">Instructions for Students</w:t>
      </w:r>
    </w:p>
    <w:p>
      <w:pPr>
        <w:pStyle w:val="ListParagraph"/>
        <w:numPr>
          <w:ilvl w:val="0"/>
          <w:numId w:val="2"/>
        </w:numPr>
        <w:spacing w:after="80"/>
      </w:pPr>
      <w:r>
        <w:t xml:space="preserve">In groups, you're given a scenario (e.g., "a RAG assistant over a company's 500-page employee handbook").</w:t>
      </w:r>
    </w:p>
    <w:p>
      <w:pPr>
        <w:pStyle w:val="ListParagraph"/>
        <w:numPr>
          <w:ilvl w:val="0"/>
          <w:numId w:val="2"/>
        </w:numPr>
        <w:spacing w:after="80"/>
      </w:pPr>
      <w:r>
        <w:t xml:space="preserve">Sketch the full 5-step RAG pipeline for this scenario: what does chunking look like here, what embedding approach, which vector database (using the comparison table from the lesson) and why, what does retrieval look like, and what does the final generation step need.</w:t>
      </w:r>
    </w:p>
    <w:p>
      <w:pPr>
        <w:pStyle w:val="ListParagraph"/>
        <w:numPr>
          <w:ilvl w:val="0"/>
          <w:numId w:val="2"/>
        </w:numPr>
        <w:spacing w:after="80"/>
      </w:pPr>
      <w:r>
        <w:t xml:space="preserve">Present your pipeline to another group and take one piece of critical feedback.</w:t>
      </w:r>
    </w:p>
    <w:p>
      <w:pPr>
        <w:pStyle w:val="Heading2"/>
        <w:spacing w:after="120" w:before="280"/>
      </w:pPr>
      <w:r>
        <w:rPr>
          <w:b/>
          <w:bCs/>
          <w:color w:val="2E5395"/>
        </w:rPr>
        <w:t xml:space="preserve">Facilitator Notes</w:t>
      </w:r>
    </w:p>
    <w:p>
      <w:pPr>
        <w:spacing w:after="160" w:line="300"/>
      </w:pPr>
      <w:r>
        <w:t xml:space="preserve">This is direct rehearsal for the deliverable. Push groups on chunk size specifically — "a chunk" is an underspecified answer; a good answer states an approximate size and a reason.</w:t>
      </w:r>
    </w:p>
    <w:p>
      <w:r>
        <w:br w:type="page"/>
      </w:r>
    </w:p>
    <w:tbl>
      <w:tblPr>
        <w:tblW w:type="dxa" w:w="9360"/>
        <w:tblBorders>
          <w:top w:val="single" w:color="1F3864" w:sz="4"/>
          <w:left w:val="single" w:color="1F3864" w:sz="4"/>
          <w:bottom w:val="single" w:color="1F3864" w:sz="4"/>
          <w:right w:val="single" w:color="1F3864" w:sz="4"/>
          <w:insideH w:val="single" w:color="1F3864" w:sz="4"/>
          <w:insideV w:val="single" w:color="1F3864" w:sz="4"/>
        </w:tblBorders>
      </w:tblPr>
      <w:tblGrid>
        <w:gridCol w:w="4680"/>
        <w:gridCol w:w="2340"/>
        <w:gridCol w:w="2340"/>
      </w:tblGrid>
      <w:tr>
        <w:tc>
          <w:tcPr>
            <w:tcW w:type="dxa" w:w="4680"/>
            <w:shd w:fill="1F3864" w:val="clear"/>
            <w:tcMar>
              <w:top w:type="dxa" w:w="100"/>
              <w:left w:type="dxa" w:w="140"/>
              <w:bottom w:type="dxa" w:w="100"/>
              <w:right w:type="dxa" w:w="140"/>
            </w:tcMar>
          </w:tcPr>
          <w:p>
            <w:r>
              <w:rPr>
                <w:b/>
                <w:bCs/>
                <w:color w:val="FFFFFF"/>
                <w:sz w:val="21"/>
                <w:szCs w:val="21"/>
              </w:rPr>
              <w:t xml:space="preserve">Activity 4: RAG or Fine-Tune?</w:t>
            </w:r>
          </w:p>
        </w:tc>
        <w:tc>
          <w:tcPr>
            <w:tcW w:type="dxa" w:w="2340"/>
            <w:shd w:fill="2E7D32" w:val="clear"/>
            <w:tcMar>
              <w:top w:type="dxa" w:w="100"/>
              <w:left w:type="dxa" w:w="140"/>
              <w:bottom w:type="dxa" w:w="100"/>
              <w:right w:type="dxa" w:w="140"/>
            </w:tcMar>
          </w:tcPr>
          <w:p>
            <w:pPr>
              <w:jc w:val="center"/>
            </w:pPr>
            <w:r>
              <w:rPr>
                <w:b/>
                <w:bCs/>
                <w:color w:val="FFFFFF"/>
                <w:sz w:val="19"/>
                <w:szCs w:val="19"/>
              </w:rPr>
              <w:t xml:space="preserve">15 min</w:t>
            </w:r>
          </w:p>
        </w:tc>
        <w:tc>
          <w:tcPr>
            <w:tcW w:type="dxa" w:w="2340"/>
            <w:shd w:fill="2E5395" w:val="clear"/>
            <w:tcMar>
              <w:top w:type="dxa" w:w="100"/>
              <w:left w:type="dxa" w:w="140"/>
              <w:bottom w:type="dxa" w:w="100"/>
              <w:right w:type="dxa" w:w="140"/>
            </w:tcMar>
          </w:tcPr>
          <w:p>
            <w:pPr>
              <w:jc w:val="center"/>
            </w:pPr>
            <w:r>
              <w:rPr>
                <w:b/>
                <w:bCs/>
                <w:color w:val="FFFFFF"/>
                <w:sz w:val="19"/>
                <w:szCs w:val="19"/>
              </w:rPr>
              <w:t xml:space="preserve">Pairs</w:t>
            </w:r>
          </w:p>
        </w:tc>
      </w:tr>
    </w:tbl>
    <w:p>
      <w:pPr>
        <w:pStyle w:val="Heading2"/>
        <w:spacing w:after="120" w:before="280"/>
      </w:pPr>
      <w:r>
        <w:rPr>
          <w:b/>
          <w:bCs/>
          <w:color w:val="2E5395"/>
        </w:rPr>
        <w:t xml:space="preserve">Tied to Sub-Lesson 4.6 — Fine-Tuning</w:t>
      </w:r>
    </w:p>
    <w:p>
      <w:pPr>
        <w:pStyle w:val="Heading2"/>
        <w:spacing w:after="120" w:before="280"/>
      </w:pPr>
      <w:r>
        <w:rPr>
          <w:b/>
          <w:bCs/>
          <w:color w:val="2E5395"/>
        </w:rPr>
        <w:t xml:space="preserve">Instructions for Students</w:t>
      </w:r>
    </w:p>
    <w:p>
      <w:pPr>
        <w:pStyle w:val="ListParagraph"/>
        <w:numPr>
          <w:ilvl w:val="0"/>
          <w:numId w:val="2"/>
        </w:numPr>
        <w:spacing w:after="80"/>
      </w:pPr>
      <w:r>
        <w:t xml:space="preserve">In pairs, you're given 4 scenarios (e.g., "a legal assistant that must cite current case law," "a customer support bot that needs a very specific, consistent tone," "a coding assistant for a company's internal, rarely-changing style guide," "a financial analyst tool referencing live market data").</w:t>
      </w:r>
    </w:p>
    <w:p>
      <w:pPr>
        <w:pStyle w:val="ListParagraph"/>
        <w:numPr>
          <w:ilvl w:val="0"/>
          <w:numId w:val="2"/>
        </w:numPr>
        <w:spacing w:after="80"/>
      </w:pPr>
      <w:r>
        <w:t xml:space="preserve">For each, decide: RAG, fine-tuning, or both — using the decision table from the lesson.</w:t>
      </w:r>
    </w:p>
    <w:p>
      <w:pPr>
        <w:pStyle w:val="ListParagraph"/>
        <w:numPr>
          <w:ilvl w:val="0"/>
          <w:numId w:val="2"/>
        </w:numPr>
        <w:spacing w:after="80"/>
      </w:pPr>
      <w:r>
        <w:t xml:space="preserve">Compare answers with another pair and discuss any scenario where you disagreed.</w:t>
      </w:r>
    </w:p>
    <w:p>
      <w:pPr>
        <w:pStyle w:val="Heading2"/>
        <w:spacing w:after="120" w:before="280"/>
      </w:pPr>
      <w:r>
        <w:rPr>
          <w:b/>
          <w:bCs/>
          <w:color w:val="2E5395"/>
        </w:rPr>
        <w:t xml:space="preserve">Facilitator Notes</w:t>
      </w:r>
    </w:p>
    <w:p>
      <w:pPr>
        <w:spacing w:after="160" w:line="300"/>
      </w:pPr>
      <w:r>
        <w:t xml:space="preserve">The 'consistent tone' and 'internal style guide' scenarios are designed to pull toward fine-tuning (behavior), while the 'current case law' and 'live market data' scenarios pull toward RAG (fast-changing knowledge) — use disagreement on these as a teaching moment tied to the BloombergGPT case study.</w:t>
      </w:r>
    </w:p>
    <w:p>
      <w:r>
        <w:br w:type="page"/>
      </w:r>
    </w:p>
    <w:tbl>
      <w:tblPr>
        <w:tblW w:type="dxa" w:w="9360"/>
        <w:tblBorders>
          <w:top w:val="single" w:color="1F3864" w:sz="4"/>
          <w:left w:val="single" w:color="1F3864" w:sz="4"/>
          <w:bottom w:val="single" w:color="1F3864" w:sz="4"/>
          <w:right w:val="single" w:color="1F3864" w:sz="4"/>
          <w:insideH w:val="single" w:color="1F3864" w:sz="4"/>
          <w:insideV w:val="single" w:color="1F3864" w:sz="4"/>
        </w:tblBorders>
      </w:tblPr>
      <w:tblGrid>
        <w:gridCol w:w="4680"/>
        <w:gridCol w:w="2340"/>
        <w:gridCol w:w="2340"/>
      </w:tblGrid>
      <w:tr>
        <w:tc>
          <w:tcPr>
            <w:tcW w:type="dxa" w:w="4680"/>
            <w:shd w:fill="1F3864" w:val="clear"/>
            <w:tcMar>
              <w:top w:type="dxa" w:w="100"/>
              <w:left w:type="dxa" w:w="140"/>
              <w:bottom w:type="dxa" w:w="100"/>
              <w:right w:type="dxa" w:w="140"/>
            </w:tcMar>
          </w:tcPr>
          <w:p>
            <w:r>
              <w:rPr>
                <w:b/>
                <w:bCs/>
                <w:color w:val="FFFFFF"/>
                <w:sz w:val="21"/>
                <w:szCs w:val="21"/>
              </w:rPr>
              <w:t xml:space="preserve">Activity 5: Trace the Pipeline</w:t>
            </w:r>
          </w:p>
        </w:tc>
        <w:tc>
          <w:tcPr>
            <w:tcW w:type="dxa" w:w="2340"/>
            <w:shd w:fill="2E7D32" w:val="clear"/>
            <w:tcMar>
              <w:top w:type="dxa" w:w="100"/>
              <w:left w:type="dxa" w:w="140"/>
              <w:bottom w:type="dxa" w:w="100"/>
              <w:right w:type="dxa" w:w="140"/>
            </w:tcMar>
          </w:tcPr>
          <w:p>
            <w:pPr>
              <w:jc w:val="center"/>
            </w:pPr>
            <w:r>
              <w:rPr>
                <w:b/>
                <w:bCs/>
                <w:color w:val="FFFFFF"/>
                <w:sz w:val="19"/>
                <w:szCs w:val="19"/>
              </w:rPr>
              <w:t xml:space="preserve">15 min</w:t>
            </w:r>
          </w:p>
        </w:tc>
        <w:tc>
          <w:tcPr>
            <w:tcW w:type="dxa" w:w="2340"/>
            <w:shd w:fill="2E5395" w:val="clear"/>
            <w:tcMar>
              <w:top w:type="dxa" w:w="100"/>
              <w:left w:type="dxa" w:w="140"/>
              <w:bottom w:type="dxa" w:w="100"/>
              <w:right w:type="dxa" w:w="140"/>
            </w:tcMar>
          </w:tcPr>
          <w:p>
            <w:pPr>
              <w:jc w:val="center"/>
            </w:pPr>
            <w:r>
              <w:rPr>
                <w:b/>
                <w:bCs/>
                <w:color w:val="FFFFFF"/>
                <w:sz w:val="19"/>
                <w:szCs w:val="19"/>
              </w:rPr>
              <w:t xml:space="preserve">Small groups</w:t>
            </w:r>
          </w:p>
        </w:tc>
      </w:tr>
    </w:tbl>
    <w:p>
      <w:pPr>
        <w:pStyle w:val="Heading2"/>
        <w:spacing w:after="120" w:before="280"/>
      </w:pPr>
      <w:r>
        <w:rPr>
          <w:b/>
          <w:bCs/>
          <w:color w:val="2E5395"/>
        </w:rPr>
        <w:t xml:space="preserve">Tied to Sub-Lesson 4.7 — AI Pipelines</w:t>
      </w:r>
    </w:p>
    <w:p>
      <w:pPr>
        <w:pStyle w:val="Heading2"/>
        <w:spacing w:after="120" w:before="280"/>
      </w:pPr>
      <w:r>
        <w:rPr>
          <w:b/>
          <w:bCs/>
          <w:color w:val="2E5395"/>
        </w:rPr>
        <w:t xml:space="preserve">Instructions for Students</w:t>
      </w:r>
    </w:p>
    <w:p>
      <w:pPr>
        <w:pStyle w:val="ListParagraph"/>
        <w:numPr>
          <w:ilvl w:val="0"/>
          <w:numId w:val="2"/>
        </w:numPr>
        <w:spacing w:after="80"/>
      </w:pPr>
      <w:r>
        <w:t xml:space="preserve">In groups, take a real or hypothetical AI feature (e.g., a support ticket triage assistant) and list every single stage the data passes through, from the moment a message arrives to the moment a response is sent.</w:t>
      </w:r>
    </w:p>
    <w:p>
      <w:pPr>
        <w:pStyle w:val="ListParagraph"/>
        <w:numPr>
          <w:ilvl w:val="0"/>
          <w:numId w:val="2"/>
        </w:numPr>
        <w:spacing w:after="80"/>
      </w:pPr>
      <w:r>
        <w:t xml:space="preserve">For each stage, name one thing that could go wrong or add meaningful cost or latency.</w:t>
      </w:r>
    </w:p>
    <w:p>
      <w:pPr>
        <w:pStyle w:val="ListParagraph"/>
        <w:numPr>
          <w:ilvl w:val="0"/>
          <w:numId w:val="2"/>
        </w:numPr>
        <w:spacing w:after="80"/>
      </w:pPr>
      <w:r>
        <w:t xml:space="preserve">Identify which stage in your pipeline is the most likely bottleneck, and why.</w:t>
      </w:r>
    </w:p>
    <w:p>
      <w:pPr>
        <w:pStyle w:val="Heading2"/>
        <w:spacing w:after="120" w:before="280"/>
      </w:pPr>
      <w:r>
        <w:rPr>
          <w:b/>
          <w:bCs/>
          <w:color w:val="2E5395"/>
        </w:rPr>
        <w:t xml:space="preserve">Facilitator Notes</w:t>
      </w:r>
    </w:p>
    <w:p>
      <w:pPr>
        <w:spacing w:after="160" w:line="300"/>
      </w:pPr>
      <w:r>
        <w:t xml:space="preserve">Groups often stop at 3-4 stages (input, model call, output) when a real pipeline usually has 6-8. Push for the stages that are easy to forget: content moderation checks, logging, human escalation routing, and retries on failure.</w:t>
      </w:r>
    </w:p>
    <w:p>
      <w:r>
        <w:br w:type="page"/>
      </w:r>
    </w:p>
    <w:tbl>
      <w:tblPr>
        <w:tblW w:type="dxa" w:w="9360"/>
        <w:tblBorders>
          <w:top w:val="single" w:color="1F3864" w:sz="4"/>
          <w:left w:val="single" w:color="1F3864" w:sz="4"/>
          <w:bottom w:val="single" w:color="1F3864" w:sz="4"/>
          <w:right w:val="single" w:color="1F3864" w:sz="4"/>
          <w:insideH w:val="single" w:color="1F3864" w:sz="4"/>
          <w:insideV w:val="single" w:color="1F3864" w:sz="4"/>
        </w:tblBorders>
      </w:tblPr>
      <w:tblGrid>
        <w:gridCol w:w="4680"/>
        <w:gridCol w:w="2340"/>
        <w:gridCol w:w="2340"/>
      </w:tblGrid>
      <w:tr>
        <w:tc>
          <w:tcPr>
            <w:tcW w:type="dxa" w:w="4680"/>
            <w:shd w:fill="1F3864" w:val="clear"/>
            <w:tcMar>
              <w:top w:type="dxa" w:w="100"/>
              <w:left w:type="dxa" w:w="140"/>
              <w:bottom w:type="dxa" w:w="100"/>
              <w:right w:type="dxa" w:w="140"/>
            </w:tcMar>
          </w:tcPr>
          <w:p>
            <w:r>
              <w:rPr>
                <w:b/>
                <w:bCs/>
                <w:color w:val="FFFFFF"/>
                <w:sz w:val="21"/>
                <w:szCs w:val="21"/>
              </w:rPr>
              <w:t xml:space="preserve">Activity 6: Serving Strategy Draft</w:t>
            </w:r>
          </w:p>
        </w:tc>
        <w:tc>
          <w:tcPr>
            <w:tcW w:type="dxa" w:w="2340"/>
            <w:shd w:fill="2E7D32" w:val="clear"/>
            <w:tcMar>
              <w:top w:type="dxa" w:w="100"/>
              <w:left w:type="dxa" w:w="140"/>
              <w:bottom w:type="dxa" w:w="100"/>
              <w:right w:type="dxa" w:w="140"/>
            </w:tcMar>
          </w:tcPr>
          <w:p>
            <w:pPr>
              <w:jc w:val="center"/>
            </w:pPr>
            <w:r>
              <w:rPr>
                <w:b/>
                <w:bCs/>
                <w:color w:val="FFFFFF"/>
                <w:sz w:val="19"/>
                <w:szCs w:val="19"/>
              </w:rPr>
              <w:t xml:space="preserve">10 min</w:t>
            </w:r>
          </w:p>
        </w:tc>
        <w:tc>
          <w:tcPr>
            <w:tcW w:type="dxa" w:w="2340"/>
            <w:shd w:fill="2E5395" w:val="clear"/>
            <w:tcMar>
              <w:top w:type="dxa" w:w="100"/>
              <w:left w:type="dxa" w:w="140"/>
              <w:bottom w:type="dxa" w:w="100"/>
              <w:right w:type="dxa" w:w="140"/>
            </w:tcMar>
          </w:tcPr>
          <w:p>
            <w:pPr>
              <w:jc w:val="center"/>
            </w:pPr>
            <w:r>
              <w:rPr>
                <w:b/>
                <w:bCs/>
                <w:color w:val="FFFFFF"/>
                <w:sz w:val="19"/>
                <w:szCs w:val="19"/>
              </w:rPr>
              <w:t xml:space="preserve">Individual</w:t>
            </w:r>
          </w:p>
        </w:tc>
      </w:tr>
    </w:tbl>
    <w:p>
      <w:pPr>
        <w:pStyle w:val="Heading2"/>
        <w:spacing w:after="120" w:before="280"/>
      </w:pPr>
      <w:r>
        <w:rPr>
          <w:b/>
          <w:bCs/>
          <w:color w:val="2E5395"/>
        </w:rPr>
        <w:t xml:space="preserve">Tied to Sub-Lesson 4.8 — Model Serving</w:t>
      </w:r>
    </w:p>
    <w:p>
      <w:pPr>
        <w:pStyle w:val="Heading2"/>
        <w:spacing w:after="120" w:before="280"/>
      </w:pPr>
      <w:r>
        <w:rPr>
          <w:b/>
          <w:bCs/>
          <w:color w:val="2E5395"/>
        </w:rPr>
        <w:t xml:space="preserve">Instructions for Students</w:t>
      </w:r>
    </w:p>
    <w:p>
      <w:pPr>
        <w:pStyle w:val="ListParagraph"/>
        <w:numPr>
          <w:ilvl w:val="0"/>
          <w:numId w:val="2"/>
        </w:numPr>
        <w:spacing w:after="80"/>
      </w:pPr>
      <w:r>
        <w:t xml:space="preserve">Given a product scenario with a stated volume (e.g., "50,000 requests/day, strict data residency requirement"), choose a serving approach: hosted API, managed serving, or self-hosted.</w:t>
      </w:r>
    </w:p>
    <w:p>
      <w:pPr>
        <w:pStyle w:val="ListParagraph"/>
        <w:numPr>
          <w:ilvl w:val="0"/>
          <w:numId w:val="2"/>
        </w:numPr>
        <w:spacing w:after="80"/>
      </w:pPr>
      <w:r>
        <w:t xml:space="preserve">Justify your choice in 2-3 sentences using the trade-offs from the lesson.</w:t>
      </w:r>
    </w:p>
    <w:p>
      <w:pPr>
        <w:pStyle w:val="Heading2"/>
        <w:spacing w:after="120" w:before="280"/>
      </w:pPr>
      <w:r>
        <w:rPr>
          <w:b/>
          <w:bCs/>
          <w:color w:val="2E5395"/>
        </w:rPr>
        <w:t xml:space="preserve">Facilitator Notes</w:t>
      </w:r>
    </w:p>
    <w:p>
      <w:pPr>
        <w:spacing w:after="160" w:line="300"/>
      </w:pPr>
      <w:r>
        <w:t xml:space="preserve">The data residency constraint should push most students away from a simple hosted API toward managed or self-hosted serving — watch for students who ignore that constraint in favor of the "easiest" answer.</w:t>
      </w:r>
    </w:p>
    <w:p>
      <w:r>
        <w:br w:type="page"/>
      </w:r>
    </w:p>
    <w:tbl>
      <w:tblPr>
        <w:tblW w:type="dxa" w:w="9360"/>
        <w:tblBorders>
          <w:top w:val="single" w:color="1F3864" w:sz="4"/>
          <w:left w:val="single" w:color="1F3864" w:sz="4"/>
          <w:bottom w:val="single" w:color="1F3864" w:sz="4"/>
          <w:right w:val="single" w:color="1F3864" w:sz="4"/>
          <w:insideH w:val="single" w:color="1F3864" w:sz="4"/>
          <w:insideV w:val="single" w:color="1F3864" w:sz="4"/>
        </w:tblBorders>
      </w:tblPr>
      <w:tblGrid>
        <w:gridCol w:w="4680"/>
        <w:gridCol w:w="2340"/>
        <w:gridCol w:w="2340"/>
      </w:tblGrid>
      <w:tr>
        <w:tc>
          <w:tcPr>
            <w:tcW w:type="dxa" w:w="4680"/>
            <w:shd w:fill="1F3864" w:val="clear"/>
            <w:tcMar>
              <w:top w:type="dxa" w:w="100"/>
              <w:left w:type="dxa" w:w="140"/>
              <w:bottom w:type="dxa" w:w="100"/>
              <w:right w:type="dxa" w:w="140"/>
            </w:tcMar>
          </w:tcPr>
          <w:p>
            <w:r>
              <w:rPr>
                <w:b/>
                <w:bCs/>
                <w:color w:val="FFFFFF"/>
                <w:sz w:val="21"/>
                <w:szCs w:val="21"/>
              </w:rPr>
              <w:t xml:space="preserve">Activity 7: Budget the Bot</w:t>
            </w:r>
          </w:p>
        </w:tc>
        <w:tc>
          <w:tcPr>
            <w:tcW w:type="dxa" w:w="2340"/>
            <w:shd w:fill="2E7D32" w:val="clear"/>
            <w:tcMar>
              <w:top w:type="dxa" w:w="100"/>
              <w:left w:type="dxa" w:w="140"/>
              <w:bottom w:type="dxa" w:w="100"/>
              <w:right w:type="dxa" w:w="140"/>
            </w:tcMar>
          </w:tcPr>
          <w:p>
            <w:pPr>
              <w:jc w:val="center"/>
            </w:pPr>
            <w:r>
              <w:rPr>
                <w:b/>
                <w:bCs/>
                <w:color w:val="FFFFFF"/>
                <w:sz w:val="19"/>
                <w:szCs w:val="19"/>
              </w:rPr>
              <w:t xml:space="preserve">15 min</w:t>
            </w:r>
          </w:p>
        </w:tc>
        <w:tc>
          <w:tcPr>
            <w:tcW w:type="dxa" w:w="2340"/>
            <w:shd w:fill="2E5395" w:val="clear"/>
            <w:tcMar>
              <w:top w:type="dxa" w:w="100"/>
              <w:left w:type="dxa" w:w="140"/>
              <w:bottom w:type="dxa" w:w="100"/>
              <w:right w:type="dxa" w:w="140"/>
            </w:tcMar>
          </w:tcPr>
          <w:p>
            <w:pPr>
              <w:jc w:val="center"/>
            </w:pPr>
            <w:r>
              <w:rPr>
                <w:b/>
                <w:bCs/>
                <w:color w:val="FFFFFF"/>
                <w:sz w:val="19"/>
                <w:szCs w:val="19"/>
              </w:rPr>
              <w:t xml:space="preserve">Pairs</w:t>
            </w:r>
          </w:p>
        </w:tc>
      </w:tr>
    </w:tbl>
    <w:p>
      <w:pPr>
        <w:pStyle w:val="Heading2"/>
        <w:spacing w:after="120" w:before="280"/>
      </w:pPr>
      <w:r>
        <w:rPr>
          <w:b/>
          <w:bCs/>
          <w:color w:val="2E5395"/>
        </w:rPr>
        <w:t xml:space="preserve">Tied to Sub-Lesson 4.9 — Token Economics</w:t>
      </w:r>
    </w:p>
    <w:p>
      <w:pPr>
        <w:pStyle w:val="Heading2"/>
        <w:spacing w:after="120" w:before="280"/>
      </w:pPr>
      <w:r>
        <w:rPr>
          <w:b/>
          <w:bCs/>
          <w:color w:val="2E5395"/>
        </w:rPr>
        <w:t xml:space="preserve">Instructions for Students</w:t>
      </w:r>
    </w:p>
    <w:p>
      <w:pPr>
        <w:pStyle w:val="ListParagraph"/>
        <w:numPr>
          <w:ilvl w:val="0"/>
          <w:numId w:val="2"/>
        </w:numPr>
        <w:spacing w:after="80"/>
      </w:pPr>
      <w:r>
        <w:t xml:space="preserve">In pairs, estimate a monthly token budget for a simple chatbot handling 10,000 conversations/month, averaging 500 tokens in and 300 tokens out per turn, 3 turns per conversation.</w:t>
      </w:r>
    </w:p>
    <w:p>
      <w:pPr>
        <w:pStyle w:val="ListParagraph"/>
        <w:numPr>
          <w:ilvl w:val="0"/>
          <w:numId w:val="2"/>
        </w:numPr>
        <w:spacing w:after="80"/>
      </w:pPr>
      <w:r>
        <w:t xml:space="preserve">Now redo the estimate assuming the same feature is rebuilt as a 10-step agentic workflow that resends full conversation history at every step. How much does the estimate change?</w:t>
      </w:r>
    </w:p>
    <w:p>
      <w:pPr>
        <w:pStyle w:val="ListParagraph"/>
        <w:numPr>
          <w:ilvl w:val="0"/>
          <w:numId w:val="2"/>
        </w:numPr>
        <w:spacing w:after="80"/>
      </w:pPr>
      <w:r>
        <w:t xml:space="preserve">Discuss: what's the single biggest lever you could pull to bring the agentic version's cost back down?</w:t>
      </w:r>
    </w:p>
    <w:p>
      <w:pPr>
        <w:pStyle w:val="Heading2"/>
        <w:spacing w:after="120" w:before="280"/>
      </w:pPr>
      <w:r>
        <w:rPr>
          <w:b/>
          <w:bCs/>
          <w:color w:val="2E5395"/>
        </w:rPr>
        <w:t xml:space="preserve">Facilitator Notes</w:t>
      </w:r>
    </w:p>
    <w:p>
      <w:pPr>
        <w:spacing w:after="160" w:line="300"/>
      </w:pPr>
      <w:r>
        <w:t xml:space="preserve">This activity is designed to make the Uber case study's core lesson (agentic workflows multiply token consumption, often unexpectedly) tangible through real arithmetic rather than just a cited statistic.</w:t>
      </w:r>
    </w:p>
    <w:p>
      <w:r>
        <w:br w:type="page"/>
      </w:r>
    </w:p>
    <w:tbl>
      <w:tblPr>
        <w:tblW w:type="dxa" w:w="9360"/>
        <w:tblBorders>
          <w:top w:val="single" w:color="1F3864" w:sz="4"/>
          <w:left w:val="single" w:color="1F3864" w:sz="4"/>
          <w:bottom w:val="single" w:color="1F3864" w:sz="4"/>
          <w:right w:val="single" w:color="1F3864" w:sz="4"/>
          <w:insideH w:val="single" w:color="1F3864" w:sz="4"/>
          <w:insideV w:val="single" w:color="1F3864" w:sz="4"/>
        </w:tblBorders>
      </w:tblPr>
      <w:tblGrid>
        <w:gridCol w:w="4680"/>
        <w:gridCol w:w="2340"/>
        <w:gridCol w:w="2340"/>
      </w:tblGrid>
      <w:tr>
        <w:tc>
          <w:tcPr>
            <w:tcW w:type="dxa" w:w="4680"/>
            <w:shd w:fill="1F3864" w:val="clear"/>
            <w:tcMar>
              <w:top w:type="dxa" w:w="100"/>
              <w:left w:type="dxa" w:w="140"/>
              <w:bottom w:type="dxa" w:w="100"/>
              <w:right w:type="dxa" w:w="140"/>
            </w:tcMar>
          </w:tcPr>
          <w:p>
            <w:r>
              <w:rPr>
                <w:b/>
                <w:bCs/>
                <w:color w:val="FFFFFF"/>
                <w:sz w:val="21"/>
                <w:szCs w:val="21"/>
              </w:rPr>
              <w:t xml:space="preserve">Activity 8: Design an Eval Set</w:t>
            </w:r>
          </w:p>
        </w:tc>
        <w:tc>
          <w:tcPr>
            <w:tcW w:type="dxa" w:w="2340"/>
            <w:shd w:fill="2E7D32" w:val="clear"/>
            <w:tcMar>
              <w:top w:type="dxa" w:w="100"/>
              <w:left w:type="dxa" w:w="140"/>
              <w:bottom w:type="dxa" w:w="100"/>
              <w:right w:type="dxa" w:w="140"/>
            </w:tcMar>
          </w:tcPr>
          <w:p>
            <w:pPr>
              <w:jc w:val="center"/>
            </w:pPr>
            <w:r>
              <w:rPr>
                <w:b/>
                <w:bCs/>
                <w:color w:val="FFFFFF"/>
                <w:sz w:val="19"/>
                <w:szCs w:val="19"/>
              </w:rPr>
              <w:t xml:space="preserve">15 min</w:t>
            </w:r>
          </w:p>
        </w:tc>
        <w:tc>
          <w:tcPr>
            <w:tcW w:type="dxa" w:w="2340"/>
            <w:shd w:fill="2E5395" w:val="clear"/>
            <w:tcMar>
              <w:top w:type="dxa" w:w="100"/>
              <w:left w:type="dxa" w:w="140"/>
              <w:bottom w:type="dxa" w:w="100"/>
              <w:right w:type="dxa" w:w="140"/>
            </w:tcMar>
          </w:tcPr>
          <w:p>
            <w:pPr>
              <w:jc w:val="center"/>
            </w:pPr>
            <w:r>
              <w:rPr>
                <w:b/>
                <w:bCs/>
                <w:color w:val="FFFFFF"/>
                <w:sz w:val="19"/>
                <w:szCs w:val="19"/>
              </w:rPr>
              <w:t xml:space="preserve">Small groups</w:t>
            </w:r>
          </w:p>
        </w:tc>
      </w:tr>
    </w:tbl>
    <w:p>
      <w:pPr>
        <w:pStyle w:val="Heading2"/>
        <w:spacing w:after="120" w:before="280"/>
      </w:pPr>
      <w:r>
        <w:rPr>
          <w:b/>
          <w:bCs/>
          <w:color w:val="2E5395"/>
        </w:rPr>
        <w:t xml:space="preserve">Tied to Sub-Lesson 4.10 — AI Evaluation</w:t>
      </w:r>
    </w:p>
    <w:p>
      <w:pPr>
        <w:pStyle w:val="Heading2"/>
        <w:spacing w:after="120" w:before="280"/>
      </w:pPr>
      <w:r>
        <w:rPr>
          <w:b/>
          <w:bCs/>
          <w:color w:val="2E5395"/>
        </w:rPr>
        <w:t xml:space="preserve">Instructions for Students</w:t>
      </w:r>
    </w:p>
    <w:p>
      <w:pPr>
        <w:pStyle w:val="ListParagraph"/>
        <w:numPr>
          <w:ilvl w:val="0"/>
          <w:numId w:val="2"/>
        </w:numPr>
        <w:spacing w:after="80"/>
      </w:pPr>
      <w:r>
        <w:t xml:space="preserve">In groups, pick one AI feature from earlier in this lesson's activities (the RAG pipeline, the chatbot, etc.).</w:t>
      </w:r>
    </w:p>
    <w:p>
      <w:pPr>
        <w:pStyle w:val="ListParagraph"/>
        <w:numPr>
          <w:ilvl w:val="0"/>
          <w:numId w:val="2"/>
        </w:numPr>
        <w:spacing w:after="80"/>
      </w:pPr>
      <w:r>
        <w:t xml:space="preserve">Write 5 test questions/inputs this feature should be able to handle correctly, including at least one edge case it might struggle with.</w:t>
      </w:r>
    </w:p>
    <w:p>
      <w:pPr>
        <w:pStyle w:val="ListParagraph"/>
        <w:numPr>
          <w:ilvl w:val="0"/>
          <w:numId w:val="2"/>
        </w:numPr>
        <w:spacing w:after="80"/>
      </w:pPr>
      <w:r>
        <w:t xml:space="preserve">For each, define what a "correct" or "acceptable" answer looks like — specific enough that someone else could grade it.</w:t>
      </w:r>
    </w:p>
    <w:p>
      <w:pPr>
        <w:pStyle w:val="Heading2"/>
        <w:spacing w:after="120" w:before="280"/>
      </w:pPr>
      <w:r>
        <w:rPr>
          <w:b/>
          <w:bCs/>
          <w:color w:val="2E5395"/>
        </w:rPr>
        <w:t xml:space="preserve">Facilitator Notes</w:t>
      </w:r>
    </w:p>
    <w:p>
      <w:pPr>
        <w:spacing w:after="160" w:line="300"/>
      </w:pPr>
      <w:r>
        <w:t xml:space="preserve">Groups often write vague success criteria ("gives a good answer"). Push for something gradable: a specific fact that must appear, a specific action that must NOT be taken, or a specific format that must be followed.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2026-07-31T13:49:53.513Z</dcterms:created>
  <dcterms:modified xsi:type="dcterms:W3CDTF">2026-07-31T13:49:53.513Z</dcterms:modified>
</cp:coreProperties>
</file>

<file path=docProps/custom.xml><?xml version="1.0" encoding="utf-8"?>
<Properties xmlns="http://schemas.openxmlformats.org/officeDocument/2006/custom-properties" xmlns:vt="http://schemas.openxmlformats.org/officeDocument/2006/docPropsVTypes"/>
</file>